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62C7B" w:rsidRPr="00934B51" w:rsidP="00B6131B" w14:paraId="2C07154D" w14:textId="77777777">
      <w:pPr>
        <w:widowControl/>
        <w:jc w:val="center"/>
        <w:rPr>
          <w:b/>
        </w:rPr>
      </w:pPr>
      <w:r w:rsidRPr="00934B51">
        <w:rPr>
          <w:b/>
        </w:rPr>
        <w:t>Before the</w:t>
      </w:r>
    </w:p>
    <w:p w:rsidR="00B62C7B" w:rsidRPr="00934B51" w:rsidP="00B6131B" w14:paraId="26C8E498" w14:textId="77777777">
      <w:pPr>
        <w:widowControl/>
        <w:jc w:val="center"/>
        <w:rPr>
          <w:b/>
        </w:rPr>
      </w:pPr>
      <w:r w:rsidRPr="00934B51">
        <w:rPr>
          <w:b/>
        </w:rPr>
        <w:t>Federal Communications Commission</w:t>
      </w:r>
    </w:p>
    <w:p w:rsidR="00B62C7B" w:rsidRPr="00934B51" w:rsidP="00B6131B" w14:paraId="03F668D9" w14:textId="77777777">
      <w:pPr>
        <w:widowControl/>
        <w:jc w:val="center"/>
        <w:rPr>
          <w:b/>
        </w:rPr>
      </w:pPr>
      <w:r w:rsidRPr="00934B51">
        <w:rPr>
          <w:b/>
        </w:rPr>
        <w:t>Washington, D.C. 20554</w:t>
      </w:r>
    </w:p>
    <w:p w:rsidR="00B62C7B" w:rsidRPr="00934B51" w:rsidP="00B6131B" w14:paraId="511E1C79" w14:textId="77777777">
      <w:pPr>
        <w:widowControl/>
      </w:pPr>
    </w:p>
    <w:tbl>
      <w:tblPr>
        <w:tblW w:w="0" w:type="auto"/>
        <w:tblLayout w:type="fixed"/>
        <w:tblLook w:val="0000"/>
      </w:tblPr>
      <w:tblGrid>
        <w:gridCol w:w="4698"/>
        <w:gridCol w:w="720"/>
        <w:gridCol w:w="4230"/>
      </w:tblGrid>
      <w:tr w14:paraId="0F805C9A" w14:textId="77777777" w:rsidTr="00082A63">
        <w:tblPrEx>
          <w:tblW w:w="0" w:type="auto"/>
          <w:tblLayout w:type="fixed"/>
          <w:tblLook w:val="0000"/>
        </w:tblPrEx>
        <w:tc>
          <w:tcPr>
            <w:tcW w:w="4698" w:type="dxa"/>
          </w:tcPr>
          <w:p w:rsidR="00B62C7B" w:rsidRPr="00934B51" w:rsidP="00B6131B" w14:paraId="0B372BD9" w14:textId="77777777">
            <w:pPr>
              <w:widowControl/>
            </w:pPr>
            <w:r w:rsidRPr="00934B51">
              <w:t>In the Matter of</w:t>
            </w:r>
          </w:p>
          <w:p w:rsidR="00B62C7B" w:rsidRPr="00934B51" w:rsidP="00B6131B" w14:paraId="5E99C7CC" w14:textId="77777777">
            <w:pPr>
              <w:widowControl/>
            </w:pPr>
          </w:p>
          <w:p w:rsidR="00B62C7B" w:rsidRPr="00934B51" w:rsidP="00B6131B" w14:paraId="4C92BE24" w14:textId="77777777">
            <w:pPr>
              <w:widowControl/>
            </w:pPr>
            <w:r>
              <w:t>Core Communications, Inc., et al.</w:t>
            </w:r>
          </w:p>
          <w:p w:rsidR="00B62C7B" w:rsidRPr="00934B51" w:rsidP="00B6131B" w14:paraId="34954D89" w14:textId="77777777">
            <w:pPr>
              <w:widowControl/>
            </w:pPr>
            <w:r w:rsidRPr="00934B51">
              <w:t xml:space="preserve">Tariff F.C.C. No. </w:t>
            </w:r>
            <w:r>
              <w:t>3</w:t>
            </w:r>
          </w:p>
        </w:tc>
        <w:tc>
          <w:tcPr>
            <w:tcW w:w="720" w:type="dxa"/>
          </w:tcPr>
          <w:p w:rsidR="00B62C7B" w:rsidRPr="00934B51" w:rsidP="00B6131B" w14:paraId="5ECC4E2B" w14:textId="77777777">
            <w:pPr>
              <w:widowControl/>
              <w:rPr>
                <w:b/>
              </w:rPr>
            </w:pPr>
            <w:r w:rsidRPr="00934B51">
              <w:rPr>
                <w:b/>
              </w:rPr>
              <w:t>)</w:t>
            </w:r>
          </w:p>
          <w:p w:rsidR="00B62C7B" w:rsidRPr="00934B51" w:rsidP="00B6131B" w14:paraId="5EDFB9CF" w14:textId="77777777">
            <w:pPr>
              <w:widowControl/>
              <w:rPr>
                <w:b/>
              </w:rPr>
            </w:pPr>
            <w:r w:rsidRPr="00934B51">
              <w:rPr>
                <w:b/>
              </w:rPr>
              <w:t>)</w:t>
            </w:r>
          </w:p>
          <w:p w:rsidR="00B62C7B" w:rsidRPr="00934B51" w:rsidP="00B6131B" w14:paraId="47E83382" w14:textId="77777777">
            <w:pPr>
              <w:widowControl/>
              <w:rPr>
                <w:b/>
              </w:rPr>
            </w:pPr>
            <w:r w:rsidRPr="00934B51">
              <w:rPr>
                <w:b/>
              </w:rPr>
              <w:t>)</w:t>
            </w:r>
          </w:p>
          <w:p w:rsidR="00B62C7B" w:rsidP="00B6131B" w14:paraId="320CDEFD" w14:textId="77777777">
            <w:pPr>
              <w:widowControl/>
              <w:rPr>
                <w:b/>
              </w:rPr>
            </w:pPr>
            <w:r w:rsidRPr="00934B51">
              <w:rPr>
                <w:b/>
              </w:rPr>
              <w:t>)</w:t>
            </w:r>
          </w:p>
          <w:p w:rsidR="00B62C7B" w:rsidRPr="00934B51" w:rsidP="00B6131B" w14:paraId="32D364CE" w14:textId="77777777">
            <w:pPr>
              <w:widowControl/>
              <w:rPr>
                <w:b/>
              </w:rPr>
            </w:pPr>
            <w:r>
              <w:rPr>
                <w:b/>
              </w:rPr>
              <w:t>)</w:t>
            </w:r>
          </w:p>
          <w:p w:rsidR="00B62C7B" w:rsidRPr="00934B51" w:rsidP="00B6131B" w14:paraId="72CF04F4" w14:textId="77777777">
            <w:pPr>
              <w:widowControl/>
              <w:rPr>
                <w:b/>
              </w:rPr>
            </w:pPr>
          </w:p>
        </w:tc>
        <w:tc>
          <w:tcPr>
            <w:tcW w:w="4230" w:type="dxa"/>
          </w:tcPr>
          <w:p w:rsidR="00B62C7B" w:rsidP="00B6131B" w14:paraId="0AFE07D8" w14:textId="77777777">
            <w:pPr>
              <w:widowControl/>
            </w:pPr>
          </w:p>
          <w:p w:rsidR="00B62C7B" w:rsidRPr="00934B51" w:rsidP="00B6131B" w14:paraId="4E7F9F0B" w14:textId="77777777">
            <w:pPr>
              <w:widowControl/>
            </w:pPr>
          </w:p>
          <w:p w:rsidR="00B62C7B" w:rsidRPr="00934B51" w:rsidP="00B6131B" w14:paraId="11053DF8" w14:textId="77777777">
            <w:pPr>
              <w:widowControl/>
            </w:pPr>
            <w:r w:rsidRPr="00934B51">
              <w:t xml:space="preserve">WC Docket No. </w:t>
            </w:r>
            <w:r>
              <w:t>21</w:t>
            </w:r>
            <w:r w:rsidRPr="00934B51">
              <w:t>-1</w:t>
            </w:r>
            <w:r>
              <w:t>91</w:t>
            </w:r>
          </w:p>
          <w:p w:rsidR="00B62C7B" w:rsidRPr="00934B51" w:rsidP="00B6131B" w14:paraId="112705D3" w14:textId="77777777">
            <w:pPr>
              <w:widowControl/>
            </w:pPr>
          </w:p>
          <w:p w:rsidR="00B62C7B" w:rsidRPr="00934B51" w:rsidP="00B6131B" w14:paraId="21172202" w14:textId="77777777">
            <w:pPr>
              <w:widowControl/>
            </w:pPr>
            <w:r w:rsidRPr="00934B51">
              <w:t xml:space="preserve">Transmittal No. </w:t>
            </w:r>
            <w:r>
              <w:t>17</w:t>
            </w:r>
          </w:p>
        </w:tc>
      </w:tr>
    </w:tbl>
    <w:p w:rsidR="00B62C7B" w:rsidRPr="00934B51" w:rsidP="00B6131B" w14:paraId="4A6D4A6C" w14:textId="77777777">
      <w:pPr>
        <w:widowControl/>
        <w:jc w:val="center"/>
        <w:rPr>
          <w:b/>
        </w:rPr>
      </w:pPr>
      <w:r w:rsidRPr="00934B51">
        <w:rPr>
          <w:b/>
        </w:rPr>
        <w:t>MEMORANDUM OPINION AND ORDER</w:t>
      </w:r>
    </w:p>
    <w:p w:rsidR="00B62C7B" w:rsidP="00B6131B" w14:paraId="5DCD0034" w14:textId="2CED0D28">
      <w:pPr>
        <w:widowControl/>
        <w:tabs>
          <w:tab w:val="right" w:pos="9360"/>
        </w:tabs>
      </w:pPr>
    </w:p>
    <w:p w:rsidR="00515C78" w:rsidRPr="00934B51" w:rsidP="00B6131B" w14:paraId="52AAF1CB" w14:textId="77777777">
      <w:pPr>
        <w:widowControl/>
        <w:tabs>
          <w:tab w:val="right" w:pos="9360"/>
        </w:tabs>
      </w:pPr>
    </w:p>
    <w:p w:rsidR="00B62C7B" w:rsidRPr="00934B51" w:rsidP="00B6131B" w14:paraId="1C8DA51B" w14:textId="5F45F36D">
      <w:pPr>
        <w:widowControl/>
        <w:tabs>
          <w:tab w:val="right" w:pos="9360"/>
        </w:tabs>
        <w:rPr>
          <w:b/>
        </w:rPr>
      </w:pPr>
      <w:r w:rsidRPr="00934B51">
        <w:rPr>
          <w:b/>
        </w:rPr>
        <w:t xml:space="preserve">Adopted:  </w:t>
      </w:r>
      <w:r w:rsidR="00405BD4">
        <w:rPr>
          <w:b/>
        </w:rPr>
        <w:t>January 4</w:t>
      </w:r>
      <w:r w:rsidRPr="00934B51">
        <w:rPr>
          <w:b/>
        </w:rPr>
        <w:t>, 20</w:t>
      </w:r>
      <w:r>
        <w:rPr>
          <w:b/>
        </w:rPr>
        <w:t>2</w:t>
      </w:r>
      <w:r w:rsidR="005C09CF">
        <w:rPr>
          <w:b/>
        </w:rPr>
        <w:t>3</w:t>
      </w:r>
      <w:r>
        <w:rPr>
          <w:b/>
        </w:rPr>
        <w:tab/>
      </w:r>
      <w:r w:rsidRPr="00934B51">
        <w:rPr>
          <w:b/>
        </w:rPr>
        <w:t xml:space="preserve">Released:  </w:t>
      </w:r>
      <w:r w:rsidR="00405BD4">
        <w:rPr>
          <w:b/>
        </w:rPr>
        <w:t>January 4</w:t>
      </w:r>
      <w:r w:rsidRPr="00934B51">
        <w:rPr>
          <w:b/>
        </w:rPr>
        <w:t>, 20</w:t>
      </w:r>
      <w:r>
        <w:rPr>
          <w:b/>
        </w:rPr>
        <w:t>2</w:t>
      </w:r>
      <w:r w:rsidR="005C09CF">
        <w:rPr>
          <w:b/>
        </w:rPr>
        <w:t>3</w:t>
      </w:r>
    </w:p>
    <w:p w:rsidR="00B62C7B" w:rsidRPr="00934B51" w:rsidP="00B6131B" w14:paraId="0103CAF7" w14:textId="77777777">
      <w:pPr>
        <w:widowControl/>
        <w:rPr>
          <w:b/>
        </w:rPr>
      </w:pPr>
    </w:p>
    <w:p w:rsidR="00B62C7B" w:rsidP="00B6131B" w14:paraId="098E0428" w14:textId="79B18798">
      <w:pPr>
        <w:widowControl/>
        <w:rPr>
          <w:bCs/>
        </w:rPr>
      </w:pPr>
      <w:r w:rsidRPr="00981B08">
        <w:rPr>
          <w:bCs/>
        </w:rPr>
        <w:t xml:space="preserve">By the </w:t>
      </w:r>
      <w:r w:rsidR="00C360C9">
        <w:rPr>
          <w:bCs/>
        </w:rPr>
        <w:t>Chief, Wireline Competition Bureau</w:t>
      </w:r>
      <w:r w:rsidRPr="00981B08">
        <w:rPr>
          <w:bCs/>
        </w:rPr>
        <w:t>:</w:t>
      </w:r>
    </w:p>
    <w:p w:rsidR="00B62C7B" w:rsidRPr="00934B51" w:rsidP="00B6131B" w14:paraId="2FFEA4B7" w14:textId="77777777">
      <w:pPr>
        <w:widowControl/>
        <w:rPr>
          <w:b/>
        </w:rPr>
      </w:pPr>
    </w:p>
    <w:p w:rsidR="00B62C7B" w:rsidRPr="00934B51" w:rsidP="00B6131B" w14:paraId="5701DFB7" w14:textId="77777777">
      <w:pPr>
        <w:pStyle w:val="Heading1"/>
        <w:widowControl/>
      </w:pPr>
      <w:r w:rsidRPr="00934B51">
        <w:t>introduction</w:t>
      </w:r>
      <w:r>
        <w:t xml:space="preserve">   </w:t>
      </w:r>
    </w:p>
    <w:p w:rsidR="00B62C7B" w:rsidRPr="001D04B1" w:rsidP="00B6131B" w14:paraId="7DF04425" w14:textId="547A6A88">
      <w:pPr>
        <w:pStyle w:val="ParaNum"/>
        <w:widowControl/>
        <w:tabs>
          <w:tab w:val="clear" w:pos="1080"/>
        </w:tabs>
      </w:pPr>
      <w:r w:rsidRPr="001D04B1">
        <w:t xml:space="preserve">In this Order, we approve the </w:t>
      </w:r>
      <w:r w:rsidR="001F399D">
        <w:t>p</w:t>
      </w:r>
      <w:r w:rsidRPr="001D04B1">
        <w:t xml:space="preserve">lan submitted by Core Communications, Inc. (Core) to </w:t>
      </w:r>
      <w:r w:rsidR="001F399D">
        <w:t xml:space="preserve">refund certain interstate access service charges </w:t>
      </w:r>
      <w:r w:rsidR="00984945">
        <w:t xml:space="preserve">Core assessed </w:t>
      </w:r>
      <w:r w:rsidR="001F399D">
        <w:t xml:space="preserve">certain interexchange carriers (IXCs) </w:t>
      </w:r>
      <w:r>
        <w:t>pursuant to</w:t>
      </w:r>
      <w:r w:rsidRPr="001D04B1">
        <w:t xml:space="preserve"> </w:t>
      </w:r>
      <w:r w:rsidR="00984945">
        <w:t xml:space="preserve">its </w:t>
      </w:r>
      <w:r w:rsidRPr="001D04B1">
        <w:t>unlawful tariff.</w:t>
      </w:r>
      <w:r>
        <w:rPr>
          <w:rStyle w:val="FootnoteReference"/>
        </w:rPr>
        <w:footnoteReference w:id="3"/>
      </w:r>
      <w:r w:rsidRPr="001D04B1">
        <w:t xml:space="preserve">  This Order </w:t>
      </w:r>
      <w:r w:rsidR="0090780B">
        <w:t xml:space="preserve">follows </w:t>
      </w:r>
      <w:r w:rsidRPr="001D04B1">
        <w:t xml:space="preserve">the </w:t>
      </w:r>
      <w:r w:rsidRPr="001D04B1">
        <w:rPr>
          <w:i/>
          <w:iCs/>
        </w:rPr>
        <w:t>Core Tariff Investigation Order</w:t>
      </w:r>
      <w:r w:rsidRPr="001D04B1">
        <w:t xml:space="preserve"> </w:t>
      </w:r>
      <w:r w:rsidR="0090780B">
        <w:t xml:space="preserve">in </w:t>
      </w:r>
      <w:r w:rsidRPr="001D04B1">
        <w:t>which</w:t>
      </w:r>
      <w:r w:rsidR="0090780B">
        <w:t xml:space="preserve"> the Commission </w:t>
      </w:r>
      <w:r w:rsidRPr="001D04B1">
        <w:t>concluded the investigation into Core’s tariff revisions, directed Core to revise its tariff, and directed the Wireline Competition Bureau (Bureau) to determine any refunds that may be required once the newly revised tariff is effective.</w:t>
      </w:r>
      <w:r>
        <w:rPr>
          <w:sz w:val="20"/>
          <w:vertAlign w:val="superscript"/>
        </w:rPr>
        <w:footnoteReference w:id="4"/>
      </w:r>
      <w:r w:rsidRPr="001D04B1">
        <w:t xml:space="preserve">  </w:t>
      </w:r>
    </w:p>
    <w:p w:rsidR="00B62C7B" w:rsidRPr="00934B51" w:rsidP="00B6131B" w14:paraId="05734963" w14:textId="77777777">
      <w:pPr>
        <w:pStyle w:val="Heading1"/>
        <w:widowControl/>
      </w:pPr>
      <w:r w:rsidRPr="00934B51">
        <w:t>background</w:t>
      </w:r>
    </w:p>
    <w:p w:rsidR="00B62C7B" w:rsidP="00B6131B" w14:paraId="32D31DE0" w14:textId="17C337CA">
      <w:pPr>
        <w:pStyle w:val="ParaNum"/>
        <w:widowControl/>
        <w:tabs>
          <w:tab w:val="clear" w:pos="1080"/>
        </w:tabs>
      </w:pPr>
      <w:r>
        <w:t xml:space="preserve">Core is </w:t>
      </w:r>
      <w:r w:rsidRPr="001D04B1">
        <w:t>a competitive local exchange carrier (LEC)</w:t>
      </w:r>
      <w:r>
        <w:t xml:space="preserve"> that </w:t>
      </w:r>
      <w:r w:rsidRPr="001D04B1">
        <w:t>serves as an intermediate carrier, primarily for toll free calls</w:t>
      </w:r>
      <w:r>
        <w:t>.</w:t>
      </w:r>
      <w:r w:rsidRPr="001D04B1">
        <w:t xml:space="preserve"> </w:t>
      </w:r>
      <w:r>
        <w:t xml:space="preserve"> As a competitive LEC, Core is permitted, but not required, to </w:t>
      </w:r>
      <w:r w:rsidRPr="001D04B1">
        <w:t xml:space="preserve">file interstate switched access </w:t>
      </w:r>
      <w:r>
        <w:t xml:space="preserve">service </w:t>
      </w:r>
      <w:r w:rsidRPr="001D04B1">
        <w:t>tariffs with the Commission.</w:t>
      </w:r>
      <w:r>
        <w:rPr>
          <w:rStyle w:val="FootnoteReference"/>
        </w:rPr>
        <w:footnoteReference w:id="5"/>
      </w:r>
      <w:r w:rsidRPr="001D04B1">
        <w:t xml:space="preserve">  On April 22, 2021, Core filed Transmittal No. 17 (Revised Tariff), revisi</w:t>
      </w:r>
      <w:r w:rsidR="00C27DCA">
        <w:t>ng</w:t>
      </w:r>
      <w:r w:rsidRPr="001D04B1">
        <w:t xml:space="preserve"> </w:t>
      </w:r>
      <w:r w:rsidR="00C27DCA">
        <w:t xml:space="preserve">various provisions of </w:t>
      </w:r>
      <w:r w:rsidRPr="001D04B1">
        <w:t xml:space="preserve">its </w:t>
      </w:r>
      <w:r w:rsidRPr="00CE7DF9">
        <w:t>interstate access services Tariff F.C.C. No. 3</w:t>
      </w:r>
      <w:r w:rsidR="00C27DCA">
        <w:t>, including provisions regarding</w:t>
      </w:r>
      <w:r w:rsidRPr="00CE7DF9">
        <w:t xml:space="preserve"> </w:t>
      </w:r>
      <w:r w:rsidR="00C27DCA">
        <w:t xml:space="preserve">billing </w:t>
      </w:r>
      <w:r w:rsidRPr="001D04B1">
        <w:t>dispute</w:t>
      </w:r>
      <w:r w:rsidR="00C27DCA">
        <w:t>s</w:t>
      </w:r>
      <w:r w:rsidRPr="001D04B1">
        <w:t>, late</w:t>
      </w:r>
      <w:r w:rsidR="005A050B">
        <w:t>-</w:t>
      </w:r>
      <w:r w:rsidRPr="001D04B1">
        <w:t xml:space="preserve">payment fees, cancellation, and </w:t>
      </w:r>
      <w:r w:rsidRPr="00646387">
        <w:t>toll free (8YY) database</w:t>
      </w:r>
      <w:r w:rsidRPr="001D04B1">
        <w:t xml:space="preserve"> query charges.</w:t>
      </w:r>
      <w:r>
        <w:rPr>
          <w:rStyle w:val="FootnoteReference"/>
        </w:rPr>
        <w:footnoteReference w:id="6"/>
      </w:r>
      <w:r w:rsidRPr="001D04B1">
        <w:t xml:space="preserve">  </w:t>
      </w:r>
      <w:r w:rsidR="00C27DCA">
        <w:t>Core’s revisions included changes to</w:t>
      </w:r>
      <w:r>
        <w:t xml:space="preserve"> section 2.10.5 of the tariff</w:t>
      </w:r>
      <w:r>
        <w:t>,</w:t>
      </w:r>
      <w:r>
        <w:t xml:space="preserve"> </w:t>
      </w:r>
      <w:r w:rsidR="00C27DCA">
        <w:t xml:space="preserve">which increased the </w:t>
      </w:r>
      <w:r w:rsidR="00DB3AAB">
        <w:t xml:space="preserve">monthly </w:t>
      </w:r>
      <w:r>
        <w:t>late</w:t>
      </w:r>
      <w:r w:rsidR="005A050B">
        <w:t>-</w:t>
      </w:r>
      <w:r>
        <w:t xml:space="preserve">payment fee </w:t>
      </w:r>
      <w:r w:rsidR="00C27DCA">
        <w:t xml:space="preserve">from </w:t>
      </w:r>
      <w:r>
        <w:t xml:space="preserve">a maximum </w:t>
      </w:r>
      <w:r w:rsidR="00FE033D">
        <w:t xml:space="preserve">of </w:t>
      </w:r>
      <w:r w:rsidR="00C27DCA">
        <w:t xml:space="preserve">1.5% to </w:t>
      </w:r>
      <w:r>
        <w:t xml:space="preserve">the lesser of 3.0% </w:t>
      </w:r>
      <w:r w:rsidR="0078757A">
        <w:t>or</w:t>
      </w:r>
      <w:r>
        <w:t xml:space="preserve"> “</w:t>
      </w:r>
      <w:r w:rsidRPr="000C670D">
        <w:t>the highest</w:t>
      </w:r>
      <w:r w:rsidRPr="001D04B1">
        <w:t xml:space="preserve"> rate permitted by applicable law</w:t>
      </w:r>
      <w:r>
        <w:t>,” if the “unpaid amount is not part of a good faith dispute as described in [the] tariff.”</w:t>
      </w:r>
      <w:r>
        <w:rPr>
          <w:rStyle w:val="FootnoteReference"/>
        </w:rPr>
        <w:footnoteReference w:id="7"/>
      </w:r>
      <w:r>
        <w:t xml:space="preserve"> </w:t>
      </w:r>
      <w:r w:rsidRPr="001D04B1">
        <w:t xml:space="preserve"> On May 6, 2021, the Bureau adopted the </w:t>
      </w:r>
      <w:r w:rsidRPr="006C6BC8">
        <w:rPr>
          <w:i/>
          <w:iCs/>
        </w:rPr>
        <w:t>Suspension Order</w:t>
      </w:r>
      <w:r w:rsidRPr="001D04B1">
        <w:t xml:space="preserve">, finding that substantial questions existed </w:t>
      </w:r>
      <w:r w:rsidRPr="001D04B1">
        <w:t>regarding the lawfulness of Core’s Revised Tariff that required further investigation.</w:t>
      </w:r>
      <w:r>
        <w:rPr>
          <w:rStyle w:val="FootnoteReference"/>
        </w:rPr>
        <w:footnoteReference w:id="8"/>
      </w:r>
      <w:r w:rsidRPr="001D04B1">
        <w:t xml:space="preserve">  </w:t>
      </w:r>
      <w:r>
        <w:t>T</w:t>
      </w:r>
      <w:r w:rsidRPr="001D04B1">
        <w:t>he Bureau suspended the Revised Tariff for one day, thereby allowing it to go into effect without being deemed lawful, adopted an accounting order, and initiated an investigation into the lawfulness of the Revised Tariff.</w:t>
      </w:r>
      <w:r>
        <w:rPr>
          <w:rStyle w:val="FootnoteReference"/>
        </w:rPr>
        <w:footnoteReference w:id="9"/>
      </w:r>
      <w:r w:rsidRPr="001D04B1">
        <w:t xml:space="preserve"> </w:t>
      </w:r>
    </w:p>
    <w:p w:rsidR="00B62C7B" w:rsidRPr="00CA56ED" w:rsidP="00B6131B" w14:paraId="682DFC14" w14:textId="403D13D4">
      <w:pPr>
        <w:pStyle w:val="ParaNum"/>
        <w:widowControl/>
        <w:tabs>
          <w:tab w:val="clear" w:pos="1080"/>
        </w:tabs>
      </w:pPr>
      <w:r>
        <w:t xml:space="preserve">On June 23, 2021, the Bureau released a </w:t>
      </w:r>
      <w:r w:rsidRPr="00B132F2">
        <w:rPr>
          <w:i/>
          <w:iCs/>
        </w:rPr>
        <w:t>Designation Orde</w:t>
      </w:r>
      <w:r>
        <w:rPr>
          <w:i/>
          <w:iCs/>
        </w:rPr>
        <w:t>r</w:t>
      </w:r>
      <w:r>
        <w:t xml:space="preserve"> directing Core to provide information that the Commission needed to determine whether the late</w:t>
      </w:r>
      <w:r w:rsidR="005A050B">
        <w:t>-</w:t>
      </w:r>
      <w:r>
        <w:t>payment fee provision was just and reasonable.</w:t>
      </w:r>
      <w:r>
        <w:rPr>
          <w:rStyle w:val="FootnoteReference"/>
        </w:rPr>
        <w:footnoteReference w:id="10"/>
      </w:r>
      <w:r>
        <w:t xml:space="preserve">  Core then filed its Direct Case responding to the questions the Bureau asked in the </w:t>
      </w:r>
      <w:r w:rsidRPr="00B37610">
        <w:rPr>
          <w:i/>
          <w:iCs/>
        </w:rPr>
        <w:t>Designation Order</w:t>
      </w:r>
      <w:r>
        <w:t>.</w:t>
      </w:r>
      <w:r>
        <w:rPr>
          <w:rStyle w:val="FootnoteReference"/>
        </w:rPr>
        <w:footnoteReference w:id="11"/>
      </w:r>
      <w:r>
        <w:t xml:space="preserve">  AT&amp;T and Verizon filed oppositions to the Direct Case</w:t>
      </w:r>
      <w:r w:rsidR="00304C82">
        <w:t>,</w:t>
      </w:r>
      <w:r>
        <w:t xml:space="preserve"> arguing that Core’s </w:t>
      </w:r>
      <w:r w:rsidR="005A050B">
        <w:t>late-payment</w:t>
      </w:r>
      <w:r>
        <w:t xml:space="preserve"> fee was unjust and unreasonable.</w:t>
      </w:r>
      <w:r>
        <w:rPr>
          <w:rStyle w:val="FootnoteReference"/>
        </w:rPr>
        <w:footnoteReference w:id="12"/>
      </w:r>
      <w:r>
        <w:t xml:space="preserve">  </w:t>
      </w:r>
    </w:p>
    <w:p w:rsidR="00B62C7B" w:rsidRPr="001D04B1" w:rsidP="00B6131B" w14:paraId="472C8613" w14:textId="599BF3D7">
      <w:pPr>
        <w:pStyle w:val="ParaNum"/>
        <w:widowControl/>
        <w:tabs>
          <w:tab w:val="clear" w:pos="1080"/>
        </w:tabs>
      </w:pPr>
      <w:r w:rsidRPr="001D04B1">
        <w:t xml:space="preserve">In the </w:t>
      </w:r>
      <w:r w:rsidRPr="008A6D9C">
        <w:rPr>
          <w:i/>
          <w:iCs/>
        </w:rPr>
        <w:t>Core Tariff Investigation Order</w:t>
      </w:r>
      <w:r w:rsidRPr="001D04B1">
        <w:t>, the Commission found</w:t>
      </w:r>
      <w:r w:rsidR="00CD5ED8">
        <w:t>,</w:t>
      </w:r>
      <w:r w:rsidRPr="001D04B1">
        <w:t xml:space="preserve"> </w:t>
      </w:r>
      <w:r w:rsidR="009E4E23">
        <w:t>in relevant part</w:t>
      </w:r>
      <w:r w:rsidR="00CD5ED8">
        <w:t>,</w:t>
      </w:r>
      <w:r w:rsidR="00E00665">
        <w:t xml:space="preserve"> </w:t>
      </w:r>
      <w:r w:rsidRPr="001D04B1">
        <w:t xml:space="preserve">that </w:t>
      </w:r>
      <w:r>
        <w:t xml:space="preserve">Core failed to demonstrate that </w:t>
      </w:r>
      <w:r w:rsidR="009E4E23">
        <w:t xml:space="preserve">the </w:t>
      </w:r>
      <w:r w:rsidR="005A050B">
        <w:t>late-payment</w:t>
      </w:r>
      <w:r>
        <w:t xml:space="preserve"> fee </w:t>
      </w:r>
      <w:r w:rsidR="009E4E23">
        <w:t xml:space="preserve">provision </w:t>
      </w:r>
      <w:r>
        <w:t xml:space="preserve">in section 2.10.5 of the </w:t>
      </w:r>
      <w:r w:rsidR="002F5EB7">
        <w:t xml:space="preserve">Revised Tariff </w:t>
      </w:r>
      <w:r w:rsidR="00CD5ED8">
        <w:t>wa</w:t>
      </w:r>
      <w:r>
        <w:t>s just and reasonable.</w:t>
      </w:r>
      <w:r>
        <w:rPr>
          <w:rStyle w:val="FootnoteReference"/>
        </w:rPr>
        <w:footnoteReference w:id="13"/>
      </w:r>
      <w:r>
        <w:t xml:space="preserve">  The Commission found that </w:t>
      </w:r>
      <w:r w:rsidRPr="00993FA1" w:rsidR="00F70548">
        <w:t>the</w:t>
      </w:r>
      <w:r w:rsidR="00F70548">
        <w:t xml:space="preserve"> </w:t>
      </w:r>
      <w:r w:rsidR="001228ED">
        <w:t xml:space="preserve">3% </w:t>
      </w:r>
      <w:r w:rsidR="00C670D6">
        <w:t>late</w:t>
      </w:r>
      <w:r w:rsidR="00DB3AAB">
        <w:t>-</w:t>
      </w:r>
      <w:r w:rsidR="001228ED">
        <w:t xml:space="preserve">payment </w:t>
      </w:r>
      <w:r w:rsidR="00C670D6">
        <w:t xml:space="preserve">fee </w:t>
      </w:r>
      <w:r w:rsidR="001228ED">
        <w:t>was unreasonabl</w:t>
      </w:r>
      <w:r w:rsidR="00ED5B5C">
        <w:t>e</w:t>
      </w:r>
      <w:r w:rsidR="0035411C">
        <w:t>,</w:t>
      </w:r>
      <w:r w:rsidR="001228ED">
        <w:t xml:space="preserve"> and that </w:t>
      </w:r>
      <w:r>
        <w:t>the reference to the “</w:t>
      </w:r>
      <w:r w:rsidRPr="000C670D">
        <w:t>highest</w:t>
      </w:r>
      <w:r w:rsidRPr="001D04B1">
        <w:t xml:space="preserve"> rate permitted by applicable law</w:t>
      </w:r>
      <w:r w:rsidRPr="00F73693" w:rsidR="001A0F2E">
        <w:t>”</w:t>
      </w:r>
      <w:r w:rsidRPr="001D04B1">
        <w:t xml:space="preserve"> was unlawful because the provision was impermissibly ambiguous</w:t>
      </w:r>
      <w:r>
        <w:t>,</w:t>
      </w:r>
      <w:r w:rsidRPr="001D04B1">
        <w:t xml:space="preserve"> in violation of section 61.2 of the Commission’s rules.</w:t>
      </w:r>
      <w:r>
        <w:rPr>
          <w:sz w:val="20"/>
          <w:vertAlign w:val="superscript"/>
        </w:rPr>
        <w:footnoteReference w:id="14"/>
      </w:r>
      <w:r w:rsidRPr="001D04B1">
        <w:t xml:space="preserve">  Accordingly, the Commission found that the revisions to </w:t>
      </w:r>
      <w:r>
        <w:t>the tariff</w:t>
      </w:r>
      <w:r w:rsidR="00E00665">
        <w:t>, including those</w:t>
      </w:r>
      <w:r>
        <w:t xml:space="preserve"> </w:t>
      </w:r>
      <w:r w:rsidRPr="001D04B1" w:rsidR="00E00665">
        <w:t>to section 2.10.5</w:t>
      </w:r>
      <w:r w:rsidR="00E00665">
        <w:t>,</w:t>
      </w:r>
      <w:r w:rsidRPr="001D04B1" w:rsidR="00E00665">
        <w:t xml:space="preserve"> </w:t>
      </w:r>
      <w:r>
        <w:t>we</w:t>
      </w:r>
      <w:r w:rsidRPr="001D04B1">
        <w:t>re not just and reasonable</w:t>
      </w:r>
      <w:r w:rsidR="00D21FA2">
        <w:t>,</w:t>
      </w:r>
      <w:r w:rsidRPr="001D04B1">
        <w:t xml:space="preserve"> as required by section 201(b) of </w:t>
      </w:r>
      <w:r w:rsidR="007830A4">
        <w:t xml:space="preserve">the </w:t>
      </w:r>
      <w:r w:rsidRPr="001D04B1">
        <w:t>Communications Act of 1934, as amended (the Act).</w:t>
      </w:r>
      <w:r>
        <w:rPr>
          <w:rStyle w:val="FootnoteReference"/>
        </w:rPr>
        <w:footnoteReference w:id="15"/>
      </w:r>
      <w:r w:rsidRPr="001D04B1">
        <w:t xml:space="preserve">  The Commission</w:t>
      </w:r>
      <w:r w:rsidR="001228ED">
        <w:t>,</w:t>
      </w:r>
      <w:r w:rsidRPr="001D04B1">
        <w:t xml:space="preserve"> </w:t>
      </w:r>
      <w:r w:rsidR="001228ED">
        <w:t xml:space="preserve">therefore, </w:t>
      </w:r>
      <w:r w:rsidRPr="001D04B1">
        <w:t xml:space="preserve">instructed Core to </w:t>
      </w:r>
      <w:r w:rsidR="0043605F">
        <w:t>delete</w:t>
      </w:r>
      <w:r w:rsidRPr="001D04B1">
        <w:t xml:space="preserve"> th</w:t>
      </w:r>
      <w:r>
        <w:t>e</w:t>
      </w:r>
      <w:r w:rsidRPr="001D04B1">
        <w:t xml:space="preserve"> </w:t>
      </w:r>
      <w:r>
        <w:t xml:space="preserve">revisions </w:t>
      </w:r>
      <w:r w:rsidR="00755217">
        <w:t xml:space="preserve">it </w:t>
      </w:r>
      <w:r>
        <w:t>made in Transmittal No. 17</w:t>
      </w:r>
      <w:r w:rsidRPr="001D04B1">
        <w:t>.</w:t>
      </w:r>
      <w:r>
        <w:rPr>
          <w:rStyle w:val="FootnoteReference"/>
        </w:rPr>
        <w:footnoteReference w:id="16"/>
      </w:r>
      <w:r w:rsidRPr="001D04B1">
        <w:t xml:space="preserve">  </w:t>
      </w:r>
      <w:r w:rsidRPr="001D04B1" w:rsidR="00C360C9">
        <w:t>The Commission</w:t>
      </w:r>
      <w:r w:rsidR="00C360C9">
        <w:t xml:space="preserve"> also</w:t>
      </w:r>
      <w:r w:rsidRPr="001D04B1" w:rsidR="00C360C9">
        <w:t xml:space="preserve"> instructed the Bureau to</w:t>
      </w:r>
      <w:r w:rsidRPr="00F73693" w:rsidR="00C360C9">
        <w:t>:</w:t>
      </w:r>
      <w:r w:rsidR="00C360C9">
        <w:t xml:space="preserve"> (1) </w:t>
      </w:r>
      <w:r w:rsidRPr="001D04B1" w:rsidR="00C360C9">
        <w:t xml:space="preserve">ensure </w:t>
      </w:r>
      <w:r w:rsidR="00C360C9">
        <w:t xml:space="preserve">that </w:t>
      </w:r>
      <w:r w:rsidRPr="001D04B1" w:rsidR="00C360C9">
        <w:t>Core</w:t>
      </w:r>
      <w:r w:rsidR="00C360C9">
        <w:t xml:space="preserve"> made the appropriate changes to its tariff to </w:t>
      </w:r>
      <w:r w:rsidRPr="001D04B1" w:rsidR="00C360C9">
        <w:t>reflec</w:t>
      </w:r>
      <w:r w:rsidR="00C360C9">
        <w:t>t</w:t>
      </w:r>
      <w:r w:rsidRPr="001D04B1" w:rsidR="00C360C9">
        <w:t xml:space="preserve"> the Commission’s findings</w:t>
      </w:r>
      <w:r w:rsidR="00C360C9">
        <w:t>;</w:t>
      </w:r>
      <w:r w:rsidRPr="001D04B1" w:rsidR="00C360C9">
        <w:t xml:space="preserve"> and </w:t>
      </w:r>
      <w:r w:rsidR="00C360C9">
        <w:t>(2) </w:t>
      </w:r>
      <w:r w:rsidRPr="001D04B1" w:rsidR="00C360C9">
        <w:t xml:space="preserve">determine </w:t>
      </w:r>
      <w:r w:rsidR="00C360C9">
        <w:t xml:space="preserve">the amount of any </w:t>
      </w:r>
      <w:r w:rsidRPr="001D04B1" w:rsidR="00C360C9">
        <w:t xml:space="preserve">refunds </w:t>
      </w:r>
      <w:r w:rsidR="00C360C9">
        <w:t xml:space="preserve">Core owed </w:t>
      </w:r>
      <w:r w:rsidRPr="001D04B1" w:rsidR="00C360C9">
        <w:t xml:space="preserve">to </w:t>
      </w:r>
      <w:r w:rsidR="00C360C9">
        <w:t xml:space="preserve">its </w:t>
      </w:r>
      <w:r w:rsidRPr="001D04B1" w:rsidR="00C360C9">
        <w:t>customers.</w:t>
      </w:r>
      <w:r>
        <w:rPr>
          <w:rStyle w:val="FootnoteReference"/>
        </w:rPr>
        <w:footnoteReference w:id="17"/>
      </w:r>
    </w:p>
    <w:p w:rsidR="00B62C7B" w:rsidRPr="001D04B1" w:rsidP="00B6131B" w14:paraId="12205595" w14:textId="768D2678">
      <w:pPr>
        <w:pStyle w:val="ParaNum"/>
        <w:widowControl/>
        <w:tabs>
          <w:tab w:val="clear" w:pos="1080"/>
        </w:tabs>
      </w:pPr>
      <w:r w:rsidRPr="001D04B1">
        <w:t>On October 15, 2021, Core filed</w:t>
      </w:r>
      <w:r w:rsidR="003220C2">
        <w:t xml:space="preserve"> </w:t>
      </w:r>
      <w:r w:rsidR="00912D9B">
        <w:t xml:space="preserve">tariff </w:t>
      </w:r>
      <w:r w:rsidRPr="001D04B1">
        <w:t>Transmittal No. 21</w:t>
      </w:r>
      <w:r w:rsidRPr="00993FA1" w:rsidR="003220C2">
        <w:t>,</w:t>
      </w:r>
      <w:r w:rsidR="00EC399B">
        <w:t xml:space="preserve"> </w:t>
      </w:r>
      <w:r w:rsidRPr="001D04B1" w:rsidR="00F32032">
        <w:t>delet</w:t>
      </w:r>
      <w:r w:rsidR="00D21FA2">
        <w:t>ing</w:t>
      </w:r>
      <w:r w:rsidRPr="001D04B1" w:rsidR="00F32032">
        <w:t xml:space="preserve"> the </w:t>
      </w:r>
      <w:r w:rsidR="001228ED">
        <w:t xml:space="preserve">unlawful </w:t>
      </w:r>
      <w:r w:rsidR="00F32032">
        <w:t>re</w:t>
      </w:r>
      <w:r w:rsidRPr="001D04B1" w:rsidR="00F32032">
        <w:t xml:space="preserve">visions </w:t>
      </w:r>
      <w:r w:rsidR="00830274">
        <w:t xml:space="preserve">it made </w:t>
      </w:r>
      <w:r w:rsidR="00DA5CBF">
        <w:t xml:space="preserve">to its tariff </w:t>
      </w:r>
      <w:r w:rsidR="00830274">
        <w:t xml:space="preserve">in </w:t>
      </w:r>
      <w:r w:rsidRPr="001D04B1" w:rsidR="00F32032">
        <w:t>Transmittal No. 17</w:t>
      </w:r>
      <w:r w:rsidR="00D21FA2">
        <w:t>.  Transmittal No</w:t>
      </w:r>
      <w:r w:rsidRPr="00A95587" w:rsidR="00D21FA2">
        <w:t>. 21</w:t>
      </w:r>
      <w:r w:rsidRPr="00A95587" w:rsidR="00F32032">
        <w:t xml:space="preserve"> </w:t>
      </w:r>
      <w:r w:rsidRPr="00A95587" w:rsidR="00923A62">
        <w:t>became</w:t>
      </w:r>
      <w:r w:rsidR="00923A62">
        <w:t xml:space="preserve"> </w:t>
      </w:r>
      <w:r w:rsidRPr="001D04B1">
        <w:t xml:space="preserve">effective </w:t>
      </w:r>
      <w:r w:rsidR="00923A62">
        <w:t xml:space="preserve">on </w:t>
      </w:r>
      <w:r w:rsidRPr="001D04B1">
        <w:t>October 30, 2021.</w:t>
      </w:r>
      <w:r>
        <w:rPr>
          <w:rStyle w:val="FootnoteReference"/>
        </w:rPr>
        <w:footnoteReference w:id="18"/>
      </w:r>
      <w:r w:rsidRPr="001D04B1">
        <w:t xml:space="preserve">  </w:t>
      </w:r>
      <w:r>
        <w:t>The period during which the unlawful tariff was in effect (</w:t>
      </w:r>
      <w:r w:rsidR="005432FE">
        <w:t xml:space="preserve">the </w:t>
      </w:r>
      <w:r>
        <w:t xml:space="preserve">Refund Period), therefore, is May 7, 2021 (the day after the </w:t>
      </w:r>
      <w:r w:rsidRPr="005C7A92">
        <w:rPr>
          <w:i/>
          <w:iCs/>
        </w:rPr>
        <w:t>Suspension Order</w:t>
      </w:r>
      <w:r>
        <w:rPr>
          <w:i/>
          <w:iCs/>
        </w:rPr>
        <w:t xml:space="preserve"> </w:t>
      </w:r>
      <w:r>
        <w:t>was released) through October 29, 2021 (the day before Transmittal No. 21 became effective).</w:t>
      </w:r>
    </w:p>
    <w:p w:rsidR="00B62C7B" w:rsidRPr="001D04B1" w:rsidP="00B6131B" w14:paraId="7D7FDDF6" w14:textId="6BFA8F8F">
      <w:pPr>
        <w:pStyle w:val="ParaNum"/>
        <w:widowControl/>
        <w:tabs>
          <w:tab w:val="clear" w:pos="1080"/>
        </w:tabs>
      </w:pPr>
      <w:r w:rsidRPr="001D04B1">
        <w:t xml:space="preserve">Core filed </w:t>
      </w:r>
      <w:r>
        <w:t>a</w:t>
      </w:r>
      <w:r w:rsidRPr="001D04B1">
        <w:t xml:space="preserve"> </w:t>
      </w:r>
      <w:r>
        <w:t xml:space="preserve">proposed </w:t>
      </w:r>
      <w:r w:rsidRPr="001D04B1">
        <w:t>Refund Plan on June 29, 2022</w:t>
      </w:r>
      <w:r w:rsidR="00152B62">
        <w:t>, which</w:t>
      </w:r>
      <w:r w:rsidRPr="001D04B1">
        <w:t xml:space="preserve"> </w:t>
      </w:r>
      <w:r>
        <w:t>calculat</w:t>
      </w:r>
      <w:r w:rsidR="005A050B">
        <w:t>ed</w:t>
      </w:r>
      <w:r>
        <w:t xml:space="preserve"> the </w:t>
      </w:r>
      <w:r w:rsidR="00562776">
        <w:t xml:space="preserve">reductions </w:t>
      </w:r>
      <w:r w:rsidRPr="00F374C3" w:rsidR="00F374C3">
        <w:t xml:space="preserve">Core would make </w:t>
      </w:r>
      <w:r w:rsidR="005A050B">
        <w:t xml:space="preserve">to its </w:t>
      </w:r>
      <w:r>
        <w:t>late</w:t>
      </w:r>
      <w:r w:rsidR="005A050B">
        <w:t>-</w:t>
      </w:r>
      <w:r>
        <w:t>payment fee</w:t>
      </w:r>
      <w:r w:rsidR="005A050B">
        <w:t>s</w:t>
      </w:r>
      <w:r>
        <w:t xml:space="preserve"> </w:t>
      </w:r>
      <w:r w:rsidR="005A050B">
        <w:t xml:space="preserve">during </w:t>
      </w:r>
      <w:r>
        <w:t>the Refund Period.</w:t>
      </w:r>
      <w:r>
        <w:rPr>
          <w:rStyle w:val="FootnoteReference"/>
        </w:rPr>
        <w:footnoteReference w:id="19"/>
      </w:r>
      <w:r>
        <w:t xml:space="preserve">  </w:t>
      </w:r>
      <w:r w:rsidRPr="001D04B1">
        <w:t>We sought comment on Core’s proposed Refund Plan</w:t>
      </w:r>
      <w:r w:rsidRPr="00286A29">
        <w:t>.</w:t>
      </w:r>
      <w:r>
        <w:rPr>
          <w:rStyle w:val="FootnoteReference"/>
        </w:rPr>
        <w:footnoteReference w:id="20"/>
      </w:r>
      <w:r w:rsidRPr="001D04B1">
        <w:t xml:space="preserve">  Verizon filed an Opposition </w:t>
      </w:r>
      <w:r>
        <w:t>asking the Commission to reject the Refund Plan</w:t>
      </w:r>
      <w:r w:rsidR="005C5E23">
        <w:t xml:space="preserve"> </w:t>
      </w:r>
      <w:r w:rsidR="00DF0CDD">
        <w:t>and instead direct Core to submit a revised plan under which Core would collect no late-payment fees during the Refund Period</w:t>
      </w:r>
      <w:r w:rsidRPr="001D04B1" w:rsidR="00DF0CDD">
        <w:t>.</w:t>
      </w:r>
      <w:r>
        <w:rPr>
          <w:rStyle w:val="FootnoteReference"/>
        </w:rPr>
        <w:footnoteReference w:id="21"/>
      </w:r>
      <w:r w:rsidR="00DF0CDD">
        <w:t xml:space="preserve">  Otherwise, </w:t>
      </w:r>
      <w:r w:rsidR="00145BF9">
        <w:t xml:space="preserve">it claimed, </w:t>
      </w:r>
      <w:r w:rsidR="00332B81">
        <w:t>Core</w:t>
      </w:r>
      <w:r w:rsidR="00A47FA4">
        <w:t xml:space="preserve"> “would suffer no consequences for its unlawful tariff filing.”</w:t>
      </w:r>
      <w:r>
        <w:rPr>
          <w:rStyle w:val="FootnoteReference"/>
        </w:rPr>
        <w:footnoteReference w:id="22"/>
      </w:r>
      <w:r w:rsidR="006130C6">
        <w:t xml:space="preserve">  </w:t>
      </w:r>
      <w:r w:rsidR="00B41472">
        <w:t>AT&amp;T filed a comment</w:t>
      </w:r>
      <w:r w:rsidR="005645B6">
        <w:t xml:space="preserve"> </w:t>
      </w:r>
      <w:r w:rsidR="00DF0CDD">
        <w:t xml:space="preserve">urging the Commission “not to disturb any of the findings it made in its </w:t>
      </w:r>
      <w:r w:rsidRPr="00A3038C" w:rsidR="00DF0CDD">
        <w:rPr>
          <w:i/>
          <w:iCs/>
        </w:rPr>
        <w:t>Core Orders</w:t>
      </w:r>
      <w:r w:rsidR="00DF0CDD">
        <w:t xml:space="preserve">, or otherwise address the specifics of any payment </w:t>
      </w:r>
      <w:r w:rsidR="00C73550">
        <w:t>disputes between Core and AT&amp;T</w:t>
      </w:r>
      <w:r w:rsidR="005645B6">
        <w:t>.</w:t>
      </w:r>
      <w:r w:rsidR="00C73550">
        <w:t>”</w:t>
      </w:r>
      <w:r>
        <w:rPr>
          <w:rStyle w:val="FootnoteReference"/>
        </w:rPr>
        <w:footnoteReference w:id="23"/>
      </w:r>
      <w:r w:rsidR="00B41472">
        <w:t xml:space="preserve"> </w:t>
      </w:r>
    </w:p>
    <w:p w:rsidR="00B62C7B" w:rsidP="00B6131B" w14:paraId="2D732659" w14:textId="77777777">
      <w:pPr>
        <w:pStyle w:val="Heading1"/>
        <w:widowControl/>
      </w:pPr>
      <w:r w:rsidRPr="00934B51">
        <w:t>discussion</w:t>
      </w:r>
    </w:p>
    <w:p w:rsidR="00B62C7B" w:rsidRPr="0050013F" w:rsidP="00B6131B" w14:paraId="3592E11A" w14:textId="42FBC0BB">
      <w:pPr>
        <w:pStyle w:val="ParaNum"/>
        <w:widowControl/>
        <w:tabs>
          <w:tab w:val="clear" w:pos="1080"/>
        </w:tabs>
      </w:pPr>
      <w:r>
        <w:rPr>
          <w:snapToGrid/>
          <w:kern w:val="0"/>
          <w:szCs w:val="22"/>
        </w:rPr>
        <w:t xml:space="preserve">We </w:t>
      </w:r>
      <w:r w:rsidR="00D86869">
        <w:rPr>
          <w:snapToGrid/>
          <w:kern w:val="0"/>
          <w:szCs w:val="22"/>
        </w:rPr>
        <w:t xml:space="preserve">find that the refunds proposed in </w:t>
      </w:r>
      <w:r w:rsidR="002F5EB7">
        <w:rPr>
          <w:snapToGrid/>
          <w:kern w:val="0"/>
          <w:szCs w:val="22"/>
        </w:rPr>
        <w:t>Core’s</w:t>
      </w:r>
      <w:r w:rsidR="00D86869">
        <w:rPr>
          <w:snapToGrid/>
          <w:kern w:val="0"/>
          <w:szCs w:val="22"/>
        </w:rPr>
        <w:t xml:space="preserve"> </w:t>
      </w:r>
      <w:r>
        <w:rPr>
          <w:snapToGrid/>
          <w:kern w:val="0"/>
          <w:szCs w:val="22"/>
        </w:rPr>
        <w:t xml:space="preserve">Refund Plan </w:t>
      </w:r>
      <w:r w:rsidR="00D86869">
        <w:rPr>
          <w:snapToGrid/>
          <w:kern w:val="0"/>
          <w:szCs w:val="22"/>
        </w:rPr>
        <w:t xml:space="preserve">are reasonable and properly reflect </w:t>
      </w:r>
      <w:r>
        <w:rPr>
          <w:snapToGrid/>
          <w:kern w:val="0"/>
          <w:szCs w:val="22"/>
        </w:rPr>
        <w:t xml:space="preserve">the findings in the </w:t>
      </w:r>
      <w:bookmarkStart w:id="0" w:name="_Hlk119591392"/>
      <w:r w:rsidRPr="0084199E">
        <w:rPr>
          <w:i/>
        </w:rPr>
        <w:t>Core Tariff Investigation Order</w:t>
      </w:r>
      <w:bookmarkEnd w:id="0"/>
      <w:r>
        <w:rPr>
          <w:snapToGrid/>
          <w:kern w:val="0"/>
          <w:szCs w:val="22"/>
        </w:rPr>
        <w:t>.</w:t>
      </w:r>
      <w:r>
        <w:rPr>
          <w:rStyle w:val="FootnoteReference"/>
          <w:snapToGrid/>
          <w:kern w:val="0"/>
          <w:szCs w:val="22"/>
        </w:rPr>
        <w:footnoteReference w:id="24"/>
      </w:r>
      <w:r>
        <w:rPr>
          <w:iCs/>
        </w:rPr>
        <w:t xml:space="preserve">  We reject arguments made by </w:t>
      </w:r>
      <w:r w:rsidRPr="003B294E">
        <w:t>Verizon</w:t>
      </w:r>
      <w:r>
        <w:t xml:space="preserve"> in its</w:t>
      </w:r>
      <w:r w:rsidRPr="003B294E">
        <w:t xml:space="preserve"> </w:t>
      </w:r>
      <w:r w:rsidRPr="0050013F">
        <w:t>Opposition</w:t>
      </w:r>
      <w:r w:rsidR="00F63D9D">
        <w:t>,</w:t>
      </w:r>
      <w:r w:rsidR="00A6005C">
        <w:t xml:space="preserve"> </w:t>
      </w:r>
      <w:r w:rsidR="00F63D9D">
        <w:t xml:space="preserve">which seek relief inconsistent with section 204 of the Act, </w:t>
      </w:r>
      <w:r w:rsidR="00A6005C">
        <w:t>and</w:t>
      </w:r>
      <w:r w:rsidR="00F400F2">
        <w:t xml:space="preserve"> </w:t>
      </w:r>
      <w:r w:rsidR="008B413E">
        <w:t>address</w:t>
      </w:r>
      <w:r w:rsidR="00F63D9D">
        <w:t xml:space="preserve"> issues </w:t>
      </w:r>
      <w:r w:rsidR="00A6005C">
        <w:t xml:space="preserve">AT&amp;T </w:t>
      </w:r>
      <w:r w:rsidR="00F63D9D">
        <w:t xml:space="preserve">raised </w:t>
      </w:r>
      <w:r w:rsidR="00A6005C">
        <w:t>in its comment</w:t>
      </w:r>
      <w:r w:rsidR="00F63D9D">
        <w:t xml:space="preserve"> concerning the potential effect of this Order on pending disputes</w:t>
      </w:r>
      <w:r w:rsidRPr="0050013F">
        <w:t>.</w:t>
      </w:r>
      <w:r>
        <w:rPr>
          <w:rStyle w:val="FootnoteReference"/>
        </w:rPr>
        <w:footnoteReference w:id="25"/>
      </w:r>
    </w:p>
    <w:p w:rsidR="00B62C7B" w:rsidP="00B6131B" w14:paraId="48001BD8" w14:textId="43A92DE6">
      <w:pPr>
        <w:pStyle w:val="ParaNum"/>
        <w:widowControl/>
        <w:tabs>
          <w:tab w:val="clear" w:pos="1080"/>
        </w:tabs>
        <w:rPr>
          <w:snapToGrid/>
          <w:kern w:val="0"/>
          <w:szCs w:val="22"/>
        </w:rPr>
      </w:pPr>
      <w:r>
        <w:rPr>
          <w:snapToGrid/>
          <w:kern w:val="0"/>
          <w:szCs w:val="22"/>
        </w:rPr>
        <w:t xml:space="preserve">In its </w:t>
      </w:r>
      <w:r w:rsidR="002B22C4">
        <w:rPr>
          <w:snapToGrid/>
          <w:kern w:val="0"/>
          <w:szCs w:val="22"/>
        </w:rPr>
        <w:t xml:space="preserve">Refund </w:t>
      </w:r>
      <w:r w:rsidRPr="00FB5C58" w:rsidR="002B22C4">
        <w:rPr>
          <w:snapToGrid/>
          <w:kern w:val="0"/>
          <w:szCs w:val="22"/>
        </w:rPr>
        <w:t>Plan</w:t>
      </w:r>
      <w:r w:rsidRPr="00FB5C58" w:rsidR="00F60CA6">
        <w:rPr>
          <w:snapToGrid/>
          <w:kern w:val="0"/>
          <w:szCs w:val="22"/>
        </w:rPr>
        <w:t xml:space="preserve"> </w:t>
      </w:r>
      <w:r w:rsidRPr="00FB5C58" w:rsidR="005B3D24">
        <w:rPr>
          <w:snapToGrid/>
          <w:kern w:val="0"/>
          <w:szCs w:val="22"/>
        </w:rPr>
        <w:t xml:space="preserve">and </w:t>
      </w:r>
      <w:r w:rsidRPr="00FB5C58" w:rsidR="00F60CA6">
        <w:rPr>
          <w:snapToGrid/>
          <w:kern w:val="0"/>
          <w:szCs w:val="22"/>
        </w:rPr>
        <w:t>attached</w:t>
      </w:r>
      <w:r w:rsidRPr="0008549B" w:rsidR="00F60CA6">
        <w:rPr>
          <w:snapToGrid/>
          <w:kern w:val="0"/>
          <w:szCs w:val="22"/>
        </w:rPr>
        <w:t xml:space="preserve"> spreadsheet</w:t>
      </w:r>
      <w:r w:rsidR="005A050B">
        <w:rPr>
          <w:snapToGrid/>
          <w:kern w:val="0"/>
          <w:szCs w:val="22"/>
        </w:rPr>
        <w:t>,</w:t>
      </w:r>
      <w:r>
        <w:rPr>
          <w:snapToGrid/>
          <w:kern w:val="0"/>
          <w:szCs w:val="22"/>
        </w:rPr>
        <w:t xml:space="preserve"> </w:t>
      </w:r>
      <w:r>
        <w:rPr>
          <w:snapToGrid/>
          <w:kern w:val="0"/>
          <w:szCs w:val="22"/>
        </w:rPr>
        <w:t xml:space="preserve">Core </w:t>
      </w:r>
      <w:r w:rsidR="00086DCA">
        <w:rPr>
          <w:snapToGrid/>
          <w:kern w:val="0"/>
          <w:szCs w:val="22"/>
        </w:rPr>
        <w:t xml:space="preserve">calculates the specific amounts it </w:t>
      </w:r>
      <w:r w:rsidR="006300C1">
        <w:rPr>
          <w:snapToGrid/>
          <w:kern w:val="0"/>
          <w:szCs w:val="22"/>
        </w:rPr>
        <w:t xml:space="preserve">will refund to </w:t>
      </w:r>
      <w:r w:rsidR="00086DCA">
        <w:rPr>
          <w:snapToGrid/>
          <w:kern w:val="0"/>
          <w:szCs w:val="22"/>
        </w:rPr>
        <w:t xml:space="preserve">individual customers as a result of </w:t>
      </w:r>
      <w:r w:rsidR="00670DE7">
        <w:rPr>
          <w:snapToGrid/>
          <w:kern w:val="0"/>
          <w:szCs w:val="22"/>
        </w:rPr>
        <w:t xml:space="preserve">having </w:t>
      </w:r>
      <w:r>
        <w:rPr>
          <w:snapToGrid/>
          <w:kern w:val="0"/>
          <w:szCs w:val="22"/>
        </w:rPr>
        <w:t xml:space="preserve">assessed </w:t>
      </w:r>
      <w:r w:rsidR="00086DCA">
        <w:rPr>
          <w:snapToGrid/>
          <w:kern w:val="0"/>
          <w:szCs w:val="22"/>
        </w:rPr>
        <w:t>a</w:t>
      </w:r>
      <w:r w:rsidR="00670DE7">
        <w:rPr>
          <w:snapToGrid/>
          <w:kern w:val="0"/>
          <w:szCs w:val="22"/>
        </w:rPr>
        <w:t xml:space="preserve">n unlawfully high </w:t>
      </w:r>
      <w:r>
        <w:rPr>
          <w:snapToGrid/>
          <w:kern w:val="0"/>
          <w:szCs w:val="22"/>
        </w:rPr>
        <w:t>3%</w:t>
      </w:r>
      <w:r w:rsidR="00C670D6">
        <w:rPr>
          <w:snapToGrid/>
          <w:kern w:val="0"/>
          <w:szCs w:val="22"/>
        </w:rPr>
        <w:t xml:space="preserve"> </w:t>
      </w:r>
      <w:r>
        <w:rPr>
          <w:snapToGrid/>
          <w:kern w:val="0"/>
          <w:szCs w:val="22"/>
        </w:rPr>
        <w:t>month</w:t>
      </w:r>
      <w:r w:rsidR="00DB3AAB">
        <w:rPr>
          <w:snapToGrid/>
          <w:kern w:val="0"/>
          <w:szCs w:val="22"/>
        </w:rPr>
        <w:t>ly</w:t>
      </w:r>
      <w:r>
        <w:rPr>
          <w:snapToGrid/>
          <w:kern w:val="0"/>
          <w:szCs w:val="22"/>
        </w:rPr>
        <w:t xml:space="preserve"> </w:t>
      </w:r>
      <w:r w:rsidR="005A050B">
        <w:rPr>
          <w:snapToGrid/>
          <w:kern w:val="0"/>
          <w:szCs w:val="22"/>
        </w:rPr>
        <w:t>late-payment</w:t>
      </w:r>
      <w:r>
        <w:rPr>
          <w:snapToGrid/>
          <w:kern w:val="0"/>
          <w:szCs w:val="22"/>
        </w:rPr>
        <w:t xml:space="preserve"> fee</w:t>
      </w:r>
      <w:r w:rsidRPr="008D2D6C" w:rsidR="008D2D6C">
        <w:rPr>
          <w:snapToGrid/>
          <w:kern w:val="0"/>
          <w:szCs w:val="22"/>
        </w:rPr>
        <w:t xml:space="preserve"> </w:t>
      </w:r>
      <w:r w:rsidR="008D2D6C">
        <w:rPr>
          <w:snapToGrid/>
          <w:kern w:val="0"/>
          <w:szCs w:val="22"/>
        </w:rPr>
        <w:t>during the Refund Period</w:t>
      </w:r>
      <w:r>
        <w:rPr>
          <w:rStyle w:val="FootnoteReference"/>
          <w:snapToGrid/>
          <w:kern w:val="0"/>
          <w:szCs w:val="22"/>
        </w:rPr>
        <w:footnoteReference w:id="26"/>
      </w:r>
      <w:r>
        <w:rPr>
          <w:snapToGrid/>
          <w:kern w:val="0"/>
          <w:szCs w:val="22"/>
        </w:rPr>
        <w:t xml:space="preserve"> </w:t>
      </w:r>
      <w:r w:rsidR="008D2D6C">
        <w:rPr>
          <w:snapToGrid/>
          <w:kern w:val="0"/>
          <w:szCs w:val="22"/>
        </w:rPr>
        <w:t xml:space="preserve">instead of </w:t>
      </w:r>
      <w:r>
        <w:rPr>
          <w:snapToGrid/>
          <w:kern w:val="0"/>
          <w:szCs w:val="22"/>
        </w:rPr>
        <w:t>the 1.5%</w:t>
      </w:r>
      <w:r w:rsidR="00DB3AAB">
        <w:rPr>
          <w:snapToGrid/>
          <w:kern w:val="0"/>
          <w:szCs w:val="22"/>
        </w:rPr>
        <w:t xml:space="preserve"> </w:t>
      </w:r>
      <w:r>
        <w:rPr>
          <w:snapToGrid/>
          <w:kern w:val="0"/>
          <w:szCs w:val="22"/>
        </w:rPr>
        <w:t>month</w:t>
      </w:r>
      <w:r w:rsidR="00DB3AAB">
        <w:rPr>
          <w:snapToGrid/>
          <w:kern w:val="0"/>
          <w:szCs w:val="22"/>
        </w:rPr>
        <w:t>ly</w:t>
      </w:r>
      <w:r>
        <w:rPr>
          <w:snapToGrid/>
          <w:kern w:val="0"/>
          <w:szCs w:val="22"/>
        </w:rPr>
        <w:t xml:space="preserve"> </w:t>
      </w:r>
      <w:r w:rsidR="005A050B">
        <w:rPr>
          <w:snapToGrid/>
          <w:kern w:val="0"/>
          <w:szCs w:val="22"/>
        </w:rPr>
        <w:t>late-payment</w:t>
      </w:r>
      <w:r>
        <w:rPr>
          <w:snapToGrid/>
          <w:kern w:val="0"/>
          <w:szCs w:val="22"/>
        </w:rPr>
        <w:t xml:space="preserve"> fee</w:t>
      </w:r>
      <w:r w:rsidR="00E9581D">
        <w:rPr>
          <w:snapToGrid/>
          <w:kern w:val="0"/>
          <w:szCs w:val="22"/>
        </w:rPr>
        <w:t xml:space="preserve"> ceiling</w:t>
      </w:r>
      <w:r>
        <w:rPr>
          <w:snapToGrid/>
          <w:kern w:val="0"/>
          <w:szCs w:val="22"/>
        </w:rPr>
        <w:t xml:space="preserve"> that had </w:t>
      </w:r>
      <w:r w:rsidR="009A1B11">
        <w:rPr>
          <w:snapToGrid/>
          <w:kern w:val="0"/>
          <w:szCs w:val="22"/>
        </w:rPr>
        <w:t xml:space="preserve">previously </w:t>
      </w:r>
      <w:r>
        <w:rPr>
          <w:snapToGrid/>
          <w:kern w:val="0"/>
          <w:szCs w:val="22"/>
        </w:rPr>
        <w:t>been in effect.</w:t>
      </w:r>
      <w:r>
        <w:rPr>
          <w:rStyle w:val="FootnoteReference"/>
          <w:snapToGrid/>
          <w:kern w:val="0"/>
          <w:szCs w:val="22"/>
        </w:rPr>
        <w:footnoteReference w:id="27"/>
      </w:r>
      <w:r w:rsidRPr="00F721DC">
        <w:rPr>
          <w:snapToGrid/>
          <w:kern w:val="0"/>
          <w:szCs w:val="22"/>
        </w:rPr>
        <w:t xml:space="preserve">  </w:t>
      </w:r>
      <w:r w:rsidR="000D1240">
        <w:rPr>
          <w:snapToGrid/>
          <w:kern w:val="0"/>
          <w:szCs w:val="22"/>
        </w:rPr>
        <w:t>Core</w:t>
      </w:r>
      <w:r w:rsidR="00611270">
        <w:rPr>
          <w:snapToGrid/>
          <w:kern w:val="0"/>
          <w:szCs w:val="22"/>
        </w:rPr>
        <w:t>’s</w:t>
      </w:r>
      <w:r w:rsidR="000D1240">
        <w:rPr>
          <w:snapToGrid/>
          <w:kern w:val="0"/>
          <w:szCs w:val="22"/>
        </w:rPr>
        <w:t xml:space="preserve"> </w:t>
      </w:r>
      <w:r w:rsidR="008D2D6C">
        <w:rPr>
          <w:snapToGrid/>
          <w:kern w:val="0"/>
          <w:szCs w:val="22"/>
        </w:rPr>
        <w:t>s</w:t>
      </w:r>
      <w:r>
        <w:rPr>
          <w:snapToGrid/>
          <w:kern w:val="0"/>
          <w:szCs w:val="22"/>
        </w:rPr>
        <w:t xml:space="preserve">preadsheet provides the relevant invoice amounts </w:t>
      </w:r>
      <w:r w:rsidR="008F452E">
        <w:rPr>
          <w:snapToGrid/>
          <w:kern w:val="0"/>
          <w:szCs w:val="22"/>
        </w:rPr>
        <w:t>necessary to</w:t>
      </w:r>
      <w:r w:rsidR="00670DE7">
        <w:rPr>
          <w:snapToGrid/>
          <w:kern w:val="0"/>
          <w:szCs w:val="22"/>
        </w:rPr>
        <w:t xml:space="preserve"> support its calculations</w:t>
      </w:r>
      <w:r w:rsidRPr="00F721DC">
        <w:rPr>
          <w:snapToGrid/>
          <w:kern w:val="0"/>
          <w:szCs w:val="22"/>
        </w:rPr>
        <w:t>.</w:t>
      </w:r>
      <w:r>
        <w:rPr>
          <w:rStyle w:val="FootnoteReference"/>
          <w:snapToGrid/>
          <w:kern w:val="0"/>
          <w:szCs w:val="22"/>
        </w:rPr>
        <w:footnoteReference w:id="28"/>
      </w:r>
      <w:r>
        <w:rPr>
          <w:snapToGrid/>
          <w:kern w:val="0"/>
          <w:szCs w:val="22"/>
        </w:rPr>
        <w:t xml:space="preserve">   </w:t>
      </w:r>
    </w:p>
    <w:p w:rsidR="00B62C7B" w:rsidRPr="003D01BC" w:rsidP="00B6131B" w14:paraId="473903C9" w14:textId="2470CE18">
      <w:pPr>
        <w:pStyle w:val="ParaNum"/>
        <w:widowControl/>
        <w:tabs>
          <w:tab w:val="clear" w:pos="1080"/>
        </w:tabs>
        <w:rPr>
          <w:szCs w:val="22"/>
        </w:rPr>
      </w:pPr>
      <w:r>
        <w:t xml:space="preserve">Core incorrectly argues that </w:t>
      </w:r>
      <w:r w:rsidR="00E30699">
        <w:t xml:space="preserve">it </w:t>
      </w:r>
      <w:r w:rsidR="0063748E">
        <w:t xml:space="preserve">is </w:t>
      </w:r>
      <w:r w:rsidR="00E30699">
        <w:t>not mak</w:t>
      </w:r>
      <w:r w:rsidR="0063748E">
        <w:t>ing</w:t>
      </w:r>
      <w:r w:rsidR="00E30699">
        <w:t xml:space="preserve"> any refunds, and </w:t>
      </w:r>
      <w:r w:rsidR="00F80E08">
        <w:t xml:space="preserve">is </w:t>
      </w:r>
      <w:r w:rsidR="00E30699">
        <w:t xml:space="preserve">only </w:t>
      </w:r>
      <w:r w:rsidR="00473F6E">
        <w:t>mak</w:t>
      </w:r>
      <w:r w:rsidR="00F80E08">
        <w:t>ing</w:t>
      </w:r>
      <w:r w:rsidR="00473F6E">
        <w:t xml:space="preserve"> </w:t>
      </w:r>
      <w:r w:rsidRPr="00781F5D">
        <w:rPr>
          <w:rFonts w:ascii="TimesNewRoman" w:hAnsi="TimesNewRoman" w:cs="TimesNewRoman"/>
          <w:snapToGrid/>
          <w:kern w:val="0"/>
          <w:szCs w:val="22"/>
        </w:rPr>
        <w:t xml:space="preserve">downward </w:t>
      </w:r>
      <w:r w:rsidRPr="00781F5D">
        <w:rPr>
          <w:szCs w:val="22"/>
        </w:rPr>
        <w:t>adjustment</w:t>
      </w:r>
      <w:r w:rsidR="00E30699">
        <w:rPr>
          <w:szCs w:val="22"/>
        </w:rPr>
        <w:t>s</w:t>
      </w:r>
      <w:r w:rsidR="00C237C5">
        <w:rPr>
          <w:szCs w:val="22"/>
        </w:rPr>
        <w:t xml:space="preserve"> </w:t>
      </w:r>
      <w:r w:rsidR="00E30699">
        <w:rPr>
          <w:szCs w:val="22"/>
        </w:rPr>
        <w:t xml:space="preserve">to </w:t>
      </w:r>
      <w:r w:rsidR="00C237C5">
        <w:rPr>
          <w:szCs w:val="22"/>
        </w:rPr>
        <w:t>the outstanding balances of some of its customers</w:t>
      </w:r>
      <w:r w:rsidRPr="006912DD">
        <w:t>.</w:t>
      </w:r>
      <w:r>
        <w:rPr>
          <w:rStyle w:val="FootnoteReference"/>
          <w:rFonts w:cs="TimesNewRoman"/>
          <w:snapToGrid/>
          <w:kern w:val="0"/>
          <w:szCs w:val="24"/>
        </w:rPr>
        <w:footnoteReference w:id="29"/>
      </w:r>
      <w:r w:rsidRPr="004306F5">
        <w:rPr>
          <w:rFonts w:ascii="TimesNewRoman" w:hAnsi="TimesNewRoman" w:cs="TimesNewRoman"/>
          <w:snapToGrid/>
          <w:kern w:val="0"/>
          <w:szCs w:val="22"/>
        </w:rPr>
        <w:t xml:space="preserve">  </w:t>
      </w:r>
      <w:r w:rsidR="000317CC">
        <w:rPr>
          <w:rFonts w:ascii="TimesNewRoman" w:hAnsi="TimesNewRoman" w:cs="TimesNewRoman"/>
          <w:snapToGrid/>
          <w:kern w:val="0"/>
          <w:szCs w:val="22"/>
        </w:rPr>
        <w:t>Core</w:t>
      </w:r>
      <w:r w:rsidR="006D2BB2">
        <w:rPr>
          <w:rFonts w:ascii="TimesNewRoman" w:hAnsi="TimesNewRoman" w:cs="TimesNewRoman"/>
          <w:snapToGrid/>
          <w:kern w:val="0"/>
          <w:szCs w:val="22"/>
        </w:rPr>
        <w:t>’s</w:t>
      </w:r>
      <w:r w:rsidR="000317CC">
        <w:rPr>
          <w:rFonts w:ascii="TimesNewRoman" w:hAnsi="TimesNewRoman" w:cs="TimesNewRoman"/>
          <w:snapToGrid/>
          <w:kern w:val="0"/>
          <w:szCs w:val="22"/>
        </w:rPr>
        <w:t xml:space="preserve"> attempt to distinguish between </w:t>
      </w:r>
      <w:r w:rsidR="00C95B86">
        <w:rPr>
          <w:rFonts w:ascii="TimesNewRoman" w:hAnsi="TimesNewRoman" w:cs="TimesNewRoman"/>
          <w:snapToGrid/>
          <w:kern w:val="0"/>
          <w:szCs w:val="22"/>
        </w:rPr>
        <w:t xml:space="preserve">the term </w:t>
      </w:r>
      <w:r w:rsidR="000317CC">
        <w:rPr>
          <w:rFonts w:ascii="TimesNewRoman" w:hAnsi="TimesNewRoman" w:cs="TimesNewRoman"/>
          <w:snapToGrid/>
          <w:kern w:val="0"/>
          <w:szCs w:val="22"/>
        </w:rPr>
        <w:t xml:space="preserve">“refunds” and </w:t>
      </w:r>
      <w:r w:rsidR="00C95B86">
        <w:rPr>
          <w:rFonts w:ascii="TimesNewRoman" w:hAnsi="TimesNewRoman" w:cs="TimesNewRoman"/>
          <w:snapToGrid/>
          <w:kern w:val="0"/>
          <w:szCs w:val="22"/>
        </w:rPr>
        <w:t>its planned</w:t>
      </w:r>
      <w:r w:rsidR="000317CC">
        <w:rPr>
          <w:rFonts w:ascii="TimesNewRoman" w:hAnsi="TimesNewRoman" w:cs="TimesNewRoman"/>
          <w:snapToGrid/>
          <w:kern w:val="0"/>
          <w:szCs w:val="22"/>
        </w:rPr>
        <w:t xml:space="preserve"> “downward adjustments”</w:t>
      </w:r>
      <w:r w:rsidR="006D2BB2">
        <w:rPr>
          <w:rFonts w:ascii="TimesNewRoman" w:hAnsi="TimesNewRoman" w:cs="TimesNewRoman"/>
          <w:snapToGrid/>
          <w:kern w:val="0"/>
          <w:szCs w:val="22"/>
        </w:rPr>
        <w:t xml:space="preserve"> is a distinction without substance</w:t>
      </w:r>
      <w:r w:rsidR="00013EA7">
        <w:rPr>
          <w:rFonts w:ascii="TimesNewRoman" w:hAnsi="TimesNewRoman" w:cs="TimesNewRoman"/>
          <w:snapToGrid/>
          <w:kern w:val="0"/>
          <w:szCs w:val="22"/>
        </w:rPr>
        <w:t xml:space="preserve"> and </w:t>
      </w:r>
      <w:r w:rsidR="00013EA7">
        <w:t>does not affect its refund obligations pursuant to the</w:t>
      </w:r>
      <w:r w:rsidRPr="00013EA7" w:rsidR="00013EA7">
        <w:rPr>
          <w:i/>
        </w:rPr>
        <w:t xml:space="preserve"> Core Tariff Investigation Order</w:t>
      </w:r>
      <w:r w:rsidR="006D2BB2">
        <w:rPr>
          <w:rFonts w:ascii="TimesNewRoman" w:hAnsi="TimesNewRoman" w:cs="TimesNewRoman"/>
          <w:snapToGrid/>
          <w:kern w:val="0"/>
          <w:szCs w:val="22"/>
        </w:rPr>
        <w:t>.</w:t>
      </w:r>
      <w:r w:rsidR="000317CC">
        <w:rPr>
          <w:rFonts w:ascii="TimesNewRoman" w:hAnsi="TimesNewRoman" w:cs="TimesNewRoman"/>
          <w:snapToGrid/>
          <w:kern w:val="0"/>
          <w:szCs w:val="22"/>
        </w:rPr>
        <w:t xml:space="preserve">  </w:t>
      </w:r>
      <w:r w:rsidR="00A36E52">
        <w:rPr>
          <w:rFonts w:ascii="TimesNewRoman" w:hAnsi="TimesNewRoman" w:cs="TimesNewRoman"/>
          <w:snapToGrid/>
          <w:kern w:val="0"/>
          <w:szCs w:val="22"/>
        </w:rPr>
        <w:t xml:space="preserve">Moreover, </w:t>
      </w:r>
      <w:r w:rsidR="00A36E52">
        <w:t>i</w:t>
      </w:r>
      <w:r w:rsidRPr="00E108EE">
        <w:t>n a section 204 tariff investigation proceeding</w:t>
      </w:r>
      <w:r w:rsidR="00C406D9">
        <w:t xml:space="preserve">, </w:t>
      </w:r>
      <w:r w:rsidR="00294C0F">
        <w:t>“</w:t>
      </w:r>
      <w:r w:rsidR="00C406D9">
        <w:t>refunds</w:t>
      </w:r>
      <w:r w:rsidR="00294C0F">
        <w:t>”</w:t>
      </w:r>
      <w:r w:rsidR="00C406D9">
        <w:t xml:space="preserve"> are not restricted to cash payments but may </w:t>
      </w:r>
      <w:r w:rsidR="00C8179B">
        <w:t xml:space="preserve">also </w:t>
      </w:r>
      <w:r w:rsidR="00C406D9">
        <w:t xml:space="preserve">include </w:t>
      </w:r>
      <w:r w:rsidR="00BE374A">
        <w:t xml:space="preserve">a variety </w:t>
      </w:r>
      <w:r w:rsidR="00C406D9">
        <w:t xml:space="preserve">of </w:t>
      </w:r>
      <w:r w:rsidR="00BE374A">
        <w:t xml:space="preserve">forms of non-cash </w:t>
      </w:r>
      <w:r w:rsidR="00C406D9">
        <w:t>payment</w:t>
      </w:r>
      <w:r w:rsidRPr="00E108EE">
        <w:t xml:space="preserve">.  </w:t>
      </w:r>
      <w:r w:rsidRPr="006912DD">
        <w:t xml:space="preserve">For example, </w:t>
      </w:r>
      <w:r>
        <w:t xml:space="preserve">in </w:t>
      </w:r>
      <w:r w:rsidR="00BE374A">
        <w:t xml:space="preserve">the </w:t>
      </w:r>
      <w:r>
        <w:t>South Dakota Network (SDN)</w:t>
      </w:r>
      <w:r w:rsidR="00BE374A">
        <w:t xml:space="preserve"> tariff investigation</w:t>
      </w:r>
      <w:r>
        <w:t xml:space="preserve">, </w:t>
      </w:r>
      <w:r w:rsidR="00BE374A">
        <w:t xml:space="preserve">the </w:t>
      </w:r>
      <w:r w:rsidRPr="008E41F1" w:rsidR="00BE374A">
        <w:t xml:space="preserve">Bureau </w:t>
      </w:r>
      <w:r w:rsidR="00933180">
        <w:t xml:space="preserve">directed SDN to make a refund in the form </w:t>
      </w:r>
      <w:r w:rsidR="00BE374A">
        <w:t xml:space="preserve">of </w:t>
      </w:r>
      <w:r w:rsidRPr="006912DD">
        <w:t>a credit on the invoices of affected customers</w:t>
      </w:r>
      <w:r>
        <w:t>.</w:t>
      </w:r>
      <w:r>
        <w:rPr>
          <w:rStyle w:val="FootnoteReference"/>
        </w:rPr>
        <w:footnoteReference w:id="30"/>
      </w:r>
      <w:r>
        <w:t xml:space="preserve">  </w:t>
      </w:r>
      <w:r w:rsidRPr="003D01BC">
        <w:rPr>
          <w:rFonts w:ascii="TimesNewRoman" w:hAnsi="TimesNewRoman" w:cs="TimesNewRoman"/>
          <w:snapToGrid/>
          <w:kern w:val="0"/>
          <w:szCs w:val="22"/>
        </w:rPr>
        <w:t xml:space="preserve">In this </w:t>
      </w:r>
      <w:r w:rsidR="00C8179B">
        <w:rPr>
          <w:rFonts w:ascii="TimesNewRoman" w:hAnsi="TimesNewRoman" w:cs="TimesNewRoman"/>
          <w:snapToGrid/>
          <w:kern w:val="0"/>
          <w:szCs w:val="22"/>
        </w:rPr>
        <w:t>tariff investigation</w:t>
      </w:r>
      <w:r w:rsidRPr="003D01BC">
        <w:rPr>
          <w:rFonts w:ascii="TimesNewRoman" w:hAnsi="TimesNewRoman" w:cs="TimesNewRoman"/>
          <w:snapToGrid/>
          <w:kern w:val="0"/>
          <w:szCs w:val="22"/>
        </w:rPr>
        <w:t xml:space="preserve">, the refunds </w:t>
      </w:r>
      <w:r w:rsidR="00C8179B">
        <w:rPr>
          <w:rFonts w:ascii="TimesNewRoman" w:hAnsi="TimesNewRoman" w:cs="TimesNewRoman"/>
          <w:snapToGrid/>
          <w:kern w:val="0"/>
          <w:szCs w:val="22"/>
        </w:rPr>
        <w:t xml:space="preserve">Core is required to make </w:t>
      </w:r>
      <w:r w:rsidR="009E23E7">
        <w:rPr>
          <w:rFonts w:ascii="TimesNewRoman" w:hAnsi="TimesNewRoman" w:cs="TimesNewRoman"/>
          <w:snapToGrid/>
          <w:kern w:val="0"/>
          <w:szCs w:val="22"/>
        </w:rPr>
        <w:t xml:space="preserve">take the form of </w:t>
      </w:r>
      <w:r w:rsidR="00D474A9">
        <w:rPr>
          <w:rFonts w:ascii="TimesNewRoman" w:hAnsi="TimesNewRoman" w:cs="TimesNewRoman"/>
          <w:snapToGrid/>
          <w:kern w:val="0"/>
          <w:szCs w:val="22"/>
        </w:rPr>
        <w:t xml:space="preserve">reductions </w:t>
      </w:r>
      <w:r w:rsidRPr="003D01BC">
        <w:rPr>
          <w:rFonts w:ascii="TimesNewRoman" w:hAnsi="TimesNewRoman" w:cs="TimesNewRoman"/>
          <w:snapToGrid/>
          <w:kern w:val="0"/>
          <w:szCs w:val="22"/>
        </w:rPr>
        <w:t>to</w:t>
      </w:r>
      <w:r>
        <w:rPr>
          <w:rFonts w:ascii="TimesNewRoman" w:hAnsi="TimesNewRoman" w:cs="TimesNewRoman"/>
          <w:snapToGrid/>
          <w:kern w:val="0"/>
          <w:szCs w:val="22"/>
        </w:rPr>
        <w:t xml:space="preserve"> </w:t>
      </w:r>
      <w:r w:rsidR="00C8179B">
        <w:rPr>
          <w:rFonts w:ascii="TimesNewRoman" w:hAnsi="TimesNewRoman" w:cs="TimesNewRoman"/>
          <w:snapToGrid/>
          <w:kern w:val="0"/>
          <w:szCs w:val="22"/>
        </w:rPr>
        <w:t xml:space="preserve">customers’ </w:t>
      </w:r>
      <w:r w:rsidR="005A050B">
        <w:rPr>
          <w:rFonts w:ascii="TimesNewRoman" w:hAnsi="TimesNewRoman" w:cs="TimesNewRoman"/>
          <w:snapToGrid/>
          <w:kern w:val="0"/>
          <w:szCs w:val="22"/>
        </w:rPr>
        <w:t>late-payment</w:t>
      </w:r>
      <w:r w:rsidRPr="003D01BC">
        <w:rPr>
          <w:rFonts w:ascii="TimesNewRoman" w:hAnsi="TimesNewRoman" w:cs="TimesNewRoman"/>
          <w:snapToGrid/>
          <w:kern w:val="0"/>
          <w:szCs w:val="22"/>
        </w:rPr>
        <w:t xml:space="preserve"> fee</w:t>
      </w:r>
      <w:r>
        <w:rPr>
          <w:rFonts w:ascii="TimesNewRoman" w:hAnsi="TimesNewRoman" w:cs="TimesNewRoman"/>
          <w:snapToGrid/>
          <w:kern w:val="0"/>
          <w:szCs w:val="22"/>
        </w:rPr>
        <w:t>s</w:t>
      </w:r>
      <w:r w:rsidR="00BE374A">
        <w:rPr>
          <w:rFonts w:ascii="TimesNewRoman" w:hAnsi="TimesNewRoman" w:cs="TimesNewRoman"/>
          <w:snapToGrid/>
          <w:kern w:val="0"/>
          <w:szCs w:val="22"/>
        </w:rPr>
        <w:t xml:space="preserve">, </w:t>
      </w:r>
      <w:r w:rsidR="009E23E7">
        <w:rPr>
          <w:rFonts w:ascii="TimesNewRoman" w:hAnsi="TimesNewRoman" w:cs="TimesNewRoman"/>
          <w:snapToGrid/>
          <w:kern w:val="0"/>
          <w:szCs w:val="22"/>
        </w:rPr>
        <w:t>another form of non-cash payment</w:t>
      </w:r>
      <w:r w:rsidR="00BE374A">
        <w:rPr>
          <w:rFonts w:ascii="TimesNewRoman" w:hAnsi="TimesNewRoman" w:cs="TimesNewRoman"/>
          <w:snapToGrid/>
          <w:kern w:val="0"/>
          <w:szCs w:val="22"/>
        </w:rPr>
        <w:t xml:space="preserve">.  </w:t>
      </w:r>
      <w:r w:rsidRPr="00B57567" w:rsidR="00C81126">
        <w:rPr>
          <w:rFonts w:ascii="TimesNewRoman" w:hAnsi="TimesNewRoman" w:cs="TimesNewRoman"/>
          <w:snapToGrid/>
          <w:kern w:val="0"/>
          <w:szCs w:val="22"/>
        </w:rPr>
        <w:t>Put simply, th</w:t>
      </w:r>
      <w:r w:rsidR="00D474A9">
        <w:rPr>
          <w:rFonts w:ascii="TimesNewRoman" w:hAnsi="TimesNewRoman" w:cs="TimesNewRoman"/>
          <w:snapToGrid/>
          <w:kern w:val="0"/>
          <w:szCs w:val="22"/>
        </w:rPr>
        <w:t>os</w:t>
      </w:r>
      <w:r w:rsidRPr="00B57567" w:rsidR="00C81126">
        <w:rPr>
          <w:rFonts w:ascii="TimesNewRoman" w:hAnsi="TimesNewRoman" w:cs="TimesNewRoman"/>
          <w:snapToGrid/>
          <w:kern w:val="0"/>
          <w:szCs w:val="22"/>
        </w:rPr>
        <w:t xml:space="preserve">e </w:t>
      </w:r>
      <w:r w:rsidR="00D474A9">
        <w:rPr>
          <w:rFonts w:ascii="TimesNewRoman" w:hAnsi="TimesNewRoman" w:cs="TimesNewRoman"/>
          <w:snapToGrid/>
          <w:kern w:val="0"/>
          <w:szCs w:val="22"/>
        </w:rPr>
        <w:t xml:space="preserve">reductions </w:t>
      </w:r>
      <w:r w:rsidRPr="005B7853" w:rsidR="00C81126">
        <w:rPr>
          <w:rFonts w:ascii="TimesNewRoman" w:hAnsi="TimesNewRoman" w:cs="TimesNewRoman"/>
          <w:i/>
          <w:iCs/>
          <w:snapToGrid/>
          <w:kern w:val="0"/>
          <w:szCs w:val="22"/>
        </w:rPr>
        <w:t>are</w:t>
      </w:r>
      <w:r w:rsidRPr="005B7853" w:rsidR="00C81126">
        <w:rPr>
          <w:rFonts w:ascii="TimesNewRoman" w:hAnsi="TimesNewRoman" w:cs="TimesNewRoman"/>
          <w:snapToGrid/>
          <w:kern w:val="0"/>
          <w:szCs w:val="22"/>
        </w:rPr>
        <w:t xml:space="preserve"> the refunds</w:t>
      </w:r>
      <w:r w:rsidR="00A36E52">
        <w:rPr>
          <w:rFonts w:ascii="TimesNewRoman" w:hAnsi="TimesNewRoman" w:cs="TimesNewRoman"/>
          <w:snapToGrid/>
          <w:kern w:val="0"/>
          <w:szCs w:val="22"/>
        </w:rPr>
        <w:t xml:space="preserve"> contemplated by </w:t>
      </w:r>
      <w:r w:rsidR="00E37381">
        <w:rPr>
          <w:rFonts w:ascii="TimesNewRoman" w:hAnsi="TimesNewRoman" w:cs="TimesNewRoman"/>
          <w:snapToGrid/>
          <w:kern w:val="0"/>
          <w:szCs w:val="22"/>
        </w:rPr>
        <w:t xml:space="preserve">the Commission in the </w:t>
      </w:r>
      <w:r w:rsidRPr="00183F34" w:rsidR="00E37381">
        <w:rPr>
          <w:rFonts w:ascii="TimesNewRoman" w:hAnsi="TimesNewRoman" w:cs="TimesNewRoman"/>
          <w:i/>
          <w:iCs/>
          <w:snapToGrid/>
          <w:kern w:val="0"/>
          <w:szCs w:val="22"/>
        </w:rPr>
        <w:t>Core Tariff Investigation Order</w:t>
      </w:r>
      <w:r w:rsidRPr="005B7853" w:rsidR="002435A9">
        <w:rPr>
          <w:rFonts w:ascii="TimesNewRoman" w:hAnsi="TimesNewRoman" w:cs="TimesNewRoman"/>
          <w:snapToGrid/>
          <w:kern w:val="0"/>
          <w:szCs w:val="22"/>
        </w:rPr>
        <w:t>.</w:t>
      </w:r>
      <w:r w:rsidRPr="003D01BC">
        <w:rPr>
          <w:rFonts w:ascii="TimesNewRoman" w:hAnsi="TimesNewRoman" w:cs="TimesNewRoman"/>
          <w:snapToGrid/>
          <w:kern w:val="0"/>
          <w:szCs w:val="22"/>
        </w:rPr>
        <w:t xml:space="preserve"> </w:t>
      </w:r>
    </w:p>
    <w:p w:rsidR="00B62C7B" w:rsidP="00B6131B" w14:paraId="46FE4852" w14:textId="70A7EADE">
      <w:pPr>
        <w:pStyle w:val="ParaNum"/>
        <w:widowControl/>
        <w:tabs>
          <w:tab w:val="clear" w:pos="1080"/>
        </w:tabs>
      </w:pPr>
      <w:r w:rsidRPr="001D04B1">
        <w:t>Verizon asks the Commission to reject the Refund Plan, direct Core to submit a new plan</w:t>
      </w:r>
      <w:r w:rsidR="004B49B6">
        <w:t>, and bar</w:t>
      </w:r>
      <w:r w:rsidR="00C41125">
        <w:t xml:space="preserve"> Core from assessing any </w:t>
      </w:r>
      <w:r w:rsidR="005A050B">
        <w:t>late-payment</w:t>
      </w:r>
      <w:r w:rsidRPr="001D04B1">
        <w:t xml:space="preserve"> </w:t>
      </w:r>
      <w:r w:rsidR="00197B9C">
        <w:t xml:space="preserve">fees </w:t>
      </w:r>
      <w:r w:rsidR="00C41125">
        <w:t xml:space="preserve">during </w:t>
      </w:r>
      <w:r>
        <w:t>the Refund Period.</w:t>
      </w:r>
      <w:r>
        <w:rPr>
          <w:rStyle w:val="FootnoteReference"/>
        </w:rPr>
        <w:footnoteReference w:id="31"/>
      </w:r>
      <w:r w:rsidRPr="001D04B1">
        <w:t xml:space="preserve">  Verizon argues that Core</w:t>
      </w:r>
      <w:r w:rsidR="00C41125">
        <w:t xml:space="preserve">’s </w:t>
      </w:r>
      <w:r w:rsidR="00294C0F">
        <w:t>Revised Tariff</w:t>
      </w:r>
      <w:r w:rsidR="00C41125">
        <w:t xml:space="preserve"> “imposed substantial costs on other carriers and on the Commission</w:t>
      </w:r>
      <w:r w:rsidR="00304027">
        <w:t>,</w:t>
      </w:r>
      <w:r w:rsidR="00C41125">
        <w:t>” and</w:t>
      </w:r>
      <w:r w:rsidRPr="001D04B1">
        <w:t xml:space="preserve"> </w:t>
      </w:r>
      <w:r w:rsidR="00B9671E">
        <w:t xml:space="preserve">that </w:t>
      </w:r>
      <w:r w:rsidR="00E30699">
        <w:t xml:space="preserve">Core </w:t>
      </w:r>
      <w:r w:rsidRPr="001D04B1">
        <w:t>“should face consequences that deter the filing of such unlawful tariffs in the first place.”</w:t>
      </w:r>
      <w:r>
        <w:rPr>
          <w:rStyle w:val="FootnoteReference"/>
        </w:rPr>
        <w:footnoteReference w:id="32"/>
      </w:r>
      <w:r w:rsidRPr="001D04B1">
        <w:t xml:space="preserve">  </w:t>
      </w:r>
      <w:r w:rsidRPr="00A4139B">
        <w:t xml:space="preserve">Verizon essentially is asking the Commission to award </w:t>
      </w:r>
      <w:r w:rsidR="00E80248">
        <w:t xml:space="preserve">damages similar to </w:t>
      </w:r>
      <w:r w:rsidRPr="00A4139B">
        <w:t>punitive damages by requiring Core to forgo the 1.5%</w:t>
      </w:r>
      <w:r w:rsidR="001726E6">
        <w:t xml:space="preserve"> </w:t>
      </w:r>
      <w:r w:rsidRPr="00A4139B">
        <w:t>month</w:t>
      </w:r>
      <w:r w:rsidR="00DB3AAB">
        <w:t>ly</w:t>
      </w:r>
      <w:r w:rsidRPr="00A4139B">
        <w:t xml:space="preserve"> </w:t>
      </w:r>
      <w:r w:rsidR="005A050B">
        <w:t>late-payment</w:t>
      </w:r>
      <w:r w:rsidRPr="00A4139B">
        <w:t xml:space="preserve"> fee that it</w:t>
      </w:r>
      <w:r w:rsidR="00F23FCF">
        <w:t>s tariff would</w:t>
      </w:r>
      <w:r w:rsidRPr="00A4139B">
        <w:t xml:space="preserve"> otherwise </w:t>
      </w:r>
      <w:r w:rsidR="00F23FCF">
        <w:t>allow</w:t>
      </w:r>
      <w:r w:rsidRPr="00A4139B">
        <w:t xml:space="preserve"> </w:t>
      </w:r>
      <w:r>
        <w:t>during the Refund Period.</w:t>
      </w:r>
      <w:r w:rsidRPr="00A4139B">
        <w:t xml:space="preserve"> </w:t>
      </w:r>
      <w:r>
        <w:t xml:space="preserve"> </w:t>
      </w:r>
      <w:r w:rsidR="00887FE9">
        <w:t xml:space="preserve">Verizon does not contend that the 1.5% </w:t>
      </w:r>
      <w:r w:rsidR="005A050B">
        <w:t>late-payment</w:t>
      </w:r>
      <w:r w:rsidR="00887FE9">
        <w:t xml:space="preserve"> fee is unlawful, only that it and other customers should be </w:t>
      </w:r>
      <w:r w:rsidRPr="002604A2" w:rsidR="00887FE9">
        <w:t xml:space="preserve">granted </w:t>
      </w:r>
      <w:r w:rsidR="00CA27D5">
        <w:t xml:space="preserve">other </w:t>
      </w:r>
      <w:r w:rsidRPr="002604A2" w:rsidR="00887FE9">
        <w:t>relief to dissuade</w:t>
      </w:r>
      <w:r w:rsidR="00887FE9">
        <w:t xml:space="preserve"> Core from future unlawful tariff filings.  </w:t>
      </w:r>
      <w:r w:rsidRPr="00A4139B">
        <w:t xml:space="preserve">But </w:t>
      </w:r>
      <w:r>
        <w:t>s</w:t>
      </w:r>
      <w:r w:rsidRPr="001D04B1">
        <w:t>ection 204 of the Act</w:t>
      </w:r>
      <w:r w:rsidR="005867B2">
        <w:t xml:space="preserve"> grants</w:t>
      </w:r>
      <w:r>
        <w:t xml:space="preserve"> the Commission </w:t>
      </w:r>
      <w:r w:rsidRPr="001D04B1">
        <w:t>the authority to order</w:t>
      </w:r>
      <w:r>
        <w:t xml:space="preserve"> refunds</w:t>
      </w:r>
      <w:r w:rsidR="005867B2">
        <w:t>, not punitive damages</w:t>
      </w:r>
      <w:r w:rsidRPr="001D04B1">
        <w:t>.</w:t>
      </w:r>
      <w:r>
        <w:rPr>
          <w:rStyle w:val="FootnoteReference"/>
        </w:rPr>
        <w:footnoteReference w:id="33"/>
      </w:r>
      <w:r w:rsidR="003A5A87">
        <w:t xml:space="preserve">  </w:t>
      </w:r>
      <w:r w:rsidR="00AE262E">
        <w:t xml:space="preserve">Further, </w:t>
      </w:r>
      <w:r w:rsidR="008E1F0C">
        <w:t xml:space="preserve">Verizon </w:t>
      </w:r>
      <w:r w:rsidR="004F13E1">
        <w:t xml:space="preserve">makes no argument that </w:t>
      </w:r>
      <w:r w:rsidR="003F4A26">
        <w:t xml:space="preserve">Core’s Refund Plan would not adequately compensate </w:t>
      </w:r>
      <w:r w:rsidR="00C93C0C">
        <w:t>carriers</w:t>
      </w:r>
      <w:r w:rsidR="003F4A26">
        <w:t xml:space="preserve"> for </w:t>
      </w:r>
      <w:r w:rsidR="00FB3DAA">
        <w:t xml:space="preserve">excessive charges </w:t>
      </w:r>
      <w:r w:rsidR="00C93C0C">
        <w:t>they</w:t>
      </w:r>
      <w:r w:rsidR="003F4A26">
        <w:t xml:space="preserve"> incurred as a result of </w:t>
      </w:r>
      <w:r w:rsidR="00CF4864">
        <w:t>Transmittal No. 17.</w:t>
      </w:r>
      <w:r w:rsidRPr="001D04B1">
        <w:t xml:space="preserve">  </w:t>
      </w:r>
      <w:r>
        <w:t xml:space="preserve">We therefore deny Verizon’s request to direct Core to submit a </w:t>
      </w:r>
      <w:r w:rsidR="001D6AFE">
        <w:t xml:space="preserve">revised </w:t>
      </w:r>
      <w:r w:rsidR="005073F2">
        <w:t xml:space="preserve">refund </w:t>
      </w:r>
      <w:r>
        <w:t xml:space="preserve">plan </w:t>
      </w:r>
      <w:r w:rsidR="001D6AFE">
        <w:t xml:space="preserve">that imposes </w:t>
      </w:r>
      <w:r>
        <w:t xml:space="preserve">no </w:t>
      </w:r>
      <w:r w:rsidR="005A050B">
        <w:t>late-payment</w:t>
      </w:r>
      <w:r>
        <w:t xml:space="preserve"> </w:t>
      </w:r>
      <w:r w:rsidR="00BF5668">
        <w:t>fees</w:t>
      </w:r>
      <w:r w:rsidR="001D6AFE">
        <w:t xml:space="preserve"> during the Refund Period</w:t>
      </w:r>
      <w:r>
        <w:t>.</w:t>
      </w:r>
      <w:r>
        <w:rPr>
          <w:rStyle w:val="FootnoteReference"/>
        </w:rPr>
        <w:footnoteReference w:id="34"/>
      </w:r>
    </w:p>
    <w:p w:rsidR="00DF5EAB" w:rsidRPr="00A95587" w:rsidP="00B6131B" w14:paraId="117A3F49" w14:textId="07D8B7B7">
      <w:pPr>
        <w:pStyle w:val="ParaNum"/>
        <w:widowControl/>
        <w:tabs>
          <w:tab w:val="clear" w:pos="1080"/>
        </w:tabs>
      </w:pPr>
      <w:r w:rsidRPr="00BB3986">
        <w:t>In</w:t>
      </w:r>
      <w:r w:rsidRPr="00F1225F">
        <w:t xml:space="preserve"> its </w:t>
      </w:r>
      <w:r w:rsidRPr="00F1225F" w:rsidR="002427CD">
        <w:t>c</w:t>
      </w:r>
      <w:r w:rsidRPr="00F1225F">
        <w:t xml:space="preserve">omment, AT&amp;T raises concerns about the potential impact of this Order on </w:t>
      </w:r>
      <w:r w:rsidRPr="00F1225F" w:rsidR="0004300C">
        <w:t>prior Commission decisions</w:t>
      </w:r>
      <w:r w:rsidRPr="00F1225F" w:rsidR="003E026E">
        <w:t xml:space="preserve"> concerning Core</w:t>
      </w:r>
      <w:r w:rsidRPr="00F1225F" w:rsidR="00E11C7E">
        <w:t>’s</w:t>
      </w:r>
      <w:r w:rsidRPr="00F1225F" w:rsidR="003E026E">
        <w:t xml:space="preserve"> tariffs,</w:t>
      </w:r>
      <w:r w:rsidRPr="00F1225F" w:rsidR="0004300C">
        <w:t xml:space="preserve"> and </w:t>
      </w:r>
      <w:r w:rsidRPr="00F1225F">
        <w:t>pending litigation</w:t>
      </w:r>
      <w:r w:rsidRPr="00F1225F" w:rsidR="003E026E">
        <w:t xml:space="preserve"> between Core and AT&amp;T</w:t>
      </w:r>
      <w:r w:rsidRPr="00F1225F">
        <w:t>.</w:t>
      </w:r>
      <w:r>
        <w:rPr>
          <w:rStyle w:val="FootnoteReference"/>
        </w:rPr>
        <w:footnoteReference w:id="35"/>
      </w:r>
      <w:r w:rsidRPr="00BB3986">
        <w:t xml:space="preserve">  We affirm that this Order </w:t>
      </w:r>
      <w:r w:rsidRPr="00BB3986" w:rsidR="00C73550">
        <w:t xml:space="preserve">neither </w:t>
      </w:r>
      <w:r w:rsidRPr="00BB3986">
        <w:t>modif</w:t>
      </w:r>
      <w:r w:rsidRPr="00BB3986" w:rsidR="00C73550">
        <w:t>ies</w:t>
      </w:r>
      <w:r w:rsidRPr="00BB3986">
        <w:t xml:space="preserve"> the Commission’s previous findings in this or any other related proceedings</w:t>
      </w:r>
      <w:r w:rsidRPr="00BB3986" w:rsidR="00C73550">
        <w:t xml:space="preserve"> nor addresses </w:t>
      </w:r>
      <w:r w:rsidRPr="00ED088E" w:rsidR="00C73550">
        <w:t xml:space="preserve">pending </w:t>
      </w:r>
      <w:r w:rsidRPr="00A95587" w:rsidR="00C73550">
        <w:t>litigation</w:t>
      </w:r>
      <w:r w:rsidRPr="00A95587">
        <w:t>.</w:t>
      </w:r>
      <w:r w:rsidRPr="00A95587" w:rsidR="00ED088E">
        <w:rPr>
          <w:rStyle w:val="FootnoteReference"/>
        </w:rPr>
        <w:t xml:space="preserve"> </w:t>
      </w:r>
    </w:p>
    <w:p w:rsidR="00B62C7B" w:rsidRPr="00211014" w:rsidP="00B6131B" w14:paraId="5EC2F71C" w14:textId="796084EF">
      <w:pPr>
        <w:pStyle w:val="ParaNum"/>
        <w:widowControl/>
        <w:tabs>
          <w:tab w:val="clear" w:pos="1080"/>
        </w:tabs>
        <w:rPr>
          <w:kern w:val="0"/>
        </w:rPr>
      </w:pPr>
      <w:bookmarkStart w:id="1" w:name="_Ref315484"/>
      <w:r w:rsidRPr="00211014">
        <w:rPr>
          <w:snapToGrid/>
          <w:kern w:val="0"/>
        </w:rPr>
        <w:t xml:space="preserve">We find that the </w:t>
      </w:r>
      <w:r w:rsidRPr="00211014">
        <w:rPr>
          <w:kern w:val="0"/>
        </w:rPr>
        <w:t>refund</w:t>
      </w:r>
      <w:r w:rsidRPr="00BB3986" w:rsidR="00C7723D">
        <w:rPr>
          <w:kern w:val="0"/>
        </w:rPr>
        <w:t>s</w:t>
      </w:r>
      <w:r w:rsidRPr="00211014">
        <w:rPr>
          <w:rStyle w:val="cf01"/>
          <w:rFonts w:ascii="Times New Roman" w:hAnsi="Times New Roman" w:cs="Times New Roman"/>
          <w:kern w:val="0"/>
          <w:sz w:val="22"/>
          <w:szCs w:val="22"/>
        </w:rPr>
        <w:t xml:space="preserve"> proposed by Core </w:t>
      </w:r>
      <w:r w:rsidRPr="00562776" w:rsidR="00C7723D">
        <w:rPr>
          <w:rStyle w:val="cf01"/>
          <w:rFonts w:ascii="Times New Roman" w:hAnsi="Times New Roman" w:cs="Times New Roman"/>
          <w:kern w:val="0"/>
          <w:sz w:val="22"/>
          <w:szCs w:val="22"/>
        </w:rPr>
        <w:t>are</w:t>
      </w:r>
      <w:r w:rsidRPr="00211014">
        <w:rPr>
          <w:rStyle w:val="cf01"/>
          <w:rFonts w:ascii="Times New Roman" w:hAnsi="Times New Roman" w:cs="Times New Roman"/>
          <w:kern w:val="0"/>
          <w:sz w:val="22"/>
          <w:szCs w:val="22"/>
        </w:rPr>
        <w:t xml:space="preserve"> sufficient to implement the Commission’s decision in the </w:t>
      </w:r>
      <w:r w:rsidRPr="00183F34">
        <w:rPr>
          <w:rStyle w:val="cf01"/>
          <w:rFonts w:ascii="Times New Roman" w:hAnsi="Times New Roman" w:cs="Times New Roman"/>
          <w:i/>
          <w:iCs/>
          <w:kern w:val="0"/>
          <w:sz w:val="22"/>
          <w:szCs w:val="22"/>
        </w:rPr>
        <w:t>Core Tariff Investigation Order</w:t>
      </w:r>
      <w:r w:rsidRPr="00211014">
        <w:rPr>
          <w:rStyle w:val="cf01"/>
          <w:rFonts w:ascii="Times New Roman" w:hAnsi="Times New Roman" w:cs="Times New Roman"/>
          <w:kern w:val="0"/>
          <w:sz w:val="22"/>
          <w:szCs w:val="22"/>
        </w:rPr>
        <w:t xml:space="preserve">.  Core explains that it “made no other changes to its </w:t>
      </w:r>
      <w:r w:rsidRPr="00211014">
        <w:rPr>
          <w:rStyle w:val="cf01"/>
          <w:rFonts w:ascii="Times New Roman" w:hAnsi="Times New Roman" w:cs="Times New Roman"/>
          <w:kern w:val="0"/>
          <w:sz w:val="22"/>
          <w:szCs w:val="22"/>
        </w:rPr>
        <w:t>billing practices, dispute procedures, or any other customer-impacting issues as a result of Transmittal No. 17</w:t>
      </w:r>
      <w:r w:rsidR="00C7723D">
        <w:rPr>
          <w:rStyle w:val="cf01"/>
          <w:rFonts w:ascii="Times New Roman" w:hAnsi="Times New Roman" w:cs="Times New Roman"/>
          <w:kern w:val="0"/>
          <w:sz w:val="22"/>
          <w:szCs w:val="22"/>
        </w:rPr>
        <w:t>,</w:t>
      </w:r>
      <w:r w:rsidRPr="00211014">
        <w:rPr>
          <w:rStyle w:val="cf01"/>
          <w:rFonts w:ascii="Times New Roman" w:hAnsi="Times New Roman" w:cs="Times New Roman"/>
          <w:kern w:val="0"/>
          <w:sz w:val="22"/>
          <w:szCs w:val="22"/>
        </w:rPr>
        <w:t>”</w:t>
      </w:r>
      <w:r>
        <w:rPr>
          <w:rStyle w:val="FootnoteReference"/>
          <w:kern w:val="0"/>
        </w:rPr>
        <w:footnoteReference w:id="36"/>
      </w:r>
      <w:r w:rsidRPr="00211014">
        <w:rPr>
          <w:rStyle w:val="cf01"/>
          <w:rFonts w:ascii="Times New Roman" w:hAnsi="Times New Roman" w:cs="Times New Roman"/>
          <w:kern w:val="0"/>
          <w:sz w:val="22"/>
          <w:szCs w:val="22"/>
        </w:rPr>
        <w:t xml:space="preserve"> and no commenter claimed that other refunds were necessary. </w:t>
      </w:r>
      <w:r w:rsidRPr="00183F34">
        <w:rPr>
          <w:kern w:val="0"/>
        </w:rPr>
        <w:t xml:space="preserve"> We, therefore, approve Core’s proposal to lower the </w:t>
      </w:r>
      <w:r w:rsidR="00FA516C">
        <w:rPr>
          <w:kern w:val="0"/>
        </w:rPr>
        <w:t xml:space="preserve">monthly </w:t>
      </w:r>
      <w:r w:rsidR="005A050B">
        <w:rPr>
          <w:kern w:val="0"/>
        </w:rPr>
        <w:t>late-payment</w:t>
      </w:r>
      <w:r w:rsidRPr="00183F34">
        <w:rPr>
          <w:kern w:val="0"/>
        </w:rPr>
        <w:t xml:space="preserve"> fee from the 3% Core assessed during the Refund Period to 1.5% for the Refund Period</w:t>
      </w:r>
      <w:r w:rsidR="00B76057">
        <w:rPr>
          <w:kern w:val="0"/>
        </w:rPr>
        <w:t>,</w:t>
      </w:r>
      <w:r w:rsidRPr="00183F34" w:rsidR="00371EFC">
        <w:rPr>
          <w:kern w:val="0"/>
        </w:rPr>
        <w:t xml:space="preserve"> and direct Core to make those changes for the affected customers</w:t>
      </w:r>
      <w:r w:rsidRPr="00183F34">
        <w:rPr>
          <w:kern w:val="0"/>
        </w:rPr>
        <w:t xml:space="preserve">.  This </w:t>
      </w:r>
      <w:r w:rsidRPr="00183F34" w:rsidR="00371EFC">
        <w:rPr>
          <w:kern w:val="0"/>
        </w:rPr>
        <w:t xml:space="preserve">refund </w:t>
      </w:r>
      <w:r w:rsidRPr="00183F34">
        <w:rPr>
          <w:kern w:val="0"/>
        </w:rPr>
        <w:t>effectively eliminates any impact of the Revised Tariff on Core</w:t>
      </w:r>
      <w:r w:rsidR="00EB5EC0">
        <w:rPr>
          <w:kern w:val="0"/>
        </w:rPr>
        <w:t>’</w:t>
      </w:r>
      <w:r w:rsidRPr="00183F34">
        <w:rPr>
          <w:kern w:val="0"/>
        </w:rPr>
        <w:t>s customers</w:t>
      </w:r>
      <w:r>
        <w:rPr>
          <w:rStyle w:val="FootnoteReference"/>
          <w:kern w:val="0"/>
        </w:rPr>
        <w:footnoteReference w:id="37"/>
      </w:r>
      <w:r w:rsidRPr="00183F34">
        <w:rPr>
          <w:kern w:val="0"/>
        </w:rPr>
        <w:t xml:space="preserve"> and restores the status quo </w:t>
      </w:r>
      <w:r w:rsidR="0037760B">
        <w:rPr>
          <w:kern w:val="0"/>
        </w:rPr>
        <w:t xml:space="preserve">that existed </w:t>
      </w:r>
      <w:r w:rsidRPr="00183F34">
        <w:rPr>
          <w:kern w:val="0"/>
        </w:rPr>
        <w:t>prior to Core</w:t>
      </w:r>
      <w:r w:rsidR="00EB5EC0">
        <w:rPr>
          <w:kern w:val="0"/>
        </w:rPr>
        <w:t>’</w:t>
      </w:r>
      <w:r w:rsidRPr="00183F34">
        <w:rPr>
          <w:kern w:val="0"/>
        </w:rPr>
        <w:t>s filing of its Revised Tariff.</w:t>
      </w:r>
      <w:r w:rsidRPr="00211014">
        <w:rPr>
          <w:kern w:val="0"/>
        </w:rPr>
        <w:t xml:space="preserve">  </w:t>
      </w:r>
    </w:p>
    <w:bookmarkEnd w:id="1"/>
    <w:p w:rsidR="00B62C7B" w:rsidRPr="00934B51" w:rsidP="00B6131B" w14:paraId="788EC44F" w14:textId="77777777">
      <w:pPr>
        <w:pStyle w:val="Heading1"/>
        <w:widowControl/>
      </w:pPr>
      <w:r w:rsidRPr="00934B51">
        <w:t>ordering clause</w:t>
      </w:r>
      <w:r>
        <w:t>S</w:t>
      </w:r>
    </w:p>
    <w:p w:rsidR="00B62C7B" w:rsidRPr="001D04B1" w:rsidP="00B6131B" w14:paraId="180E146C" w14:textId="02EEC66B">
      <w:pPr>
        <w:pStyle w:val="ParaNum"/>
        <w:widowControl/>
        <w:tabs>
          <w:tab w:val="clear" w:pos="1080"/>
        </w:tabs>
      </w:pPr>
      <w:r w:rsidRPr="00863D1D">
        <w:t>ACCORDINGLY</w:t>
      </w:r>
      <w:r>
        <w:rPr>
          <w:szCs w:val="22"/>
        </w:rPr>
        <w:t>, IT IS ORDERED, pursuant to sections 4(</w:t>
      </w:r>
      <w:r>
        <w:rPr>
          <w:szCs w:val="22"/>
        </w:rPr>
        <w:t>i</w:t>
      </w:r>
      <w:r>
        <w:rPr>
          <w:szCs w:val="22"/>
        </w:rPr>
        <w:t xml:space="preserve">), </w:t>
      </w:r>
      <w:r w:rsidR="00496718">
        <w:rPr>
          <w:szCs w:val="22"/>
        </w:rPr>
        <w:t xml:space="preserve">5, </w:t>
      </w:r>
      <w:r>
        <w:rPr>
          <w:szCs w:val="22"/>
        </w:rPr>
        <w:t>201</w:t>
      </w:r>
      <w:r w:rsidR="00AB67DE">
        <w:rPr>
          <w:szCs w:val="22"/>
        </w:rPr>
        <w:t>-205</w:t>
      </w:r>
      <w:r>
        <w:rPr>
          <w:szCs w:val="22"/>
        </w:rPr>
        <w:t xml:space="preserve"> of the Communications Act of 1934, as amended, 47 U.S.C. §§ 154(</w:t>
      </w:r>
      <w:r>
        <w:rPr>
          <w:szCs w:val="22"/>
        </w:rPr>
        <w:t>i</w:t>
      </w:r>
      <w:r>
        <w:rPr>
          <w:szCs w:val="22"/>
        </w:rPr>
        <w:t>), 15</w:t>
      </w:r>
      <w:r w:rsidR="00496718">
        <w:rPr>
          <w:szCs w:val="22"/>
        </w:rPr>
        <w:t>5</w:t>
      </w:r>
      <w:r>
        <w:rPr>
          <w:szCs w:val="22"/>
        </w:rPr>
        <w:t>, 201</w:t>
      </w:r>
      <w:r w:rsidR="00AB67DE">
        <w:rPr>
          <w:szCs w:val="22"/>
        </w:rPr>
        <w:t>-205</w:t>
      </w:r>
      <w:r>
        <w:rPr>
          <w:szCs w:val="22"/>
        </w:rPr>
        <w:t xml:space="preserve">, </w:t>
      </w:r>
      <w:r w:rsidR="0099572C">
        <w:t xml:space="preserve">and </w:t>
      </w:r>
      <w:r w:rsidR="00C360C9">
        <w:rPr>
          <w:szCs w:val="22"/>
        </w:rPr>
        <w:t xml:space="preserve">the </w:t>
      </w:r>
      <w:r w:rsidRPr="001D04B1" w:rsidR="00C360C9">
        <w:t>authority delegated pursuant to sections 0.91 and 0.291 of the Commission’s rules, 47 CFR §§ 0.91 and 0.291,</w:t>
      </w:r>
      <w:r w:rsidR="00C360C9">
        <w:t xml:space="preserve"> and the </w:t>
      </w:r>
      <w:r w:rsidRPr="00A95587" w:rsidR="00C360C9">
        <w:rPr>
          <w:i/>
          <w:iCs/>
        </w:rPr>
        <w:t>Core Tariff Investigation Order</w:t>
      </w:r>
      <w:r w:rsidR="00C360C9">
        <w:t>,</w:t>
      </w:r>
      <w:r>
        <w:rPr>
          <w:rStyle w:val="FootnoteReference"/>
        </w:rPr>
        <w:footnoteReference w:id="38"/>
      </w:r>
      <w:r w:rsidRPr="001D04B1" w:rsidR="00C360C9">
        <w:t xml:space="preserve"> </w:t>
      </w:r>
      <w:r w:rsidRPr="001D04B1">
        <w:t xml:space="preserve">that the </w:t>
      </w:r>
      <w:r w:rsidR="00F76B59">
        <w:t>R</w:t>
      </w:r>
      <w:r w:rsidR="00AB67DE">
        <w:t xml:space="preserve">efund </w:t>
      </w:r>
      <w:r w:rsidR="00F76B59">
        <w:t>P</w:t>
      </w:r>
      <w:r w:rsidR="00AB67DE">
        <w:t xml:space="preserve">lan </w:t>
      </w:r>
      <w:r w:rsidRPr="001D04B1">
        <w:t>filed by Core Communications, Inc., on June 29, 2022</w:t>
      </w:r>
      <w:r w:rsidRPr="00F73693" w:rsidR="000B5222">
        <w:t>,</w:t>
      </w:r>
      <w:r>
        <w:t xml:space="preserve"> </w:t>
      </w:r>
      <w:r w:rsidRPr="001D04B1" w:rsidR="00BA6BD7">
        <w:t>is</w:t>
      </w:r>
      <w:r w:rsidRPr="001D04B1">
        <w:t xml:space="preserve"> APPROVED.</w:t>
      </w:r>
      <w:r>
        <w:t xml:space="preserve">  </w:t>
      </w:r>
    </w:p>
    <w:p w:rsidR="00B62C7B" w:rsidRPr="001D04B1" w:rsidP="00B6131B" w14:paraId="6F322150" w14:textId="17D0159E">
      <w:pPr>
        <w:pStyle w:val="ParaNum"/>
        <w:widowControl/>
        <w:tabs>
          <w:tab w:val="clear" w:pos="1080"/>
        </w:tabs>
      </w:pPr>
      <w:r w:rsidRPr="00030AFF">
        <w:t xml:space="preserve">IT IS ORDERED that Core Communications, Inc., </w:t>
      </w:r>
      <w:r>
        <w:t xml:space="preserve">must </w:t>
      </w:r>
      <w:r w:rsidRPr="00030AFF">
        <w:t xml:space="preserve">implement the revised rate for </w:t>
      </w:r>
      <w:r w:rsidR="0037760B">
        <w:t xml:space="preserve">its assessed </w:t>
      </w:r>
      <w:r w:rsidR="005A050B">
        <w:t>late-payment</w:t>
      </w:r>
      <w:r w:rsidRPr="00030AFF">
        <w:t xml:space="preserve"> fee </w:t>
      </w:r>
      <w:r w:rsidR="00FE02D1">
        <w:t xml:space="preserve">for the Refund Period </w:t>
      </w:r>
      <w:r w:rsidRPr="00030AFF">
        <w:t>in accordance</w:t>
      </w:r>
      <w:r w:rsidRPr="001D04B1">
        <w:t xml:space="preserve"> with the </w:t>
      </w:r>
      <w:r w:rsidR="00F76B59">
        <w:t>R</w:t>
      </w:r>
      <w:r w:rsidR="00AB67DE">
        <w:t xml:space="preserve">efund </w:t>
      </w:r>
      <w:r w:rsidR="00F76B59">
        <w:t>P</w:t>
      </w:r>
      <w:r w:rsidR="00AB67DE">
        <w:t xml:space="preserve">lan </w:t>
      </w:r>
      <w:r w:rsidRPr="001D04B1">
        <w:t>within 45 days of the release date of this Memorandum Opinion and Order.</w:t>
      </w:r>
    </w:p>
    <w:p w:rsidR="00B62C7B" w:rsidRPr="001D04B1" w:rsidP="00B6131B" w14:paraId="7134EF19" w14:textId="333519BC">
      <w:pPr>
        <w:pStyle w:val="ParaNum"/>
        <w:keepNext/>
        <w:keepLines/>
        <w:widowControl/>
        <w:tabs>
          <w:tab w:val="clear" w:pos="1080"/>
        </w:tabs>
      </w:pPr>
      <w:r w:rsidRPr="001D04B1">
        <w:t>IT IS ORDERED pursuant to section 1.102(b) of the Commission’s rules, 47 CFR § 1.10</w:t>
      </w:r>
      <w:r w:rsidR="00FA05A3">
        <w:t>2(b)</w:t>
      </w:r>
      <w:r w:rsidRPr="001D04B1">
        <w:t xml:space="preserve">, that this </w:t>
      </w:r>
      <w:r w:rsidR="007B2198">
        <w:t xml:space="preserve">Memorandum Opinion and Order </w:t>
      </w:r>
      <w:r w:rsidRPr="001D04B1">
        <w:t xml:space="preserve">shall be EFFECTIVE ON RELEASE. </w:t>
      </w:r>
    </w:p>
    <w:p w:rsidR="00B62C7B" w:rsidRPr="00934B51" w:rsidP="00B6131B" w14:paraId="16C587CC" w14:textId="77777777">
      <w:pPr>
        <w:keepNext/>
        <w:keepLines/>
        <w:widowControl/>
      </w:pPr>
    </w:p>
    <w:p w:rsidR="00B62C7B" w:rsidP="00B6131B" w14:paraId="32F75E5F" w14:textId="77777777">
      <w:pPr>
        <w:keepNext/>
        <w:keepLines/>
        <w:widowControl/>
      </w:pPr>
      <w:r>
        <w:tab/>
      </w:r>
      <w:r>
        <w:tab/>
      </w:r>
      <w:r>
        <w:tab/>
      </w:r>
      <w:r>
        <w:tab/>
      </w:r>
      <w:r>
        <w:tab/>
      </w:r>
      <w:r>
        <w:tab/>
        <w:t>FEDERAL COMMUNICATIONS COMMISSION</w:t>
      </w:r>
    </w:p>
    <w:p w:rsidR="00B62C7B" w:rsidP="00B6131B" w14:paraId="56EC445E" w14:textId="77777777">
      <w:pPr>
        <w:keepNext/>
        <w:keepLines/>
        <w:widowControl/>
      </w:pPr>
    </w:p>
    <w:p w:rsidR="00B62C7B" w:rsidP="00B6131B" w14:paraId="4107AC88" w14:textId="77777777">
      <w:pPr>
        <w:keepNext/>
        <w:keepLines/>
        <w:widowControl/>
      </w:pPr>
    </w:p>
    <w:p w:rsidR="00B62C7B" w:rsidP="00B6131B" w14:paraId="5E72A3D6" w14:textId="77777777">
      <w:pPr>
        <w:keepNext/>
        <w:keepLines/>
        <w:widowControl/>
      </w:pPr>
    </w:p>
    <w:p w:rsidR="00B62C7B" w:rsidP="00B6131B" w14:paraId="6F043F0D" w14:textId="77777777">
      <w:pPr>
        <w:keepNext/>
        <w:keepLines/>
        <w:widowControl/>
      </w:pPr>
    </w:p>
    <w:p w:rsidR="00B62C7B" w:rsidP="00B6131B" w14:paraId="744BE376" w14:textId="22B17F06">
      <w:pPr>
        <w:keepNext/>
        <w:keepLines/>
        <w:widowControl/>
      </w:pPr>
      <w:r>
        <w:tab/>
      </w:r>
      <w:r>
        <w:tab/>
      </w:r>
      <w:r>
        <w:tab/>
      </w:r>
      <w:r>
        <w:tab/>
      </w:r>
      <w:r>
        <w:tab/>
      </w:r>
      <w:r>
        <w:tab/>
      </w:r>
      <w:r w:rsidR="00FA05A3">
        <w:t>Trent B. Harkrader</w:t>
      </w:r>
    </w:p>
    <w:p w:rsidR="00FA05A3" w:rsidP="00B6131B" w14:paraId="03C412D7" w14:textId="52A5EEC6">
      <w:pPr>
        <w:keepNext/>
        <w:keepLines/>
        <w:widowControl/>
      </w:pPr>
      <w:r>
        <w:tab/>
      </w:r>
      <w:r>
        <w:tab/>
      </w:r>
      <w:r>
        <w:tab/>
      </w:r>
      <w:r>
        <w:tab/>
      </w:r>
      <w:r>
        <w:tab/>
      </w:r>
      <w:r>
        <w:tab/>
        <w:t>Chief</w:t>
      </w:r>
    </w:p>
    <w:p w:rsidR="00FA05A3" w:rsidRPr="00934B51" w:rsidP="00B6131B" w14:paraId="42C60343" w14:textId="1347E7E1">
      <w:pPr>
        <w:keepNext/>
        <w:keepLines/>
        <w:widowControl/>
      </w:pPr>
      <w:r>
        <w:tab/>
      </w:r>
      <w:r>
        <w:tab/>
      </w:r>
      <w:r>
        <w:tab/>
      </w:r>
      <w:r>
        <w:tab/>
      </w:r>
      <w:r>
        <w:tab/>
      </w:r>
      <w:r>
        <w:tab/>
        <w:t>Wireline Competition Bureau</w:t>
      </w:r>
    </w:p>
    <w:p w:rsidR="00B62C7B" w:rsidP="00B6131B" w14:paraId="19784A53" w14:textId="77777777">
      <w:pPr>
        <w:widowControl/>
        <w:rPr>
          <w:spacing w:val="-2"/>
        </w:r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388D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A60D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9901E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8E3CCA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AE23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0A7C" w14:paraId="6936BB5A" w14:textId="77777777">
      <w:r>
        <w:separator/>
      </w:r>
    </w:p>
  </w:footnote>
  <w:footnote w:type="continuationSeparator" w:id="1">
    <w:p w:rsidR="00300A7C" w:rsidP="00C721AC" w14:paraId="69DC9822" w14:textId="77777777">
      <w:pPr>
        <w:spacing w:before="120"/>
        <w:rPr>
          <w:sz w:val="20"/>
        </w:rPr>
      </w:pPr>
      <w:r>
        <w:rPr>
          <w:sz w:val="20"/>
        </w:rPr>
        <w:t xml:space="preserve">(Continued from previous page)  </w:t>
      </w:r>
      <w:r>
        <w:rPr>
          <w:sz w:val="20"/>
        </w:rPr>
        <w:separator/>
      </w:r>
    </w:p>
  </w:footnote>
  <w:footnote w:type="continuationNotice" w:id="2">
    <w:p w:rsidR="00300A7C" w:rsidP="00C721AC" w14:paraId="7E1B5E05" w14:textId="77777777">
      <w:pPr>
        <w:jc w:val="right"/>
        <w:rPr>
          <w:sz w:val="20"/>
        </w:rPr>
      </w:pPr>
      <w:r>
        <w:rPr>
          <w:sz w:val="20"/>
        </w:rPr>
        <w:t>(continued….)</w:t>
      </w:r>
    </w:p>
  </w:footnote>
  <w:footnote w:id="3">
    <w:p w:rsidR="00B62C7B" w:rsidRPr="00FF6886" w:rsidP="00B62C7B" w14:paraId="6DC6F0EE" w14:textId="4454F13A">
      <w:pPr>
        <w:pStyle w:val="FootnoteText"/>
      </w:pPr>
      <w:r w:rsidRPr="004306F5">
        <w:rPr>
          <w:rStyle w:val="FootnoteReference"/>
        </w:rPr>
        <w:footnoteRef/>
      </w:r>
      <w:r>
        <w:t xml:space="preserve"> </w:t>
      </w:r>
      <w:r w:rsidR="009A20EB">
        <w:t>Letter from Carey Ro</w:t>
      </w:r>
      <w:r w:rsidR="00FF6886">
        <w:t>e</w:t>
      </w:r>
      <w:r w:rsidR="009A20EB">
        <w:t>sel, Consultant</w:t>
      </w:r>
      <w:r w:rsidR="00D5225F">
        <w:t xml:space="preserve">, </w:t>
      </w:r>
      <w:r w:rsidR="00D5225F">
        <w:t>Inteserra</w:t>
      </w:r>
      <w:r w:rsidR="00D5225F">
        <w:t xml:space="preserve">, Inc., to Marlene H. Dortch, Secretary, FCC, WC </w:t>
      </w:r>
      <w:r w:rsidR="00400006">
        <w:t>D</w:t>
      </w:r>
      <w:r w:rsidR="00D5225F">
        <w:t>ocket No. 21-191</w:t>
      </w:r>
      <w:r w:rsidR="00400006">
        <w:t>, Attach.</w:t>
      </w:r>
      <w:r w:rsidR="00106777">
        <w:t>,</w:t>
      </w:r>
      <w:r w:rsidR="00400006">
        <w:t xml:space="preserve"> </w:t>
      </w:r>
      <w:r w:rsidR="00932FB2">
        <w:t>Refund Plan of Core Communications, Inc.</w:t>
      </w:r>
      <w:r w:rsidR="00400006">
        <w:t xml:space="preserve"> (filed June 29, 2022</w:t>
      </w:r>
      <w:r w:rsidRPr="00932FB2" w:rsidR="00400006">
        <w:t>)</w:t>
      </w:r>
      <w:r w:rsidR="009922BE">
        <w:t xml:space="preserve"> (Refund Plan)</w:t>
      </w:r>
      <w:r w:rsidR="00FF6886">
        <w:t>.</w:t>
      </w:r>
      <w:r w:rsidRPr="00932FB2" w:rsidR="00400006">
        <w:t xml:space="preserve"> </w:t>
      </w:r>
    </w:p>
  </w:footnote>
  <w:footnote w:id="4">
    <w:p w:rsidR="00B62C7B" w:rsidRPr="00994494" w:rsidP="00B62C7B" w14:paraId="0415CA68" w14:textId="589A9E2E">
      <w:pPr>
        <w:widowControl/>
        <w:spacing w:after="120"/>
        <w:rPr>
          <w:sz w:val="20"/>
        </w:rPr>
      </w:pPr>
      <w:r w:rsidRPr="004306F5">
        <w:rPr>
          <w:rStyle w:val="FootnoteReference"/>
        </w:rPr>
        <w:footnoteRef/>
      </w:r>
      <w:r w:rsidRPr="00994494">
        <w:rPr>
          <w:sz w:val="20"/>
        </w:rPr>
        <w:t xml:space="preserve"> </w:t>
      </w:r>
      <w:r w:rsidRPr="00994494">
        <w:rPr>
          <w:i/>
          <w:iCs/>
          <w:sz w:val="20"/>
        </w:rPr>
        <w:t>Core Communications, Inc., et al.</w:t>
      </w:r>
      <w:r>
        <w:rPr>
          <w:i/>
          <w:iCs/>
          <w:sz w:val="20"/>
        </w:rPr>
        <w:t>,</w:t>
      </w:r>
      <w:r w:rsidRPr="00994494">
        <w:rPr>
          <w:i/>
          <w:iCs/>
          <w:sz w:val="20"/>
        </w:rPr>
        <w:t xml:space="preserve"> Tariff F.C.C. No. 3</w:t>
      </w:r>
      <w:r w:rsidRPr="0016389A">
        <w:rPr>
          <w:sz w:val="20"/>
        </w:rPr>
        <w:t>,</w:t>
      </w:r>
      <w:r w:rsidRPr="00994494">
        <w:rPr>
          <w:sz w:val="20"/>
        </w:rPr>
        <w:t xml:space="preserve"> WC Docket No. 21-191, Transmittal No. 17, Memorandum Opinion and Order, </w:t>
      </w:r>
      <w:r w:rsidR="00BA1CDE">
        <w:rPr>
          <w:sz w:val="20"/>
        </w:rPr>
        <w:t>36 FCC Rcd 15128,</w:t>
      </w:r>
      <w:r w:rsidR="00AB2B7D">
        <w:rPr>
          <w:sz w:val="20"/>
        </w:rPr>
        <w:t xml:space="preserve"> 151</w:t>
      </w:r>
      <w:r w:rsidR="00E00046">
        <w:rPr>
          <w:sz w:val="20"/>
        </w:rPr>
        <w:t>50-52, 15157</w:t>
      </w:r>
      <w:r w:rsidR="00EF4F7E">
        <w:rPr>
          <w:sz w:val="20"/>
        </w:rPr>
        <w:t>-58</w:t>
      </w:r>
      <w:r>
        <w:rPr>
          <w:sz w:val="20"/>
        </w:rPr>
        <w:t>, paras. 52-57, 69-70, 73</w:t>
      </w:r>
      <w:r w:rsidRPr="00994494">
        <w:rPr>
          <w:sz w:val="20"/>
        </w:rPr>
        <w:t xml:space="preserve"> (2021) (</w:t>
      </w:r>
      <w:r w:rsidRPr="00994494">
        <w:rPr>
          <w:i/>
          <w:iCs/>
          <w:sz w:val="20"/>
        </w:rPr>
        <w:t>Core Tariff Investigation Order</w:t>
      </w:r>
      <w:r w:rsidRPr="00994494">
        <w:rPr>
          <w:sz w:val="20"/>
        </w:rPr>
        <w:t>)</w:t>
      </w:r>
      <w:r w:rsidRPr="00E23330">
        <w:rPr>
          <w:sz w:val="20"/>
        </w:rPr>
        <w:t xml:space="preserve">, </w:t>
      </w:r>
      <w:r w:rsidRPr="00A222A1">
        <w:rPr>
          <w:i/>
          <w:iCs/>
          <w:sz w:val="20"/>
        </w:rPr>
        <w:t>pet. for review dismissed</w:t>
      </w:r>
      <w:r>
        <w:rPr>
          <w:i/>
          <w:iCs/>
          <w:sz w:val="20"/>
        </w:rPr>
        <w:t xml:space="preserve"> per stipulation</w:t>
      </w:r>
      <w:r w:rsidRPr="00E23330">
        <w:rPr>
          <w:sz w:val="20"/>
        </w:rPr>
        <w:t xml:space="preserve">, </w:t>
      </w:r>
      <w:r w:rsidRPr="00E23330">
        <w:rPr>
          <w:i/>
          <w:iCs/>
          <w:sz w:val="20"/>
        </w:rPr>
        <w:t>CoreTel</w:t>
      </w:r>
      <w:r w:rsidRPr="00E23330">
        <w:rPr>
          <w:i/>
          <w:iCs/>
          <w:sz w:val="20"/>
        </w:rPr>
        <w:t xml:space="preserve"> Delaware, Inc. v. FCC</w:t>
      </w:r>
      <w:r w:rsidRPr="00E23330">
        <w:rPr>
          <w:sz w:val="20"/>
        </w:rPr>
        <w:t>, No. 21-3170 (3d Cir</w:t>
      </w:r>
      <w:r>
        <w:rPr>
          <w:sz w:val="20"/>
        </w:rPr>
        <w:t>.</w:t>
      </w:r>
      <w:r w:rsidRPr="00E23330">
        <w:rPr>
          <w:sz w:val="20"/>
        </w:rPr>
        <w:t xml:space="preserve"> Mar. 17, 2022).</w:t>
      </w:r>
      <w:r w:rsidR="008C07F8">
        <w:rPr>
          <w:sz w:val="20"/>
        </w:rPr>
        <w:t xml:space="preserve"> </w:t>
      </w:r>
    </w:p>
  </w:footnote>
  <w:footnote w:id="5">
    <w:p w:rsidR="00B62C7B" w:rsidP="00B62C7B" w14:paraId="5302B9A4" w14:textId="685EED84">
      <w:pPr>
        <w:pStyle w:val="FootnoteText"/>
      </w:pPr>
      <w:r w:rsidRPr="004306F5">
        <w:rPr>
          <w:rStyle w:val="FootnoteReference"/>
        </w:rPr>
        <w:footnoteRef/>
      </w:r>
      <w:r>
        <w:t xml:space="preserve"> </w:t>
      </w:r>
      <w:r w:rsidRPr="00415FF1">
        <w:rPr>
          <w:i/>
          <w:iCs/>
        </w:rPr>
        <w:t>Core Tariff Investigation Order</w:t>
      </w:r>
      <w:r w:rsidRPr="00F73693" w:rsidR="00D934A7">
        <w:rPr>
          <w:iCs/>
        </w:rPr>
        <w:t>,</w:t>
      </w:r>
      <w:r w:rsidRPr="00F73693" w:rsidR="001B2D45">
        <w:rPr>
          <w:i/>
          <w:iCs/>
        </w:rPr>
        <w:t xml:space="preserve"> </w:t>
      </w:r>
      <w:r w:rsidRPr="00F73693" w:rsidR="001B2D45">
        <w:t>3</w:t>
      </w:r>
      <w:r w:rsidR="001B2D45">
        <w:t xml:space="preserve">6 FCC Rcd </w:t>
      </w:r>
      <w:r w:rsidR="006C2F3D">
        <w:t>at 15129</w:t>
      </w:r>
      <w:r w:rsidR="00F96D19">
        <w:t>,</w:t>
      </w:r>
      <w:r>
        <w:t xml:space="preserve"> para. 2 &amp; n.3.</w:t>
      </w:r>
      <w:r w:rsidR="00C15C0D">
        <w:t xml:space="preserve"> </w:t>
      </w:r>
    </w:p>
  </w:footnote>
  <w:footnote w:id="6">
    <w:p w:rsidR="00B62C7B" w:rsidP="00B62C7B" w14:paraId="2A98BBD2" w14:textId="65070A11">
      <w:pPr>
        <w:pStyle w:val="FootnoteText"/>
      </w:pPr>
      <w:r w:rsidRPr="004306F5">
        <w:rPr>
          <w:rStyle w:val="FootnoteReference"/>
        </w:rPr>
        <w:footnoteRef/>
      </w:r>
      <w:r>
        <w:t xml:space="preserve"> </w:t>
      </w:r>
      <w:r w:rsidRPr="00CB31B4">
        <w:t xml:space="preserve">Letter from Carey Roesel, Consultant, </w:t>
      </w:r>
      <w:r w:rsidRPr="00CB31B4">
        <w:t>Inteserra</w:t>
      </w:r>
      <w:r w:rsidRPr="00CB31B4">
        <w:t xml:space="preserve"> Consulting Group, to </w:t>
      </w:r>
      <w:r>
        <w:t xml:space="preserve">Marlene H. Dortch, </w:t>
      </w:r>
      <w:r w:rsidRPr="00CB31B4">
        <w:t xml:space="preserve">Secretary, FCC, </w:t>
      </w:r>
      <w:r w:rsidRPr="00994494">
        <w:t xml:space="preserve">WC Docket No. 21-191, </w:t>
      </w:r>
      <w:r w:rsidRPr="00CB31B4">
        <w:t xml:space="preserve">Transmittal No. 17 </w:t>
      </w:r>
      <w:r w:rsidRPr="001647C5">
        <w:t>(</w:t>
      </w:r>
      <w:r>
        <w:t xml:space="preserve">filed </w:t>
      </w:r>
      <w:r w:rsidRPr="001647C5">
        <w:t>Apr. 22, 2021)</w:t>
      </w:r>
      <w:r>
        <w:t xml:space="preserve"> </w:t>
      </w:r>
      <w:r w:rsidRPr="00CB31B4">
        <w:t>(available via the Commission’s Electronic Tariff Filing System</w:t>
      </w:r>
      <w:r>
        <w:t xml:space="preserve"> (ETFS),</w:t>
      </w:r>
      <w:r w:rsidRPr="00CB31B4">
        <w:t xml:space="preserve"> </w:t>
      </w:r>
      <w:r>
        <w:t>and</w:t>
      </w:r>
      <w:r w:rsidRPr="00CB31B4">
        <w:t xml:space="preserve"> in </w:t>
      </w:r>
      <w:r>
        <w:t xml:space="preserve">the Electronic Comment Filing System (ECFS) in </w:t>
      </w:r>
      <w:r w:rsidRPr="000D6855">
        <w:t>WC Docket No. 21-191</w:t>
      </w:r>
      <w:r>
        <w:t xml:space="preserve"> (listed as received on May 6, 2021)</w:t>
      </w:r>
      <w:r w:rsidRPr="00CB31B4">
        <w:t xml:space="preserve">); </w:t>
      </w:r>
      <w:r w:rsidRPr="00271433" w:rsidR="00271433">
        <w:rPr>
          <w:rFonts w:eastAsia="Arial"/>
          <w:color w:val="000000"/>
        </w:rPr>
        <w:t>Core Communications, Inc., et al., Tariff F.C.C. No. 3, Transmittal No. 17, 10th Rev. Page No. 28, §</w:t>
      </w:r>
      <w:r w:rsidR="00271433">
        <w:rPr>
          <w:rFonts w:eastAsia="Arial"/>
          <w:color w:val="000000"/>
        </w:rPr>
        <w:t> </w:t>
      </w:r>
      <w:r w:rsidRPr="00271433" w:rsidR="00271433">
        <w:rPr>
          <w:rFonts w:eastAsia="Arial"/>
          <w:color w:val="000000"/>
        </w:rPr>
        <w:t>2.10.4.A; 3rd Rev. Page No. 29, §</w:t>
      </w:r>
      <w:r w:rsidR="00271433">
        <w:rPr>
          <w:rFonts w:eastAsia="Arial"/>
          <w:color w:val="000000"/>
        </w:rPr>
        <w:t> </w:t>
      </w:r>
      <w:r w:rsidRPr="00271433" w:rsidR="00271433">
        <w:rPr>
          <w:rFonts w:eastAsia="Arial"/>
          <w:color w:val="000000"/>
        </w:rPr>
        <w:t>2.10.5; 3rd Rev. Page No. 33, §</w:t>
      </w:r>
      <w:r w:rsidR="00271433">
        <w:rPr>
          <w:rFonts w:eastAsia="Arial"/>
          <w:color w:val="000000"/>
        </w:rPr>
        <w:t> </w:t>
      </w:r>
      <w:r w:rsidRPr="00271433" w:rsidR="00271433">
        <w:rPr>
          <w:rFonts w:eastAsia="Arial"/>
          <w:color w:val="000000"/>
        </w:rPr>
        <w:t>2.13.3.H; 3d Rev. Page No. 40, §</w:t>
      </w:r>
      <w:r w:rsidR="00271433">
        <w:rPr>
          <w:rFonts w:eastAsia="Arial"/>
          <w:color w:val="000000"/>
        </w:rPr>
        <w:t> </w:t>
      </w:r>
      <w:r w:rsidRPr="00271433" w:rsidR="00271433">
        <w:rPr>
          <w:rFonts w:eastAsia="Arial"/>
          <w:color w:val="000000"/>
        </w:rPr>
        <w:t>2.21; 1st Rev. Page No. 43.1, §</w:t>
      </w:r>
      <w:r w:rsidR="00271433">
        <w:rPr>
          <w:rFonts w:eastAsia="Arial"/>
          <w:color w:val="000000"/>
        </w:rPr>
        <w:t> </w:t>
      </w:r>
      <w:r w:rsidRPr="00271433" w:rsidR="00271433">
        <w:rPr>
          <w:rFonts w:eastAsia="Arial"/>
          <w:color w:val="000000"/>
        </w:rPr>
        <w:t>3.3.5 (Apr. 22, 2021) (Transmittal No. 17)</w:t>
      </w:r>
      <w:r>
        <w:t xml:space="preserve"> </w:t>
      </w:r>
      <w:r w:rsidRPr="00CB31B4">
        <w:t xml:space="preserve">(available via </w:t>
      </w:r>
      <w:r>
        <w:t>ETFS,</w:t>
      </w:r>
      <w:r w:rsidRPr="00CB31B4">
        <w:t xml:space="preserve"> </w:t>
      </w:r>
      <w:r>
        <w:t>and</w:t>
      </w:r>
      <w:r w:rsidRPr="00CB31B4">
        <w:t xml:space="preserve"> in </w:t>
      </w:r>
      <w:r>
        <w:t xml:space="preserve">ECFS in </w:t>
      </w:r>
      <w:r w:rsidRPr="000D6855">
        <w:t>WC Docket No. 21-191</w:t>
      </w:r>
      <w:r>
        <w:t xml:space="preserve"> (listed as received on May 6, 2021)</w:t>
      </w:r>
      <w:r w:rsidRPr="00CB31B4">
        <w:t>).</w:t>
      </w:r>
    </w:p>
  </w:footnote>
  <w:footnote w:id="7">
    <w:p w:rsidR="00B62C7B" w:rsidP="00B62C7B" w14:paraId="406A28B4" w14:textId="77777777">
      <w:pPr>
        <w:pStyle w:val="FootnoteText"/>
      </w:pPr>
      <w:r w:rsidRPr="004306F5">
        <w:rPr>
          <w:rStyle w:val="FootnoteReference"/>
        </w:rPr>
        <w:footnoteRef/>
      </w:r>
      <w:r>
        <w:t xml:space="preserve"> </w:t>
      </w:r>
      <w:r w:rsidRPr="00CB31B4">
        <w:t>Core Tariff F.C.C. No. 3, 3rd Rev. Page No. 29, §</w:t>
      </w:r>
      <w:r>
        <w:t> </w:t>
      </w:r>
      <w:r w:rsidRPr="00CB31B4">
        <w:t>2.10.5</w:t>
      </w:r>
      <w:r>
        <w:t xml:space="preserve"> </w:t>
      </w:r>
      <w:r w:rsidRPr="00096A4B">
        <w:t>(</w:t>
      </w:r>
      <w:r w:rsidRPr="007B7AC6">
        <w:t>filed Apr. 22, 2021).</w:t>
      </w:r>
    </w:p>
  </w:footnote>
  <w:footnote w:id="8">
    <w:p w:rsidR="00B62C7B" w:rsidP="00B62C7B" w14:paraId="43A84AD2" w14:textId="67997C9E">
      <w:pPr>
        <w:pStyle w:val="FootnoteText"/>
      </w:pPr>
      <w:r w:rsidRPr="004306F5">
        <w:rPr>
          <w:rStyle w:val="FootnoteReference"/>
        </w:rPr>
        <w:footnoteRef/>
      </w:r>
      <w:r>
        <w:t xml:space="preserve"> </w:t>
      </w:r>
      <w:r w:rsidRPr="00354F95">
        <w:rPr>
          <w:i/>
          <w:iCs/>
        </w:rPr>
        <w:t>Core Comm</w:t>
      </w:r>
      <w:r>
        <w:rPr>
          <w:i/>
          <w:iCs/>
        </w:rPr>
        <w:t>unication</w:t>
      </w:r>
      <w:r w:rsidRPr="00354F95">
        <w:rPr>
          <w:i/>
          <w:iCs/>
        </w:rPr>
        <w:t>, Inc., et al</w:t>
      </w:r>
      <w:r>
        <w:rPr>
          <w:i/>
          <w:iCs/>
        </w:rPr>
        <w:t>.,</w:t>
      </w:r>
      <w:r w:rsidRPr="00354F95">
        <w:rPr>
          <w:i/>
          <w:iCs/>
        </w:rPr>
        <w:t xml:space="preserve"> Tariff F.C.C. No. 3</w:t>
      </w:r>
      <w:r w:rsidRPr="00EC311C">
        <w:t>, WC Docket No. 21-191, Transmittal No. 17, Order, 36 FCC Rcd 8198, 8198, 8200, paras. 1, 6 (WCB 2021) (</w:t>
      </w:r>
      <w:r w:rsidRPr="00354F95">
        <w:rPr>
          <w:i/>
          <w:iCs/>
        </w:rPr>
        <w:t>Suspension Order</w:t>
      </w:r>
      <w:r w:rsidRPr="00EC311C">
        <w:t>).</w:t>
      </w:r>
    </w:p>
  </w:footnote>
  <w:footnote w:id="9">
    <w:p w:rsidR="00B62C7B" w:rsidP="00B62C7B" w14:paraId="2A4B346E" w14:textId="366CD3B3">
      <w:pPr>
        <w:pStyle w:val="FootnoteText"/>
      </w:pPr>
      <w:r w:rsidRPr="004306F5">
        <w:rPr>
          <w:rStyle w:val="FootnoteReference"/>
        </w:rPr>
        <w:footnoteRef/>
      </w:r>
      <w:r>
        <w:t xml:space="preserve"> </w:t>
      </w:r>
      <w:r w:rsidRPr="009E3BB0" w:rsidR="0039217E">
        <w:rPr>
          <w:i/>
          <w:iCs/>
        </w:rPr>
        <w:t>Id.</w:t>
      </w:r>
      <w:r w:rsidR="0039217E">
        <w:t xml:space="preserve"> </w:t>
      </w:r>
      <w:r>
        <w:t>at</w:t>
      </w:r>
      <w:r w:rsidRPr="00EC311C">
        <w:t xml:space="preserve"> 8200, para. </w:t>
      </w:r>
      <w:r>
        <w:t>8</w:t>
      </w:r>
      <w:r w:rsidRPr="00EC311C">
        <w:t>.</w:t>
      </w:r>
    </w:p>
  </w:footnote>
  <w:footnote w:id="10">
    <w:p w:rsidR="00B62C7B" w:rsidP="00B62C7B" w14:paraId="22272725" w14:textId="7EF2C241">
      <w:pPr>
        <w:pStyle w:val="FootnoteText"/>
      </w:pPr>
      <w:r w:rsidRPr="004306F5">
        <w:rPr>
          <w:rStyle w:val="FootnoteReference"/>
        </w:rPr>
        <w:footnoteRef/>
      </w:r>
      <w:r>
        <w:t xml:space="preserve"> </w:t>
      </w:r>
      <w:r>
        <w:rPr>
          <w:i/>
          <w:iCs/>
        </w:rPr>
        <w:t>Core Communications, Inc., et al., Tariff F.C.C. No. 3</w:t>
      </w:r>
      <w:r>
        <w:t xml:space="preserve">, WC Docket No. 21-191, Transmittal No. 17, Order Designating Issues for Investigation, </w:t>
      </w:r>
      <w:r w:rsidRPr="00511BE0" w:rsidR="00D760A9">
        <w:t xml:space="preserve">36 FCC Rcd 9997, </w:t>
      </w:r>
      <w:r w:rsidRPr="00511BE0" w:rsidR="00B840DC">
        <w:t xml:space="preserve">10010, </w:t>
      </w:r>
      <w:r w:rsidRPr="00511BE0">
        <w:t>para. 38 (WCB 2021) (</w:t>
      </w:r>
      <w:r w:rsidRPr="00511BE0">
        <w:rPr>
          <w:i/>
          <w:iCs/>
        </w:rPr>
        <w:t>Designation Order</w:t>
      </w:r>
      <w:r w:rsidRPr="00511BE0">
        <w:t>).</w:t>
      </w:r>
      <w:r w:rsidRPr="00511BE0" w:rsidR="008A0119">
        <w:t xml:space="preserve">  The </w:t>
      </w:r>
      <w:r w:rsidRPr="00511BE0" w:rsidR="00655FF7">
        <w:t>Bureau</w:t>
      </w:r>
      <w:r w:rsidRPr="00511BE0" w:rsidR="008A0119">
        <w:t xml:space="preserve"> </w:t>
      </w:r>
      <w:r w:rsidRPr="00511BE0" w:rsidR="00084617">
        <w:t xml:space="preserve">also </w:t>
      </w:r>
      <w:r w:rsidRPr="00511BE0" w:rsidR="008A0119">
        <w:t xml:space="preserve">directed Core to answer </w:t>
      </w:r>
      <w:r w:rsidRPr="00511BE0" w:rsidR="00AD3C73">
        <w:t xml:space="preserve">questions about its </w:t>
      </w:r>
      <w:r w:rsidR="009E2593">
        <w:t xml:space="preserve">other </w:t>
      </w:r>
      <w:r w:rsidRPr="00511BE0" w:rsidR="00AD3C73">
        <w:t xml:space="preserve">tariff revisions, including </w:t>
      </w:r>
      <w:r w:rsidR="009E2593">
        <w:t xml:space="preserve">revisions to </w:t>
      </w:r>
      <w:r w:rsidRPr="00511BE0" w:rsidR="00AD3C73">
        <w:t xml:space="preserve">the dispute resolution process, </w:t>
      </w:r>
      <w:r w:rsidRPr="00511BE0" w:rsidR="00841011">
        <w:t>charges for services</w:t>
      </w:r>
      <w:r w:rsidRPr="00511BE0" w:rsidR="0016108C">
        <w:t xml:space="preserve"> to customers to which it discontinue</w:t>
      </w:r>
      <w:r w:rsidR="009E2593">
        <w:t>s</w:t>
      </w:r>
      <w:r w:rsidRPr="00511BE0" w:rsidR="0016108C">
        <w:t xml:space="preserve"> service, </w:t>
      </w:r>
      <w:r w:rsidRPr="00993FA1" w:rsidR="00755217">
        <w:t xml:space="preserve">and </w:t>
      </w:r>
      <w:r w:rsidRPr="00511BE0" w:rsidR="007D0D76">
        <w:t>charges for 8YY database queries when the underlying call is not completed</w:t>
      </w:r>
      <w:r w:rsidRPr="00511BE0" w:rsidR="008A0E1E">
        <w:t xml:space="preserve">.  </w:t>
      </w:r>
      <w:r w:rsidRPr="00511BE0" w:rsidR="008A0E1E">
        <w:rPr>
          <w:i/>
          <w:iCs/>
        </w:rPr>
        <w:t>Id.</w:t>
      </w:r>
      <w:r w:rsidRPr="00511BE0" w:rsidR="008A0E1E">
        <w:t xml:space="preserve"> </w:t>
      </w:r>
      <w:r w:rsidRPr="00511BE0" w:rsidR="008D6026">
        <w:t xml:space="preserve">at </w:t>
      </w:r>
      <w:r w:rsidRPr="00511BE0" w:rsidR="004876C1">
        <w:t>10008</w:t>
      </w:r>
      <w:r w:rsidRPr="00511BE0" w:rsidR="00B30062">
        <w:t>-</w:t>
      </w:r>
      <w:r w:rsidRPr="00511BE0" w:rsidR="008D6026">
        <w:t>1</w:t>
      </w:r>
      <w:r w:rsidR="007830A4">
        <w:t>1</w:t>
      </w:r>
      <w:r w:rsidRPr="00511BE0" w:rsidR="008D6026">
        <w:t xml:space="preserve">, paras. </w:t>
      </w:r>
      <w:r w:rsidRPr="00511BE0" w:rsidR="004876C1">
        <w:t xml:space="preserve">31-37, </w:t>
      </w:r>
      <w:r w:rsidRPr="00511BE0" w:rsidR="0016108C">
        <w:t>39-4</w:t>
      </w:r>
      <w:r w:rsidR="007830A4">
        <w:t>1</w:t>
      </w:r>
      <w:r w:rsidRPr="00511BE0" w:rsidR="004876C1">
        <w:t>.</w:t>
      </w:r>
    </w:p>
  </w:footnote>
  <w:footnote w:id="11">
    <w:p w:rsidR="00B62C7B" w:rsidP="00B62C7B" w14:paraId="53157F59" w14:textId="66345AFA">
      <w:pPr>
        <w:pStyle w:val="FootnoteText"/>
      </w:pPr>
      <w:r w:rsidRPr="004306F5">
        <w:rPr>
          <w:rStyle w:val="FootnoteReference"/>
        </w:rPr>
        <w:footnoteRef/>
      </w:r>
      <w:r>
        <w:t xml:space="preserve"> Direct Case of Core,</w:t>
      </w:r>
      <w:r w:rsidRPr="00306533">
        <w:t xml:space="preserve"> </w:t>
      </w:r>
      <w:r w:rsidRPr="00994494">
        <w:t>WC Docket No. 21-191</w:t>
      </w:r>
      <w:r w:rsidR="00502E42">
        <w:t>, Transmittal No. 17</w:t>
      </w:r>
      <w:r>
        <w:t xml:space="preserve"> </w:t>
      </w:r>
      <w:r w:rsidRPr="002B1026">
        <w:t>(</w:t>
      </w:r>
      <w:r>
        <w:t xml:space="preserve">filed </w:t>
      </w:r>
      <w:r w:rsidRPr="002B1026">
        <w:t>J</w:t>
      </w:r>
      <w:r>
        <w:t xml:space="preserve">uly 14, 2021) </w:t>
      </w:r>
      <w:r w:rsidRPr="004D7AC0">
        <w:t>(Direct Case)</w:t>
      </w:r>
      <w:r>
        <w:t>.</w:t>
      </w:r>
    </w:p>
  </w:footnote>
  <w:footnote w:id="12">
    <w:p w:rsidR="00B62C7B" w:rsidP="00B62C7B" w14:paraId="7AC3490D" w14:textId="3FE258F1">
      <w:pPr>
        <w:pStyle w:val="FootnoteText"/>
      </w:pPr>
      <w:r w:rsidRPr="004306F5">
        <w:rPr>
          <w:rStyle w:val="FootnoteReference"/>
        </w:rPr>
        <w:footnoteRef/>
      </w:r>
      <w:r>
        <w:t xml:space="preserve"> AT&amp;T Services, Inc.’s Opposition to Direct Case of Core, WC Docket No. 21-191, Transmittal No. 17, at 25-26 (filed July 28, 2021)</w:t>
      </w:r>
      <w:r w:rsidR="001E1997">
        <w:t xml:space="preserve"> </w:t>
      </w:r>
      <w:r w:rsidRPr="00993FA1" w:rsidR="001E1997">
        <w:t>(AT&amp;T Opposition to Direct Case</w:t>
      </w:r>
      <w:r w:rsidR="001E1997">
        <w:t>)</w:t>
      </w:r>
      <w:r>
        <w:t>; Verizon’s Opposition to the Direct Case of Core, WC Docket No. 21-191, Transmittal No. 17, at 20-21 (filed July 28, 2021) (Verizon Opposition to Direct Case</w:t>
      </w:r>
      <w:r w:rsidRPr="00535F39">
        <w:t xml:space="preserve">).  </w:t>
      </w:r>
      <w:r w:rsidRPr="00993FA1" w:rsidR="00535F39">
        <w:rPr>
          <w:rFonts w:eastAsia="Arial"/>
          <w:color w:val="000000"/>
        </w:rPr>
        <w:t xml:space="preserve">AT&amp;T also </w:t>
      </w:r>
      <w:r w:rsidRPr="00993FA1" w:rsidR="008C3EBA">
        <w:rPr>
          <w:rFonts w:eastAsia="Arial"/>
          <w:color w:val="000000"/>
        </w:rPr>
        <w:t>asserted that</w:t>
      </w:r>
      <w:r w:rsidRPr="00993FA1" w:rsidR="00F05B63">
        <w:rPr>
          <w:rFonts w:eastAsia="Arial"/>
          <w:color w:val="000000"/>
        </w:rPr>
        <w:t xml:space="preserve"> </w:t>
      </w:r>
      <w:r w:rsidRPr="00993FA1" w:rsidR="00535F39">
        <w:rPr>
          <w:rFonts w:eastAsia="Arial"/>
          <w:color w:val="000000"/>
        </w:rPr>
        <w:t xml:space="preserve">Core's </w:t>
      </w:r>
      <w:r w:rsidRPr="00993FA1" w:rsidR="006171FF">
        <w:rPr>
          <w:rFonts w:eastAsia="Arial"/>
          <w:color w:val="000000"/>
        </w:rPr>
        <w:t>dispute resolution provisions</w:t>
      </w:r>
      <w:r w:rsidRPr="00993FA1" w:rsidR="00F05B63">
        <w:rPr>
          <w:rFonts w:eastAsia="Arial"/>
          <w:color w:val="000000"/>
        </w:rPr>
        <w:t xml:space="preserve"> and database query provisions</w:t>
      </w:r>
      <w:r w:rsidRPr="00993FA1" w:rsidR="008C3EBA">
        <w:rPr>
          <w:rFonts w:eastAsia="Arial"/>
          <w:color w:val="000000"/>
        </w:rPr>
        <w:t xml:space="preserve"> are unlawful</w:t>
      </w:r>
      <w:r w:rsidRPr="00993FA1" w:rsidR="00535F39">
        <w:rPr>
          <w:rFonts w:eastAsia="Arial"/>
          <w:color w:val="000000"/>
        </w:rPr>
        <w:t xml:space="preserve">. </w:t>
      </w:r>
      <w:r w:rsidRPr="00993FA1" w:rsidR="001E1997">
        <w:rPr>
          <w:rFonts w:eastAsia="Arial"/>
          <w:color w:val="000000"/>
        </w:rPr>
        <w:t xml:space="preserve"> </w:t>
      </w:r>
      <w:r w:rsidRPr="00993FA1" w:rsidR="001E1997">
        <w:t xml:space="preserve">AT&amp;T Opposition to Direct Case </w:t>
      </w:r>
      <w:r w:rsidRPr="00993FA1" w:rsidR="00293198">
        <w:rPr>
          <w:rFonts w:eastAsia="Arial"/>
          <w:color w:val="000000"/>
        </w:rPr>
        <w:t>at 1</w:t>
      </w:r>
      <w:r w:rsidRPr="00993FA1" w:rsidR="002A705E">
        <w:rPr>
          <w:rFonts w:eastAsia="Arial"/>
          <w:color w:val="000000"/>
        </w:rPr>
        <w:t>0-</w:t>
      </w:r>
      <w:r w:rsidRPr="00993FA1" w:rsidR="00FC0980">
        <w:rPr>
          <w:rFonts w:eastAsia="Arial"/>
          <w:color w:val="000000"/>
        </w:rPr>
        <w:t xml:space="preserve">24, </w:t>
      </w:r>
      <w:r w:rsidRPr="00993FA1" w:rsidR="00090896">
        <w:rPr>
          <w:rFonts w:eastAsia="Arial"/>
          <w:color w:val="000000"/>
        </w:rPr>
        <w:t>26-29</w:t>
      </w:r>
      <w:r w:rsidRPr="00993FA1" w:rsidR="00293198">
        <w:rPr>
          <w:rFonts w:eastAsia="Arial"/>
          <w:color w:val="000000"/>
        </w:rPr>
        <w:t xml:space="preserve">.  </w:t>
      </w:r>
      <w:r w:rsidRPr="00993FA1" w:rsidR="00535F39">
        <w:rPr>
          <w:rFonts w:eastAsia="Arial"/>
          <w:color w:val="000000"/>
        </w:rPr>
        <w:t>Verizon argue</w:t>
      </w:r>
      <w:r w:rsidRPr="00993FA1" w:rsidR="00014C79">
        <w:rPr>
          <w:rFonts w:eastAsia="Arial"/>
          <w:color w:val="000000"/>
        </w:rPr>
        <w:t>d</w:t>
      </w:r>
      <w:r w:rsidRPr="00993FA1" w:rsidR="00535F39">
        <w:rPr>
          <w:rFonts w:eastAsia="Arial"/>
          <w:color w:val="000000"/>
        </w:rPr>
        <w:t xml:space="preserve"> that Core failed to adequately respond to the </w:t>
      </w:r>
      <w:r w:rsidRPr="00993FA1" w:rsidR="00535F39">
        <w:rPr>
          <w:rFonts w:eastAsia="Arial"/>
          <w:i/>
          <w:color w:val="000000"/>
        </w:rPr>
        <w:t>Designation Order</w:t>
      </w:r>
      <w:r w:rsidRPr="00993FA1" w:rsidR="00770F7B">
        <w:rPr>
          <w:rFonts w:eastAsia="Arial"/>
          <w:i/>
          <w:color w:val="000000"/>
        </w:rPr>
        <w:t xml:space="preserve"> </w:t>
      </w:r>
      <w:r w:rsidRPr="00993FA1" w:rsidR="00770F7B">
        <w:rPr>
          <w:rFonts w:eastAsia="Arial"/>
          <w:iCs/>
          <w:color w:val="000000"/>
        </w:rPr>
        <w:t>and</w:t>
      </w:r>
      <w:r w:rsidRPr="00993FA1" w:rsidR="00535F39">
        <w:rPr>
          <w:rFonts w:eastAsia="Arial"/>
          <w:iCs/>
          <w:color w:val="000000"/>
        </w:rPr>
        <w:t xml:space="preserve"> </w:t>
      </w:r>
      <w:r w:rsidRPr="00993FA1" w:rsidR="00535F39">
        <w:rPr>
          <w:rFonts w:eastAsia="Arial"/>
          <w:color w:val="000000"/>
        </w:rPr>
        <w:t>violate</w:t>
      </w:r>
      <w:r w:rsidRPr="00993FA1" w:rsidR="001E1997">
        <w:rPr>
          <w:rFonts w:eastAsia="Arial"/>
          <w:color w:val="000000"/>
        </w:rPr>
        <w:t>d</w:t>
      </w:r>
      <w:r w:rsidRPr="00993FA1" w:rsidR="00535F39">
        <w:rPr>
          <w:rFonts w:eastAsia="Arial"/>
          <w:color w:val="000000"/>
        </w:rPr>
        <w:t xml:space="preserve"> Commission rules</w:t>
      </w:r>
      <w:r w:rsidRPr="00993FA1" w:rsidR="00F70B1F">
        <w:rPr>
          <w:rFonts w:eastAsia="Arial"/>
          <w:color w:val="000000"/>
        </w:rPr>
        <w:t xml:space="preserve"> governing factual submissions</w:t>
      </w:r>
      <w:r w:rsidRPr="00993FA1" w:rsidR="002322EF">
        <w:rPr>
          <w:rFonts w:eastAsia="Arial"/>
          <w:color w:val="000000"/>
        </w:rPr>
        <w:t>.  Verizon also argued that</w:t>
      </w:r>
      <w:r w:rsidRPr="00993FA1" w:rsidR="00645DB8">
        <w:rPr>
          <w:rFonts w:eastAsia="Arial"/>
          <w:color w:val="000000"/>
        </w:rPr>
        <w:t xml:space="preserve"> if the Commission addresse</w:t>
      </w:r>
      <w:r w:rsidR="00FB583C">
        <w:rPr>
          <w:rFonts w:eastAsia="Arial"/>
          <w:color w:val="000000"/>
        </w:rPr>
        <w:t>d</w:t>
      </w:r>
      <w:r w:rsidRPr="00993FA1" w:rsidR="00645DB8">
        <w:rPr>
          <w:rFonts w:eastAsia="Arial"/>
          <w:color w:val="000000"/>
        </w:rPr>
        <w:t xml:space="preserve"> the tariff provisions on the merits,</w:t>
      </w:r>
      <w:r w:rsidRPr="00993FA1" w:rsidR="00F70B1F">
        <w:rPr>
          <w:rFonts w:eastAsia="Arial"/>
          <w:color w:val="000000"/>
        </w:rPr>
        <w:t xml:space="preserve"> the Commission </w:t>
      </w:r>
      <w:r w:rsidRPr="00993FA1" w:rsidR="00645DB8">
        <w:rPr>
          <w:rFonts w:eastAsia="Arial"/>
          <w:color w:val="000000"/>
        </w:rPr>
        <w:t>should reject each tariff provision as unlawful</w:t>
      </w:r>
      <w:r w:rsidRPr="00993FA1" w:rsidR="00535F39">
        <w:rPr>
          <w:rFonts w:eastAsia="Arial"/>
          <w:color w:val="000000"/>
        </w:rPr>
        <w:t>.</w:t>
      </w:r>
      <w:r w:rsidRPr="00993FA1" w:rsidR="00293198">
        <w:rPr>
          <w:rFonts w:eastAsia="Arial"/>
          <w:color w:val="000000"/>
        </w:rPr>
        <w:t xml:space="preserve">  </w:t>
      </w:r>
      <w:r w:rsidRPr="00993FA1" w:rsidR="00293198">
        <w:t xml:space="preserve">Verizon Opposition to Direct Case at </w:t>
      </w:r>
      <w:r w:rsidRPr="00993FA1" w:rsidR="00111213">
        <w:t>7-</w:t>
      </w:r>
      <w:r w:rsidRPr="00993FA1" w:rsidR="00770F7B">
        <w:t>23</w:t>
      </w:r>
      <w:r w:rsidRPr="00993FA1" w:rsidR="00293198">
        <w:t>.</w:t>
      </w:r>
    </w:p>
  </w:footnote>
  <w:footnote w:id="13">
    <w:p w:rsidR="00B62C7B" w:rsidP="00B62C7B" w14:paraId="30D6821E" w14:textId="5BAEA4F3">
      <w:pPr>
        <w:pStyle w:val="FootnoteText"/>
      </w:pPr>
      <w:r w:rsidRPr="004306F5">
        <w:rPr>
          <w:rStyle w:val="FootnoteReference"/>
        </w:rPr>
        <w:footnoteRef/>
      </w:r>
      <w:r>
        <w:t xml:space="preserve"> </w:t>
      </w:r>
      <w:r w:rsidRPr="00A35C07">
        <w:rPr>
          <w:i/>
          <w:iCs/>
        </w:rPr>
        <w:t>Core Tariff Investigation Order</w:t>
      </w:r>
      <w:r w:rsidRPr="00D934A7" w:rsidR="00D934A7">
        <w:rPr>
          <w:iCs/>
        </w:rPr>
        <w:t>,</w:t>
      </w:r>
      <w:r w:rsidR="001B2D45">
        <w:rPr>
          <w:i/>
          <w:iCs/>
        </w:rPr>
        <w:t xml:space="preserve"> </w:t>
      </w:r>
      <w:r w:rsidR="001B2D45">
        <w:t xml:space="preserve">36 FCC Rcd </w:t>
      </w:r>
      <w:r w:rsidR="00B55A31">
        <w:t>at 15150-5</w:t>
      </w:r>
      <w:r w:rsidR="003D2894">
        <w:t>2</w:t>
      </w:r>
      <w:r>
        <w:t>, paras. 52-5</w:t>
      </w:r>
      <w:r w:rsidR="00AA06AC">
        <w:t>7</w:t>
      </w:r>
      <w:r>
        <w:t>.</w:t>
      </w:r>
    </w:p>
  </w:footnote>
  <w:footnote w:id="14">
    <w:p w:rsidR="00B62C7B" w:rsidRPr="00F31B26" w:rsidP="00B62C7B" w14:paraId="304A7F42" w14:textId="6A65B627">
      <w:pPr>
        <w:pStyle w:val="FootnoteText"/>
      </w:pPr>
      <w:r w:rsidRPr="004306F5">
        <w:rPr>
          <w:rStyle w:val="FootnoteReference"/>
        </w:rPr>
        <w:footnoteRef/>
      </w:r>
      <w:r>
        <w:t xml:space="preserve"> </w:t>
      </w:r>
      <w:r w:rsidRPr="009E3BB0" w:rsidR="009E3BB0">
        <w:rPr>
          <w:i/>
          <w:iCs/>
        </w:rPr>
        <w:t>Id.</w:t>
      </w:r>
      <w:r w:rsidR="009E3BB0">
        <w:t xml:space="preserve"> </w:t>
      </w:r>
      <w:r w:rsidR="00B55A31">
        <w:t>at 151</w:t>
      </w:r>
      <w:r w:rsidR="00DE4040">
        <w:t>51-</w:t>
      </w:r>
      <w:r w:rsidR="00B55A31">
        <w:t>52</w:t>
      </w:r>
      <w:r>
        <w:t>, para</w:t>
      </w:r>
      <w:r w:rsidR="00DE4040">
        <w:t>s</w:t>
      </w:r>
      <w:r>
        <w:t xml:space="preserve">. </w:t>
      </w:r>
      <w:r w:rsidR="00DE4040">
        <w:t>54-</w:t>
      </w:r>
      <w:r>
        <w:t xml:space="preserve">56; </w:t>
      </w:r>
      <w:r w:rsidRPr="00CB31B4">
        <w:t>Core Tariff F.C.C. No. 3, 3rd Rev. Page No. 29, §</w:t>
      </w:r>
      <w:r>
        <w:t> </w:t>
      </w:r>
      <w:r w:rsidRPr="00CB31B4">
        <w:t>2.10.5</w:t>
      </w:r>
      <w:r>
        <w:t xml:space="preserve"> </w:t>
      </w:r>
      <w:r w:rsidRPr="003B1B32">
        <w:t>(</w:t>
      </w:r>
      <w:r>
        <w:t xml:space="preserve">filed </w:t>
      </w:r>
      <w:r w:rsidRPr="007B7AC6">
        <w:t>Apr. 22, 2021</w:t>
      </w:r>
      <w:r w:rsidRPr="003B1B32">
        <w:t>);</w:t>
      </w:r>
      <w:r>
        <w:t xml:space="preserve"> 47 CFR § 61.2.</w:t>
      </w:r>
    </w:p>
  </w:footnote>
  <w:footnote w:id="15">
    <w:p w:rsidR="00B62C7B" w:rsidP="000D5A4D" w14:paraId="3500CFF5" w14:textId="79D9D144">
      <w:pPr>
        <w:pStyle w:val="FootnoteText"/>
        <w:tabs>
          <w:tab w:val="left" w:pos="4734"/>
        </w:tabs>
      </w:pPr>
      <w:r w:rsidRPr="004306F5">
        <w:rPr>
          <w:rStyle w:val="FootnoteReference"/>
        </w:rPr>
        <w:footnoteRef/>
      </w:r>
      <w:r>
        <w:t xml:space="preserve"> 47 U.S.C. § 201; </w:t>
      </w:r>
      <w:r w:rsidRPr="0084199E">
        <w:rPr>
          <w:i/>
        </w:rPr>
        <w:t>Core Tariff Investigation Order</w:t>
      </w:r>
      <w:r w:rsidRPr="00D934A7" w:rsidR="00D934A7">
        <w:t>,</w:t>
      </w:r>
      <w:r w:rsidR="00B55A31">
        <w:rPr>
          <w:i/>
        </w:rPr>
        <w:t xml:space="preserve"> </w:t>
      </w:r>
      <w:r w:rsidR="00B55A31">
        <w:t>36 FCC Rcd at 15152</w:t>
      </w:r>
      <w:r w:rsidR="00390663">
        <w:t>,</w:t>
      </w:r>
      <w:r>
        <w:t xml:space="preserve"> para. 57.</w:t>
      </w:r>
    </w:p>
  </w:footnote>
  <w:footnote w:id="16">
    <w:p w:rsidR="00B62C7B" w:rsidRPr="00DA5CBF" w:rsidP="00B62C7B" w14:paraId="7B36C0B1" w14:textId="3EC46BF7">
      <w:pPr>
        <w:pStyle w:val="FootnoteText"/>
      </w:pPr>
      <w:r w:rsidRPr="004306F5">
        <w:rPr>
          <w:rStyle w:val="FootnoteReference"/>
        </w:rPr>
        <w:footnoteRef/>
      </w:r>
      <w:r w:rsidR="004E32C1">
        <w:t xml:space="preserve"> </w:t>
      </w:r>
      <w:r w:rsidRPr="006E5BB5" w:rsidR="006E5BB5">
        <w:rPr>
          <w:i/>
          <w:iCs/>
        </w:rPr>
        <w:t>Id</w:t>
      </w:r>
      <w:r w:rsidRPr="006E5BB5">
        <w:rPr>
          <w:i/>
          <w:iCs/>
        </w:rPr>
        <w:t>.</w:t>
      </w:r>
      <w:r w:rsidRPr="006E5BB5" w:rsidR="00DA5CBF">
        <w:t xml:space="preserve"> </w:t>
      </w:r>
      <w:r w:rsidR="00BE3019">
        <w:t>at 15152, para. 70.</w:t>
      </w:r>
      <w:r w:rsidRPr="006E5BB5" w:rsidR="00DA5CBF">
        <w:t xml:space="preserve"> </w:t>
      </w:r>
    </w:p>
  </w:footnote>
  <w:footnote w:id="17">
    <w:p w:rsidR="00C360C9" w:rsidRPr="00DC1C56" w:rsidP="00C360C9" w14:paraId="44F871A3" w14:textId="68A7EDB4">
      <w:pPr>
        <w:pStyle w:val="FootnoteText"/>
        <w:rPr>
          <w:i/>
          <w:iCs/>
        </w:rPr>
      </w:pPr>
      <w:r w:rsidRPr="004306F5">
        <w:rPr>
          <w:rStyle w:val="FootnoteReference"/>
        </w:rPr>
        <w:footnoteRef/>
      </w:r>
      <w:r w:rsidR="00B1169B">
        <w:t xml:space="preserve"> </w:t>
      </w:r>
      <w:r w:rsidRPr="00B1169B" w:rsidR="00B1169B">
        <w:rPr>
          <w:i/>
          <w:iCs/>
        </w:rPr>
        <w:t>Id</w:t>
      </w:r>
      <w:r w:rsidRPr="00B1169B">
        <w:rPr>
          <w:i/>
          <w:iCs/>
        </w:rPr>
        <w:t>.</w:t>
      </w:r>
    </w:p>
  </w:footnote>
  <w:footnote w:id="18">
    <w:p w:rsidR="00B62C7B" w:rsidP="00B62C7B" w14:paraId="41056A0F" w14:textId="69C375D7">
      <w:pPr>
        <w:pStyle w:val="FootnoteText"/>
      </w:pPr>
      <w:r w:rsidRPr="004306F5">
        <w:rPr>
          <w:rStyle w:val="FootnoteReference"/>
        </w:rPr>
        <w:footnoteRef/>
      </w:r>
      <w:r>
        <w:t xml:space="preserve"> </w:t>
      </w:r>
      <w:r w:rsidRPr="00271433" w:rsidR="00EC5403">
        <w:rPr>
          <w:rFonts w:eastAsia="Arial"/>
          <w:color w:val="000000"/>
        </w:rPr>
        <w:t xml:space="preserve">Core Communications, Inc., et al., Tariff F.C.C. No. 3, Transmittal No. </w:t>
      </w:r>
      <w:r w:rsidR="00EC5403">
        <w:rPr>
          <w:rFonts w:eastAsia="Arial"/>
          <w:color w:val="000000"/>
        </w:rPr>
        <w:t>21</w:t>
      </w:r>
      <w:r w:rsidRPr="00271433" w:rsidR="00EC5403">
        <w:rPr>
          <w:rFonts w:eastAsia="Arial"/>
          <w:color w:val="000000"/>
        </w:rPr>
        <w:t xml:space="preserve">, </w:t>
      </w:r>
      <w:r w:rsidR="00EC5403">
        <w:rPr>
          <w:rFonts w:eastAsia="Arial"/>
          <w:color w:val="000000"/>
        </w:rPr>
        <w:t xml:space="preserve">11th Rev. Page No. 28, § 2.10.4.A; 4th Rev. Page No. 29, § 2.10.5; 4th Rev. Page No. 33, § 2.13.3.G; 4th Rev. Page No. 40, § 2.20.1; 2nd Rev. Page 43.1, § 3.3.5 </w:t>
      </w:r>
      <w:r w:rsidRPr="00271433" w:rsidR="00EC5403">
        <w:rPr>
          <w:rFonts w:eastAsia="Arial"/>
          <w:color w:val="000000"/>
        </w:rPr>
        <w:t>(</w:t>
      </w:r>
      <w:r w:rsidR="00B34643">
        <w:rPr>
          <w:rFonts w:eastAsia="Arial"/>
          <w:color w:val="000000"/>
        </w:rPr>
        <w:t>Oct. 15,</w:t>
      </w:r>
      <w:r w:rsidRPr="00271433" w:rsidR="00EC5403">
        <w:rPr>
          <w:rFonts w:eastAsia="Arial"/>
          <w:color w:val="000000"/>
        </w:rPr>
        <w:t xml:space="preserve"> 2021) (Transmittal No. </w:t>
      </w:r>
      <w:r w:rsidR="00EC5403">
        <w:rPr>
          <w:rFonts w:eastAsia="Arial"/>
          <w:color w:val="000000"/>
        </w:rPr>
        <w:t>21</w:t>
      </w:r>
      <w:r w:rsidRPr="00271433" w:rsidR="00EC5403">
        <w:rPr>
          <w:rFonts w:eastAsia="Arial"/>
          <w:color w:val="000000"/>
        </w:rPr>
        <w:t>)</w:t>
      </w:r>
      <w:r w:rsidRPr="00CB31B4" w:rsidR="00EC5403">
        <w:t xml:space="preserve"> </w:t>
      </w:r>
      <w:r w:rsidRPr="00CB31B4">
        <w:t xml:space="preserve">(available via </w:t>
      </w:r>
      <w:r>
        <w:t>ETFS</w:t>
      </w:r>
      <w:r w:rsidRPr="00CB31B4">
        <w:t>).</w:t>
      </w:r>
      <w:r>
        <w:t xml:space="preserve">  </w:t>
      </w:r>
    </w:p>
  </w:footnote>
  <w:footnote w:id="19">
    <w:p w:rsidR="00B62C7B" w:rsidP="00B62C7B" w14:paraId="293153CC" w14:textId="77777777">
      <w:pPr>
        <w:pStyle w:val="FootnoteText"/>
      </w:pPr>
      <w:r w:rsidRPr="004306F5">
        <w:rPr>
          <w:rStyle w:val="FootnoteReference"/>
        </w:rPr>
        <w:footnoteRef/>
      </w:r>
      <w:r>
        <w:t xml:space="preserve"> Refund Plan at 2.</w:t>
      </w:r>
    </w:p>
  </w:footnote>
  <w:footnote w:id="20">
    <w:p w:rsidR="00B62C7B" w:rsidP="00B62C7B" w14:paraId="6468720E" w14:textId="697AE5A6">
      <w:pPr>
        <w:pStyle w:val="FootnoteText"/>
      </w:pPr>
      <w:r w:rsidRPr="004306F5">
        <w:rPr>
          <w:rStyle w:val="FootnoteReference"/>
        </w:rPr>
        <w:footnoteRef/>
      </w:r>
      <w:r>
        <w:t xml:space="preserve"> </w:t>
      </w:r>
      <w:r w:rsidRPr="00DC22C5">
        <w:rPr>
          <w:i/>
        </w:rPr>
        <w:t xml:space="preserve">Wireline Competition Bureau Seeks Comment on </w:t>
      </w:r>
      <w:r>
        <w:rPr>
          <w:i/>
        </w:rPr>
        <w:t xml:space="preserve">Refund Plan of </w:t>
      </w:r>
      <w:r w:rsidRPr="00DC22C5">
        <w:rPr>
          <w:i/>
        </w:rPr>
        <w:t>Core Communications, Inc.</w:t>
      </w:r>
      <w:r w:rsidRPr="00DC22C5">
        <w:rPr>
          <w:iCs/>
        </w:rPr>
        <w:t>, WC Docket No. 21-191</w:t>
      </w:r>
      <w:r>
        <w:rPr>
          <w:iCs/>
        </w:rPr>
        <w:t>,</w:t>
      </w:r>
      <w:r w:rsidRPr="00DC22C5">
        <w:rPr>
          <w:iCs/>
        </w:rPr>
        <w:t xml:space="preserve"> Public Notice, DA 22-</w:t>
      </w:r>
      <w:r w:rsidR="008A7066">
        <w:rPr>
          <w:iCs/>
        </w:rPr>
        <w:t>731</w:t>
      </w:r>
      <w:r w:rsidRPr="00DC22C5">
        <w:rPr>
          <w:iCs/>
        </w:rPr>
        <w:t xml:space="preserve"> (WCB Jul</w:t>
      </w:r>
      <w:r>
        <w:rPr>
          <w:iCs/>
        </w:rPr>
        <w:t>y</w:t>
      </w:r>
      <w:r w:rsidRPr="00DC22C5">
        <w:rPr>
          <w:iCs/>
        </w:rPr>
        <w:t xml:space="preserve"> 8, 2022).</w:t>
      </w:r>
    </w:p>
  </w:footnote>
  <w:footnote w:id="21">
    <w:p w:rsidR="00DF0CDD" w:rsidRPr="00FB5C58" w:rsidP="00DF0CDD" w14:paraId="5E07D50F" w14:textId="2E8AD13B">
      <w:pPr>
        <w:pStyle w:val="FootnoteText"/>
      </w:pPr>
      <w:r w:rsidRPr="004306F5">
        <w:rPr>
          <w:rStyle w:val="FootnoteReference"/>
        </w:rPr>
        <w:footnoteRef/>
      </w:r>
      <w:r>
        <w:t xml:space="preserve"> </w:t>
      </w:r>
      <w:r w:rsidRPr="009E2593" w:rsidR="006A4587">
        <w:t>Verizon’s Opposition to the Refund Plan of Core, WC Docket No. 21-191, Transmittal No. 17, at 2 (filed July 25, 2022) (Verizon Refund Plan Opposition).</w:t>
      </w:r>
    </w:p>
  </w:footnote>
  <w:footnote w:id="22">
    <w:p w:rsidR="006130C6" w14:paraId="6312CA3A" w14:textId="76A0D649">
      <w:pPr>
        <w:pStyle w:val="FootnoteText"/>
      </w:pPr>
      <w:r w:rsidRPr="00F73693">
        <w:rPr>
          <w:rStyle w:val="FootnoteReference"/>
        </w:rPr>
        <w:footnoteRef/>
      </w:r>
      <w:r w:rsidRPr="00F73693">
        <w:t xml:space="preserve"> </w:t>
      </w:r>
      <w:r w:rsidRPr="0032598D" w:rsidR="0032598D">
        <w:rPr>
          <w:i/>
          <w:iCs/>
        </w:rPr>
        <w:t>Id.</w:t>
      </w:r>
    </w:p>
  </w:footnote>
  <w:footnote w:id="23">
    <w:p w:rsidR="00980420" w14:paraId="2DF5EC21" w14:textId="776DB1F1">
      <w:pPr>
        <w:pStyle w:val="FootnoteText"/>
      </w:pPr>
      <w:r>
        <w:rPr>
          <w:rStyle w:val="FootnoteReference"/>
        </w:rPr>
        <w:footnoteRef/>
      </w:r>
      <w:r>
        <w:t xml:space="preserve"> AT&amp;T </w:t>
      </w:r>
      <w:r w:rsidR="00502E42">
        <w:t xml:space="preserve">Services, Inc.’s Comment on </w:t>
      </w:r>
      <w:r>
        <w:t xml:space="preserve">Refund Plan </w:t>
      </w:r>
      <w:r w:rsidR="00502E42">
        <w:t>of Core, WC Docket No. 21-191, Transmittal No. 17,</w:t>
      </w:r>
      <w:r w:rsidRPr="00994494">
        <w:t xml:space="preserve"> </w:t>
      </w:r>
      <w:r>
        <w:t>at 2 (filed July 25, 2022) (AT&amp;T Refund Plan Comment).</w:t>
      </w:r>
    </w:p>
  </w:footnote>
  <w:footnote w:id="24">
    <w:p w:rsidR="00B62C7B" w:rsidRPr="001C6D82" w:rsidP="00B62C7B" w14:paraId="27FABEAB" w14:textId="0AB5BF0D">
      <w:pPr>
        <w:pStyle w:val="FootnoteText"/>
        <w:rPr>
          <w:iCs/>
        </w:rPr>
      </w:pPr>
      <w:r w:rsidRPr="004306F5">
        <w:rPr>
          <w:rStyle w:val="FootnoteReference"/>
        </w:rPr>
        <w:footnoteRef/>
      </w:r>
      <w:r>
        <w:t xml:space="preserve"> </w:t>
      </w:r>
      <w:r w:rsidRPr="0084199E">
        <w:rPr>
          <w:i/>
        </w:rPr>
        <w:t>Core Tariff Investigation Order</w:t>
      </w:r>
      <w:r w:rsidRPr="00D934A7" w:rsidR="00D934A7">
        <w:t>,</w:t>
      </w:r>
      <w:r w:rsidR="001B2D45">
        <w:rPr>
          <w:i/>
        </w:rPr>
        <w:t xml:space="preserve"> </w:t>
      </w:r>
      <w:r w:rsidR="001B2D45">
        <w:t xml:space="preserve">36 FCC Rcd </w:t>
      </w:r>
      <w:r w:rsidRPr="00F73693" w:rsidR="007F635C">
        <w:t>at</w:t>
      </w:r>
      <w:r w:rsidR="007F635C">
        <w:t xml:space="preserve"> </w:t>
      </w:r>
      <w:r w:rsidR="0082241B">
        <w:t xml:space="preserve">15152, </w:t>
      </w:r>
      <w:r w:rsidR="001B2D45">
        <w:t>151</w:t>
      </w:r>
      <w:r w:rsidR="004B46F6">
        <w:t>57</w:t>
      </w:r>
      <w:r>
        <w:rPr>
          <w:iCs/>
        </w:rPr>
        <w:t>, para</w:t>
      </w:r>
      <w:r w:rsidR="0082241B">
        <w:rPr>
          <w:iCs/>
        </w:rPr>
        <w:t>s</w:t>
      </w:r>
      <w:r>
        <w:rPr>
          <w:iCs/>
        </w:rPr>
        <w:t xml:space="preserve">. </w:t>
      </w:r>
      <w:r w:rsidR="000955A9">
        <w:rPr>
          <w:iCs/>
        </w:rPr>
        <w:t xml:space="preserve">57, </w:t>
      </w:r>
      <w:r>
        <w:rPr>
          <w:iCs/>
        </w:rPr>
        <w:t>70.</w:t>
      </w:r>
    </w:p>
  </w:footnote>
  <w:footnote w:id="25">
    <w:p w:rsidR="00B62C7B" w:rsidP="00B62C7B" w14:paraId="59716955" w14:textId="147B72B1">
      <w:pPr>
        <w:pStyle w:val="FootnoteText"/>
      </w:pPr>
      <w:r w:rsidRPr="004306F5">
        <w:rPr>
          <w:rStyle w:val="FootnoteReference"/>
        </w:rPr>
        <w:footnoteRef/>
      </w:r>
      <w:r>
        <w:t xml:space="preserve"> AT&amp;T Refund Plan Comment; Verizon Refund Plan Opposition.</w:t>
      </w:r>
    </w:p>
  </w:footnote>
  <w:footnote w:id="26">
    <w:p w:rsidR="00B62C7B" w:rsidP="00B62C7B" w14:paraId="5D184E3E" w14:textId="2E044F04">
      <w:pPr>
        <w:pStyle w:val="FootnoteText"/>
      </w:pPr>
      <w:r w:rsidRPr="004306F5">
        <w:rPr>
          <w:rStyle w:val="FootnoteReference"/>
        </w:rPr>
        <w:footnoteRef/>
      </w:r>
      <w:r>
        <w:t xml:space="preserve"> Refund Plan at 2.</w:t>
      </w:r>
    </w:p>
  </w:footnote>
  <w:footnote w:id="27">
    <w:p w:rsidR="00B62C7B" w:rsidP="00B62C7B" w14:paraId="087E8EF9" w14:textId="77777777">
      <w:pPr>
        <w:pStyle w:val="FootnoteText"/>
      </w:pPr>
      <w:r w:rsidRPr="004306F5">
        <w:rPr>
          <w:rStyle w:val="FootnoteReference"/>
        </w:rPr>
        <w:footnoteRef/>
      </w:r>
      <w:r>
        <w:t xml:space="preserve"> </w:t>
      </w:r>
      <w:r w:rsidRPr="00CB31B4">
        <w:t xml:space="preserve">Core Tariff F.C.C. No. 3, </w:t>
      </w:r>
      <w:r>
        <w:t>2nd</w:t>
      </w:r>
      <w:r w:rsidRPr="00CB31B4">
        <w:t xml:space="preserve"> Rev. Page No. 29, §</w:t>
      </w:r>
      <w:r>
        <w:t> </w:t>
      </w:r>
      <w:r w:rsidRPr="00CB31B4">
        <w:t>2.10.5</w:t>
      </w:r>
      <w:r>
        <w:t xml:space="preserve"> </w:t>
      </w:r>
      <w:r w:rsidRPr="00096A4B">
        <w:t>(</w:t>
      </w:r>
      <w:r w:rsidRPr="007B7AC6">
        <w:t xml:space="preserve">filed Apr. </w:t>
      </w:r>
      <w:r>
        <w:t>6</w:t>
      </w:r>
      <w:r w:rsidRPr="007B7AC6">
        <w:t>, 2021).</w:t>
      </w:r>
    </w:p>
  </w:footnote>
  <w:footnote w:id="28">
    <w:p w:rsidR="00B62C7B" w:rsidP="00B62C7B" w14:paraId="7A3F8FE4" w14:textId="35588460">
      <w:pPr>
        <w:pStyle w:val="FootnoteText"/>
      </w:pPr>
      <w:r w:rsidRPr="004306F5">
        <w:rPr>
          <w:rStyle w:val="FootnoteReference"/>
        </w:rPr>
        <w:footnoteRef/>
      </w:r>
      <w:r w:rsidRPr="000D5A4D">
        <w:t xml:space="preserve"> </w:t>
      </w:r>
      <w:r w:rsidR="00847FAB">
        <w:t>Refund Plan, Attach.</w:t>
      </w:r>
      <w:r w:rsidR="000D1240">
        <w:t xml:space="preserve"> </w:t>
      </w:r>
      <w:r w:rsidR="00B94BCA">
        <w:t>(</w:t>
      </w:r>
      <w:r w:rsidR="000D1240">
        <w:t xml:space="preserve">Exhibit Core Late Fee Adjustment </w:t>
      </w:r>
      <w:r w:rsidR="00A03D45">
        <w:t>(Transmittal 17)</w:t>
      </w:r>
      <w:r w:rsidR="00B94BCA">
        <w:t>)</w:t>
      </w:r>
      <w:r w:rsidR="00847FAB">
        <w:t xml:space="preserve"> </w:t>
      </w:r>
      <w:r w:rsidR="00A03D45">
        <w:t>(</w:t>
      </w:r>
      <w:r w:rsidRPr="00E845BE">
        <w:t>Refund Plan Spreadsheet</w:t>
      </w:r>
      <w:r w:rsidR="00A03D45">
        <w:t>)</w:t>
      </w:r>
      <w:r w:rsidRPr="00E845BE">
        <w:t>.</w:t>
      </w:r>
      <w:r w:rsidR="00840BBC">
        <w:t xml:space="preserve">  We note that the Refund Plan Spreadsheet appears to contain certain </w:t>
      </w:r>
      <w:r w:rsidR="00B65B8B">
        <w:t xml:space="preserve">typographical errors in the “Interest Rate Adjustment” worksheet </w:t>
      </w:r>
      <w:r w:rsidR="00840BBC">
        <w:t xml:space="preserve">that do not affect the calculation of the refunds.  Commenting parties neither noted nor objected to these </w:t>
      </w:r>
      <w:r w:rsidR="00B94BCA">
        <w:t>errors</w:t>
      </w:r>
      <w:r w:rsidR="00840BBC">
        <w:t xml:space="preserve">.  </w:t>
      </w:r>
    </w:p>
  </w:footnote>
  <w:footnote w:id="29">
    <w:p w:rsidR="00B62C7B" w:rsidP="00B62C7B" w14:paraId="738008D3" w14:textId="5EC17156">
      <w:pPr>
        <w:pStyle w:val="FootnoteText"/>
      </w:pPr>
      <w:r w:rsidRPr="004306F5">
        <w:rPr>
          <w:rStyle w:val="FootnoteReference"/>
        </w:rPr>
        <w:footnoteRef/>
      </w:r>
      <w:r>
        <w:t xml:space="preserve"> Refund Plan at 2</w:t>
      </w:r>
      <w:r w:rsidR="004034ED">
        <w:t xml:space="preserve"> (“</w:t>
      </w:r>
      <w:r w:rsidR="008D315F">
        <w:t>[T]</w:t>
      </w:r>
      <w:r w:rsidR="004034ED">
        <w:t>here is no refund—only a downward adjustment .</w:t>
      </w:r>
      <w:r w:rsidR="008D315F">
        <w:t> </w:t>
      </w:r>
      <w:r w:rsidR="004034ED">
        <w:t>.</w:t>
      </w:r>
      <w:r w:rsidR="008D315F">
        <w:t> </w:t>
      </w:r>
      <w:r w:rsidR="004034ED">
        <w:t>.</w:t>
      </w:r>
      <w:r w:rsidR="008D315F">
        <w:t> .</w:t>
      </w:r>
      <w:r w:rsidR="004034ED">
        <w:t>”)</w:t>
      </w:r>
      <w:r>
        <w:t>.</w:t>
      </w:r>
    </w:p>
  </w:footnote>
  <w:footnote w:id="30">
    <w:p w:rsidR="00B62C7B" w:rsidRPr="000B3958" w:rsidP="00B62C7B" w14:paraId="11DF6F2E" w14:textId="108C7FC1">
      <w:pPr>
        <w:pStyle w:val="FootnoteText"/>
      </w:pPr>
      <w:r w:rsidRPr="004306F5">
        <w:rPr>
          <w:rStyle w:val="FootnoteReference"/>
        </w:rPr>
        <w:footnoteRef/>
      </w:r>
      <w:r>
        <w:t xml:space="preserve"> </w:t>
      </w:r>
      <w:r w:rsidRPr="007F1F89">
        <w:rPr>
          <w:i/>
          <w:iCs/>
        </w:rPr>
        <w:t>July 1, 2018 Annual Access Charge Tariff Filings</w:t>
      </w:r>
      <w:r w:rsidRPr="007F1F89">
        <w:t>;</w:t>
      </w:r>
      <w:r w:rsidRPr="007F1F89">
        <w:rPr>
          <w:i/>
          <w:iCs/>
        </w:rPr>
        <w:t xml:space="preserve"> South Dakota Network, LLC, Tariff F.C.C. No. 1</w:t>
      </w:r>
      <w:r w:rsidRPr="007F1F89">
        <w:t>, WC Docket No. 18-100</w:t>
      </w:r>
      <w:r>
        <w:t>,</w:t>
      </w:r>
      <w:r w:rsidRPr="007F1F89">
        <w:t xml:space="preserve"> Transmittal </w:t>
      </w:r>
      <w:r>
        <w:t xml:space="preserve">No. </w:t>
      </w:r>
      <w:r w:rsidRPr="007F1F89">
        <w:t xml:space="preserve">13, Memorandum Opinion and Order, </w:t>
      </w:r>
      <w:r>
        <w:t>3</w:t>
      </w:r>
      <w:r w:rsidRPr="007F1F89">
        <w:t>4 FCC Rcd 3671, 3672, para. 5 (WCB 2019) (“issuing a credit on the invoices of affected customers”)</w:t>
      </w:r>
      <w:r>
        <w:t xml:space="preserve">.  </w:t>
      </w:r>
    </w:p>
  </w:footnote>
  <w:footnote w:id="31">
    <w:p w:rsidR="00B62C7B" w:rsidP="00B62C7B" w14:paraId="7C94E2AE" w14:textId="77777777">
      <w:pPr>
        <w:pStyle w:val="FootnoteText"/>
      </w:pPr>
      <w:r w:rsidRPr="004306F5">
        <w:rPr>
          <w:rStyle w:val="FootnoteReference"/>
        </w:rPr>
        <w:footnoteRef/>
      </w:r>
      <w:r>
        <w:t xml:space="preserve"> Verizon Refund Plan Opposition at 1.  </w:t>
      </w:r>
      <w:r>
        <w:rPr>
          <w:szCs w:val="22"/>
        </w:rPr>
        <w:t xml:space="preserve">Verizon’s position is a reversal from its prior request for an unspecified “lower, modern rate.”  </w:t>
      </w:r>
      <w:r w:rsidRPr="00A04B20">
        <w:rPr>
          <w:szCs w:val="22"/>
        </w:rPr>
        <w:t>Verizon Opposition to Direct Case at 21.</w:t>
      </w:r>
      <w:r>
        <w:rPr>
          <w:szCs w:val="22"/>
        </w:rPr>
        <w:t xml:space="preserve">  Verizon provides no explanation for its new request for what amounts to a 0% interest rate</w:t>
      </w:r>
      <w:r w:rsidRPr="00E5359D">
        <w:rPr>
          <w:szCs w:val="22"/>
        </w:rPr>
        <w:t>, other than</w:t>
      </w:r>
      <w:r>
        <w:rPr>
          <w:szCs w:val="22"/>
        </w:rPr>
        <w:t xml:space="preserve"> </w:t>
      </w:r>
      <w:r w:rsidRPr="00E5359D">
        <w:rPr>
          <w:szCs w:val="22"/>
        </w:rPr>
        <w:t>its new</w:t>
      </w:r>
      <w:r>
        <w:rPr>
          <w:szCs w:val="22"/>
        </w:rPr>
        <w:t xml:space="preserve"> request for </w:t>
      </w:r>
      <w:r w:rsidRPr="009634FD">
        <w:rPr>
          <w:szCs w:val="22"/>
        </w:rPr>
        <w:t>punitive damages.</w:t>
      </w:r>
      <w:r>
        <w:rPr>
          <w:szCs w:val="22"/>
        </w:rPr>
        <w:t xml:space="preserve">  </w:t>
      </w:r>
      <w:r>
        <w:t xml:space="preserve">Verizon Refund Plan Opposition at 1.  </w:t>
      </w:r>
    </w:p>
  </w:footnote>
  <w:footnote w:id="32">
    <w:p w:rsidR="00B62C7B" w:rsidP="00B62C7B" w14:paraId="76C935BA" w14:textId="1FDB24F4">
      <w:pPr>
        <w:pStyle w:val="FootnoteText"/>
      </w:pPr>
      <w:r w:rsidRPr="004306F5">
        <w:rPr>
          <w:rStyle w:val="FootnoteReference"/>
        </w:rPr>
        <w:footnoteRef/>
      </w:r>
      <w:r>
        <w:t xml:space="preserve"> Verizon Refund Plan Opposition at 1.</w:t>
      </w:r>
    </w:p>
  </w:footnote>
  <w:footnote w:id="33">
    <w:p w:rsidR="00B62C7B" w:rsidRPr="00697906" w:rsidP="00B62C7B" w14:paraId="64F420C7" w14:textId="77777777">
      <w:pPr>
        <w:pStyle w:val="FootnoteText"/>
      </w:pPr>
      <w:r w:rsidRPr="004306F5">
        <w:rPr>
          <w:rStyle w:val="FootnoteReference"/>
        </w:rPr>
        <w:footnoteRef/>
      </w:r>
      <w:r>
        <w:t xml:space="preserve"> 47 U.S.C. § 204; </w:t>
      </w:r>
      <w:r>
        <w:rPr>
          <w:i/>
          <w:iCs/>
        </w:rPr>
        <w:t>s</w:t>
      </w:r>
      <w:r w:rsidRPr="009D5932">
        <w:rPr>
          <w:i/>
          <w:iCs/>
        </w:rPr>
        <w:t>ee</w:t>
      </w:r>
      <w:r>
        <w:t xml:space="preserve"> </w:t>
      </w:r>
      <w:r w:rsidRPr="000F7B67">
        <w:rPr>
          <w:i/>
          <w:iCs/>
        </w:rPr>
        <w:t>MCI Telecommunications Corp. v. Pacific Bell Tel. Co. et al.</w:t>
      </w:r>
      <w:r w:rsidRPr="000F7B67">
        <w:t xml:space="preserve">, File No. E-88-46S et al., Memorandum Opinion and Order, 8 FCC Rcd 1517, 1521, para. 14 (1993) </w:t>
      </w:r>
      <w:r w:rsidRPr="00697906">
        <w:t>(“[R]</w:t>
      </w:r>
      <w:r w:rsidRPr="00A95587">
        <w:rPr>
          <w:shd w:val="clear" w:color="auto" w:fill="FFFFFF"/>
        </w:rPr>
        <w:t>efunds</w:t>
      </w:r>
      <w:r w:rsidRPr="00A95587">
        <w:rPr>
          <w:shd w:val="clear" w:color="auto" w:fill="FFFFFF"/>
        </w:rPr>
        <w:t xml:space="preserve"> ordered under Section 204</w:t>
      </w:r>
      <w:r w:rsidRPr="00697906">
        <w:t xml:space="preserve"> </w:t>
      </w:r>
      <w:r w:rsidRPr="00A95587">
        <w:rPr>
          <w:shd w:val="clear" w:color="auto" w:fill="FFFFFF"/>
        </w:rPr>
        <w:t>of the Act are different from individual actions for damages under Section 208</w:t>
      </w:r>
      <w:r w:rsidRPr="00697906">
        <w:t>.”).</w:t>
      </w:r>
    </w:p>
  </w:footnote>
  <w:footnote w:id="34">
    <w:p w:rsidR="00B62C7B" w:rsidP="00B62C7B" w14:paraId="049A68D5" w14:textId="0657231F">
      <w:pPr>
        <w:pStyle w:val="FootnoteText"/>
      </w:pPr>
      <w:r w:rsidRPr="004306F5">
        <w:rPr>
          <w:rStyle w:val="FootnoteReference"/>
        </w:rPr>
        <w:footnoteRef/>
      </w:r>
      <w:r>
        <w:t xml:space="preserve"> </w:t>
      </w:r>
      <w:r>
        <w:rPr>
          <w:szCs w:val="22"/>
        </w:rPr>
        <w:t xml:space="preserve">Verizon </w:t>
      </w:r>
      <w:r w:rsidRPr="008916FB">
        <w:t>attempts</w:t>
      </w:r>
      <w:r>
        <w:rPr>
          <w:szCs w:val="22"/>
        </w:rPr>
        <w:t xml:space="preserve"> to </w:t>
      </w:r>
      <w:r w:rsidRPr="0060026F">
        <w:rPr>
          <w:szCs w:val="22"/>
        </w:rPr>
        <w:t xml:space="preserve">bolster its </w:t>
      </w:r>
      <w:r>
        <w:rPr>
          <w:szCs w:val="22"/>
        </w:rPr>
        <w:t>request for</w:t>
      </w:r>
      <w:r w:rsidRPr="0060026F">
        <w:rPr>
          <w:szCs w:val="22"/>
        </w:rPr>
        <w:t xml:space="preserve"> </w:t>
      </w:r>
      <w:r w:rsidRPr="009634FD">
        <w:rPr>
          <w:szCs w:val="22"/>
        </w:rPr>
        <w:t>punitive damages</w:t>
      </w:r>
      <w:r>
        <w:rPr>
          <w:szCs w:val="22"/>
        </w:rPr>
        <w:t xml:space="preserve"> by claiming that without pu</w:t>
      </w:r>
      <w:r w:rsidRPr="009634FD">
        <w:rPr>
          <w:szCs w:val="22"/>
        </w:rPr>
        <w:t>nitive damages</w:t>
      </w:r>
      <w:r>
        <w:rPr>
          <w:szCs w:val="22"/>
        </w:rPr>
        <w:t>, competitive LE</w:t>
      </w:r>
      <w:r w:rsidRPr="009044E1">
        <w:rPr>
          <w:szCs w:val="22"/>
        </w:rPr>
        <w:t xml:space="preserve">Cs </w:t>
      </w:r>
      <w:r>
        <w:rPr>
          <w:szCs w:val="22"/>
        </w:rPr>
        <w:t xml:space="preserve">could slip unlawful tariffs through the </w:t>
      </w:r>
      <w:r w:rsidRPr="009044E1">
        <w:rPr>
          <w:szCs w:val="22"/>
        </w:rPr>
        <w:t xml:space="preserve">15-day review process and </w:t>
      </w:r>
      <w:r>
        <w:rPr>
          <w:szCs w:val="22"/>
        </w:rPr>
        <w:t xml:space="preserve">have the tariffs </w:t>
      </w:r>
      <w:r w:rsidRPr="009044E1">
        <w:rPr>
          <w:szCs w:val="22"/>
        </w:rPr>
        <w:t>be deemed lawful</w:t>
      </w:r>
      <w:r>
        <w:rPr>
          <w:szCs w:val="22"/>
        </w:rPr>
        <w:t xml:space="preserve">, “knowing </w:t>
      </w:r>
      <w:r w:rsidR="004B46F6">
        <w:rPr>
          <w:szCs w:val="22"/>
        </w:rPr>
        <w:t xml:space="preserve">that </w:t>
      </w:r>
      <w:r>
        <w:rPr>
          <w:szCs w:val="22"/>
        </w:rPr>
        <w:t>there is no downside to that gamble.”</w:t>
      </w:r>
      <w:r w:rsidRPr="009044E1">
        <w:rPr>
          <w:szCs w:val="22"/>
        </w:rPr>
        <w:t xml:space="preserve">  </w:t>
      </w:r>
      <w:r w:rsidRPr="009044E1" w:rsidR="00FE02D1">
        <w:rPr>
          <w:szCs w:val="22"/>
        </w:rPr>
        <w:t>Verizon Refund Plan Opposition at 2</w:t>
      </w:r>
      <w:r w:rsidR="00FE02D1">
        <w:rPr>
          <w:szCs w:val="22"/>
        </w:rPr>
        <w:t xml:space="preserve">; </w:t>
      </w:r>
      <w:r>
        <w:rPr>
          <w:szCs w:val="22"/>
        </w:rPr>
        <w:t>47 U.S.C. § 204</w:t>
      </w:r>
      <w:r w:rsidR="00FE02D1">
        <w:rPr>
          <w:szCs w:val="22"/>
        </w:rPr>
        <w:t>(a)(3)</w:t>
      </w:r>
      <w:r>
        <w:rPr>
          <w:szCs w:val="22"/>
        </w:rPr>
        <w:t>.</w:t>
      </w:r>
      <w:r w:rsidRPr="009044E1">
        <w:rPr>
          <w:szCs w:val="22"/>
        </w:rPr>
        <w:t xml:space="preserve">  </w:t>
      </w:r>
      <w:r>
        <w:rPr>
          <w:szCs w:val="22"/>
        </w:rPr>
        <w:t>But a rate that is deemed lawful can be evaluated as</w:t>
      </w:r>
      <w:r w:rsidRPr="00166353">
        <w:rPr>
          <w:szCs w:val="22"/>
        </w:rPr>
        <w:t xml:space="preserve"> </w:t>
      </w:r>
      <w:r>
        <w:rPr>
          <w:szCs w:val="22"/>
        </w:rPr>
        <w:t>“</w:t>
      </w:r>
      <w:r w:rsidRPr="00166353">
        <w:rPr>
          <w:szCs w:val="22"/>
        </w:rPr>
        <w:t>to its future effect under</w:t>
      </w:r>
      <w:r>
        <w:rPr>
          <w:szCs w:val="22"/>
        </w:rPr>
        <w:t xml:space="preserve"> </w:t>
      </w:r>
      <w:hyperlink r:id="rId1" w:history="1">
        <w:r w:rsidRPr="00166353">
          <w:rPr>
            <w:szCs w:val="22"/>
          </w:rPr>
          <w:t>sections 205</w:t>
        </w:r>
      </w:hyperlink>
      <w:r>
        <w:rPr>
          <w:szCs w:val="22"/>
        </w:rPr>
        <w:t xml:space="preserve"> </w:t>
      </w:r>
      <w:r w:rsidRPr="00166353">
        <w:rPr>
          <w:szCs w:val="22"/>
        </w:rPr>
        <w:t>and</w:t>
      </w:r>
      <w:r>
        <w:rPr>
          <w:szCs w:val="22"/>
        </w:rPr>
        <w:t xml:space="preserve"> </w:t>
      </w:r>
      <w:hyperlink r:id="rId1" w:history="1">
        <w:r w:rsidRPr="00166353">
          <w:rPr>
            <w:szCs w:val="22"/>
          </w:rPr>
          <w:t>208</w:t>
        </w:r>
      </w:hyperlink>
      <w:r>
        <w:rPr>
          <w:szCs w:val="22"/>
        </w:rPr>
        <w:t xml:space="preserve"> [of the Act,] </w:t>
      </w:r>
      <w:r w:rsidRPr="00166353">
        <w:rPr>
          <w:szCs w:val="22"/>
        </w:rPr>
        <w:t>and the Commission may prescribe a rate as to the future under</w:t>
      </w:r>
      <w:r>
        <w:rPr>
          <w:szCs w:val="22"/>
        </w:rPr>
        <w:t xml:space="preserve"> </w:t>
      </w:r>
      <w:hyperlink r:id="rId1" w:history="1">
        <w:r w:rsidRPr="00166353">
          <w:rPr>
            <w:szCs w:val="22"/>
          </w:rPr>
          <w:t>section 205</w:t>
        </w:r>
      </w:hyperlink>
      <w:r w:rsidRPr="00166353">
        <w:rPr>
          <w:szCs w:val="22"/>
        </w:rPr>
        <w:t>.</w:t>
      </w:r>
      <w:r>
        <w:rPr>
          <w:szCs w:val="22"/>
        </w:rPr>
        <w:t xml:space="preserve">”  </w:t>
      </w:r>
      <w:r w:rsidRPr="00EA310E">
        <w:rPr>
          <w:i/>
          <w:iCs/>
          <w:szCs w:val="22"/>
        </w:rPr>
        <w:t>Implementation of Section 402(b)(1)(A) of the Telecommunications Act of 1996</w:t>
      </w:r>
      <w:r w:rsidRPr="009044E1">
        <w:rPr>
          <w:szCs w:val="22"/>
        </w:rPr>
        <w:t>, CC Docket No. 96-187, Report and Order, 12 FCC Rcd 2170, 2183, para. 21 (1997).</w:t>
      </w:r>
    </w:p>
  </w:footnote>
  <w:footnote w:id="35">
    <w:p w:rsidR="00DF5EAB" w14:paraId="13709747" w14:textId="790DC12A">
      <w:pPr>
        <w:pStyle w:val="FootnoteText"/>
      </w:pPr>
      <w:r>
        <w:rPr>
          <w:rStyle w:val="FootnoteReference"/>
        </w:rPr>
        <w:footnoteRef/>
      </w:r>
      <w:r>
        <w:t xml:space="preserve"> AT&amp;T Refund Plan Comment at </w:t>
      </w:r>
      <w:r w:rsidR="004B46F6">
        <w:t>1-</w:t>
      </w:r>
      <w:r>
        <w:t xml:space="preserve">2.  </w:t>
      </w:r>
    </w:p>
  </w:footnote>
  <w:footnote w:id="36">
    <w:p w:rsidR="007A6F4E" w:rsidP="007A6F4E" w14:paraId="4CCA422B" w14:textId="77777777">
      <w:pPr>
        <w:pStyle w:val="FootnoteText"/>
      </w:pPr>
      <w:r w:rsidRPr="004306F5">
        <w:rPr>
          <w:rStyle w:val="FootnoteReference"/>
        </w:rPr>
        <w:footnoteRef/>
      </w:r>
      <w:r>
        <w:t xml:space="preserve"> Refund Plan at 2.</w:t>
      </w:r>
    </w:p>
  </w:footnote>
  <w:footnote w:id="37">
    <w:p w:rsidR="00C82440" w:rsidRPr="00A95587" w14:paraId="3734E242" w14:textId="688BF756">
      <w:pPr>
        <w:pStyle w:val="FootnoteText"/>
      </w:pPr>
      <w:r w:rsidRPr="00A95587">
        <w:rPr>
          <w:rStyle w:val="FootnoteReference"/>
        </w:rPr>
        <w:footnoteRef/>
      </w:r>
      <w:r w:rsidRPr="00A95587">
        <w:t xml:space="preserve"> There do not appear to be any customers that would have been affected by the higher late</w:t>
      </w:r>
      <w:r w:rsidRPr="00A95587" w:rsidR="00C5052F">
        <w:t>-</w:t>
      </w:r>
      <w:r w:rsidRPr="00A95587">
        <w:t>payment fee that are no longer customers of Core and therefor</w:t>
      </w:r>
      <w:r w:rsidRPr="00A95587" w:rsidR="00C5052F">
        <w:t>e</w:t>
      </w:r>
      <w:r w:rsidRPr="00A95587">
        <w:t xml:space="preserve"> </w:t>
      </w:r>
      <w:r w:rsidR="00FB3DAA">
        <w:t xml:space="preserve">would </w:t>
      </w:r>
      <w:r w:rsidRPr="00A95587">
        <w:t xml:space="preserve">not benefit from </w:t>
      </w:r>
      <w:r w:rsidRPr="00A95587" w:rsidR="00C5052F">
        <w:t xml:space="preserve">the </w:t>
      </w:r>
      <w:r w:rsidR="00491695">
        <w:t xml:space="preserve">refunds </w:t>
      </w:r>
      <w:r w:rsidR="00677DD4">
        <w:t xml:space="preserve">required </w:t>
      </w:r>
      <w:r w:rsidRPr="00A95587" w:rsidR="00F17681">
        <w:t>here</w:t>
      </w:r>
      <w:r w:rsidRPr="00A95587">
        <w:t xml:space="preserve">.  </w:t>
      </w:r>
      <w:r w:rsidRPr="00A95587">
        <w:rPr>
          <w:i/>
          <w:iCs/>
        </w:rPr>
        <w:t xml:space="preserve">See </w:t>
      </w:r>
      <w:r w:rsidRPr="00A95587">
        <w:t>Refund Plan at 2 (indicating that Core applied the new 3% late</w:t>
      </w:r>
      <w:r w:rsidRPr="00A95587" w:rsidR="00C5052F">
        <w:t xml:space="preserve">-payment </w:t>
      </w:r>
      <w:r w:rsidRPr="00A95587">
        <w:t xml:space="preserve">fee only to two </w:t>
      </w:r>
      <w:r w:rsidR="00677DD4">
        <w:t xml:space="preserve">of its </w:t>
      </w:r>
      <w:r w:rsidRPr="00A95587">
        <w:t>accounts).</w:t>
      </w:r>
    </w:p>
  </w:footnote>
  <w:footnote w:id="38">
    <w:p w:rsidR="00E37E4D" w14:paraId="15FA64FF" w14:textId="249C9D18">
      <w:pPr>
        <w:pStyle w:val="FootnoteText"/>
      </w:pPr>
      <w:r>
        <w:rPr>
          <w:rStyle w:val="FootnoteReference"/>
        </w:rPr>
        <w:footnoteRef/>
      </w:r>
      <w:r>
        <w:t xml:space="preserve"> </w:t>
      </w:r>
      <w:r w:rsidRPr="00B94BCA" w:rsidR="003E0586">
        <w:rPr>
          <w:i/>
          <w:iCs/>
        </w:rPr>
        <w:t>Core Tariff Investigation Order</w:t>
      </w:r>
      <w:r w:rsidR="003E0586">
        <w:t>, 36 FCC Rcd at 15157, para. 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127" w:rsidP="009F4453" w14:paraId="62F680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4453" w14:paraId="20D661AC" w14:textId="771AC1AF">
    <w:pPr>
      <w:pStyle w:val="Header"/>
    </w:pPr>
    <w:r>
      <w:tab/>
      <w:t>Federal Communications Commission</w:t>
    </w:r>
    <w:r>
      <w:tab/>
    </w:r>
    <w:r w:rsidR="00C360C9">
      <w:t xml:space="preserve">DA </w:t>
    </w:r>
    <w:r w:rsidR="000B2441">
      <w:t>2</w:t>
    </w:r>
    <w:r w:rsidR="00D57B53">
      <w:t>3</w:t>
    </w:r>
    <w:r w:rsidR="000B2441">
      <w:t>-</w:t>
    </w:r>
    <w:r w:rsidR="00617527">
      <w:t>5</w:t>
    </w:r>
  </w:p>
  <w:p w:rsidR="00D25FB5" w14:paraId="5B6DC293" w14:textId="1C47AE3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1CCE58F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4453" w14:paraId="0879887C" w14:textId="1BA6E0F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C360C9">
      <w:t>DA</w:t>
    </w:r>
    <w:r w:rsidR="005C09CF">
      <w:t xml:space="preserve"> 23</w:t>
    </w:r>
    <w:r w:rsidR="00332A89">
      <w:t>-</w:t>
    </w:r>
    <w:r w:rsidR="0061752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7B"/>
    <w:rsid w:val="000122E4"/>
    <w:rsid w:val="00013EA7"/>
    <w:rsid w:val="00014C79"/>
    <w:rsid w:val="00016950"/>
    <w:rsid w:val="00016FFD"/>
    <w:rsid w:val="00021CAA"/>
    <w:rsid w:val="00022D09"/>
    <w:rsid w:val="00025BC8"/>
    <w:rsid w:val="00025D13"/>
    <w:rsid w:val="00030AFF"/>
    <w:rsid w:val="0003162D"/>
    <w:rsid w:val="000317CC"/>
    <w:rsid w:val="00036039"/>
    <w:rsid w:val="00037F90"/>
    <w:rsid w:val="0004300C"/>
    <w:rsid w:val="00043167"/>
    <w:rsid w:val="00046609"/>
    <w:rsid w:val="000534B9"/>
    <w:rsid w:val="00053CE3"/>
    <w:rsid w:val="00053E79"/>
    <w:rsid w:val="00054B14"/>
    <w:rsid w:val="000607CE"/>
    <w:rsid w:val="00064866"/>
    <w:rsid w:val="00065226"/>
    <w:rsid w:val="00065697"/>
    <w:rsid w:val="00065D12"/>
    <w:rsid w:val="00067045"/>
    <w:rsid w:val="00072D40"/>
    <w:rsid w:val="00075D0C"/>
    <w:rsid w:val="00076CC2"/>
    <w:rsid w:val="00077C71"/>
    <w:rsid w:val="00082A63"/>
    <w:rsid w:val="00084617"/>
    <w:rsid w:val="0008549B"/>
    <w:rsid w:val="00086907"/>
    <w:rsid w:val="00086DCA"/>
    <w:rsid w:val="000875BF"/>
    <w:rsid w:val="00090896"/>
    <w:rsid w:val="00093DD4"/>
    <w:rsid w:val="000955A9"/>
    <w:rsid w:val="00096A4B"/>
    <w:rsid w:val="00096D8C"/>
    <w:rsid w:val="000A5F3E"/>
    <w:rsid w:val="000B0E5A"/>
    <w:rsid w:val="000B0F7A"/>
    <w:rsid w:val="000B2441"/>
    <w:rsid w:val="000B3958"/>
    <w:rsid w:val="000B5222"/>
    <w:rsid w:val="000B7C3D"/>
    <w:rsid w:val="000C0B65"/>
    <w:rsid w:val="000C22D3"/>
    <w:rsid w:val="000C670D"/>
    <w:rsid w:val="000C7266"/>
    <w:rsid w:val="000D041D"/>
    <w:rsid w:val="000D1057"/>
    <w:rsid w:val="000D1240"/>
    <w:rsid w:val="000D55BA"/>
    <w:rsid w:val="000D5A4D"/>
    <w:rsid w:val="000D6855"/>
    <w:rsid w:val="000E05FE"/>
    <w:rsid w:val="000E2688"/>
    <w:rsid w:val="000E3D42"/>
    <w:rsid w:val="000F3B83"/>
    <w:rsid w:val="000F3EE7"/>
    <w:rsid w:val="000F5C04"/>
    <w:rsid w:val="000F7B67"/>
    <w:rsid w:val="0010069E"/>
    <w:rsid w:val="00100EB8"/>
    <w:rsid w:val="00101130"/>
    <w:rsid w:val="00101B23"/>
    <w:rsid w:val="00106777"/>
    <w:rsid w:val="00111213"/>
    <w:rsid w:val="001228ED"/>
    <w:rsid w:val="00122BD5"/>
    <w:rsid w:val="001271B0"/>
    <w:rsid w:val="001271BD"/>
    <w:rsid w:val="0013073E"/>
    <w:rsid w:val="00131637"/>
    <w:rsid w:val="00133F79"/>
    <w:rsid w:val="001425CA"/>
    <w:rsid w:val="001443F9"/>
    <w:rsid w:val="00145A1D"/>
    <w:rsid w:val="00145BF9"/>
    <w:rsid w:val="00146D46"/>
    <w:rsid w:val="00146FD0"/>
    <w:rsid w:val="00152B62"/>
    <w:rsid w:val="001532E2"/>
    <w:rsid w:val="0016108C"/>
    <w:rsid w:val="0016389A"/>
    <w:rsid w:val="001647C5"/>
    <w:rsid w:val="00164BBB"/>
    <w:rsid w:val="00166353"/>
    <w:rsid w:val="0016635B"/>
    <w:rsid w:val="001720CD"/>
    <w:rsid w:val="001726E6"/>
    <w:rsid w:val="00172E75"/>
    <w:rsid w:val="00173459"/>
    <w:rsid w:val="0017369F"/>
    <w:rsid w:val="00174E9B"/>
    <w:rsid w:val="0017579D"/>
    <w:rsid w:val="00183F34"/>
    <w:rsid w:val="001915AB"/>
    <w:rsid w:val="001924DB"/>
    <w:rsid w:val="00194A66"/>
    <w:rsid w:val="00197B9C"/>
    <w:rsid w:val="001A0F2E"/>
    <w:rsid w:val="001A33C1"/>
    <w:rsid w:val="001A7593"/>
    <w:rsid w:val="001B2247"/>
    <w:rsid w:val="001B2D45"/>
    <w:rsid w:val="001C14BF"/>
    <w:rsid w:val="001C1684"/>
    <w:rsid w:val="001C2561"/>
    <w:rsid w:val="001C6D82"/>
    <w:rsid w:val="001D04B1"/>
    <w:rsid w:val="001D4FCC"/>
    <w:rsid w:val="001D55D9"/>
    <w:rsid w:val="001D6AB7"/>
    <w:rsid w:val="001D6AFE"/>
    <w:rsid w:val="001D6BCF"/>
    <w:rsid w:val="001D7FD7"/>
    <w:rsid w:val="001E01CA"/>
    <w:rsid w:val="001E1997"/>
    <w:rsid w:val="001E25C8"/>
    <w:rsid w:val="001E7879"/>
    <w:rsid w:val="001F0CA4"/>
    <w:rsid w:val="001F1D5A"/>
    <w:rsid w:val="001F399D"/>
    <w:rsid w:val="001F453E"/>
    <w:rsid w:val="001F6C72"/>
    <w:rsid w:val="0020199D"/>
    <w:rsid w:val="00202484"/>
    <w:rsid w:val="00211014"/>
    <w:rsid w:val="002139E7"/>
    <w:rsid w:val="002147D7"/>
    <w:rsid w:val="00214B54"/>
    <w:rsid w:val="0021628A"/>
    <w:rsid w:val="002170E0"/>
    <w:rsid w:val="002173A2"/>
    <w:rsid w:val="0022075E"/>
    <w:rsid w:val="00224262"/>
    <w:rsid w:val="00224298"/>
    <w:rsid w:val="00231DD1"/>
    <w:rsid w:val="002322EF"/>
    <w:rsid w:val="002324CF"/>
    <w:rsid w:val="00236159"/>
    <w:rsid w:val="00240CD8"/>
    <w:rsid w:val="002427CD"/>
    <w:rsid w:val="002435A9"/>
    <w:rsid w:val="00253468"/>
    <w:rsid w:val="00256675"/>
    <w:rsid w:val="002574B9"/>
    <w:rsid w:val="002604A2"/>
    <w:rsid w:val="002661C9"/>
    <w:rsid w:val="00266D71"/>
    <w:rsid w:val="00267167"/>
    <w:rsid w:val="00271433"/>
    <w:rsid w:val="00274B6D"/>
    <w:rsid w:val="00275CF5"/>
    <w:rsid w:val="00276500"/>
    <w:rsid w:val="00281F25"/>
    <w:rsid w:val="00282329"/>
    <w:rsid w:val="0028301F"/>
    <w:rsid w:val="00285017"/>
    <w:rsid w:val="00286A29"/>
    <w:rsid w:val="00293198"/>
    <w:rsid w:val="00294C0F"/>
    <w:rsid w:val="002962D7"/>
    <w:rsid w:val="002A03E2"/>
    <w:rsid w:val="002A2962"/>
    <w:rsid w:val="002A2D2E"/>
    <w:rsid w:val="002A4CD8"/>
    <w:rsid w:val="002A5295"/>
    <w:rsid w:val="002A705E"/>
    <w:rsid w:val="002B0C8D"/>
    <w:rsid w:val="002B1026"/>
    <w:rsid w:val="002B22C4"/>
    <w:rsid w:val="002B2786"/>
    <w:rsid w:val="002B63D4"/>
    <w:rsid w:val="002C00E8"/>
    <w:rsid w:val="002C06AF"/>
    <w:rsid w:val="002C158C"/>
    <w:rsid w:val="002C4D87"/>
    <w:rsid w:val="002C5D92"/>
    <w:rsid w:val="002E7ABE"/>
    <w:rsid w:val="002F0561"/>
    <w:rsid w:val="002F0CAE"/>
    <w:rsid w:val="002F5C9F"/>
    <w:rsid w:val="002F5EB7"/>
    <w:rsid w:val="002F7209"/>
    <w:rsid w:val="00300482"/>
    <w:rsid w:val="00300A7C"/>
    <w:rsid w:val="00304027"/>
    <w:rsid w:val="00304C82"/>
    <w:rsid w:val="00306533"/>
    <w:rsid w:val="0031344A"/>
    <w:rsid w:val="00314A0F"/>
    <w:rsid w:val="003220C2"/>
    <w:rsid w:val="0032598D"/>
    <w:rsid w:val="00332A89"/>
    <w:rsid w:val="00332B81"/>
    <w:rsid w:val="00332ECE"/>
    <w:rsid w:val="00343749"/>
    <w:rsid w:val="00352136"/>
    <w:rsid w:val="003522FD"/>
    <w:rsid w:val="0035411C"/>
    <w:rsid w:val="00354F95"/>
    <w:rsid w:val="00356DDC"/>
    <w:rsid w:val="00363610"/>
    <w:rsid w:val="003660ED"/>
    <w:rsid w:val="00366171"/>
    <w:rsid w:val="00367868"/>
    <w:rsid w:val="00371EFC"/>
    <w:rsid w:val="00372055"/>
    <w:rsid w:val="00372FB8"/>
    <w:rsid w:val="00374CED"/>
    <w:rsid w:val="0037760B"/>
    <w:rsid w:val="003806EF"/>
    <w:rsid w:val="00381467"/>
    <w:rsid w:val="003849B9"/>
    <w:rsid w:val="00390663"/>
    <w:rsid w:val="0039217E"/>
    <w:rsid w:val="00395C8D"/>
    <w:rsid w:val="003A076B"/>
    <w:rsid w:val="003A2285"/>
    <w:rsid w:val="003A3E89"/>
    <w:rsid w:val="003A4918"/>
    <w:rsid w:val="003A5A87"/>
    <w:rsid w:val="003B0403"/>
    <w:rsid w:val="003B0550"/>
    <w:rsid w:val="003B1B32"/>
    <w:rsid w:val="003B294E"/>
    <w:rsid w:val="003B6076"/>
    <w:rsid w:val="003B6654"/>
    <w:rsid w:val="003B694F"/>
    <w:rsid w:val="003B7004"/>
    <w:rsid w:val="003C4F17"/>
    <w:rsid w:val="003C7C45"/>
    <w:rsid w:val="003D01BC"/>
    <w:rsid w:val="003D19E9"/>
    <w:rsid w:val="003D2894"/>
    <w:rsid w:val="003E026E"/>
    <w:rsid w:val="003E0586"/>
    <w:rsid w:val="003E2339"/>
    <w:rsid w:val="003E3787"/>
    <w:rsid w:val="003E78B3"/>
    <w:rsid w:val="003F171C"/>
    <w:rsid w:val="003F1DE9"/>
    <w:rsid w:val="003F2FA0"/>
    <w:rsid w:val="003F485A"/>
    <w:rsid w:val="003F4A26"/>
    <w:rsid w:val="00400006"/>
    <w:rsid w:val="004034ED"/>
    <w:rsid w:val="004044D2"/>
    <w:rsid w:val="004057A2"/>
    <w:rsid w:val="00405BD4"/>
    <w:rsid w:val="00407936"/>
    <w:rsid w:val="00412FC5"/>
    <w:rsid w:val="00415FF1"/>
    <w:rsid w:val="00416F06"/>
    <w:rsid w:val="00422276"/>
    <w:rsid w:val="004242F1"/>
    <w:rsid w:val="00425C38"/>
    <w:rsid w:val="00425C8F"/>
    <w:rsid w:val="004306F5"/>
    <w:rsid w:val="00434E33"/>
    <w:rsid w:val="00435B05"/>
    <w:rsid w:val="0043605F"/>
    <w:rsid w:val="00436826"/>
    <w:rsid w:val="00443AEB"/>
    <w:rsid w:val="00445A00"/>
    <w:rsid w:val="00446C31"/>
    <w:rsid w:val="00450315"/>
    <w:rsid w:val="00451B0F"/>
    <w:rsid w:val="004523C9"/>
    <w:rsid w:val="004528AC"/>
    <w:rsid w:val="0045403C"/>
    <w:rsid w:val="00460091"/>
    <w:rsid w:val="00461A9B"/>
    <w:rsid w:val="004732FE"/>
    <w:rsid w:val="00473685"/>
    <w:rsid w:val="00473F6E"/>
    <w:rsid w:val="00476DA9"/>
    <w:rsid w:val="004775F6"/>
    <w:rsid w:val="0048270D"/>
    <w:rsid w:val="00485A11"/>
    <w:rsid w:val="00485E45"/>
    <w:rsid w:val="004876C1"/>
    <w:rsid w:val="00491641"/>
    <w:rsid w:val="00491695"/>
    <w:rsid w:val="004959D5"/>
    <w:rsid w:val="00496718"/>
    <w:rsid w:val="004A3D67"/>
    <w:rsid w:val="004B1E9C"/>
    <w:rsid w:val="004B46F6"/>
    <w:rsid w:val="004B49B6"/>
    <w:rsid w:val="004B79FE"/>
    <w:rsid w:val="004C1A24"/>
    <w:rsid w:val="004C2EE3"/>
    <w:rsid w:val="004C792C"/>
    <w:rsid w:val="004D27BB"/>
    <w:rsid w:val="004D476E"/>
    <w:rsid w:val="004D7AC0"/>
    <w:rsid w:val="004E0284"/>
    <w:rsid w:val="004E32C1"/>
    <w:rsid w:val="004E35B2"/>
    <w:rsid w:val="004E4A22"/>
    <w:rsid w:val="004E7594"/>
    <w:rsid w:val="004F13E1"/>
    <w:rsid w:val="004F6732"/>
    <w:rsid w:val="0050013F"/>
    <w:rsid w:val="00500BFC"/>
    <w:rsid w:val="00502E42"/>
    <w:rsid w:val="005073F2"/>
    <w:rsid w:val="00507DC4"/>
    <w:rsid w:val="0051053A"/>
    <w:rsid w:val="005111B7"/>
    <w:rsid w:val="0051159E"/>
    <w:rsid w:val="00511968"/>
    <w:rsid w:val="00511BE0"/>
    <w:rsid w:val="00515C78"/>
    <w:rsid w:val="00515D82"/>
    <w:rsid w:val="00523A91"/>
    <w:rsid w:val="00525BB0"/>
    <w:rsid w:val="00527EE6"/>
    <w:rsid w:val="00533D86"/>
    <w:rsid w:val="00535F39"/>
    <w:rsid w:val="00536C56"/>
    <w:rsid w:val="00540968"/>
    <w:rsid w:val="005432FE"/>
    <w:rsid w:val="00544881"/>
    <w:rsid w:val="00552885"/>
    <w:rsid w:val="005533B2"/>
    <w:rsid w:val="00553F76"/>
    <w:rsid w:val="0055614C"/>
    <w:rsid w:val="00560AC5"/>
    <w:rsid w:val="00560E68"/>
    <w:rsid w:val="00561F66"/>
    <w:rsid w:val="005625E4"/>
    <w:rsid w:val="00562776"/>
    <w:rsid w:val="00563A99"/>
    <w:rsid w:val="005645B6"/>
    <w:rsid w:val="00566D06"/>
    <w:rsid w:val="0057578F"/>
    <w:rsid w:val="00576C70"/>
    <w:rsid w:val="005802B0"/>
    <w:rsid w:val="005813DB"/>
    <w:rsid w:val="0058632F"/>
    <w:rsid w:val="005867B2"/>
    <w:rsid w:val="00595CE2"/>
    <w:rsid w:val="005A050B"/>
    <w:rsid w:val="005A0D25"/>
    <w:rsid w:val="005A65EA"/>
    <w:rsid w:val="005B3D24"/>
    <w:rsid w:val="005B7853"/>
    <w:rsid w:val="005C09CF"/>
    <w:rsid w:val="005C5E23"/>
    <w:rsid w:val="005C7A92"/>
    <w:rsid w:val="005D7203"/>
    <w:rsid w:val="005E14C2"/>
    <w:rsid w:val="005E2707"/>
    <w:rsid w:val="005E4C2B"/>
    <w:rsid w:val="005E7030"/>
    <w:rsid w:val="005F62DB"/>
    <w:rsid w:val="0060026F"/>
    <w:rsid w:val="00604B16"/>
    <w:rsid w:val="0060507C"/>
    <w:rsid w:val="00607BA5"/>
    <w:rsid w:val="00611270"/>
    <w:rsid w:val="0061180A"/>
    <w:rsid w:val="006130C6"/>
    <w:rsid w:val="006133A8"/>
    <w:rsid w:val="00614663"/>
    <w:rsid w:val="006163A5"/>
    <w:rsid w:val="00616D37"/>
    <w:rsid w:val="006171FF"/>
    <w:rsid w:val="00617527"/>
    <w:rsid w:val="00621323"/>
    <w:rsid w:val="00626EB6"/>
    <w:rsid w:val="006300C1"/>
    <w:rsid w:val="00631355"/>
    <w:rsid w:val="00634D39"/>
    <w:rsid w:val="0063594C"/>
    <w:rsid w:val="0063748E"/>
    <w:rsid w:val="006412D6"/>
    <w:rsid w:val="006441D5"/>
    <w:rsid w:val="00645DB8"/>
    <w:rsid w:val="00646387"/>
    <w:rsid w:val="00647A0F"/>
    <w:rsid w:val="0065545D"/>
    <w:rsid w:val="00655D03"/>
    <w:rsid w:val="00655FF7"/>
    <w:rsid w:val="00664127"/>
    <w:rsid w:val="00670DE7"/>
    <w:rsid w:val="0067458F"/>
    <w:rsid w:val="00677DD4"/>
    <w:rsid w:val="0068261D"/>
    <w:rsid w:val="00683388"/>
    <w:rsid w:val="00683F84"/>
    <w:rsid w:val="00686D8C"/>
    <w:rsid w:val="006912DD"/>
    <w:rsid w:val="006930E0"/>
    <w:rsid w:val="00695874"/>
    <w:rsid w:val="00696341"/>
    <w:rsid w:val="00697906"/>
    <w:rsid w:val="006A4575"/>
    <w:rsid w:val="006A4587"/>
    <w:rsid w:val="006A54ED"/>
    <w:rsid w:val="006A679D"/>
    <w:rsid w:val="006A6A81"/>
    <w:rsid w:val="006A6CE1"/>
    <w:rsid w:val="006B4D4B"/>
    <w:rsid w:val="006B7E4B"/>
    <w:rsid w:val="006C2F3D"/>
    <w:rsid w:val="006C6BC8"/>
    <w:rsid w:val="006D12EB"/>
    <w:rsid w:val="006D2BB2"/>
    <w:rsid w:val="006D6077"/>
    <w:rsid w:val="006E172B"/>
    <w:rsid w:val="006E2660"/>
    <w:rsid w:val="006E3DBC"/>
    <w:rsid w:val="006E5BB5"/>
    <w:rsid w:val="006F4E64"/>
    <w:rsid w:val="006F7393"/>
    <w:rsid w:val="0070224F"/>
    <w:rsid w:val="00704846"/>
    <w:rsid w:val="007115F7"/>
    <w:rsid w:val="007131CA"/>
    <w:rsid w:val="00726FC1"/>
    <w:rsid w:val="00727734"/>
    <w:rsid w:val="00732BF9"/>
    <w:rsid w:val="00734CE9"/>
    <w:rsid w:val="00735513"/>
    <w:rsid w:val="00737A79"/>
    <w:rsid w:val="00743DDE"/>
    <w:rsid w:val="007450D9"/>
    <w:rsid w:val="00746949"/>
    <w:rsid w:val="00751013"/>
    <w:rsid w:val="00752B1F"/>
    <w:rsid w:val="00755217"/>
    <w:rsid w:val="00756302"/>
    <w:rsid w:val="0076117C"/>
    <w:rsid w:val="00766AFE"/>
    <w:rsid w:val="00766B49"/>
    <w:rsid w:val="00770F7B"/>
    <w:rsid w:val="00781F5D"/>
    <w:rsid w:val="00783096"/>
    <w:rsid w:val="007830A4"/>
    <w:rsid w:val="007841E3"/>
    <w:rsid w:val="00785689"/>
    <w:rsid w:val="00786B59"/>
    <w:rsid w:val="0078757A"/>
    <w:rsid w:val="007906FA"/>
    <w:rsid w:val="0079729C"/>
    <w:rsid w:val="0079754B"/>
    <w:rsid w:val="007A1E6D"/>
    <w:rsid w:val="007A46CD"/>
    <w:rsid w:val="007A6218"/>
    <w:rsid w:val="007A6F4E"/>
    <w:rsid w:val="007A7DE3"/>
    <w:rsid w:val="007B0EB2"/>
    <w:rsid w:val="007B2198"/>
    <w:rsid w:val="007B5192"/>
    <w:rsid w:val="007B695B"/>
    <w:rsid w:val="007B7AC6"/>
    <w:rsid w:val="007C281C"/>
    <w:rsid w:val="007C2BA1"/>
    <w:rsid w:val="007C3917"/>
    <w:rsid w:val="007C3BE0"/>
    <w:rsid w:val="007C4975"/>
    <w:rsid w:val="007D0D76"/>
    <w:rsid w:val="007D1E44"/>
    <w:rsid w:val="007D2805"/>
    <w:rsid w:val="007D42CF"/>
    <w:rsid w:val="007D7732"/>
    <w:rsid w:val="007E048D"/>
    <w:rsid w:val="007E42F4"/>
    <w:rsid w:val="007E483D"/>
    <w:rsid w:val="007E49D2"/>
    <w:rsid w:val="007E6C64"/>
    <w:rsid w:val="007E6F8D"/>
    <w:rsid w:val="007F0FB7"/>
    <w:rsid w:val="007F1F89"/>
    <w:rsid w:val="007F635C"/>
    <w:rsid w:val="00803276"/>
    <w:rsid w:val="00803560"/>
    <w:rsid w:val="00804780"/>
    <w:rsid w:val="00810B6F"/>
    <w:rsid w:val="00811AF1"/>
    <w:rsid w:val="00814095"/>
    <w:rsid w:val="00814FB5"/>
    <w:rsid w:val="0082241B"/>
    <w:rsid w:val="00822CE0"/>
    <w:rsid w:val="00830274"/>
    <w:rsid w:val="008363EF"/>
    <w:rsid w:val="00836C5E"/>
    <w:rsid w:val="00837C5A"/>
    <w:rsid w:val="00840BBC"/>
    <w:rsid w:val="00841011"/>
    <w:rsid w:val="0084199E"/>
    <w:rsid w:val="00841AB1"/>
    <w:rsid w:val="00847FAB"/>
    <w:rsid w:val="00853581"/>
    <w:rsid w:val="00854B15"/>
    <w:rsid w:val="0086380D"/>
    <w:rsid w:val="00863D1D"/>
    <w:rsid w:val="00871213"/>
    <w:rsid w:val="00871D9A"/>
    <w:rsid w:val="00872453"/>
    <w:rsid w:val="00873D51"/>
    <w:rsid w:val="0088383B"/>
    <w:rsid w:val="00887FE9"/>
    <w:rsid w:val="008916FB"/>
    <w:rsid w:val="00892FAD"/>
    <w:rsid w:val="00895F11"/>
    <w:rsid w:val="00897F6A"/>
    <w:rsid w:val="008A0119"/>
    <w:rsid w:val="008A0B48"/>
    <w:rsid w:val="008A0E1E"/>
    <w:rsid w:val="008A2BD0"/>
    <w:rsid w:val="008A6D9C"/>
    <w:rsid w:val="008A7018"/>
    <w:rsid w:val="008A7066"/>
    <w:rsid w:val="008B060B"/>
    <w:rsid w:val="008B206A"/>
    <w:rsid w:val="008B413E"/>
    <w:rsid w:val="008B4C3C"/>
    <w:rsid w:val="008B73D1"/>
    <w:rsid w:val="008C07F8"/>
    <w:rsid w:val="008C3EBA"/>
    <w:rsid w:val="008C68F1"/>
    <w:rsid w:val="008D1621"/>
    <w:rsid w:val="008D2D6C"/>
    <w:rsid w:val="008D315F"/>
    <w:rsid w:val="008D5506"/>
    <w:rsid w:val="008D6026"/>
    <w:rsid w:val="008E1F0C"/>
    <w:rsid w:val="008E41F1"/>
    <w:rsid w:val="008E5968"/>
    <w:rsid w:val="008F1E8A"/>
    <w:rsid w:val="008F3D43"/>
    <w:rsid w:val="008F452E"/>
    <w:rsid w:val="008F479B"/>
    <w:rsid w:val="008F5C4F"/>
    <w:rsid w:val="008F76E5"/>
    <w:rsid w:val="00903801"/>
    <w:rsid w:val="009044E1"/>
    <w:rsid w:val="00904B2B"/>
    <w:rsid w:val="009062E4"/>
    <w:rsid w:val="0090780B"/>
    <w:rsid w:val="00911782"/>
    <w:rsid w:val="00912D9B"/>
    <w:rsid w:val="00916D66"/>
    <w:rsid w:val="0092166F"/>
    <w:rsid w:val="00921803"/>
    <w:rsid w:val="00923A62"/>
    <w:rsid w:val="00923E6F"/>
    <w:rsid w:val="009247C0"/>
    <w:rsid w:val="00926503"/>
    <w:rsid w:val="009306C4"/>
    <w:rsid w:val="00930F12"/>
    <w:rsid w:val="00932FB2"/>
    <w:rsid w:val="00933180"/>
    <w:rsid w:val="00934B51"/>
    <w:rsid w:val="009365FF"/>
    <w:rsid w:val="00944845"/>
    <w:rsid w:val="009555C1"/>
    <w:rsid w:val="00955C33"/>
    <w:rsid w:val="00955E42"/>
    <w:rsid w:val="0095731A"/>
    <w:rsid w:val="00961A9A"/>
    <w:rsid w:val="009634FD"/>
    <w:rsid w:val="00963884"/>
    <w:rsid w:val="00964653"/>
    <w:rsid w:val="009726D8"/>
    <w:rsid w:val="00973E6D"/>
    <w:rsid w:val="00974C0F"/>
    <w:rsid w:val="0097606D"/>
    <w:rsid w:val="00976678"/>
    <w:rsid w:val="00980420"/>
    <w:rsid w:val="00980FF0"/>
    <w:rsid w:val="00981522"/>
    <w:rsid w:val="00981B08"/>
    <w:rsid w:val="009823C4"/>
    <w:rsid w:val="00984945"/>
    <w:rsid w:val="00991627"/>
    <w:rsid w:val="00991652"/>
    <w:rsid w:val="009922BE"/>
    <w:rsid w:val="00993FA1"/>
    <w:rsid w:val="00994494"/>
    <w:rsid w:val="0099572C"/>
    <w:rsid w:val="00997300"/>
    <w:rsid w:val="00997CC0"/>
    <w:rsid w:val="009A1B11"/>
    <w:rsid w:val="009A20EB"/>
    <w:rsid w:val="009A213F"/>
    <w:rsid w:val="009A31FB"/>
    <w:rsid w:val="009A36C8"/>
    <w:rsid w:val="009A4B6D"/>
    <w:rsid w:val="009B1C8A"/>
    <w:rsid w:val="009C3C6F"/>
    <w:rsid w:val="009C45B8"/>
    <w:rsid w:val="009C52DE"/>
    <w:rsid w:val="009C543C"/>
    <w:rsid w:val="009C5615"/>
    <w:rsid w:val="009D5932"/>
    <w:rsid w:val="009D64E4"/>
    <w:rsid w:val="009D7308"/>
    <w:rsid w:val="009E23E7"/>
    <w:rsid w:val="009E2593"/>
    <w:rsid w:val="009E3281"/>
    <w:rsid w:val="009E3BB0"/>
    <w:rsid w:val="009E4E23"/>
    <w:rsid w:val="009F4453"/>
    <w:rsid w:val="009F76DB"/>
    <w:rsid w:val="00A00B8D"/>
    <w:rsid w:val="00A028C8"/>
    <w:rsid w:val="00A032A4"/>
    <w:rsid w:val="00A03D45"/>
    <w:rsid w:val="00A04B20"/>
    <w:rsid w:val="00A056B0"/>
    <w:rsid w:val="00A132B7"/>
    <w:rsid w:val="00A222A1"/>
    <w:rsid w:val="00A3038C"/>
    <w:rsid w:val="00A32C3B"/>
    <w:rsid w:val="00A34D21"/>
    <w:rsid w:val="00A35C07"/>
    <w:rsid w:val="00A36E52"/>
    <w:rsid w:val="00A41045"/>
    <w:rsid w:val="00A4139B"/>
    <w:rsid w:val="00A42E21"/>
    <w:rsid w:val="00A43CDC"/>
    <w:rsid w:val="00A44C24"/>
    <w:rsid w:val="00A458ED"/>
    <w:rsid w:val="00A45F4F"/>
    <w:rsid w:val="00A46524"/>
    <w:rsid w:val="00A47FA4"/>
    <w:rsid w:val="00A50A71"/>
    <w:rsid w:val="00A53000"/>
    <w:rsid w:val="00A5512E"/>
    <w:rsid w:val="00A572C3"/>
    <w:rsid w:val="00A6005C"/>
    <w:rsid w:val="00A600A9"/>
    <w:rsid w:val="00A61675"/>
    <w:rsid w:val="00A63C9A"/>
    <w:rsid w:val="00A64106"/>
    <w:rsid w:val="00A65666"/>
    <w:rsid w:val="00A7787F"/>
    <w:rsid w:val="00A779BF"/>
    <w:rsid w:val="00A82276"/>
    <w:rsid w:val="00A90086"/>
    <w:rsid w:val="00A95587"/>
    <w:rsid w:val="00A9664A"/>
    <w:rsid w:val="00AA06AC"/>
    <w:rsid w:val="00AA0CCB"/>
    <w:rsid w:val="00AA0D9C"/>
    <w:rsid w:val="00AA44CB"/>
    <w:rsid w:val="00AA55B7"/>
    <w:rsid w:val="00AA5B9E"/>
    <w:rsid w:val="00AB2407"/>
    <w:rsid w:val="00AB2B7D"/>
    <w:rsid w:val="00AB31AA"/>
    <w:rsid w:val="00AB53DF"/>
    <w:rsid w:val="00AB67DE"/>
    <w:rsid w:val="00AC5D57"/>
    <w:rsid w:val="00AC6355"/>
    <w:rsid w:val="00AD021A"/>
    <w:rsid w:val="00AD3C73"/>
    <w:rsid w:val="00AD44DB"/>
    <w:rsid w:val="00AD4893"/>
    <w:rsid w:val="00AD71BE"/>
    <w:rsid w:val="00AE0F3E"/>
    <w:rsid w:val="00AE262E"/>
    <w:rsid w:val="00AE576E"/>
    <w:rsid w:val="00AF3252"/>
    <w:rsid w:val="00AF6046"/>
    <w:rsid w:val="00B00D26"/>
    <w:rsid w:val="00B06B53"/>
    <w:rsid w:val="00B07E5C"/>
    <w:rsid w:val="00B104C3"/>
    <w:rsid w:val="00B1076E"/>
    <w:rsid w:val="00B1169B"/>
    <w:rsid w:val="00B11CA5"/>
    <w:rsid w:val="00B12012"/>
    <w:rsid w:val="00B132F2"/>
    <w:rsid w:val="00B14BB5"/>
    <w:rsid w:val="00B2557D"/>
    <w:rsid w:val="00B26EF9"/>
    <w:rsid w:val="00B30062"/>
    <w:rsid w:val="00B3213F"/>
    <w:rsid w:val="00B34525"/>
    <w:rsid w:val="00B34643"/>
    <w:rsid w:val="00B37610"/>
    <w:rsid w:val="00B408C7"/>
    <w:rsid w:val="00B41472"/>
    <w:rsid w:val="00B47040"/>
    <w:rsid w:val="00B55A31"/>
    <w:rsid w:val="00B57567"/>
    <w:rsid w:val="00B6131B"/>
    <w:rsid w:val="00B62C7B"/>
    <w:rsid w:val="00B64B95"/>
    <w:rsid w:val="00B65A0A"/>
    <w:rsid w:val="00B65B8B"/>
    <w:rsid w:val="00B66014"/>
    <w:rsid w:val="00B66C26"/>
    <w:rsid w:val="00B7216A"/>
    <w:rsid w:val="00B73283"/>
    <w:rsid w:val="00B76057"/>
    <w:rsid w:val="00B76B11"/>
    <w:rsid w:val="00B811F7"/>
    <w:rsid w:val="00B821D8"/>
    <w:rsid w:val="00B82754"/>
    <w:rsid w:val="00B840DC"/>
    <w:rsid w:val="00B8465C"/>
    <w:rsid w:val="00B8567A"/>
    <w:rsid w:val="00B878CD"/>
    <w:rsid w:val="00B90E72"/>
    <w:rsid w:val="00B94BCA"/>
    <w:rsid w:val="00B95ACD"/>
    <w:rsid w:val="00B9671E"/>
    <w:rsid w:val="00B9741E"/>
    <w:rsid w:val="00B9796F"/>
    <w:rsid w:val="00BA1CDE"/>
    <w:rsid w:val="00BA2389"/>
    <w:rsid w:val="00BA4CDF"/>
    <w:rsid w:val="00BA52CE"/>
    <w:rsid w:val="00BA5DC6"/>
    <w:rsid w:val="00BA6196"/>
    <w:rsid w:val="00BA6BD7"/>
    <w:rsid w:val="00BB0604"/>
    <w:rsid w:val="00BB3986"/>
    <w:rsid w:val="00BB5B22"/>
    <w:rsid w:val="00BC0319"/>
    <w:rsid w:val="00BC4033"/>
    <w:rsid w:val="00BC6D8C"/>
    <w:rsid w:val="00BD0359"/>
    <w:rsid w:val="00BD5B5F"/>
    <w:rsid w:val="00BD6D39"/>
    <w:rsid w:val="00BE3019"/>
    <w:rsid w:val="00BE374A"/>
    <w:rsid w:val="00BE728F"/>
    <w:rsid w:val="00BF5668"/>
    <w:rsid w:val="00C0251F"/>
    <w:rsid w:val="00C15C0D"/>
    <w:rsid w:val="00C208D7"/>
    <w:rsid w:val="00C20992"/>
    <w:rsid w:val="00C20C6B"/>
    <w:rsid w:val="00C21687"/>
    <w:rsid w:val="00C23248"/>
    <w:rsid w:val="00C237C5"/>
    <w:rsid w:val="00C27DCA"/>
    <w:rsid w:val="00C34006"/>
    <w:rsid w:val="00C340EA"/>
    <w:rsid w:val="00C360C9"/>
    <w:rsid w:val="00C36B4C"/>
    <w:rsid w:val="00C406D9"/>
    <w:rsid w:val="00C40BE3"/>
    <w:rsid w:val="00C41125"/>
    <w:rsid w:val="00C426B1"/>
    <w:rsid w:val="00C500A1"/>
    <w:rsid w:val="00C5052F"/>
    <w:rsid w:val="00C571D7"/>
    <w:rsid w:val="00C57374"/>
    <w:rsid w:val="00C61EB0"/>
    <w:rsid w:val="00C61F2B"/>
    <w:rsid w:val="00C66160"/>
    <w:rsid w:val="00C670D6"/>
    <w:rsid w:val="00C67BC5"/>
    <w:rsid w:val="00C72011"/>
    <w:rsid w:val="00C721AC"/>
    <w:rsid w:val="00C73550"/>
    <w:rsid w:val="00C75A94"/>
    <w:rsid w:val="00C7723D"/>
    <w:rsid w:val="00C81126"/>
    <w:rsid w:val="00C8179B"/>
    <w:rsid w:val="00C8225C"/>
    <w:rsid w:val="00C82440"/>
    <w:rsid w:val="00C83ADA"/>
    <w:rsid w:val="00C90D6A"/>
    <w:rsid w:val="00C93C0C"/>
    <w:rsid w:val="00C95B86"/>
    <w:rsid w:val="00C97395"/>
    <w:rsid w:val="00CA247E"/>
    <w:rsid w:val="00CA27D5"/>
    <w:rsid w:val="00CA3E34"/>
    <w:rsid w:val="00CA56ED"/>
    <w:rsid w:val="00CA668E"/>
    <w:rsid w:val="00CA6D21"/>
    <w:rsid w:val="00CB0CBE"/>
    <w:rsid w:val="00CB17E5"/>
    <w:rsid w:val="00CB2643"/>
    <w:rsid w:val="00CB2C53"/>
    <w:rsid w:val="00CB2CFE"/>
    <w:rsid w:val="00CB31B4"/>
    <w:rsid w:val="00CB4C0D"/>
    <w:rsid w:val="00CB750C"/>
    <w:rsid w:val="00CC2A3C"/>
    <w:rsid w:val="00CC6144"/>
    <w:rsid w:val="00CC6507"/>
    <w:rsid w:val="00CC72B6"/>
    <w:rsid w:val="00CD018D"/>
    <w:rsid w:val="00CD0E69"/>
    <w:rsid w:val="00CD1F10"/>
    <w:rsid w:val="00CD284F"/>
    <w:rsid w:val="00CD2B13"/>
    <w:rsid w:val="00CD35AD"/>
    <w:rsid w:val="00CD4E72"/>
    <w:rsid w:val="00CD5ED8"/>
    <w:rsid w:val="00CE4B92"/>
    <w:rsid w:val="00CE4F79"/>
    <w:rsid w:val="00CE7DF9"/>
    <w:rsid w:val="00CF4864"/>
    <w:rsid w:val="00CF50EB"/>
    <w:rsid w:val="00CF5162"/>
    <w:rsid w:val="00D01050"/>
    <w:rsid w:val="00D013D0"/>
    <w:rsid w:val="00D0218D"/>
    <w:rsid w:val="00D0361A"/>
    <w:rsid w:val="00D0600E"/>
    <w:rsid w:val="00D062FD"/>
    <w:rsid w:val="00D074D2"/>
    <w:rsid w:val="00D118A4"/>
    <w:rsid w:val="00D139B1"/>
    <w:rsid w:val="00D13DD4"/>
    <w:rsid w:val="00D21FA2"/>
    <w:rsid w:val="00D2310D"/>
    <w:rsid w:val="00D241CA"/>
    <w:rsid w:val="00D25FB5"/>
    <w:rsid w:val="00D27F5B"/>
    <w:rsid w:val="00D31E0B"/>
    <w:rsid w:val="00D32217"/>
    <w:rsid w:val="00D34129"/>
    <w:rsid w:val="00D34994"/>
    <w:rsid w:val="00D44223"/>
    <w:rsid w:val="00D474A9"/>
    <w:rsid w:val="00D50287"/>
    <w:rsid w:val="00D5162A"/>
    <w:rsid w:val="00D52103"/>
    <w:rsid w:val="00D5225F"/>
    <w:rsid w:val="00D56DF5"/>
    <w:rsid w:val="00D57B53"/>
    <w:rsid w:val="00D60F60"/>
    <w:rsid w:val="00D62727"/>
    <w:rsid w:val="00D6348A"/>
    <w:rsid w:val="00D654EC"/>
    <w:rsid w:val="00D760A9"/>
    <w:rsid w:val="00D80B03"/>
    <w:rsid w:val="00D82807"/>
    <w:rsid w:val="00D84187"/>
    <w:rsid w:val="00D8481A"/>
    <w:rsid w:val="00D86869"/>
    <w:rsid w:val="00D87D2E"/>
    <w:rsid w:val="00D903B8"/>
    <w:rsid w:val="00D92FF7"/>
    <w:rsid w:val="00D934A7"/>
    <w:rsid w:val="00D936AB"/>
    <w:rsid w:val="00D93C73"/>
    <w:rsid w:val="00D95232"/>
    <w:rsid w:val="00DA2529"/>
    <w:rsid w:val="00DA57E2"/>
    <w:rsid w:val="00DA5CBF"/>
    <w:rsid w:val="00DA6D29"/>
    <w:rsid w:val="00DB130A"/>
    <w:rsid w:val="00DB1B01"/>
    <w:rsid w:val="00DB22EA"/>
    <w:rsid w:val="00DB2EBB"/>
    <w:rsid w:val="00DB2FF5"/>
    <w:rsid w:val="00DB3AAB"/>
    <w:rsid w:val="00DB5817"/>
    <w:rsid w:val="00DB58A8"/>
    <w:rsid w:val="00DC10A1"/>
    <w:rsid w:val="00DC1C56"/>
    <w:rsid w:val="00DC22C5"/>
    <w:rsid w:val="00DC655F"/>
    <w:rsid w:val="00DC682E"/>
    <w:rsid w:val="00DD0B59"/>
    <w:rsid w:val="00DD7EBD"/>
    <w:rsid w:val="00DD7FA2"/>
    <w:rsid w:val="00DE2A1D"/>
    <w:rsid w:val="00DE4040"/>
    <w:rsid w:val="00DF0CDD"/>
    <w:rsid w:val="00DF5872"/>
    <w:rsid w:val="00DF5EAB"/>
    <w:rsid w:val="00DF62B6"/>
    <w:rsid w:val="00DF64FB"/>
    <w:rsid w:val="00E00046"/>
    <w:rsid w:val="00E00665"/>
    <w:rsid w:val="00E05BD4"/>
    <w:rsid w:val="00E06206"/>
    <w:rsid w:val="00E06533"/>
    <w:rsid w:val="00E07225"/>
    <w:rsid w:val="00E108EE"/>
    <w:rsid w:val="00E11C7E"/>
    <w:rsid w:val="00E1539C"/>
    <w:rsid w:val="00E163D8"/>
    <w:rsid w:val="00E23330"/>
    <w:rsid w:val="00E2543D"/>
    <w:rsid w:val="00E30699"/>
    <w:rsid w:val="00E317D6"/>
    <w:rsid w:val="00E31D5E"/>
    <w:rsid w:val="00E35EF2"/>
    <w:rsid w:val="00E37381"/>
    <w:rsid w:val="00E374BA"/>
    <w:rsid w:val="00E37E4D"/>
    <w:rsid w:val="00E45B98"/>
    <w:rsid w:val="00E51425"/>
    <w:rsid w:val="00E514A4"/>
    <w:rsid w:val="00E52811"/>
    <w:rsid w:val="00E5359D"/>
    <w:rsid w:val="00E5409F"/>
    <w:rsid w:val="00E65F46"/>
    <w:rsid w:val="00E712F6"/>
    <w:rsid w:val="00E80248"/>
    <w:rsid w:val="00E845BE"/>
    <w:rsid w:val="00E85575"/>
    <w:rsid w:val="00E87BBA"/>
    <w:rsid w:val="00E904B9"/>
    <w:rsid w:val="00E9156E"/>
    <w:rsid w:val="00E9581D"/>
    <w:rsid w:val="00EA0EC4"/>
    <w:rsid w:val="00EA310E"/>
    <w:rsid w:val="00EA6C57"/>
    <w:rsid w:val="00EB3A2C"/>
    <w:rsid w:val="00EB5195"/>
    <w:rsid w:val="00EB5EC0"/>
    <w:rsid w:val="00EC311C"/>
    <w:rsid w:val="00EC399B"/>
    <w:rsid w:val="00EC5403"/>
    <w:rsid w:val="00ED04EC"/>
    <w:rsid w:val="00ED088E"/>
    <w:rsid w:val="00ED39CA"/>
    <w:rsid w:val="00ED4E61"/>
    <w:rsid w:val="00ED5B5C"/>
    <w:rsid w:val="00ED64A4"/>
    <w:rsid w:val="00ED7BC6"/>
    <w:rsid w:val="00EE0204"/>
    <w:rsid w:val="00EE24BB"/>
    <w:rsid w:val="00EE5620"/>
    <w:rsid w:val="00EE6488"/>
    <w:rsid w:val="00EF4F7E"/>
    <w:rsid w:val="00F00799"/>
    <w:rsid w:val="00F021FA"/>
    <w:rsid w:val="00F030B2"/>
    <w:rsid w:val="00F05B63"/>
    <w:rsid w:val="00F1225F"/>
    <w:rsid w:val="00F15B54"/>
    <w:rsid w:val="00F17586"/>
    <w:rsid w:val="00F17681"/>
    <w:rsid w:val="00F22A1B"/>
    <w:rsid w:val="00F23FCF"/>
    <w:rsid w:val="00F244F9"/>
    <w:rsid w:val="00F31689"/>
    <w:rsid w:val="00F31B26"/>
    <w:rsid w:val="00F32032"/>
    <w:rsid w:val="00F374C3"/>
    <w:rsid w:val="00F37897"/>
    <w:rsid w:val="00F37DBC"/>
    <w:rsid w:val="00F400F2"/>
    <w:rsid w:val="00F413A4"/>
    <w:rsid w:val="00F41E81"/>
    <w:rsid w:val="00F54ED5"/>
    <w:rsid w:val="00F55CBF"/>
    <w:rsid w:val="00F56933"/>
    <w:rsid w:val="00F56CF1"/>
    <w:rsid w:val="00F60CA6"/>
    <w:rsid w:val="00F626F9"/>
    <w:rsid w:val="00F62CA1"/>
    <w:rsid w:val="00F62E97"/>
    <w:rsid w:val="00F63D9D"/>
    <w:rsid w:val="00F64209"/>
    <w:rsid w:val="00F66562"/>
    <w:rsid w:val="00F70548"/>
    <w:rsid w:val="00F70B1F"/>
    <w:rsid w:val="00F721DC"/>
    <w:rsid w:val="00F73693"/>
    <w:rsid w:val="00F76280"/>
    <w:rsid w:val="00F76B59"/>
    <w:rsid w:val="00F772A6"/>
    <w:rsid w:val="00F80E08"/>
    <w:rsid w:val="00F83348"/>
    <w:rsid w:val="00F84A82"/>
    <w:rsid w:val="00F87E42"/>
    <w:rsid w:val="00F87F6C"/>
    <w:rsid w:val="00F90971"/>
    <w:rsid w:val="00F93BF5"/>
    <w:rsid w:val="00F96D19"/>
    <w:rsid w:val="00FA05A3"/>
    <w:rsid w:val="00FA4820"/>
    <w:rsid w:val="00FA516C"/>
    <w:rsid w:val="00FB1B98"/>
    <w:rsid w:val="00FB3DAA"/>
    <w:rsid w:val="00FB4B63"/>
    <w:rsid w:val="00FB583C"/>
    <w:rsid w:val="00FB5C58"/>
    <w:rsid w:val="00FC0980"/>
    <w:rsid w:val="00FC0D2A"/>
    <w:rsid w:val="00FC1096"/>
    <w:rsid w:val="00FD3903"/>
    <w:rsid w:val="00FD7706"/>
    <w:rsid w:val="00FE02D1"/>
    <w:rsid w:val="00FE033D"/>
    <w:rsid w:val="00FE1BDB"/>
    <w:rsid w:val="00FE20A0"/>
    <w:rsid w:val="00FE3B39"/>
    <w:rsid w:val="00FF25D4"/>
    <w:rsid w:val="00FF3C92"/>
    <w:rsid w:val="00FF524A"/>
    <w:rsid w:val="00FF68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7256AD"/>
  <w15:docId w15:val="{7EAAEA1E-45B5-4E7F-8F36-92AF42D9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F4453"/>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B62C7B"/>
    <w:rPr>
      <w:sz w:val="16"/>
      <w:szCs w:val="16"/>
    </w:rPr>
  </w:style>
  <w:style w:type="paragraph" w:styleId="CommentText">
    <w:name w:val="annotation text"/>
    <w:basedOn w:val="Normal"/>
    <w:link w:val="CommentTextChar"/>
    <w:rsid w:val="00B62C7B"/>
    <w:rPr>
      <w:sz w:val="20"/>
    </w:rPr>
  </w:style>
  <w:style w:type="character" w:customStyle="1" w:styleId="CommentTextChar">
    <w:name w:val="Comment Text Char"/>
    <w:link w:val="CommentText"/>
    <w:rsid w:val="00B62C7B"/>
    <w:rPr>
      <w:snapToGrid w:val="0"/>
      <w:kern w:val="28"/>
    </w:rPr>
  </w:style>
  <w:style w:type="character" w:customStyle="1" w:styleId="hotkey-layer">
    <w:name w:val="hotkey-layer"/>
    <w:basedOn w:val="DefaultParagraphFont"/>
    <w:rsid w:val="00B62C7B"/>
  </w:style>
  <w:style w:type="character" w:customStyle="1" w:styleId="cf01">
    <w:name w:val="cf01"/>
    <w:rsid w:val="00B62C7B"/>
    <w:rPr>
      <w:rFonts w:ascii="Segoe UI" w:hAnsi="Segoe UI" w:cs="Segoe UI" w:hint="default"/>
      <w:sz w:val="18"/>
      <w:szCs w:val="18"/>
    </w:rPr>
  </w:style>
  <w:style w:type="paragraph" w:styleId="ListParagraph">
    <w:name w:val="List Paragraph"/>
    <w:basedOn w:val="Normal"/>
    <w:uiPriority w:val="34"/>
    <w:qFormat/>
    <w:rsid w:val="00B62C7B"/>
    <w:pPr>
      <w:widowControl/>
      <w:spacing w:after="160" w:line="259" w:lineRule="auto"/>
      <w:ind w:left="720"/>
      <w:contextualSpacing/>
    </w:pPr>
    <w:rPr>
      <w:rFonts w:ascii="Calibri" w:eastAsia="Calibri" w:hAnsi="Calibri"/>
      <w:snapToGrid/>
      <w:kern w:val="0"/>
      <w:szCs w:val="22"/>
    </w:rPr>
  </w:style>
  <w:style w:type="paragraph" w:styleId="CommentSubject">
    <w:name w:val="annotation subject"/>
    <w:basedOn w:val="CommentText"/>
    <w:next w:val="CommentText"/>
    <w:link w:val="CommentSubjectChar"/>
    <w:rsid w:val="00D50287"/>
    <w:rPr>
      <w:b/>
      <w:bCs/>
    </w:rPr>
  </w:style>
  <w:style w:type="character" w:customStyle="1" w:styleId="CommentSubjectChar">
    <w:name w:val="Comment Subject Char"/>
    <w:link w:val="CommentSubject"/>
    <w:rsid w:val="00D50287"/>
    <w:rPr>
      <w:b/>
      <w:bCs/>
      <w:snapToGrid w:val="0"/>
      <w:kern w:val="28"/>
    </w:rPr>
  </w:style>
  <w:style w:type="paragraph" w:styleId="Revision">
    <w:name w:val="Revision"/>
    <w:hidden/>
    <w:uiPriority w:val="99"/>
    <w:semiHidden/>
    <w:rsid w:val="002A29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plus.lexis.com/document/?pdmfid=1530671&amp;crid=a8139864-39e3-467f-80ee-9cd5dac65cfe&amp;pddocfullpath=%2Fshared%2Fdocument%2Fadministrative-materials%2Furn%3AcontentItem%3A3T1N-R1W0-000K-54N8-00000-00&amp;pdcontentcomponentid=5995&amp;pdteaserkey=&amp;pdislpamode=false&amp;pdworkfolderlocatorid=NOT_SAVED_IN_WORKFOLDER&amp;ecomp=Lfbtk&amp;earg=sr2&amp;prid=5041d3a7-de28-40a7-8a53-c1ae83acd76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