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932433" w:rsidRPr="00962197" w:rsidP="00932433" w14:paraId="0F660F3D" w14:textId="05D30772">
      <w:pPr>
        <w:widowControl w:val="0"/>
        <w:ind w:left="5760" w:firstLine="720"/>
        <w:rPr>
          <w:sz w:val="22"/>
          <w:szCs w:val="22"/>
        </w:rPr>
      </w:pPr>
      <w:r>
        <w:rPr>
          <w:sz w:val="22"/>
          <w:szCs w:val="22"/>
        </w:rPr>
        <w:t xml:space="preserve">                                                                                                                                                                                </w:t>
      </w:r>
    </w:p>
    <w:p w:rsidR="00F30169" w:rsidRPr="00B564F1" w:rsidP="00F30169" w14:paraId="62A57153" w14:textId="53C372FD">
      <w:pPr>
        <w:widowControl w:val="0"/>
        <w:ind w:left="5760" w:firstLine="720"/>
        <w:rPr>
          <w:sz w:val="22"/>
          <w:szCs w:val="22"/>
        </w:rPr>
      </w:pPr>
      <w:r w:rsidRPr="00B564F1">
        <w:rPr>
          <w:sz w:val="22"/>
          <w:szCs w:val="22"/>
        </w:rPr>
        <w:t>DA 23-</w:t>
      </w:r>
      <w:r w:rsidRPr="00B564F1" w:rsidR="00B564F1">
        <w:rPr>
          <w:sz w:val="22"/>
          <w:szCs w:val="22"/>
        </w:rPr>
        <w:t>606</w:t>
      </w:r>
    </w:p>
    <w:p w:rsidR="00F30169" w:rsidRPr="008C1D05" w:rsidP="00F30169" w14:paraId="7FF96B38" w14:textId="77777777">
      <w:pPr>
        <w:widowControl w:val="0"/>
        <w:ind w:left="5760" w:firstLine="720"/>
        <w:rPr>
          <w:sz w:val="22"/>
          <w:szCs w:val="22"/>
        </w:rPr>
      </w:pPr>
      <w:r w:rsidRPr="00B564F1">
        <w:rPr>
          <w:sz w:val="22"/>
          <w:szCs w:val="22"/>
        </w:rPr>
        <w:t>In Reply</w:t>
      </w:r>
      <w:r w:rsidRPr="008C1D05">
        <w:rPr>
          <w:sz w:val="22"/>
          <w:szCs w:val="22"/>
        </w:rPr>
        <w:t xml:space="preserve"> Refer to: </w:t>
      </w:r>
    </w:p>
    <w:p w:rsidR="00932433" w:rsidP="00932433" w14:paraId="457F4F59" w14:textId="099B8C16">
      <w:pPr>
        <w:tabs>
          <w:tab w:val="left" w:pos="0"/>
        </w:tabs>
        <w:suppressAutoHyphens/>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8C1D05" w:rsidR="00F30169">
        <w:rPr>
          <w:sz w:val="22"/>
          <w:szCs w:val="22"/>
        </w:rPr>
        <w:t>1800B3-</w:t>
      </w:r>
      <w:r w:rsidR="00F30169">
        <w:rPr>
          <w:sz w:val="22"/>
          <w:szCs w:val="22"/>
        </w:rPr>
        <w:t>CRC</w:t>
      </w:r>
    </w:p>
    <w:p w:rsidR="00872D7F" w:rsidRPr="00962197" w:rsidP="00932433" w14:paraId="39F9D506" w14:textId="77777777">
      <w:pPr>
        <w:tabs>
          <w:tab w:val="left" w:pos="0"/>
        </w:tabs>
        <w:suppressAutoHyphens/>
        <w:rPr>
          <w:sz w:val="22"/>
          <w:szCs w:val="22"/>
        </w:rPr>
      </w:pPr>
    </w:p>
    <w:p w:rsidR="00D542B5" w:rsidP="00D542B5" w14:paraId="0BE68BA4" w14:textId="77777777">
      <w:pPr>
        <w:tabs>
          <w:tab w:val="left" w:pos="0"/>
        </w:tabs>
        <w:suppressAutoHyphens/>
        <w:rPr>
          <w:sz w:val="22"/>
          <w:szCs w:val="22"/>
        </w:rPr>
      </w:pPr>
      <w:r>
        <w:rPr>
          <w:sz w:val="22"/>
          <w:szCs w:val="22"/>
        </w:rPr>
        <w:t>CMG NY/Texas Radio, LLC</w:t>
      </w:r>
    </w:p>
    <w:p w:rsidR="00D542B5" w:rsidRPr="00962197" w:rsidP="00D542B5" w14:paraId="2687CD53" w14:textId="77777777">
      <w:pPr>
        <w:tabs>
          <w:tab w:val="left" w:pos="0"/>
        </w:tabs>
        <w:suppressAutoHyphens/>
        <w:rPr>
          <w:sz w:val="22"/>
          <w:szCs w:val="22"/>
        </w:rPr>
      </w:pPr>
      <w:r>
        <w:rPr>
          <w:sz w:val="22"/>
          <w:szCs w:val="22"/>
        </w:rPr>
        <w:t>c/o Henry Wendel</w:t>
      </w:r>
      <w:r w:rsidRPr="00962197">
        <w:rPr>
          <w:sz w:val="22"/>
          <w:szCs w:val="22"/>
        </w:rPr>
        <w:t>, Esq.</w:t>
      </w:r>
    </w:p>
    <w:p w:rsidR="00D542B5" w:rsidP="00D542B5" w14:paraId="42DCAC37" w14:textId="77777777">
      <w:pPr>
        <w:tabs>
          <w:tab w:val="left" w:pos="0"/>
        </w:tabs>
        <w:suppressAutoHyphens/>
        <w:rPr>
          <w:sz w:val="22"/>
          <w:szCs w:val="22"/>
        </w:rPr>
      </w:pPr>
      <w:r>
        <w:rPr>
          <w:sz w:val="22"/>
          <w:szCs w:val="22"/>
        </w:rPr>
        <w:t>Cooley LLP</w:t>
      </w:r>
    </w:p>
    <w:p w:rsidR="00D542B5" w:rsidP="00D542B5" w14:paraId="26C78343" w14:textId="77777777">
      <w:pPr>
        <w:tabs>
          <w:tab w:val="left" w:pos="0"/>
        </w:tabs>
        <w:suppressAutoHyphens/>
        <w:rPr>
          <w:sz w:val="22"/>
          <w:szCs w:val="22"/>
        </w:rPr>
      </w:pPr>
      <w:r>
        <w:rPr>
          <w:sz w:val="22"/>
          <w:szCs w:val="22"/>
        </w:rPr>
        <w:t>1299 Pennsylvania Avenue,</w:t>
      </w:r>
      <w:r w:rsidRPr="00962197">
        <w:rPr>
          <w:sz w:val="22"/>
          <w:szCs w:val="22"/>
        </w:rPr>
        <w:t xml:space="preserve"> NW</w:t>
      </w:r>
    </w:p>
    <w:p w:rsidR="00D542B5" w:rsidRPr="00962197" w:rsidP="00D542B5" w14:paraId="4F036D8B" w14:textId="77777777">
      <w:pPr>
        <w:tabs>
          <w:tab w:val="left" w:pos="0"/>
        </w:tabs>
        <w:suppressAutoHyphens/>
        <w:rPr>
          <w:sz w:val="22"/>
          <w:szCs w:val="22"/>
        </w:rPr>
      </w:pPr>
      <w:r>
        <w:rPr>
          <w:sz w:val="22"/>
          <w:szCs w:val="22"/>
        </w:rPr>
        <w:t>Suite 700</w:t>
      </w:r>
    </w:p>
    <w:p w:rsidR="00D542B5" w:rsidRPr="00962197" w:rsidP="00D542B5" w14:paraId="518E3CEB" w14:textId="77777777">
      <w:pPr>
        <w:tabs>
          <w:tab w:val="left" w:pos="0"/>
        </w:tabs>
        <w:suppressAutoHyphens/>
        <w:rPr>
          <w:sz w:val="22"/>
          <w:szCs w:val="22"/>
        </w:rPr>
      </w:pPr>
      <w:r>
        <w:rPr>
          <w:sz w:val="22"/>
          <w:szCs w:val="22"/>
        </w:rPr>
        <w:t>Washington, DC  20004</w:t>
      </w:r>
    </w:p>
    <w:p w:rsidR="00D542B5" w:rsidP="00D542B5" w14:paraId="58C3F1E4" w14:textId="77777777">
      <w:pPr>
        <w:tabs>
          <w:tab w:val="left" w:pos="0"/>
        </w:tabs>
        <w:suppressAutoHyphens/>
        <w:rPr>
          <w:sz w:val="22"/>
          <w:szCs w:val="22"/>
        </w:rPr>
      </w:pPr>
      <w:hyperlink r:id="rId5" w:history="1">
        <w:r w:rsidRPr="00377B16">
          <w:rPr>
            <w:rStyle w:val="Hyperlink"/>
            <w:sz w:val="22"/>
            <w:szCs w:val="22"/>
          </w:rPr>
          <w:t>hwendel@cooley.com</w:t>
        </w:r>
      </w:hyperlink>
      <w:r>
        <w:rPr>
          <w:sz w:val="22"/>
          <w:szCs w:val="22"/>
        </w:rPr>
        <w:t xml:space="preserve"> </w:t>
      </w:r>
    </w:p>
    <w:p w:rsidR="00D542B5" w:rsidP="00D542B5" w14:paraId="70238E98" w14:textId="77777777">
      <w:pPr>
        <w:tabs>
          <w:tab w:val="left" w:pos="0"/>
        </w:tabs>
        <w:suppressAutoHyphens/>
        <w:rPr>
          <w:sz w:val="22"/>
          <w:szCs w:val="22"/>
        </w:rPr>
      </w:pPr>
    </w:p>
    <w:p w:rsidR="00823882" w:rsidP="00932433" w14:paraId="2C95AEE6" w14:textId="77777777">
      <w:pPr>
        <w:tabs>
          <w:tab w:val="left" w:pos="0"/>
        </w:tabs>
        <w:suppressAutoHyphens/>
        <w:rPr>
          <w:sz w:val="22"/>
          <w:szCs w:val="22"/>
        </w:rPr>
      </w:pPr>
      <w:r>
        <w:rPr>
          <w:sz w:val="22"/>
          <w:szCs w:val="22"/>
        </w:rPr>
        <w:t>Radio One Licenses, LLC</w:t>
      </w:r>
    </w:p>
    <w:p w:rsidR="00932433" w:rsidRPr="00962197" w:rsidP="00932433" w14:paraId="4013E857" w14:textId="0298088F">
      <w:pPr>
        <w:tabs>
          <w:tab w:val="left" w:pos="0"/>
        </w:tabs>
        <w:suppressAutoHyphens/>
        <w:rPr>
          <w:sz w:val="22"/>
          <w:szCs w:val="22"/>
        </w:rPr>
      </w:pPr>
      <w:r>
        <w:rPr>
          <w:sz w:val="22"/>
          <w:szCs w:val="22"/>
        </w:rPr>
        <w:t xml:space="preserve">c/o </w:t>
      </w:r>
      <w:r>
        <w:rPr>
          <w:sz w:val="22"/>
          <w:szCs w:val="22"/>
        </w:rPr>
        <w:t>Sonya M. Hall-Harris</w:t>
      </w:r>
    </w:p>
    <w:p w:rsidR="00932433" w:rsidRPr="00962197" w:rsidP="00932433" w14:paraId="56C537BB" w14:textId="4039E77A">
      <w:pPr>
        <w:tabs>
          <w:tab w:val="left" w:pos="0"/>
        </w:tabs>
        <w:suppressAutoHyphens/>
        <w:rPr>
          <w:sz w:val="22"/>
          <w:szCs w:val="22"/>
        </w:rPr>
      </w:pPr>
      <w:r>
        <w:rPr>
          <w:sz w:val="22"/>
          <w:szCs w:val="22"/>
        </w:rPr>
        <w:t>Urban One, Inc.</w:t>
      </w:r>
    </w:p>
    <w:p w:rsidR="00932433" w:rsidRPr="00962197" w:rsidP="00932433" w14:paraId="66F7F0E0" w14:textId="239A87E5">
      <w:pPr>
        <w:tabs>
          <w:tab w:val="left" w:pos="0"/>
        </w:tabs>
        <w:suppressAutoHyphens/>
        <w:rPr>
          <w:sz w:val="22"/>
          <w:szCs w:val="22"/>
        </w:rPr>
      </w:pPr>
      <w:r>
        <w:rPr>
          <w:sz w:val="22"/>
          <w:szCs w:val="22"/>
        </w:rPr>
        <w:t>1010 Wayne Avenue, 14</w:t>
      </w:r>
      <w:r w:rsidRPr="00823882">
        <w:rPr>
          <w:sz w:val="22"/>
          <w:szCs w:val="22"/>
          <w:vertAlign w:val="superscript"/>
        </w:rPr>
        <w:t>th</w:t>
      </w:r>
      <w:r>
        <w:rPr>
          <w:sz w:val="22"/>
          <w:szCs w:val="22"/>
        </w:rPr>
        <w:t xml:space="preserve"> Floor</w:t>
      </w:r>
    </w:p>
    <w:p w:rsidR="00932433" w:rsidRPr="00962197" w:rsidP="00932433" w14:paraId="50E0A973" w14:textId="08D82384">
      <w:pPr>
        <w:tabs>
          <w:tab w:val="left" w:pos="0"/>
        </w:tabs>
        <w:suppressAutoHyphens/>
        <w:rPr>
          <w:sz w:val="22"/>
          <w:szCs w:val="22"/>
        </w:rPr>
      </w:pPr>
      <w:r>
        <w:rPr>
          <w:sz w:val="22"/>
          <w:szCs w:val="22"/>
        </w:rPr>
        <w:t>Silver Spring</w:t>
      </w:r>
      <w:r>
        <w:rPr>
          <w:sz w:val="22"/>
          <w:szCs w:val="22"/>
        </w:rPr>
        <w:t>, MD  20</w:t>
      </w:r>
      <w:r>
        <w:rPr>
          <w:sz w:val="22"/>
          <w:szCs w:val="22"/>
        </w:rPr>
        <w:t>91</w:t>
      </w:r>
      <w:r>
        <w:rPr>
          <w:sz w:val="22"/>
          <w:szCs w:val="22"/>
        </w:rPr>
        <w:t>0</w:t>
      </w:r>
    </w:p>
    <w:p w:rsidR="00932433" w:rsidRPr="00962197" w:rsidP="00932433" w14:paraId="55D18614" w14:textId="5A5DF956">
      <w:pPr>
        <w:tabs>
          <w:tab w:val="left" w:pos="0"/>
        </w:tabs>
        <w:suppressAutoHyphens/>
        <w:rPr>
          <w:sz w:val="22"/>
          <w:szCs w:val="22"/>
        </w:rPr>
      </w:pPr>
      <w:hyperlink r:id="rId6" w:history="1">
        <w:r w:rsidRPr="00377B16" w:rsidR="00823882">
          <w:rPr>
            <w:rStyle w:val="Hyperlink"/>
            <w:sz w:val="22"/>
            <w:szCs w:val="22"/>
          </w:rPr>
          <w:t>sharris@urban1.com</w:t>
        </w:r>
      </w:hyperlink>
      <w:r w:rsidR="00823882">
        <w:rPr>
          <w:sz w:val="22"/>
          <w:szCs w:val="22"/>
        </w:rPr>
        <w:t xml:space="preserve"> </w:t>
      </w:r>
    </w:p>
    <w:p w:rsidR="00932433" w:rsidRPr="00962197" w:rsidP="00932433" w14:paraId="62119D48" w14:textId="77777777">
      <w:pPr>
        <w:tabs>
          <w:tab w:val="left" w:pos="0"/>
        </w:tabs>
        <w:suppressAutoHyphens/>
        <w:rPr>
          <w:sz w:val="22"/>
          <w:szCs w:val="22"/>
        </w:rPr>
      </w:pPr>
    </w:p>
    <w:p w:rsidR="00823882" w:rsidP="00932433" w14:paraId="06A1EE26" w14:textId="77777777">
      <w:pPr>
        <w:tabs>
          <w:tab w:val="left" w:pos="0"/>
        </w:tabs>
        <w:suppressAutoHyphens/>
        <w:rPr>
          <w:sz w:val="22"/>
          <w:szCs w:val="22"/>
        </w:rPr>
      </w:pPr>
      <w:r>
        <w:rPr>
          <w:sz w:val="22"/>
          <w:szCs w:val="22"/>
        </w:rPr>
        <w:t>Sugarland Station Trust, LLC</w:t>
      </w:r>
    </w:p>
    <w:p w:rsidR="00823882" w:rsidP="00932433" w14:paraId="3B6528C7" w14:textId="77777777">
      <w:pPr>
        <w:tabs>
          <w:tab w:val="left" w:pos="0"/>
        </w:tabs>
        <w:suppressAutoHyphens/>
        <w:rPr>
          <w:sz w:val="22"/>
          <w:szCs w:val="22"/>
        </w:rPr>
      </w:pPr>
      <w:r>
        <w:rPr>
          <w:sz w:val="22"/>
          <w:szCs w:val="22"/>
        </w:rPr>
        <w:t>c/o Joseph C. Chautin, III, Esq.</w:t>
      </w:r>
    </w:p>
    <w:p w:rsidR="00823882" w:rsidP="00932433" w14:paraId="78A81338" w14:textId="77777777">
      <w:pPr>
        <w:tabs>
          <w:tab w:val="left" w:pos="0"/>
        </w:tabs>
        <w:suppressAutoHyphens/>
        <w:rPr>
          <w:sz w:val="22"/>
          <w:szCs w:val="22"/>
        </w:rPr>
      </w:pPr>
      <w:r>
        <w:rPr>
          <w:sz w:val="22"/>
          <w:szCs w:val="22"/>
        </w:rPr>
        <w:t>Hardy, Carey, Chautin &amp; Balkin, LLP</w:t>
      </w:r>
    </w:p>
    <w:p w:rsidR="00823882" w:rsidP="00932433" w14:paraId="5AD66F5D" w14:textId="77777777">
      <w:pPr>
        <w:tabs>
          <w:tab w:val="left" w:pos="0"/>
        </w:tabs>
        <w:suppressAutoHyphens/>
        <w:rPr>
          <w:sz w:val="22"/>
          <w:szCs w:val="22"/>
        </w:rPr>
      </w:pPr>
      <w:r>
        <w:rPr>
          <w:sz w:val="22"/>
          <w:szCs w:val="22"/>
        </w:rPr>
        <w:t>1080 West Causeway Approach</w:t>
      </w:r>
    </w:p>
    <w:p w:rsidR="00823882" w:rsidP="00932433" w14:paraId="0EB4499E" w14:textId="77777777">
      <w:pPr>
        <w:tabs>
          <w:tab w:val="left" w:pos="0"/>
        </w:tabs>
        <w:suppressAutoHyphens/>
        <w:rPr>
          <w:sz w:val="22"/>
          <w:szCs w:val="22"/>
        </w:rPr>
      </w:pPr>
      <w:r>
        <w:rPr>
          <w:sz w:val="22"/>
          <w:szCs w:val="22"/>
        </w:rPr>
        <w:t>Mandeville, LA  70471</w:t>
      </w:r>
    </w:p>
    <w:p w:rsidR="001737A1" w:rsidP="00932433" w14:paraId="63F0513B" w14:textId="77777777">
      <w:pPr>
        <w:tabs>
          <w:tab w:val="left" w:pos="0"/>
        </w:tabs>
        <w:suppressAutoHyphens/>
        <w:rPr>
          <w:sz w:val="22"/>
          <w:szCs w:val="22"/>
        </w:rPr>
      </w:pPr>
      <w:hyperlink r:id="rId7" w:history="1">
        <w:r w:rsidRPr="00377B16" w:rsidR="00823882">
          <w:rPr>
            <w:rStyle w:val="Hyperlink"/>
            <w:sz w:val="22"/>
            <w:szCs w:val="22"/>
          </w:rPr>
          <w:t>jchautin@hardycarey.com</w:t>
        </w:r>
      </w:hyperlink>
      <w:r w:rsidR="00823882">
        <w:rPr>
          <w:sz w:val="22"/>
          <w:szCs w:val="22"/>
        </w:rPr>
        <w:t xml:space="preserve"> </w:t>
      </w:r>
      <w:r w:rsidRPr="00962197" w:rsidR="00932433">
        <w:rPr>
          <w:sz w:val="22"/>
          <w:szCs w:val="22"/>
        </w:rPr>
        <w:tab/>
      </w:r>
      <w:r w:rsidRPr="00962197" w:rsidR="00932433">
        <w:rPr>
          <w:sz w:val="22"/>
          <w:szCs w:val="22"/>
        </w:rPr>
        <w:tab/>
      </w:r>
      <w:r w:rsidRPr="00962197" w:rsidR="00932433">
        <w:rPr>
          <w:sz w:val="22"/>
          <w:szCs w:val="22"/>
        </w:rPr>
        <w:tab/>
      </w:r>
    </w:p>
    <w:p w:rsidR="00932433" w:rsidP="00932433" w14:paraId="60D87DF6" w14:textId="55953368">
      <w:pPr>
        <w:tabs>
          <w:tab w:val="left" w:pos="0"/>
        </w:tabs>
        <w:suppressAutoHyphens/>
        <w:rPr>
          <w:sz w:val="22"/>
          <w:szCs w:val="22"/>
        </w:rPr>
      </w:pPr>
      <w:r w:rsidRPr="00962197">
        <w:rPr>
          <w:sz w:val="22"/>
          <w:szCs w:val="22"/>
        </w:rPr>
        <w:tab/>
      </w:r>
    </w:p>
    <w:p w:rsidR="001737A1" w:rsidRPr="00962197" w:rsidP="00932433" w14:paraId="145FD0AF" w14:textId="77777777">
      <w:pPr>
        <w:tabs>
          <w:tab w:val="left" w:pos="0"/>
        </w:tabs>
        <w:suppressAutoHyphens/>
        <w:rPr>
          <w:sz w:val="22"/>
          <w:szCs w:val="22"/>
        </w:rPr>
      </w:pPr>
    </w:p>
    <w:p w:rsidR="00823882" w:rsidP="001737A1" w14:paraId="1085098F" w14:textId="6AB20490">
      <w:pPr>
        <w:tabs>
          <w:tab w:val="left" w:pos="0"/>
          <w:tab w:val="left" w:pos="2880"/>
        </w:tabs>
        <w:suppressAutoHyphens/>
        <w:ind w:left="2160" w:hanging="2160"/>
        <w:rPr>
          <w:sz w:val="22"/>
          <w:szCs w:val="22"/>
        </w:rPr>
      </w:pPr>
      <w:r w:rsidRPr="00962197">
        <w:rPr>
          <w:sz w:val="22"/>
          <w:szCs w:val="22"/>
        </w:rPr>
        <w:tab/>
        <w:t>In re:</w:t>
      </w:r>
      <w:bookmarkStart w:id="0" w:name="_Hlk26369230"/>
      <w:bookmarkStart w:id="1" w:name="_Hlk21100666"/>
      <w:r w:rsidRPr="00962197">
        <w:rPr>
          <w:sz w:val="22"/>
          <w:szCs w:val="22"/>
        </w:rPr>
        <w:tab/>
      </w:r>
      <w:bookmarkStart w:id="2" w:name="_Hlk36126556"/>
      <w:bookmarkStart w:id="3" w:name="_Hlk36200037"/>
      <w:bookmarkStart w:id="4" w:name="_Hlk52889655"/>
      <w:r w:rsidRPr="001737A1">
        <w:rPr>
          <w:b/>
          <w:bCs/>
          <w:sz w:val="22"/>
          <w:szCs w:val="22"/>
        </w:rPr>
        <w:t xml:space="preserve">Application for Assignment of Licenses </w:t>
      </w:r>
      <w:r w:rsidR="00D542B5">
        <w:rPr>
          <w:b/>
          <w:bCs/>
          <w:sz w:val="22"/>
          <w:szCs w:val="22"/>
        </w:rPr>
        <w:t>f</w:t>
      </w:r>
      <w:r w:rsidRPr="001737A1">
        <w:rPr>
          <w:b/>
          <w:bCs/>
          <w:sz w:val="22"/>
          <w:szCs w:val="22"/>
        </w:rPr>
        <w:t xml:space="preserve">rom CMG NY/Texas </w:t>
      </w:r>
      <w:r w:rsidR="001737A1">
        <w:rPr>
          <w:b/>
          <w:bCs/>
          <w:sz w:val="22"/>
          <w:szCs w:val="22"/>
        </w:rPr>
        <w:tab/>
      </w:r>
      <w:r w:rsidRPr="001737A1">
        <w:rPr>
          <w:b/>
          <w:bCs/>
          <w:sz w:val="22"/>
          <w:szCs w:val="22"/>
        </w:rPr>
        <w:t>Radio, LLC, Assignor, to Radio One Licenses, LLC, Assignee</w:t>
      </w:r>
    </w:p>
    <w:p w:rsidR="00932433" w:rsidRPr="00962197" w:rsidP="001737A1" w14:paraId="0254579B" w14:textId="714FBDFA">
      <w:pPr>
        <w:tabs>
          <w:tab w:val="left" w:pos="0"/>
          <w:tab w:val="left" w:pos="2880"/>
        </w:tabs>
        <w:suppressAutoHyphens/>
        <w:ind w:left="2160" w:hanging="2160"/>
        <w:rPr>
          <w:sz w:val="22"/>
          <w:szCs w:val="22"/>
        </w:rPr>
      </w:pPr>
      <w:r w:rsidRPr="00962197">
        <w:rPr>
          <w:sz w:val="22"/>
          <w:szCs w:val="22"/>
        </w:rPr>
        <w:tab/>
      </w:r>
      <w:r w:rsidRPr="00962197">
        <w:rPr>
          <w:sz w:val="22"/>
          <w:szCs w:val="22"/>
        </w:rPr>
        <w:tab/>
      </w:r>
      <w:r w:rsidR="001737A1">
        <w:rPr>
          <w:sz w:val="22"/>
          <w:szCs w:val="22"/>
        </w:rPr>
        <w:t>KKBQ(FM), Pasadena, Texas, Fac. ID No. 23083</w:t>
      </w:r>
    </w:p>
    <w:p w:rsidR="00932433" w:rsidP="001737A1" w14:paraId="78B188EE" w14:textId="69E3A0F7">
      <w:pPr>
        <w:tabs>
          <w:tab w:val="left" w:pos="0"/>
          <w:tab w:val="left" w:pos="2880"/>
        </w:tabs>
        <w:suppressAutoHyphens/>
        <w:ind w:left="2160" w:hanging="2160"/>
        <w:rPr>
          <w:sz w:val="22"/>
          <w:szCs w:val="22"/>
        </w:rPr>
      </w:pPr>
      <w:r w:rsidRPr="00962197">
        <w:rPr>
          <w:sz w:val="22"/>
          <w:szCs w:val="22"/>
        </w:rPr>
        <w:tab/>
      </w:r>
      <w:r w:rsidRPr="00962197">
        <w:rPr>
          <w:sz w:val="22"/>
          <w:szCs w:val="22"/>
        </w:rPr>
        <w:tab/>
      </w:r>
      <w:r w:rsidR="001737A1">
        <w:rPr>
          <w:sz w:val="22"/>
          <w:szCs w:val="22"/>
        </w:rPr>
        <w:t xml:space="preserve">KHPT(FM), Conroe, Texas, Fac. ID No. </w:t>
      </w:r>
      <w:r w:rsidRPr="001737A1" w:rsidR="001737A1">
        <w:rPr>
          <w:sz w:val="22"/>
          <w:szCs w:val="22"/>
        </w:rPr>
        <w:t>69564</w:t>
      </w:r>
    </w:p>
    <w:p w:rsidR="001737A1" w:rsidP="001737A1" w14:paraId="36BD177C" w14:textId="2FBE31C3">
      <w:pPr>
        <w:tabs>
          <w:tab w:val="left" w:pos="0"/>
          <w:tab w:val="left" w:pos="2880"/>
        </w:tabs>
        <w:suppressAutoHyphens/>
        <w:ind w:left="2160" w:hanging="2160"/>
        <w:rPr>
          <w:sz w:val="22"/>
          <w:szCs w:val="22"/>
        </w:rPr>
      </w:pPr>
      <w:r>
        <w:rPr>
          <w:sz w:val="22"/>
          <w:szCs w:val="22"/>
        </w:rPr>
        <w:tab/>
      </w:r>
      <w:r>
        <w:rPr>
          <w:sz w:val="22"/>
          <w:szCs w:val="22"/>
        </w:rPr>
        <w:tab/>
        <w:t xml:space="preserve">KGLK(FM), Lake Jackson, Texas, Fac. ID No. </w:t>
      </w:r>
      <w:r w:rsidRPr="001737A1">
        <w:rPr>
          <w:sz w:val="22"/>
          <w:szCs w:val="22"/>
        </w:rPr>
        <w:t>59951</w:t>
      </w:r>
    </w:p>
    <w:p w:rsidR="001737A1" w:rsidP="001737A1" w14:paraId="71ADDC11" w14:textId="032FCC51">
      <w:pPr>
        <w:tabs>
          <w:tab w:val="left" w:pos="0"/>
          <w:tab w:val="left" w:pos="2880"/>
        </w:tabs>
        <w:suppressAutoHyphens/>
        <w:ind w:left="2160" w:hanging="2160"/>
        <w:rPr>
          <w:sz w:val="22"/>
          <w:szCs w:val="22"/>
        </w:rPr>
      </w:pPr>
      <w:r>
        <w:rPr>
          <w:sz w:val="22"/>
          <w:szCs w:val="22"/>
        </w:rPr>
        <w:tab/>
      </w:r>
      <w:r>
        <w:rPr>
          <w:sz w:val="22"/>
          <w:szCs w:val="22"/>
        </w:rPr>
        <w:tab/>
        <w:t xml:space="preserve">File No. </w:t>
      </w:r>
      <w:r w:rsidRPr="001737A1">
        <w:rPr>
          <w:sz w:val="22"/>
          <w:szCs w:val="22"/>
        </w:rPr>
        <w:t>0000213910</w:t>
      </w:r>
      <w:r w:rsidR="00D542B5">
        <w:rPr>
          <w:sz w:val="22"/>
          <w:szCs w:val="22"/>
        </w:rPr>
        <w:t xml:space="preserve"> et al.</w:t>
      </w:r>
    </w:p>
    <w:p w:rsidR="00D542B5" w:rsidP="001737A1" w14:paraId="3F961618" w14:textId="77777777">
      <w:pPr>
        <w:tabs>
          <w:tab w:val="left" w:pos="0"/>
          <w:tab w:val="left" w:pos="2880"/>
        </w:tabs>
        <w:suppressAutoHyphens/>
        <w:ind w:left="2160" w:hanging="2160"/>
        <w:rPr>
          <w:sz w:val="22"/>
          <w:szCs w:val="22"/>
        </w:rPr>
      </w:pPr>
    </w:p>
    <w:p w:rsidR="00D542B5" w:rsidP="001737A1" w14:paraId="260B3E5A" w14:textId="7D83F079">
      <w:pPr>
        <w:tabs>
          <w:tab w:val="left" w:pos="0"/>
          <w:tab w:val="left" w:pos="2880"/>
        </w:tabs>
        <w:suppressAutoHyphens/>
        <w:ind w:left="2160" w:hanging="2160"/>
        <w:rPr>
          <w:b/>
          <w:bCs/>
          <w:sz w:val="22"/>
          <w:szCs w:val="22"/>
        </w:rPr>
      </w:pPr>
      <w:r>
        <w:rPr>
          <w:sz w:val="22"/>
          <w:szCs w:val="22"/>
        </w:rPr>
        <w:tab/>
      </w:r>
      <w:r>
        <w:rPr>
          <w:sz w:val="22"/>
          <w:szCs w:val="22"/>
        </w:rPr>
        <w:tab/>
      </w:r>
      <w:r>
        <w:rPr>
          <w:b/>
          <w:bCs/>
          <w:sz w:val="22"/>
          <w:szCs w:val="22"/>
        </w:rPr>
        <w:t xml:space="preserve">Application for Assignment of License from CMG NY/Texas Radio, </w:t>
      </w:r>
      <w:r>
        <w:rPr>
          <w:b/>
          <w:bCs/>
          <w:sz w:val="22"/>
          <w:szCs w:val="22"/>
        </w:rPr>
        <w:tab/>
        <w:t>LLC, Assignor, to Sugarland Station Trust, LLC, Assignee</w:t>
      </w:r>
    </w:p>
    <w:p w:rsidR="00D542B5" w:rsidP="001737A1" w14:paraId="5813404A" w14:textId="5176C401">
      <w:pPr>
        <w:tabs>
          <w:tab w:val="left" w:pos="0"/>
          <w:tab w:val="left" w:pos="2880"/>
        </w:tabs>
        <w:suppressAutoHyphens/>
        <w:ind w:left="2160" w:hanging="2160"/>
        <w:rPr>
          <w:sz w:val="22"/>
          <w:szCs w:val="22"/>
        </w:rPr>
      </w:pPr>
      <w:r>
        <w:rPr>
          <w:b/>
          <w:bCs/>
          <w:sz w:val="22"/>
          <w:szCs w:val="22"/>
        </w:rPr>
        <w:tab/>
      </w:r>
      <w:r>
        <w:rPr>
          <w:b/>
          <w:bCs/>
          <w:sz w:val="22"/>
          <w:szCs w:val="22"/>
        </w:rPr>
        <w:tab/>
      </w:r>
      <w:r>
        <w:rPr>
          <w:sz w:val="22"/>
          <w:szCs w:val="22"/>
        </w:rPr>
        <w:t xml:space="preserve">KTHT(FM), Cleveland, Texas, Fac. ID No. </w:t>
      </w:r>
      <w:r w:rsidRPr="00D542B5">
        <w:rPr>
          <w:sz w:val="22"/>
          <w:szCs w:val="22"/>
        </w:rPr>
        <w:t>65308</w:t>
      </w:r>
    </w:p>
    <w:p w:rsidR="00D542B5" w:rsidP="001737A1" w14:paraId="5DC9BF1B" w14:textId="0028106F">
      <w:pPr>
        <w:tabs>
          <w:tab w:val="left" w:pos="0"/>
          <w:tab w:val="left" w:pos="2880"/>
        </w:tabs>
        <w:suppressAutoHyphens/>
        <w:ind w:left="2160" w:hanging="2160"/>
        <w:rPr>
          <w:sz w:val="22"/>
          <w:szCs w:val="22"/>
        </w:rPr>
      </w:pPr>
      <w:r>
        <w:rPr>
          <w:sz w:val="22"/>
          <w:szCs w:val="22"/>
        </w:rPr>
        <w:tab/>
      </w:r>
      <w:r>
        <w:rPr>
          <w:sz w:val="22"/>
          <w:szCs w:val="22"/>
        </w:rPr>
        <w:tab/>
        <w:t xml:space="preserve">File No. </w:t>
      </w:r>
      <w:r w:rsidRPr="00D542B5">
        <w:rPr>
          <w:sz w:val="22"/>
          <w:szCs w:val="22"/>
        </w:rPr>
        <w:t>0000213906</w:t>
      </w:r>
    </w:p>
    <w:p w:rsidR="00D542B5" w:rsidP="001737A1" w14:paraId="17EE0F63" w14:textId="77777777">
      <w:pPr>
        <w:tabs>
          <w:tab w:val="left" w:pos="0"/>
          <w:tab w:val="left" w:pos="2880"/>
        </w:tabs>
        <w:suppressAutoHyphens/>
        <w:ind w:left="2160" w:hanging="2160"/>
        <w:rPr>
          <w:sz w:val="22"/>
          <w:szCs w:val="22"/>
        </w:rPr>
      </w:pPr>
    </w:p>
    <w:p w:rsidR="00D542B5" w:rsidP="001737A1" w14:paraId="48D5912D" w14:textId="67776774">
      <w:pPr>
        <w:tabs>
          <w:tab w:val="left" w:pos="0"/>
          <w:tab w:val="left" w:pos="2880"/>
        </w:tabs>
        <w:suppressAutoHyphens/>
        <w:ind w:left="2160" w:hanging="2160"/>
        <w:rPr>
          <w:b/>
          <w:bCs/>
          <w:sz w:val="22"/>
          <w:szCs w:val="22"/>
        </w:rPr>
      </w:pPr>
      <w:r>
        <w:rPr>
          <w:sz w:val="22"/>
          <w:szCs w:val="22"/>
        </w:rPr>
        <w:tab/>
      </w:r>
      <w:r>
        <w:rPr>
          <w:sz w:val="22"/>
          <w:szCs w:val="22"/>
        </w:rPr>
        <w:tab/>
      </w:r>
      <w:r>
        <w:rPr>
          <w:b/>
          <w:bCs/>
          <w:sz w:val="22"/>
          <w:szCs w:val="22"/>
        </w:rPr>
        <w:t xml:space="preserve">Application for Assignment of License from Radio One Licenses, </w:t>
      </w:r>
      <w:r>
        <w:rPr>
          <w:b/>
          <w:bCs/>
          <w:sz w:val="22"/>
          <w:szCs w:val="22"/>
        </w:rPr>
        <w:tab/>
        <w:t>LLC, Assignor, to Sugarland Station Trust, LLC, Assignee</w:t>
      </w:r>
    </w:p>
    <w:p w:rsidR="00D542B5" w:rsidP="001737A1" w14:paraId="450B9C86" w14:textId="55590232">
      <w:pPr>
        <w:tabs>
          <w:tab w:val="left" w:pos="0"/>
          <w:tab w:val="left" w:pos="2880"/>
        </w:tabs>
        <w:suppressAutoHyphens/>
        <w:ind w:left="2160" w:hanging="2160"/>
        <w:rPr>
          <w:sz w:val="22"/>
          <w:szCs w:val="22"/>
        </w:rPr>
      </w:pPr>
      <w:r>
        <w:rPr>
          <w:b/>
          <w:bCs/>
          <w:sz w:val="22"/>
          <w:szCs w:val="22"/>
        </w:rPr>
        <w:tab/>
      </w:r>
      <w:r>
        <w:rPr>
          <w:b/>
          <w:bCs/>
          <w:sz w:val="22"/>
          <w:szCs w:val="22"/>
        </w:rPr>
        <w:tab/>
      </w:r>
      <w:r>
        <w:rPr>
          <w:sz w:val="22"/>
          <w:szCs w:val="22"/>
        </w:rPr>
        <w:t xml:space="preserve">KROI(FM), Seabrook, Texas, Fac. ID No. </w:t>
      </w:r>
      <w:r w:rsidRPr="00D542B5">
        <w:rPr>
          <w:sz w:val="22"/>
          <w:szCs w:val="22"/>
        </w:rPr>
        <w:t>35565</w:t>
      </w:r>
    </w:p>
    <w:p w:rsidR="00D542B5" w:rsidRPr="00D542B5" w:rsidP="001737A1" w14:paraId="019EF6D1" w14:textId="0625C324">
      <w:pPr>
        <w:tabs>
          <w:tab w:val="left" w:pos="0"/>
          <w:tab w:val="left" w:pos="2880"/>
        </w:tabs>
        <w:suppressAutoHyphens/>
        <w:ind w:left="2160" w:hanging="2160"/>
        <w:rPr>
          <w:sz w:val="22"/>
          <w:szCs w:val="22"/>
        </w:rPr>
      </w:pPr>
      <w:r>
        <w:rPr>
          <w:sz w:val="22"/>
          <w:szCs w:val="22"/>
        </w:rPr>
        <w:tab/>
      </w:r>
      <w:r>
        <w:rPr>
          <w:sz w:val="22"/>
          <w:szCs w:val="22"/>
        </w:rPr>
        <w:tab/>
        <w:t xml:space="preserve">File No. </w:t>
      </w:r>
      <w:r w:rsidRPr="00D542B5">
        <w:rPr>
          <w:sz w:val="22"/>
          <w:szCs w:val="22"/>
        </w:rPr>
        <w:t>0000213907</w:t>
      </w:r>
    </w:p>
    <w:bookmarkEnd w:id="0"/>
    <w:bookmarkEnd w:id="1"/>
    <w:bookmarkEnd w:id="2"/>
    <w:bookmarkEnd w:id="3"/>
    <w:bookmarkEnd w:id="4"/>
    <w:p w:rsidR="00932433" w:rsidRPr="00962197" w:rsidP="00D542B5" w14:paraId="04664E5C" w14:textId="77777777">
      <w:pPr>
        <w:rPr>
          <w:b/>
          <w:color w:val="000000"/>
          <w:sz w:val="22"/>
          <w:szCs w:val="22"/>
        </w:rPr>
      </w:pPr>
    </w:p>
    <w:p w:rsidR="00932433" w:rsidP="0066709E" w14:paraId="63D8CA21" w14:textId="77777777">
      <w:pPr>
        <w:keepNext/>
        <w:tabs>
          <w:tab w:val="left" w:pos="0"/>
        </w:tabs>
        <w:suppressAutoHyphens/>
        <w:spacing w:after="240"/>
        <w:outlineLvl w:val="0"/>
        <w:rPr>
          <w:color w:val="000000"/>
          <w:sz w:val="22"/>
          <w:szCs w:val="22"/>
        </w:rPr>
      </w:pPr>
      <w:r w:rsidRPr="00962197">
        <w:rPr>
          <w:color w:val="000000"/>
          <w:sz w:val="22"/>
          <w:szCs w:val="22"/>
        </w:rPr>
        <w:t>Dear Counsel:</w:t>
      </w:r>
    </w:p>
    <w:p w:rsidR="00D542B5" w:rsidP="00932433" w14:paraId="009B35B3" w14:textId="75158EA4">
      <w:pPr>
        <w:tabs>
          <w:tab w:val="left" w:pos="0"/>
        </w:tabs>
        <w:suppressAutoHyphens/>
        <w:spacing w:after="240"/>
        <w:outlineLvl w:val="0"/>
        <w:rPr>
          <w:color w:val="000000"/>
          <w:sz w:val="22"/>
          <w:szCs w:val="22"/>
        </w:rPr>
      </w:pPr>
      <w:r>
        <w:rPr>
          <w:color w:val="000000"/>
          <w:sz w:val="22"/>
          <w:szCs w:val="22"/>
        </w:rPr>
        <w:tab/>
      </w:r>
      <w:r w:rsidR="000171C7">
        <w:rPr>
          <w:color w:val="000000"/>
          <w:sz w:val="22"/>
          <w:szCs w:val="22"/>
        </w:rPr>
        <w:t>We have before us</w:t>
      </w:r>
      <w:r>
        <w:rPr>
          <w:color w:val="000000"/>
          <w:sz w:val="22"/>
          <w:szCs w:val="22"/>
        </w:rPr>
        <w:t xml:space="preserve"> </w:t>
      </w:r>
      <w:r w:rsidR="00EB5043">
        <w:rPr>
          <w:color w:val="000000"/>
          <w:sz w:val="22"/>
          <w:szCs w:val="22"/>
        </w:rPr>
        <w:t xml:space="preserve">the above-captioned application </w:t>
      </w:r>
      <w:r>
        <w:rPr>
          <w:color w:val="000000"/>
          <w:sz w:val="22"/>
          <w:szCs w:val="22"/>
        </w:rPr>
        <w:t>for consent to</w:t>
      </w:r>
      <w:r w:rsidR="00082F01">
        <w:rPr>
          <w:color w:val="000000"/>
          <w:sz w:val="22"/>
          <w:szCs w:val="22"/>
        </w:rPr>
        <w:t xml:space="preserve"> an</w:t>
      </w:r>
      <w:r>
        <w:rPr>
          <w:color w:val="000000"/>
          <w:sz w:val="22"/>
          <w:szCs w:val="22"/>
        </w:rPr>
        <w:t xml:space="preserve"> </w:t>
      </w:r>
      <w:r w:rsidR="000171C7">
        <w:rPr>
          <w:color w:val="000000"/>
          <w:sz w:val="22"/>
          <w:szCs w:val="22"/>
        </w:rPr>
        <w:t>assign</w:t>
      </w:r>
      <w:r w:rsidR="00082F01">
        <w:rPr>
          <w:color w:val="000000"/>
          <w:sz w:val="22"/>
          <w:szCs w:val="22"/>
        </w:rPr>
        <w:t>ment</w:t>
      </w:r>
      <w:r>
        <w:rPr>
          <w:color w:val="000000"/>
          <w:sz w:val="22"/>
          <w:szCs w:val="22"/>
        </w:rPr>
        <w:t xml:space="preserve"> </w:t>
      </w:r>
      <w:r w:rsidR="00082F01">
        <w:rPr>
          <w:color w:val="000000"/>
          <w:sz w:val="22"/>
          <w:szCs w:val="22"/>
        </w:rPr>
        <w:t>of l</w:t>
      </w:r>
      <w:r>
        <w:rPr>
          <w:color w:val="000000"/>
          <w:sz w:val="22"/>
          <w:szCs w:val="22"/>
        </w:rPr>
        <w:t>icenses from CMG NY/Texas Radio, LLC</w:t>
      </w:r>
      <w:r w:rsidR="000171C7">
        <w:rPr>
          <w:color w:val="000000"/>
          <w:sz w:val="22"/>
          <w:szCs w:val="22"/>
        </w:rPr>
        <w:t xml:space="preserve"> (CMG)</w:t>
      </w:r>
      <w:r>
        <w:rPr>
          <w:color w:val="000000"/>
          <w:sz w:val="22"/>
          <w:szCs w:val="22"/>
        </w:rPr>
        <w:t>, to Radio One Licenses, LLC</w:t>
      </w:r>
      <w:r w:rsidR="000171C7">
        <w:rPr>
          <w:color w:val="000000"/>
          <w:sz w:val="22"/>
          <w:szCs w:val="22"/>
        </w:rPr>
        <w:t xml:space="preserve"> (Radio One)</w:t>
      </w:r>
      <w:r w:rsidR="00082F01">
        <w:rPr>
          <w:color w:val="000000"/>
          <w:sz w:val="22"/>
          <w:szCs w:val="22"/>
        </w:rPr>
        <w:t>.  To facilitate compliance with the Local Radio Ownership Rule</w:t>
      </w:r>
      <w:r w:rsidR="000171C7">
        <w:rPr>
          <w:color w:val="000000"/>
          <w:sz w:val="22"/>
          <w:szCs w:val="22"/>
        </w:rPr>
        <w:t>,</w:t>
      </w:r>
      <w:r>
        <w:rPr>
          <w:rStyle w:val="FootnoteReference"/>
          <w:color w:val="000000"/>
          <w:sz w:val="22"/>
          <w:szCs w:val="22"/>
        </w:rPr>
        <w:footnoteReference w:id="2"/>
      </w:r>
      <w:r w:rsidR="000171C7">
        <w:rPr>
          <w:color w:val="000000"/>
          <w:sz w:val="22"/>
          <w:szCs w:val="22"/>
        </w:rPr>
        <w:t xml:space="preserve"> </w:t>
      </w:r>
      <w:r w:rsidR="00082F01">
        <w:rPr>
          <w:color w:val="000000"/>
          <w:sz w:val="22"/>
          <w:szCs w:val="22"/>
        </w:rPr>
        <w:t xml:space="preserve">CMG and Radio One have each filed an application </w:t>
      </w:r>
      <w:r w:rsidR="006A659A">
        <w:rPr>
          <w:color w:val="000000"/>
          <w:sz w:val="22"/>
          <w:szCs w:val="22"/>
        </w:rPr>
        <w:t>proposing</w:t>
      </w:r>
      <w:r w:rsidR="005C411B">
        <w:rPr>
          <w:color w:val="000000"/>
          <w:sz w:val="22"/>
          <w:szCs w:val="22"/>
        </w:rPr>
        <w:t xml:space="preserve"> an assignment of license </w:t>
      </w:r>
      <w:r w:rsidR="00082F01">
        <w:rPr>
          <w:color w:val="000000"/>
          <w:sz w:val="22"/>
          <w:szCs w:val="22"/>
        </w:rPr>
        <w:t>to</w:t>
      </w:r>
      <w:r w:rsidR="00AE46C6">
        <w:rPr>
          <w:color w:val="000000"/>
          <w:sz w:val="22"/>
          <w:szCs w:val="22"/>
        </w:rPr>
        <w:t xml:space="preserve"> the Sugarland Station Trust, LLC (Sugarland Trust), </w:t>
      </w:r>
      <w:r w:rsidR="00082F01">
        <w:rPr>
          <w:color w:val="000000"/>
          <w:sz w:val="22"/>
          <w:szCs w:val="22"/>
        </w:rPr>
        <w:t xml:space="preserve">a divestiture trust. </w:t>
      </w:r>
      <w:r w:rsidR="006A659A">
        <w:rPr>
          <w:color w:val="000000"/>
          <w:sz w:val="22"/>
          <w:szCs w:val="22"/>
        </w:rPr>
        <w:t xml:space="preserve"> </w:t>
      </w:r>
      <w:r w:rsidR="008C4A63">
        <w:rPr>
          <w:color w:val="000000"/>
          <w:sz w:val="22"/>
          <w:szCs w:val="22"/>
        </w:rPr>
        <w:t>Based on our review</w:t>
      </w:r>
      <w:r w:rsidR="00045BF3">
        <w:rPr>
          <w:color w:val="000000"/>
          <w:sz w:val="22"/>
          <w:szCs w:val="22"/>
        </w:rPr>
        <w:t xml:space="preserve"> of the proposed transactions</w:t>
      </w:r>
      <w:r w:rsidR="002B599D">
        <w:rPr>
          <w:color w:val="000000"/>
          <w:sz w:val="22"/>
          <w:szCs w:val="22"/>
        </w:rPr>
        <w:t xml:space="preserve">, </w:t>
      </w:r>
      <w:r w:rsidR="00B33C38">
        <w:rPr>
          <w:color w:val="000000"/>
          <w:sz w:val="22"/>
          <w:szCs w:val="22"/>
        </w:rPr>
        <w:t>we conditionally grant the assignment applications</w:t>
      </w:r>
      <w:r w:rsidR="00045BF3">
        <w:rPr>
          <w:color w:val="000000"/>
          <w:sz w:val="22"/>
          <w:szCs w:val="22"/>
        </w:rPr>
        <w:t xml:space="preserve"> as discussed below</w:t>
      </w:r>
      <w:r w:rsidR="00B33C38">
        <w:rPr>
          <w:color w:val="000000"/>
          <w:sz w:val="22"/>
          <w:szCs w:val="22"/>
        </w:rPr>
        <w:t>.</w:t>
      </w:r>
    </w:p>
    <w:p w:rsidR="009326D7" w:rsidP="009326D7" w14:paraId="08B57760" w14:textId="68E82570">
      <w:pPr>
        <w:tabs>
          <w:tab w:val="left" w:pos="0"/>
        </w:tabs>
        <w:suppressAutoHyphens/>
        <w:spacing w:after="240"/>
        <w:outlineLvl w:val="0"/>
        <w:rPr>
          <w:color w:val="000000"/>
          <w:sz w:val="22"/>
          <w:szCs w:val="22"/>
        </w:rPr>
      </w:pPr>
      <w:r>
        <w:rPr>
          <w:color w:val="000000"/>
          <w:sz w:val="22"/>
          <w:szCs w:val="22"/>
        </w:rPr>
        <w:tab/>
      </w:r>
      <w:r>
        <w:rPr>
          <w:b/>
          <w:bCs/>
          <w:color w:val="000000"/>
          <w:sz w:val="22"/>
          <w:szCs w:val="22"/>
        </w:rPr>
        <w:t>Background.</w:t>
      </w:r>
      <w:r>
        <w:rPr>
          <w:color w:val="000000"/>
          <w:sz w:val="22"/>
          <w:szCs w:val="22"/>
        </w:rPr>
        <w:t xml:space="preserve">  </w:t>
      </w:r>
      <w:r w:rsidR="002F509A">
        <w:rPr>
          <w:color w:val="000000"/>
          <w:sz w:val="22"/>
          <w:szCs w:val="22"/>
        </w:rPr>
        <w:t xml:space="preserve">Radio One is a subsidiary of Urban One, Inc. (Urban One), which describes itself as </w:t>
      </w:r>
      <w:r w:rsidRPr="009326D7" w:rsidR="002F509A">
        <w:rPr>
          <w:color w:val="000000"/>
          <w:sz w:val="22"/>
          <w:szCs w:val="22"/>
        </w:rPr>
        <w:t>one of the largest distributors of urban content and one of the largest minority</w:t>
      </w:r>
      <w:r w:rsidR="004635A4">
        <w:rPr>
          <w:color w:val="000000"/>
          <w:sz w:val="22"/>
          <w:szCs w:val="22"/>
        </w:rPr>
        <w:t>-</w:t>
      </w:r>
      <w:r w:rsidRPr="009326D7" w:rsidR="002F509A">
        <w:rPr>
          <w:color w:val="000000"/>
          <w:sz w:val="22"/>
          <w:szCs w:val="22"/>
        </w:rPr>
        <w:t>owned radio operators in the country</w:t>
      </w:r>
      <w:r w:rsidR="002F509A">
        <w:rPr>
          <w:color w:val="000000"/>
          <w:sz w:val="22"/>
          <w:szCs w:val="22"/>
        </w:rPr>
        <w:t>.</w:t>
      </w:r>
      <w:r>
        <w:rPr>
          <w:rStyle w:val="FootnoteReference"/>
          <w:color w:val="000000"/>
          <w:sz w:val="22"/>
          <w:szCs w:val="22"/>
        </w:rPr>
        <w:footnoteReference w:id="3"/>
      </w:r>
      <w:r w:rsidR="002F509A">
        <w:rPr>
          <w:color w:val="000000"/>
          <w:sz w:val="22"/>
          <w:szCs w:val="22"/>
        </w:rPr>
        <w:t xml:space="preserve">  Urban One</w:t>
      </w:r>
      <w:r w:rsidR="00D37964">
        <w:rPr>
          <w:color w:val="000000"/>
          <w:sz w:val="22"/>
          <w:szCs w:val="22"/>
        </w:rPr>
        <w:t xml:space="preserve"> seeks to exp</w:t>
      </w:r>
      <w:r w:rsidR="00AF18E0">
        <w:rPr>
          <w:color w:val="000000"/>
          <w:sz w:val="22"/>
          <w:szCs w:val="22"/>
        </w:rPr>
        <w:t>a</w:t>
      </w:r>
      <w:r w:rsidR="00D37964">
        <w:rPr>
          <w:color w:val="000000"/>
          <w:sz w:val="22"/>
          <w:szCs w:val="22"/>
        </w:rPr>
        <w:t xml:space="preserve">nd its footprint in </w:t>
      </w:r>
      <w:r w:rsidR="00E5602A">
        <w:rPr>
          <w:color w:val="000000"/>
          <w:sz w:val="22"/>
          <w:szCs w:val="22"/>
        </w:rPr>
        <w:t xml:space="preserve">the </w:t>
      </w:r>
      <w:r w:rsidR="00D37964">
        <w:rPr>
          <w:color w:val="000000"/>
          <w:sz w:val="22"/>
          <w:szCs w:val="22"/>
        </w:rPr>
        <w:t xml:space="preserve">Houston-Galveston, Texas </w:t>
      </w:r>
      <w:r w:rsidR="00E5602A">
        <w:rPr>
          <w:color w:val="000000"/>
          <w:sz w:val="22"/>
          <w:szCs w:val="22"/>
        </w:rPr>
        <w:t>metropolitan area</w:t>
      </w:r>
      <w:r w:rsidR="005851BA">
        <w:rPr>
          <w:color w:val="000000"/>
          <w:sz w:val="22"/>
          <w:szCs w:val="22"/>
        </w:rPr>
        <w:t xml:space="preserve"> (Houston Market)</w:t>
      </w:r>
      <w:r w:rsidR="00E5602A">
        <w:rPr>
          <w:color w:val="000000"/>
          <w:sz w:val="22"/>
          <w:szCs w:val="22"/>
        </w:rPr>
        <w:t xml:space="preserve">, which it states is </w:t>
      </w:r>
      <w:r w:rsidRPr="009326D7" w:rsidR="00E5602A">
        <w:rPr>
          <w:color w:val="000000"/>
          <w:sz w:val="22"/>
          <w:szCs w:val="22"/>
        </w:rPr>
        <w:t xml:space="preserve">a top 10 </w:t>
      </w:r>
      <w:r w:rsidR="00E5602A">
        <w:rPr>
          <w:color w:val="000000"/>
          <w:sz w:val="22"/>
          <w:szCs w:val="22"/>
        </w:rPr>
        <w:t xml:space="preserve">U.S. </w:t>
      </w:r>
      <w:r w:rsidRPr="009326D7" w:rsidR="00E5602A">
        <w:rPr>
          <w:color w:val="000000"/>
          <w:sz w:val="22"/>
          <w:szCs w:val="22"/>
        </w:rPr>
        <w:t>radio market</w:t>
      </w:r>
      <w:r w:rsidR="00E5602A">
        <w:rPr>
          <w:color w:val="000000"/>
          <w:sz w:val="22"/>
          <w:szCs w:val="22"/>
        </w:rPr>
        <w:t>,</w:t>
      </w:r>
      <w:r w:rsidR="00D37964">
        <w:rPr>
          <w:color w:val="000000"/>
          <w:sz w:val="22"/>
          <w:szCs w:val="22"/>
        </w:rPr>
        <w:t xml:space="preserve"> by acquiring</w:t>
      </w:r>
      <w:r w:rsidR="00F10B78">
        <w:rPr>
          <w:color w:val="000000"/>
          <w:sz w:val="22"/>
          <w:szCs w:val="22"/>
        </w:rPr>
        <w:t xml:space="preserve"> </w:t>
      </w:r>
      <w:r w:rsidR="00CC028B">
        <w:rPr>
          <w:color w:val="000000"/>
          <w:sz w:val="22"/>
          <w:szCs w:val="22"/>
        </w:rPr>
        <w:t>four</w:t>
      </w:r>
      <w:r w:rsidR="009972AE">
        <w:rPr>
          <w:color w:val="000000"/>
          <w:sz w:val="22"/>
          <w:szCs w:val="22"/>
        </w:rPr>
        <w:t xml:space="preserve"> </w:t>
      </w:r>
      <w:r w:rsidR="00DE5539">
        <w:rPr>
          <w:color w:val="000000"/>
          <w:sz w:val="22"/>
          <w:szCs w:val="22"/>
        </w:rPr>
        <w:t xml:space="preserve">local </w:t>
      </w:r>
      <w:r w:rsidR="009972AE">
        <w:rPr>
          <w:color w:val="000000"/>
          <w:sz w:val="22"/>
          <w:szCs w:val="22"/>
        </w:rPr>
        <w:t xml:space="preserve">FM stations </w:t>
      </w:r>
      <w:r w:rsidR="00D37964">
        <w:rPr>
          <w:color w:val="000000"/>
          <w:sz w:val="22"/>
          <w:szCs w:val="22"/>
        </w:rPr>
        <w:t xml:space="preserve">from CMG, a subsidiary of Cox Radio, Inc., </w:t>
      </w:r>
      <w:r w:rsidR="00EA764F">
        <w:rPr>
          <w:color w:val="000000"/>
          <w:sz w:val="22"/>
          <w:szCs w:val="22"/>
        </w:rPr>
        <w:t>for $27.5 million</w:t>
      </w:r>
      <w:r w:rsidR="009972AE">
        <w:rPr>
          <w:color w:val="000000"/>
          <w:sz w:val="22"/>
          <w:szCs w:val="22"/>
        </w:rPr>
        <w:t>.</w:t>
      </w:r>
      <w:r>
        <w:rPr>
          <w:rStyle w:val="FootnoteReference"/>
          <w:color w:val="000000"/>
          <w:sz w:val="22"/>
          <w:szCs w:val="22"/>
        </w:rPr>
        <w:footnoteReference w:id="4"/>
      </w:r>
      <w:r w:rsidR="009B5E97">
        <w:rPr>
          <w:color w:val="000000"/>
          <w:sz w:val="22"/>
          <w:szCs w:val="22"/>
        </w:rPr>
        <w:t xml:space="preserve">  </w:t>
      </w:r>
      <w:r w:rsidR="00597250">
        <w:rPr>
          <w:color w:val="000000"/>
          <w:sz w:val="22"/>
          <w:szCs w:val="22"/>
        </w:rPr>
        <w:t xml:space="preserve">Urban One </w:t>
      </w:r>
      <w:r w:rsidR="00F82CB1">
        <w:rPr>
          <w:color w:val="000000"/>
          <w:sz w:val="22"/>
          <w:szCs w:val="22"/>
        </w:rPr>
        <w:t>states that g</w:t>
      </w:r>
      <w:r w:rsidRPr="009326D7">
        <w:rPr>
          <w:color w:val="000000"/>
          <w:sz w:val="22"/>
          <w:szCs w:val="22"/>
        </w:rPr>
        <w:t>rowing its presence in the Houston</w:t>
      </w:r>
      <w:r w:rsidR="005851BA">
        <w:rPr>
          <w:color w:val="000000"/>
          <w:sz w:val="22"/>
          <w:szCs w:val="22"/>
        </w:rPr>
        <w:t xml:space="preserve"> M</w:t>
      </w:r>
      <w:r w:rsidRPr="009326D7">
        <w:rPr>
          <w:color w:val="000000"/>
          <w:sz w:val="22"/>
          <w:szCs w:val="22"/>
        </w:rPr>
        <w:t xml:space="preserve">arket will allow </w:t>
      </w:r>
      <w:r w:rsidR="00F82CB1">
        <w:rPr>
          <w:color w:val="000000"/>
          <w:sz w:val="22"/>
          <w:szCs w:val="22"/>
        </w:rPr>
        <w:t>it</w:t>
      </w:r>
      <w:r w:rsidRPr="009326D7">
        <w:rPr>
          <w:color w:val="000000"/>
          <w:sz w:val="22"/>
          <w:szCs w:val="22"/>
        </w:rPr>
        <w:t xml:space="preserve"> to better create and provide high-quality programming</w:t>
      </w:r>
      <w:r w:rsidR="002F5947">
        <w:rPr>
          <w:color w:val="000000"/>
          <w:sz w:val="22"/>
          <w:szCs w:val="22"/>
        </w:rPr>
        <w:t xml:space="preserve"> and</w:t>
      </w:r>
      <w:r w:rsidRPr="009326D7">
        <w:rPr>
          <w:color w:val="000000"/>
          <w:sz w:val="22"/>
          <w:szCs w:val="22"/>
        </w:rPr>
        <w:t xml:space="preserve"> improve service to its listeners.</w:t>
      </w:r>
      <w:r>
        <w:rPr>
          <w:rStyle w:val="FootnoteReference"/>
          <w:color w:val="000000"/>
          <w:sz w:val="22"/>
          <w:szCs w:val="22"/>
        </w:rPr>
        <w:footnoteReference w:id="5"/>
      </w:r>
    </w:p>
    <w:p w:rsidR="00F955D7" w:rsidP="009326D7" w14:paraId="404558C0" w14:textId="52A911ED">
      <w:pPr>
        <w:tabs>
          <w:tab w:val="left" w:pos="0"/>
        </w:tabs>
        <w:suppressAutoHyphens/>
        <w:spacing w:after="240"/>
        <w:outlineLvl w:val="0"/>
        <w:rPr>
          <w:color w:val="000000"/>
          <w:sz w:val="22"/>
          <w:szCs w:val="22"/>
        </w:rPr>
      </w:pPr>
      <w:r>
        <w:rPr>
          <w:color w:val="000000"/>
          <w:sz w:val="22"/>
          <w:szCs w:val="22"/>
        </w:rPr>
        <w:tab/>
      </w:r>
      <w:r w:rsidR="00014BC1">
        <w:rPr>
          <w:color w:val="000000"/>
          <w:sz w:val="22"/>
          <w:szCs w:val="22"/>
        </w:rPr>
        <w:t xml:space="preserve">Urban One </w:t>
      </w:r>
      <w:r w:rsidR="00E97AE7">
        <w:rPr>
          <w:color w:val="000000"/>
          <w:sz w:val="22"/>
          <w:szCs w:val="22"/>
        </w:rPr>
        <w:t>currently owns three commercial FM stations in the Houston</w:t>
      </w:r>
      <w:r w:rsidR="005851BA">
        <w:rPr>
          <w:color w:val="000000"/>
          <w:sz w:val="22"/>
          <w:szCs w:val="22"/>
        </w:rPr>
        <w:t xml:space="preserve"> </w:t>
      </w:r>
      <w:r w:rsidR="00E233B0">
        <w:rPr>
          <w:color w:val="000000"/>
          <w:sz w:val="22"/>
          <w:szCs w:val="22"/>
        </w:rPr>
        <w:t>M</w:t>
      </w:r>
      <w:r w:rsidR="00E97AE7">
        <w:rPr>
          <w:color w:val="000000"/>
          <w:sz w:val="22"/>
          <w:szCs w:val="22"/>
        </w:rPr>
        <w:t>arket.</w:t>
      </w:r>
      <w:r>
        <w:rPr>
          <w:rStyle w:val="FootnoteReference"/>
          <w:color w:val="000000"/>
          <w:sz w:val="22"/>
          <w:szCs w:val="22"/>
        </w:rPr>
        <w:footnoteReference w:id="6"/>
      </w:r>
      <w:r w:rsidR="00E97AE7">
        <w:rPr>
          <w:color w:val="000000"/>
          <w:sz w:val="22"/>
          <w:szCs w:val="22"/>
        </w:rPr>
        <w:t xml:space="preserve">  </w:t>
      </w:r>
      <w:r>
        <w:rPr>
          <w:color w:val="000000"/>
          <w:sz w:val="22"/>
          <w:szCs w:val="22"/>
        </w:rPr>
        <w:t xml:space="preserve">Under the Local Radio Ownership Rule, </w:t>
      </w:r>
      <w:r w:rsidR="00975EA2">
        <w:rPr>
          <w:color w:val="000000"/>
          <w:sz w:val="22"/>
          <w:szCs w:val="22"/>
        </w:rPr>
        <w:t xml:space="preserve">a single person or entity may </w:t>
      </w:r>
      <w:r w:rsidR="00E5083F">
        <w:rPr>
          <w:color w:val="000000"/>
          <w:sz w:val="22"/>
          <w:szCs w:val="22"/>
        </w:rPr>
        <w:t xml:space="preserve">hold an attributable interest in no more than </w:t>
      </w:r>
      <w:r w:rsidR="00F72AEE">
        <w:rPr>
          <w:color w:val="000000"/>
          <w:sz w:val="22"/>
          <w:szCs w:val="22"/>
        </w:rPr>
        <w:t xml:space="preserve">five commercial stations in the same service in </w:t>
      </w:r>
      <w:r w:rsidR="006B062B">
        <w:rPr>
          <w:color w:val="000000"/>
          <w:sz w:val="22"/>
          <w:szCs w:val="22"/>
        </w:rPr>
        <w:t xml:space="preserve">the Houston </w:t>
      </w:r>
      <w:r w:rsidR="00E233B0">
        <w:rPr>
          <w:color w:val="000000"/>
          <w:sz w:val="22"/>
          <w:szCs w:val="22"/>
        </w:rPr>
        <w:t>M</w:t>
      </w:r>
      <w:r w:rsidR="006B062B">
        <w:rPr>
          <w:color w:val="000000"/>
          <w:sz w:val="22"/>
          <w:szCs w:val="22"/>
        </w:rPr>
        <w:t xml:space="preserve">arket, which </w:t>
      </w:r>
      <w:r w:rsidR="008731EC">
        <w:rPr>
          <w:color w:val="000000"/>
          <w:sz w:val="22"/>
          <w:szCs w:val="22"/>
        </w:rPr>
        <w:t xml:space="preserve">includes </w:t>
      </w:r>
      <w:r w:rsidR="00D85815">
        <w:rPr>
          <w:color w:val="000000"/>
          <w:sz w:val="22"/>
          <w:szCs w:val="22"/>
        </w:rPr>
        <w:t>76</w:t>
      </w:r>
      <w:r w:rsidR="00363AB1">
        <w:rPr>
          <w:color w:val="000000"/>
          <w:sz w:val="22"/>
          <w:szCs w:val="22"/>
        </w:rPr>
        <w:t xml:space="preserve"> full-</w:t>
      </w:r>
      <w:r w:rsidR="00D532B6">
        <w:rPr>
          <w:color w:val="000000"/>
          <w:sz w:val="22"/>
          <w:szCs w:val="22"/>
        </w:rPr>
        <w:t>service</w:t>
      </w:r>
      <w:r w:rsidR="00363AB1">
        <w:rPr>
          <w:color w:val="000000"/>
          <w:sz w:val="22"/>
          <w:szCs w:val="22"/>
        </w:rPr>
        <w:t>, commercial and noncommercial radio stations</w:t>
      </w:r>
      <w:r w:rsidR="00D532B6">
        <w:rPr>
          <w:color w:val="000000"/>
          <w:sz w:val="22"/>
          <w:szCs w:val="22"/>
        </w:rPr>
        <w:t xml:space="preserve">, according to </w:t>
      </w:r>
      <w:r w:rsidR="003535F9">
        <w:rPr>
          <w:color w:val="000000"/>
          <w:sz w:val="22"/>
          <w:szCs w:val="22"/>
        </w:rPr>
        <w:t xml:space="preserve">staff review of </w:t>
      </w:r>
      <w:r w:rsidR="00D532B6">
        <w:rPr>
          <w:color w:val="000000"/>
          <w:sz w:val="22"/>
          <w:szCs w:val="22"/>
        </w:rPr>
        <w:t>BIA’s Media Access Pro database</w:t>
      </w:r>
      <w:r w:rsidR="00363AB1">
        <w:rPr>
          <w:color w:val="000000"/>
          <w:sz w:val="22"/>
          <w:szCs w:val="22"/>
        </w:rPr>
        <w:t>.</w:t>
      </w:r>
      <w:r>
        <w:rPr>
          <w:rStyle w:val="FootnoteReference"/>
          <w:color w:val="000000"/>
          <w:sz w:val="22"/>
          <w:szCs w:val="22"/>
        </w:rPr>
        <w:footnoteReference w:id="7"/>
      </w:r>
      <w:r w:rsidR="00363AB1">
        <w:rPr>
          <w:color w:val="000000"/>
          <w:sz w:val="22"/>
          <w:szCs w:val="22"/>
        </w:rPr>
        <w:t xml:space="preserve">  </w:t>
      </w:r>
      <w:r w:rsidRPr="009326D7" w:rsidR="009326D7">
        <w:rPr>
          <w:color w:val="000000"/>
          <w:sz w:val="22"/>
          <w:szCs w:val="22"/>
        </w:rPr>
        <w:t>To comply</w:t>
      </w:r>
      <w:r w:rsidR="00F21DB0">
        <w:rPr>
          <w:color w:val="000000"/>
          <w:sz w:val="22"/>
          <w:szCs w:val="22"/>
        </w:rPr>
        <w:t xml:space="preserve"> with the R</w:t>
      </w:r>
      <w:r w:rsidR="00B42007">
        <w:rPr>
          <w:color w:val="000000"/>
          <w:sz w:val="22"/>
          <w:szCs w:val="22"/>
        </w:rPr>
        <w:t>ule</w:t>
      </w:r>
      <w:r w:rsidRPr="009326D7" w:rsidR="009326D7">
        <w:rPr>
          <w:color w:val="000000"/>
          <w:sz w:val="22"/>
          <w:szCs w:val="22"/>
        </w:rPr>
        <w:t xml:space="preserve">, </w:t>
      </w:r>
      <w:r w:rsidR="00B42007">
        <w:rPr>
          <w:color w:val="000000"/>
          <w:sz w:val="22"/>
          <w:szCs w:val="22"/>
        </w:rPr>
        <w:t>Radio One</w:t>
      </w:r>
      <w:r w:rsidR="001316E9">
        <w:rPr>
          <w:color w:val="000000"/>
          <w:sz w:val="22"/>
          <w:szCs w:val="22"/>
        </w:rPr>
        <w:t xml:space="preserve"> seeks consent to </w:t>
      </w:r>
      <w:r w:rsidR="00871739">
        <w:rPr>
          <w:color w:val="000000"/>
          <w:sz w:val="22"/>
          <w:szCs w:val="22"/>
        </w:rPr>
        <w:t xml:space="preserve">assign two </w:t>
      </w:r>
      <w:r w:rsidR="00E35E01">
        <w:rPr>
          <w:color w:val="000000"/>
          <w:sz w:val="22"/>
          <w:szCs w:val="22"/>
        </w:rPr>
        <w:t>FM stations</w:t>
      </w:r>
      <w:r w:rsidR="005B437C">
        <w:rPr>
          <w:color w:val="000000"/>
          <w:sz w:val="22"/>
          <w:szCs w:val="22"/>
        </w:rPr>
        <w:t xml:space="preserve"> in Houston</w:t>
      </w:r>
      <w:r w:rsidR="00061DC1">
        <w:rPr>
          <w:color w:val="000000"/>
          <w:sz w:val="22"/>
          <w:szCs w:val="22"/>
        </w:rPr>
        <w:t>—KROI(FM) and KTHT(FM)—</w:t>
      </w:r>
      <w:r w:rsidR="00871739">
        <w:rPr>
          <w:color w:val="000000"/>
          <w:sz w:val="22"/>
          <w:szCs w:val="22"/>
        </w:rPr>
        <w:t>to the Sugarland Trust</w:t>
      </w:r>
      <w:r w:rsidR="00D96172">
        <w:rPr>
          <w:color w:val="000000"/>
          <w:sz w:val="22"/>
          <w:szCs w:val="22"/>
        </w:rPr>
        <w:t xml:space="preserve"> </w:t>
      </w:r>
      <w:r w:rsidR="00491FE6">
        <w:rPr>
          <w:color w:val="000000"/>
          <w:sz w:val="22"/>
          <w:szCs w:val="22"/>
        </w:rPr>
        <w:t>concurrent</w:t>
      </w:r>
      <w:r w:rsidR="00516E56">
        <w:rPr>
          <w:color w:val="000000"/>
          <w:sz w:val="22"/>
          <w:szCs w:val="22"/>
        </w:rPr>
        <w:t xml:space="preserve"> with its acquisition </w:t>
      </w:r>
      <w:r w:rsidR="00491FE6">
        <w:rPr>
          <w:color w:val="000000"/>
          <w:sz w:val="22"/>
          <w:szCs w:val="22"/>
        </w:rPr>
        <w:t xml:space="preserve">of </w:t>
      </w:r>
      <w:r w:rsidR="009C7DCD">
        <w:rPr>
          <w:color w:val="000000"/>
          <w:sz w:val="22"/>
          <w:szCs w:val="22"/>
        </w:rPr>
        <w:t>CMG’s Houston stations.</w:t>
      </w:r>
      <w:r>
        <w:rPr>
          <w:rStyle w:val="FootnoteReference"/>
          <w:color w:val="000000"/>
          <w:sz w:val="22"/>
          <w:szCs w:val="22"/>
        </w:rPr>
        <w:footnoteReference w:id="8"/>
      </w:r>
      <w:r w:rsidR="00BD5F72">
        <w:rPr>
          <w:color w:val="000000"/>
          <w:sz w:val="22"/>
          <w:szCs w:val="22"/>
        </w:rPr>
        <w:t xml:space="preserve">  Thus, u</w:t>
      </w:r>
      <w:r w:rsidRPr="009326D7" w:rsidR="009326D7">
        <w:rPr>
          <w:color w:val="000000"/>
          <w:sz w:val="22"/>
          <w:szCs w:val="22"/>
        </w:rPr>
        <w:t xml:space="preserve">pon consummation of the </w:t>
      </w:r>
      <w:r w:rsidR="00BD5F72">
        <w:rPr>
          <w:color w:val="000000"/>
          <w:sz w:val="22"/>
          <w:szCs w:val="22"/>
        </w:rPr>
        <w:t>proposed license assignments</w:t>
      </w:r>
      <w:r w:rsidRPr="009326D7" w:rsidR="009326D7">
        <w:rPr>
          <w:color w:val="000000"/>
          <w:sz w:val="22"/>
          <w:szCs w:val="22"/>
        </w:rPr>
        <w:t xml:space="preserve">, Urban One </w:t>
      </w:r>
      <w:r w:rsidR="00F55D42">
        <w:rPr>
          <w:color w:val="000000"/>
          <w:sz w:val="22"/>
          <w:szCs w:val="22"/>
        </w:rPr>
        <w:t>would</w:t>
      </w:r>
      <w:r w:rsidRPr="009326D7" w:rsidR="009326D7">
        <w:rPr>
          <w:color w:val="000000"/>
          <w:sz w:val="22"/>
          <w:szCs w:val="22"/>
        </w:rPr>
        <w:t xml:space="preserve"> </w:t>
      </w:r>
      <w:r w:rsidR="00F55D42">
        <w:rPr>
          <w:color w:val="000000"/>
          <w:sz w:val="22"/>
          <w:szCs w:val="22"/>
        </w:rPr>
        <w:t>hold</w:t>
      </w:r>
      <w:r w:rsidRPr="009326D7" w:rsidR="009326D7">
        <w:rPr>
          <w:color w:val="000000"/>
          <w:sz w:val="22"/>
          <w:szCs w:val="22"/>
        </w:rPr>
        <w:t xml:space="preserve"> an attributable interest in five FM stations</w:t>
      </w:r>
      <w:r w:rsidR="00F55D42">
        <w:rPr>
          <w:color w:val="000000"/>
          <w:sz w:val="22"/>
          <w:szCs w:val="22"/>
        </w:rPr>
        <w:t xml:space="preserve"> in the Houston radio market</w:t>
      </w:r>
      <w:r w:rsidRPr="009326D7" w:rsidR="009326D7">
        <w:rPr>
          <w:color w:val="000000"/>
          <w:sz w:val="22"/>
          <w:szCs w:val="22"/>
        </w:rPr>
        <w:t>,</w:t>
      </w:r>
      <w:r>
        <w:rPr>
          <w:rStyle w:val="FootnoteReference"/>
          <w:color w:val="000000"/>
          <w:sz w:val="22"/>
          <w:szCs w:val="22"/>
        </w:rPr>
        <w:footnoteReference w:id="9"/>
      </w:r>
      <w:r w:rsidRPr="009326D7" w:rsidR="009326D7">
        <w:rPr>
          <w:color w:val="000000"/>
          <w:sz w:val="22"/>
          <w:szCs w:val="22"/>
        </w:rPr>
        <w:t xml:space="preserve"> which is permitted under the </w:t>
      </w:r>
      <w:r w:rsidR="00B40DE0">
        <w:rPr>
          <w:color w:val="000000"/>
          <w:sz w:val="22"/>
          <w:szCs w:val="22"/>
        </w:rPr>
        <w:t>Local Radio Ownership Rule</w:t>
      </w:r>
      <w:r w:rsidRPr="009326D7" w:rsidR="009326D7">
        <w:rPr>
          <w:color w:val="000000"/>
          <w:sz w:val="22"/>
          <w:szCs w:val="22"/>
        </w:rPr>
        <w:t>.</w:t>
      </w:r>
      <w:r>
        <w:rPr>
          <w:rStyle w:val="FootnoteReference"/>
          <w:color w:val="000000"/>
          <w:sz w:val="22"/>
          <w:szCs w:val="22"/>
        </w:rPr>
        <w:footnoteReference w:id="10"/>
      </w:r>
      <w:r w:rsidR="009326D7">
        <w:rPr>
          <w:color w:val="000000"/>
          <w:sz w:val="22"/>
          <w:szCs w:val="22"/>
        </w:rPr>
        <w:t xml:space="preserve">  </w:t>
      </w:r>
    </w:p>
    <w:p w:rsidR="002818D6" w:rsidP="009326D7" w14:paraId="171BCEA2" w14:textId="12207CE6">
      <w:pPr>
        <w:tabs>
          <w:tab w:val="left" w:pos="0"/>
        </w:tabs>
        <w:suppressAutoHyphens/>
        <w:spacing w:after="240"/>
        <w:outlineLvl w:val="0"/>
        <w:rPr>
          <w:color w:val="000000"/>
          <w:sz w:val="22"/>
          <w:szCs w:val="22"/>
        </w:rPr>
      </w:pPr>
      <w:r>
        <w:rPr>
          <w:color w:val="000000"/>
          <w:sz w:val="22"/>
          <w:szCs w:val="22"/>
        </w:rPr>
        <w:tab/>
      </w:r>
      <w:r w:rsidRPr="009326D7" w:rsidR="009326D7">
        <w:rPr>
          <w:color w:val="000000"/>
          <w:sz w:val="22"/>
          <w:szCs w:val="22"/>
        </w:rPr>
        <w:t>Urban One</w:t>
      </w:r>
      <w:r>
        <w:rPr>
          <w:color w:val="000000"/>
          <w:sz w:val="22"/>
          <w:szCs w:val="22"/>
        </w:rPr>
        <w:t xml:space="preserve"> </w:t>
      </w:r>
      <w:r w:rsidR="0055062F">
        <w:rPr>
          <w:color w:val="000000"/>
          <w:sz w:val="22"/>
          <w:szCs w:val="22"/>
        </w:rPr>
        <w:t>states</w:t>
      </w:r>
      <w:r>
        <w:rPr>
          <w:color w:val="000000"/>
          <w:sz w:val="22"/>
          <w:szCs w:val="22"/>
        </w:rPr>
        <w:t xml:space="preserve"> that it</w:t>
      </w:r>
      <w:r w:rsidRPr="009326D7" w:rsidR="009326D7">
        <w:rPr>
          <w:color w:val="000000"/>
          <w:sz w:val="22"/>
          <w:szCs w:val="22"/>
        </w:rPr>
        <w:t xml:space="preserve"> has </w:t>
      </w:r>
      <w:r>
        <w:rPr>
          <w:color w:val="000000"/>
          <w:sz w:val="22"/>
          <w:szCs w:val="22"/>
        </w:rPr>
        <w:t xml:space="preserve">already </w:t>
      </w:r>
      <w:r w:rsidRPr="009326D7" w:rsidR="009326D7">
        <w:rPr>
          <w:color w:val="000000"/>
          <w:sz w:val="22"/>
          <w:szCs w:val="22"/>
        </w:rPr>
        <w:t>entered into an agreement to sell KROI</w:t>
      </w:r>
      <w:r w:rsidR="00061DC1">
        <w:rPr>
          <w:color w:val="000000"/>
          <w:sz w:val="22"/>
          <w:szCs w:val="22"/>
        </w:rPr>
        <w:t>(FM)</w:t>
      </w:r>
      <w:r w:rsidRPr="009326D7" w:rsidR="009326D7">
        <w:rPr>
          <w:color w:val="000000"/>
          <w:sz w:val="22"/>
          <w:szCs w:val="22"/>
        </w:rPr>
        <w:t xml:space="preserve"> to a broadcaster </w:t>
      </w:r>
      <w:r w:rsidR="00061DC1">
        <w:rPr>
          <w:color w:val="000000"/>
          <w:sz w:val="22"/>
          <w:szCs w:val="22"/>
        </w:rPr>
        <w:t xml:space="preserve">that </w:t>
      </w:r>
      <w:r w:rsidR="0055062F">
        <w:rPr>
          <w:color w:val="000000"/>
          <w:sz w:val="22"/>
          <w:szCs w:val="22"/>
        </w:rPr>
        <w:t>it says</w:t>
      </w:r>
      <w:r w:rsidR="00272020">
        <w:rPr>
          <w:color w:val="000000"/>
          <w:sz w:val="22"/>
          <w:szCs w:val="22"/>
        </w:rPr>
        <w:t xml:space="preserve"> </w:t>
      </w:r>
      <w:r w:rsidRPr="009326D7" w:rsidR="009326D7">
        <w:rPr>
          <w:color w:val="000000"/>
          <w:sz w:val="22"/>
          <w:szCs w:val="22"/>
        </w:rPr>
        <w:t xml:space="preserve">is a new entrant to the Houston </w:t>
      </w:r>
      <w:r w:rsidR="0041066A">
        <w:rPr>
          <w:color w:val="000000"/>
          <w:sz w:val="22"/>
          <w:szCs w:val="22"/>
        </w:rPr>
        <w:t>M</w:t>
      </w:r>
      <w:r w:rsidRPr="009326D7" w:rsidR="009326D7">
        <w:rPr>
          <w:color w:val="000000"/>
          <w:sz w:val="22"/>
          <w:szCs w:val="22"/>
        </w:rPr>
        <w:t xml:space="preserve">arket </w:t>
      </w:r>
      <w:r w:rsidR="0041066A">
        <w:rPr>
          <w:color w:val="000000"/>
          <w:sz w:val="22"/>
          <w:szCs w:val="22"/>
        </w:rPr>
        <w:t>a</w:t>
      </w:r>
      <w:r w:rsidRPr="009326D7" w:rsidR="009326D7">
        <w:rPr>
          <w:color w:val="000000"/>
          <w:sz w:val="22"/>
          <w:szCs w:val="22"/>
        </w:rPr>
        <w:t>nd</w:t>
      </w:r>
      <w:r w:rsidR="0041066A">
        <w:rPr>
          <w:color w:val="000000"/>
          <w:sz w:val="22"/>
          <w:szCs w:val="22"/>
        </w:rPr>
        <w:t xml:space="preserve"> that</w:t>
      </w:r>
      <w:r w:rsidRPr="009326D7" w:rsidR="009326D7">
        <w:rPr>
          <w:color w:val="000000"/>
          <w:sz w:val="22"/>
          <w:szCs w:val="22"/>
        </w:rPr>
        <w:t xml:space="preserve"> </w:t>
      </w:r>
      <w:r w:rsidR="00323B93">
        <w:rPr>
          <w:color w:val="000000"/>
          <w:sz w:val="22"/>
          <w:szCs w:val="22"/>
        </w:rPr>
        <w:t xml:space="preserve">it </w:t>
      </w:r>
      <w:r w:rsidRPr="009326D7" w:rsidR="009326D7">
        <w:rPr>
          <w:color w:val="000000"/>
          <w:sz w:val="22"/>
          <w:szCs w:val="22"/>
        </w:rPr>
        <w:t>is actively engaged in discussions to sell KTHT</w:t>
      </w:r>
      <w:r w:rsidR="0041066A">
        <w:rPr>
          <w:color w:val="000000"/>
          <w:sz w:val="22"/>
          <w:szCs w:val="22"/>
        </w:rPr>
        <w:t>(FM)</w:t>
      </w:r>
      <w:r w:rsidRPr="009326D7" w:rsidR="009326D7">
        <w:rPr>
          <w:color w:val="000000"/>
          <w:sz w:val="22"/>
          <w:szCs w:val="22"/>
        </w:rPr>
        <w:t>.</w:t>
      </w:r>
      <w:r>
        <w:rPr>
          <w:rStyle w:val="FootnoteReference"/>
          <w:color w:val="000000"/>
          <w:sz w:val="22"/>
          <w:szCs w:val="22"/>
        </w:rPr>
        <w:footnoteReference w:id="11"/>
      </w:r>
      <w:r w:rsidRPr="009326D7" w:rsidR="009326D7">
        <w:rPr>
          <w:color w:val="000000"/>
          <w:sz w:val="22"/>
          <w:szCs w:val="22"/>
        </w:rPr>
        <w:t xml:space="preserve"> </w:t>
      </w:r>
      <w:r w:rsidR="0041066A">
        <w:rPr>
          <w:color w:val="000000"/>
          <w:sz w:val="22"/>
          <w:szCs w:val="22"/>
        </w:rPr>
        <w:t xml:space="preserve"> </w:t>
      </w:r>
      <w:r w:rsidR="00A936E0">
        <w:rPr>
          <w:color w:val="000000"/>
          <w:sz w:val="22"/>
          <w:szCs w:val="22"/>
        </w:rPr>
        <w:t>Under the terms of the</w:t>
      </w:r>
      <w:r w:rsidR="000202BD">
        <w:rPr>
          <w:color w:val="000000"/>
          <w:sz w:val="22"/>
          <w:szCs w:val="22"/>
        </w:rPr>
        <w:t xml:space="preserve"> </w:t>
      </w:r>
      <w:r w:rsidR="00917023">
        <w:rPr>
          <w:color w:val="000000"/>
          <w:sz w:val="22"/>
          <w:szCs w:val="22"/>
        </w:rPr>
        <w:t>E</w:t>
      </w:r>
      <w:r w:rsidR="00247867">
        <w:rPr>
          <w:color w:val="000000"/>
          <w:sz w:val="22"/>
          <w:szCs w:val="22"/>
        </w:rPr>
        <w:t xml:space="preserve">ngagement and </w:t>
      </w:r>
      <w:r w:rsidR="00917023">
        <w:rPr>
          <w:color w:val="000000"/>
          <w:sz w:val="22"/>
          <w:szCs w:val="22"/>
        </w:rPr>
        <w:t>A</w:t>
      </w:r>
      <w:r w:rsidR="00247867">
        <w:rPr>
          <w:color w:val="000000"/>
          <w:sz w:val="22"/>
          <w:szCs w:val="22"/>
        </w:rPr>
        <w:t xml:space="preserve">ssignment </w:t>
      </w:r>
      <w:r w:rsidR="00917023">
        <w:rPr>
          <w:color w:val="000000"/>
          <w:sz w:val="22"/>
          <w:szCs w:val="22"/>
        </w:rPr>
        <w:t>A</w:t>
      </w:r>
      <w:r w:rsidR="00247867">
        <w:rPr>
          <w:color w:val="000000"/>
          <w:sz w:val="22"/>
          <w:szCs w:val="22"/>
        </w:rPr>
        <w:t>greement</w:t>
      </w:r>
      <w:r w:rsidR="00F91F9F">
        <w:rPr>
          <w:color w:val="000000"/>
          <w:sz w:val="22"/>
          <w:szCs w:val="22"/>
        </w:rPr>
        <w:t xml:space="preserve"> executed by Radio One and Sugarland Trust</w:t>
      </w:r>
      <w:r w:rsidR="00FA4BFC">
        <w:rPr>
          <w:color w:val="000000"/>
          <w:sz w:val="22"/>
          <w:szCs w:val="22"/>
        </w:rPr>
        <w:t xml:space="preserve">, </w:t>
      </w:r>
      <w:r w:rsidR="00B62586">
        <w:rPr>
          <w:color w:val="000000"/>
          <w:sz w:val="22"/>
          <w:szCs w:val="22"/>
        </w:rPr>
        <w:t xml:space="preserve">the parties are required to enter into </w:t>
      </w:r>
      <w:r w:rsidR="000B2399">
        <w:rPr>
          <w:color w:val="000000"/>
          <w:sz w:val="22"/>
          <w:szCs w:val="22"/>
        </w:rPr>
        <w:t xml:space="preserve">a Trust Agreement </w:t>
      </w:r>
      <w:r w:rsidR="00A41CCD">
        <w:rPr>
          <w:color w:val="000000"/>
          <w:sz w:val="22"/>
          <w:szCs w:val="22"/>
        </w:rPr>
        <w:t xml:space="preserve">upon consummation of the transactions </w:t>
      </w:r>
      <w:r w:rsidR="006A5A9F">
        <w:rPr>
          <w:color w:val="000000"/>
          <w:sz w:val="22"/>
          <w:szCs w:val="22"/>
        </w:rPr>
        <w:t xml:space="preserve">that will require </w:t>
      </w:r>
      <w:r w:rsidR="00D029CF">
        <w:rPr>
          <w:color w:val="000000"/>
          <w:sz w:val="22"/>
          <w:szCs w:val="22"/>
        </w:rPr>
        <w:t>Radio One to assign</w:t>
      </w:r>
      <w:r w:rsidR="00970DAE">
        <w:rPr>
          <w:color w:val="000000"/>
          <w:sz w:val="22"/>
          <w:szCs w:val="22"/>
        </w:rPr>
        <w:t xml:space="preserve"> to the Sugarland Trust</w:t>
      </w:r>
      <w:r w:rsidR="00D029CF">
        <w:rPr>
          <w:color w:val="000000"/>
          <w:sz w:val="22"/>
          <w:szCs w:val="22"/>
        </w:rPr>
        <w:t xml:space="preserve"> </w:t>
      </w:r>
      <w:r w:rsidR="00970DAE">
        <w:rPr>
          <w:color w:val="000000"/>
          <w:sz w:val="22"/>
          <w:szCs w:val="22"/>
        </w:rPr>
        <w:t>the</w:t>
      </w:r>
      <w:r w:rsidR="00D029CF">
        <w:rPr>
          <w:color w:val="000000"/>
          <w:sz w:val="22"/>
          <w:szCs w:val="22"/>
        </w:rPr>
        <w:t xml:space="preserve"> rights and obligations</w:t>
      </w:r>
      <w:r w:rsidR="00970DAE">
        <w:rPr>
          <w:color w:val="000000"/>
          <w:sz w:val="22"/>
          <w:szCs w:val="22"/>
        </w:rPr>
        <w:t xml:space="preserve"> of Radio One</w:t>
      </w:r>
      <w:r w:rsidR="00D029CF">
        <w:rPr>
          <w:color w:val="000000"/>
          <w:sz w:val="22"/>
          <w:szCs w:val="22"/>
        </w:rPr>
        <w:t xml:space="preserve"> under</w:t>
      </w:r>
      <w:r w:rsidR="00E323B6">
        <w:rPr>
          <w:color w:val="000000"/>
          <w:sz w:val="22"/>
          <w:szCs w:val="22"/>
        </w:rPr>
        <w:t xml:space="preserve"> any existing </w:t>
      </w:r>
      <w:r w:rsidR="008B438E">
        <w:rPr>
          <w:color w:val="000000"/>
          <w:sz w:val="22"/>
          <w:szCs w:val="22"/>
        </w:rPr>
        <w:t xml:space="preserve">agreement to sell KROI(FM) and/or KTHT(FM) to an </w:t>
      </w:r>
      <w:r w:rsidR="00691FCD">
        <w:rPr>
          <w:color w:val="000000"/>
          <w:sz w:val="22"/>
          <w:szCs w:val="22"/>
        </w:rPr>
        <w:t>unaffiliated</w:t>
      </w:r>
      <w:r w:rsidR="008B438E">
        <w:rPr>
          <w:color w:val="000000"/>
          <w:sz w:val="22"/>
          <w:szCs w:val="22"/>
        </w:rPr>
        <w:t xml:space="preserve"> third party</w:t>
      </w:r>
      <w:r w:rsidR="00970DAE">
        <w:rPr>
          <w:color w:val="000000"/>
          <w:sz w:val="22"/>
          <w:szCs w:val="22"/>
        </w:rPr>
        <w:t>.</w:t>
      </w:r>
      <w:r>
        <w:rPr>
          <w:rStyle w:val="FootnoteReference"/>
          <w:color w:val="000000"/>
          <w:sz w:val="22"/>
          <w:szCs w:val="22"/>
        </w:rPr>
        <w:footnoteReference w:id="12"/>
      </w:r>
      <w:r w:rsidR="00970DAE">
        <w:rPr>
          <w:color w:val="000000"/>
          <w:sz w:val="22"/>
          <w:szCs w:val="22"/>
        </w:rPr>
        <w:t xml:space="preserve"> </w:t>
      </w:r>
      <w:r w:rsidR="00F63E4E">
        <w:rPr>
          <w:color w:val="000000"/>
          <w:sz w:val="22"/>
          <w:szCs w:val="22"/>
        </w:rPr>
        <w:t xml:space="preserve"> In addition, under the Trust Agreement the Sugarland Trust will be required to assume </w:t>
      </w:r>
      <w:r w:rsidR="003E63EE">
        <w:rPr>
          <w:color w:val="000000"/>
          <w:sz w:val="22"/>
          <w:szCs w:val="22"/>
        </w:rPr>
        <w:t xml:space="preserve">the rights and obligations of </w:t>
      </w:r>
      <w:r w:rsidR="001A5EB5">
        <w:rPr>
          <w:color w:val="000000"/>
          <w:sz w:val="22"/>
          <w:szCs w:val="22"/>
        </w:rPr>
        <w:t>Radio One</w:t>
      </w:r>
      <w:r w:rsidR="00596626">
        <w:rPr>
          <w:color w:val="000000"/>
          <w:sz w:val="22"/>
          <w:szCs w:val="22"/>
        </w:rPr>
        <w:t xml:space="preserve"> under </w:t>
      </w:r>
      <w:r w:rsidR="00D041BB">
        <w:rPr>
          <w:color w:val="000000"/>
          <w:sz w:val="22"/>
          <w:szCs w:val="22"/>
        </w:rPr>
        <w:t>any such existing sales agreement(s) for KROI(FM) and/or KTHT(FM)</w:t>
      </w:r>
      <w:r w:rsidRPr="009326D7" w:rsidR="009326D7">
        <w:rPr>
          <w:color w:val="000000"/>
          <w:sz w:val="22"/>
          <w:szCs w:val="22"/>
        </w:rPr>
        <w:t>.</w:t>
      </w:r>
      <w:r>
        <w:rPr>
          <w:rStyle w:val="FootnoteReference"/>
          <w:color w:val="000000"/>
          <w:sz w:val="22"/>
          <w:szCs w:val="22"/>
        </w:rPr>
        <w:footnoteReference w:id="13"/>
      </w:r>
      <w:r w:rsidR="009326D7">
        <w:rPr>
          <w:color w:val="000000"/>
          <w:sz w:val="22"/>
          <w:szCs w:val="22"/>
        </w:rPr>
        <w:t xml:space="preserve">  </w:t>
      </w:r>
    </w:p>
    <w:p w:rsidR="00387BEA" w:rsidRPr="00057F60" w:rsidP="005E5001" w14:paraId="088F29F6" w14:textId="280C398E">
      <w:pPr>
        <w:tabs>
          <w:tab w:val="left" w:pos="0"/>
        </w:tabs>
        <w:suppressAutoHyphens/>
        <w:spacing w:after="240"/>
        <w:outlineLvl w:val="0"/>
        <w:rPr>
          <w:color w:val="000000"/>
          <w:sz w:val="22"/>
          <w:szCs w:val="22"/>
        </w:rPr>
      </w:pPr>
      <w:r>
        <w:rPr>
          <w:bCs/>
          <w:color w:val="000000"/>
          <w:sz w:val="22"/>
          <w:szCs w:val="22"/>
        </w:rPr>
        <w:tab/>
      </w:r>
      <w:r w:rsidRPr="00D542B5">
        <w:rPr>
          <w:b/>
          <w:color w:val="000000"/>
          <w:sz w:val="22"/>
          <w:szCs w:val="22"/>
        </w:rPr>
        <w:t>Discussion.</w:t>
      </w:r>
      <w:r w:rsidRPr="00D542B5">
        <w:rPr>
          <w:bCs/>
          <w:color w:val="000000"/>
          <w:sz w:val="22"/>
          <w:szCs w:val="22"/>
        </w:rPr>
        <w:t xml:space="preserve"> </w:t>
      </w:r>
      <w:r>
        <w:rPr>
          <w:bCs/>
          <w:color w:val="000000"/>
          <w:sz w:val="22"/>
          <w:szCs w:val="22"/>
        </w:rPr>
        <w:t xml:space="preserve"> </w:t>
      </w:r>
      <w:r w:rsidR="009B071A">
        <w:rPr>
          <w:sz w:val="22"/>
          <w:szCs w:val="22"/>
        </w:rPr>
        <w:t>T</w:t>
      </w:r>
      <w:r w:rsidR="009326D7">
        <w:rPr>
          <w:sz w:val="22"/>
          <w:szCs w:val="22"/>
        </w:rPr>
        <w:t>he Commission reviews divestiture trusts [on] a case-by-case basis and considers their acceptability based on a totality of the circumstances.”</w:t>
      </w:r>
      <w:r>
        <w:rPr>
          <w:rStyle w:val="FootnoteReference"/>
          <w:sz w:val="22"/>
          <w:szCs w:val="22"/>
        </w:rPr>
        <w:footnoteReference w:id="14"/>
      </w:r>
      <w:r w:rsidR="009326D7">
        <w:rPr>
          <w:sz w:val="22"/>
          <w:szCs w:val="22"/>
        </w:rPr>
        <w:t xml:space="preserve">  Our review is informed by certain principles regarding trusts.  First, “trusts are occasionally established specifically to effect compliance with the Commission’s rules for holdings which would violate the rules if held outright.”</w:t>
      </w:r>
      <w:r>
        <w:rPr>
          <w:rStyle w:val="FootnoteReference"/>
          <w:sz w:val="22"/>
          <w:szCs w:val="22"/>
        </w:rPr>
        <w:footnoteReference w:id="15"/>
      </w:r>
      <w:r w:rsidR="009326D7">
        <w:rPr>
          <w:sz w:val="22"/>
          <w:szCs w:val="22"/>
        </w:rPr>
        <w:t xml:space="preserve">  Because of our concern that divestiture trusts present a “potential for abuse”</w:t>
      </w:r>
      <w:r>
        <w:rPr>
          <w:rStyle w:val="FootnoteReference"/>
          <w:sz w:val="22"/>
          <w:szCs w:val="22"/>
        </w:rPr>
        <w:footnoteReference w:id="16"/>
      </w:r>
      <w:r w:rsidR="009326D7">
        <w:rPr>
          <w:sz w:val="22"/>
          <w:szCs w:val="22"/>
        </w:rPr>
        <w:t xml:space="preserve"> that can “pose unacceptable risks to competition,”</w:t>
      </w:r>
      <w:r>
        <w:rPr>
          <w:rStyle w:val="FootnoteReference"/>
          <w:sz w:val="22"/>
          <w:szCs w:val="22"/>
        </w:rPr>
        <w:footnoteReference w:id="17"/>
      </w:r>
      <w:r w:rsidR="009326D7">
        <w:rPr>
          <w:sz w:val="22"/>
          <w:szCs w:val="22"/>
        </w:rPr>
        <w:t xml:space="preserve"> we have consistently found that insulated divestiture trusts “should be employed only where necessary, and then to as limited an extent as possible.”</w:t>
      </w:r>
      <w:r>
        <w:rPr>
          <w:rStyle w:val="FootnoteReference"/>
          <w:sz w:val="22"/>
          <w:szCs w:val="22"/>
        </w:rPr>
        <w:footnoteReference w:id="18"/>
      </w:r>
      <w:r w:rsidR="009326D7">
        <w:rPr>
          <w:sz w:val="22"/>
          <w:szCs w:val="22"/>
        </w:rPr>
        <w:t xml:space="preserve">  </w:t>
      </w:r>
      <w:r w:rsidR="00E10BCB">
        <w:rPr>
          <w:color w:val="000000"/>
          <w:sz w:val="22"/>
          <w:szCs w:val="22"/>
        </w:rPr>
        <w:t>Here</w:t>
      </w:r>
      <w:r w:rsidRPr="009326D7" w:rsidR="009B071A">
        <w:rPr>
          <w:color w:val="000000"/>
          <w:sz w:val="22"/>
          <w:szCs w:val="22"/>
        </w:rPr>
        <w:t>, Urban One, a current in-market owner</w:t>
      </w:r>
      <w:r w:rsidR="00CF6502">
        <w:rPr>
          <w:color w:val="000000"/>
          <w:sz w:val="22"/>
          <w:szCs w:val="22"/>
        </w:rPr>
        <w:t xml:space="preserve"> and </w:t>
      </w:r>
      <w:r w:rsidRPr="009326D7" w:rsidR="009B071A">
        <w:rPr>
          <w:color w:val="000000"/>
          <w:sz w:val="22"/>
          <w:szCs w:val="22"/>
        </w:rPr>
        <w:t xml:space="preserve">operator </w:t>
      </w:r>
      <w:r w:rsidR="00CF6502">
        <w:rPr>
          <w:color w:val="000000"/>
          <w:sz w:val="22"/>
          <w:szCs w:val="22"/>
        </w:rPr>
        <w:t xml:space="preserve">of </w:t>
      </w:r>
      <w:r w:rsidR="00E10BCB">
        <w:rPr>
          <w:color w:val="000000"/>
          <w:sz w:val="22"/>
          <w:szCs w:val="22"/>
        </w:rPr>
        <w:t>FM radio stations, seeks to acquire</w:t>
      </w:r>
      <w:r w:rsidRPr="009326D7" w:rsidR="009B071A">
        <w:rPr>
          <w:color w:val="000000"/>
          <w:sz w:val="22"/>
          <w:szCs w:val="22"/>
        </w:rPr>
        <w:t xml:space="preserve"> </w:t>
      </w:r>
      <w:r w:rsidR="00C37664">
        <w:rPr>
          <w:color w:val="000000"/>
          <w:sz w:val="22"/>
          <w:szCs w:val="22"/>
        </w:rPr>
        <w:t xml:space="preserve">and retain </w:t>
      </w:r>
      <w:r w:rsidR="008A4283">
        <w:rPr>
          <w:color w:val="000000"/>
          <w:sz w:val="22"/>
          <w:szCs w:val="22"/>
        </w:rPr>
        <w:t xml:space="preserve">a net total of </w:t>
      </w:r>
      <w:r w:rsidRPr="009326D7" w:rsidR="009B071A">
        <w:rPr>
          <w:color w:val="000000"/>
          <w:sz w:val="22"/>
          <w:szCs w:val="22"/>
        </w:rPr>
        <w:t>two additional FM stations in a top 10 market without diminishing the number of voices that serve the market.</w:t>
      </w:r>
      <w:r>
        <w:rPr>
          <w:rStyle w:val="FootnoteReference"/>
          <w:color w:val="000000"/>
          <w:sz w:val="22"/>
          <w:szCs w:val="22"/>
        </w:rPr>
        <w:footnoteReference w:id="19"/>
      </w:r>
      <w:r w:rsidR="009B071A">
        <w:rPr>
          <w:color w:val="000000"/>
          <w:sz w:val="22"/>
          <w:szCs w:val="22"/>
        </w:rPr>
        <w:t xml:space="preserve">  </w:t>
      </w:r>
      <w:r w:rsidRPr="009326D7" w:rsidR="009B071A">
        <w:rPr>
          <w:color w:val="000000"/>
          <w:sz w:val="22"/>
          <w:szCs w:val="22"/>
        </w:rPr>
        <w:t>Urban One</w:t>
      </w:r>
      <w:r w:rsidR="004D68A7">
        <w:rPr>
          <w:color w:val="000000"/>
          <w:sz w:val="22"/>
          <w:szCs w:val="22"/>
        </w:rPr>
        <w:t xml:space="preserve"> </w:t>
      </w:r>
      <w:r w:rsidR="00FF4F08">
        <w:rPr>
          <w:color w:val="000000"/>
          <w:sz w:val="22"/>
          <w:szCs w:val="22"/>
        </w:rPr>
        <w:t>states that it will continue</w:t>
      </w:r>
      <w:r w:rsidRPr="009326D7" w:rsidR="009B071A">
        <w:rPr>
          <w:color w:val="000000"/>
          <w:sz w:val="22"/>
          <w:szCs w:val="22"/>
        </w:rPr>
        <w:t xml:space="preserve"> compete fiercely with the more than 25 other radio voices that </w:t>
      </w:r>
      <w:r w:rsidR="00FF4F08">
        <w:rPr>
          <w:color w:val="000000"/>
          <w:sz w:val="22"/>
          <w:szCs w:val="22"/>
        </w:rPr>
        <w:t xml:space="preserve">it says </w:t>
      </w:r>
      <w:r w:rsidRPr="009326D7" w:rsidR="009B071A">
        <w:rPr>
          <w:color w:val="000000"/>
          <w:sz w:val="22"/>
          <w:szCs w:val="22"/>
        </w:rPr>
        <w:t xml:space="preserve">will remain in the Houston </w:t>
      </w:r>
      <w:r w:rsidR="00FF4F08">
        <w:rPr>
          <w:color w:val="000000"/>
          <w:sz w:val="22"/>
          <w:szCs w:val="22"/>
        </w:rPr>
        <w:t>M</w:t>
      </w:r>
      <w:r w:rsidRPr="009326D7" w:rsidR="009B071A">
        <w:rPr>
          <w:color w:val="000000"/>
          <w:sz w:val="22"/>
          <w:szCs w:val="22"/>
        </w:rPr>
        <w:t xml:space="preserve">arket after </w:t>
      </w:r>
      <w:r w:rsidR="00FF4F08">
        <w:rPr>
          <w:color w:val="000000"/>
          <w:sz w:val="22"/>
          <w:szCs w:val="22"/>
        </w:rPr>
        <w:t xml:space="preserve">consummation of </w:t>
      </w:r>
      <w:r w:rsidRPr="009326D7" w:rsidR="009B071A">
        <w:rPr>
          <w:color w:val="000000"/>
          <w:sz w:val="22"/>
          <w:szCs w:val="22"/>
        </w:rPr>
        <w:t xml:space="preserve">the </w:t>
      </w:r>
      <w:r w:rsidR="00FF4F08">
        <w:rPr>
          <w:color w:val="000000"/>
          <w:sz w:val="22"/>
          <w:szCs w:val="22"/>
        </w:rPr>
        <w:t>proposed transactions</w:t>
      </w:r>
      <w:r w:rsidRPr="009326D7" w:rsidR="009B071A">
        <w:rPr>
          <w:color w:val="000000"/>
          <w:sz w:val="22"/>
          <w:szCs w:val="22"/>
        </w:rPr>
        <w:t xml:space="preserve"> and </w:t>
      </w:r>
      <w:r w:rsidR="00726D4E">
        <w:rPr>
          <w:color w:val="000000"/>
          <w:sz w:val="22"/>
          <w:szCs w:val="22"/>
        </w:rPr>
        <w:t>required</w:t>
      </w:r>
      <w:r w:rsidRPr="009326D7" w:rsidR="009B071A">
        <w:rPr>
          <w:color w:val="000000"/>
          <w:sz w:val="22"/>
          <w:szCs w:val="22"/>
        </w:rPr>
        <w:t xml:space="preserve"> divestitures.</w:t>
      </w:r>
      <w:r>
        <w:rPr>
          <w:rStyle w:val="FootnoteReference"/>
          <w:color w:val="000000"/>
          <w:sz w:val="22"/>
          <w:szCs w:val="22"/>
        </w:rPr>
        <w:footnoteReference w:id="20"/>
      </w:r>
      <w:r w:rsidR="00726D4E">
        <w:rPr>
          <w:color w:val="000000"/>
          <w:sz w:val="22"/>
          <w:szCs w:val="22"/>
        </w:rPr>
        <w:t xml:space="preserve">  </w:t>
      </w:r>
      <w:r w:rsidRPr="009326D7" w:rsidR="009B071A">
        <w:rPr>
          <w:color w:val="000000"/>
          <w:sz w:val="22"/>
          <w:szCs w:val="22"/>
        </w:rPr>
        <w:t xml:space="preserve">Urban One also commits to trying to sell </w:t>
      </w:r>
      <w:r w:rsidR="00603786">
        <w:rPr>
          <w:color w:val="000000"/>
          <w:sz w:val="22"/>
          <w:szCs w:val="22"/>
        </w:rPr>
        <w:t>KROI(FM) and KTHT(FM)</w:t>
      </w:r>
      <w:r w:rsidRPr="009326D7" w:rsidR="009B071A">
        <w:rPr>
          <w:color w:val="000000"/>
          <w:sz w:val="22"/>
          <w:szCs w:val="22"/>
        </w:rPr>
        <w:t xml:space="preserve"> to one or more in-market minority operators or new market entrants.</w:t>
      </w:r>
      <w:r>
        <w:rPr>
          <w:rStyle w:val="FootnoteReference"/>
          <w:color w:val="000000"/>
          <w:sz w:val="22"/>
          <w:szCs w:val="22"/>
        </w:rPr>
        <w:footnoteReference w:id="21"/>
      </w:r>
      <w:r w:rsidRPr="009326D7" w:rsidR="009B071A">
        <w:rPr>
          <w:color w:val="000000"/>
          <w:sz w:val="22"/>
          <w:szCs w:val="22"/>
        </w:rPr>
        <w:t xml:space="preserve"> </w:t>
      </w:r>
      <w:r w:rsidR="00603786">
        <w:rPr>
          <w:color w:val="000000"/>
          <w:sz w:val="22"/>
          <w:szCs w:val="22"/>
        </w:rPr>
        <w:t xml:space="preserve"> </w:t>
      </w:r>
      <w:r w:rsidR="00CE14D2">
        <w:rPr>
          <w:color w:val="000000"/>
          <w:sz w:val="22"/>
          <w:szCs w:val="22"/>
        </w:rPr>
        <w:t>Indeed, a</w:t>
      </w:r>
      <w:r w:rsidR="00603786">
        <w:rPr>
          <w:color w:val="000000"/>
          <w:sz w:val="22"/>
          <w:szCs w:val="22"/>
        </w:rPr>
        <w:t>s discussed above</w:t>
      </w:r>
      <w:r w:rsidRPr="009326D7" w:rsidR="00603786">
        <w:rPr>
          <w:color w:val="000000"/>
          <w:sz w:val="22"/>
          <w:szCs w:val="22"/>
        </w:rPr>
        <w:t xml:space="preserve">, Urban One </w:t>
      </w:r>
      <w:r w:rsidR="00BC42BD">
        <w:rPr>
          <w:color w:val="000000"/>
          <w:sz w:val="22"/>
          <w:szCs w:val="22"/>
        </w:rPr>
        <w:t xml:space="preserve">says that it </w:t>
      </w:r>
      <w:r w:rsidRPr="009326D7" w:rsidR="00603786">
        <w:rPr>
          <w:color w:val="000000"/>
          <w:sz w:val="22"/>
          <w:szCs w:val="22"/>
        </w:rPr>
        <w:t>has already entered into an agreement to sell KROI</w:t>
      </w:r>
      <w:r w:rsidR="00BC42BD">
        <w:rPr>
          <w:color w:val="000000"/>
          <w:sz w:val="22"/>
          <w:szCs w:val="22"/>
        </w:rPr>
        <w:t>(FM)</w:t>
      </w:r>
      <w:r w:rsidRPr="009326D7" w:rsidR="00603786">
        <w:rPr>
          <w:color w:val="000000"/>
          <w:sz w:val="22"/>
          <w:szCs w:val="22"/>
        </w:rPr>
        <w:t xml:space="preserve"> to a minority-owned broadcaster that is a new entrant to the Houston </w:t>
      </w:r>
      <w:r w:rsidR="00BC42BD">
        <w:rPr>
          <w:color w:val="000000"/>
          <w:sz w:val="22"/>
          <w:szCs w:val="22"/>
        </w:rPr>
        <w:t>M</w:t>
      </w:r>
      <w:r w:rsidRPr="009326D7" w:rsidR="00603786">
        <w:rPr>
          <w:color w:val="000000"/>
          <w:sz w:val="22"/>
          <w:szCs w:val="22"/>
        </w:rPr>
        <w:t>arket</w:t>
      </w:r>
      <w:r w:rsidR="00BC42BD">
        <w:rPr>
          <w:color w:val="000000"/>
          <w:sz w:val="22"/>
          <w:szCs w:val="22"/>
        </w:rPr>
        <w:t xml:space="preserve">.  In addition, </w:t>
      </w:r>
      <w:r w:rsidRPr="009326D7" w:rsidR="009B071A">
        <w:rPr>
          <w:color w:val="000000"/>
          <w:sz w:val="22"/>
          <w:szCs w:val="22"/>
        </w:rPr>
        <w:t xml:space="preserve">Urban One </w:t>
      </w:r>
      <w:r w:rsidR="00BC42BD">
        <w:rPr>
          <w:color w:val="000000"/>
          <w:sz w:val="22"/>
          <w:szCs w:val="22"/>
        </w:rPr>
        <w:t xml:space="preserve">states that it </w:t>
      </w:r>
      <w:r w:rsidRPr="009326D7" w:rsidR="00BC42BD">
        <w:rPr>
          <w:color w:val="000000"/>
          <w:sz w:val="22"/>
          <w:szCs w:val="22"/>
        </w:rPr>
        <w:t>is actively engaged in efforts to sell KTHT</w:t>
      </w:r>
      <w:r w:rsidR="00BC42BD">
        <w:rPr>
          <w:color w:val="000000"/>
          <w:sz w:val="22"/>
          <w:szCs w:val="22"/>
        </w:rPr>
        <w:t>(FM)</w:t>
      </w:r>
      <w:r w:rsidR="00F90F2A">
        <w:rPr>
          <w:color w:val="000000"/>
          <w:sz w:val="22"/>
          <w:szCs w:val="22"/>
        </w:rPr>
        <w:t xml:space="preserve"> and that </w:t>
      </w:r>
      <w:r w:rsidRPr="00EB5043" w:rsidR="00F90F2A">
        <w:rPr>
          <w:color w:val="000000"/>
          <w:sz w:val="22"/>
          <w:szCs w:val="22"/>
        </w:rPr>
        <w:t xml:space="preserve">use of the </w:t>
      </w:r>
      <w:r w:rsidR="00F90F2A">
        <w:rPr>
          <w:color w:val="000000"/>
          <w:sz w:val="22"/>
          <w:szCs w:val="22"/>
        </w:rPr>
        <w:t>proposed d</w:t>
      </w:r>
      <w:r w:rsidRPr="00EB5043" w:rsidR="00F90F2A">
        <w:rPr>
          <w:color w:val="000000"/>
          <w:sz w:val="22"/>
          <w:szCs w:val="22"/>
        </w:rPr>
        <w:t xml:space="preserve">ivestiture </w:t>
      </w:r>
      <w:r w:rsidR="00F90F2A">
        <w:rPr>
          <w:color w:val="000000"/>
          <w:sz w:val="22"/>
          <w:szCs w:val="22"/>
        </w:rPr>
        <w:t>t</w:t>
      </w:r>
      <w:r w:rsidRPr="00EB5043" w:rsidR="00F90F2A">
        <w:rPr>
          <w:color w:val="000000"/>
          <w:sz w:val="22"/>
          <w:szCs w:val="22"/>
        </w:rPr>
        <w:t xml:space="preserve">rust will provide </w:t>
      </w:r>
      <w:r w:rsidR="00057F60">
        <w:rPr>
          <w:color w:val="000000"/>
          <w:sz w:val="22"/>
          <w:szCs w:val="22"/>
        </w:rPr>
        <w:t xml:space="preserve">more time for the trustee and </w:t>
      </w:r>
      <w:r w:rsidRPr="00EB5043" w:rsidR="00F90F2A">
        <w:rPr>
          <w:color w:val="000000"/>
          <w:sz w:val="22"/>
          <w:szCs w:val="22"/>
        </w:rPr>
        <w:t xml:space="preserve">Urban </w:t>
      </w:r>
      <w:r w:rsidRPr="00EB5043" w:rsidR="00F90F2A">
        <w:rPr>
          <w:color w:val="000000"/>
          <w:sz w:val="22"/>
          <w:szCs w:val="22"/>
        </w:rPr>
        <w:t xml:space="preserve">One to find a potential </w:t>
      </w:r>
      <w:r w:rsidR="00D92A26">
        <w:rPr>
          <w:color w:val="000000"/>
          <w:sz w:val="22"/>
          <w:szCs w:val="22"/>
        </w:rPr>
        <w:t>buyer</w:t>
      </w:r>
      <w:r w:rsidRPr="00EB5043" w:rsidR="00F90F2A">
        <w:rPr>
          <w:color w:val="000000"/>
          <w:sz w:val="22"/>
          <w:szCs w:val="22"/>
        </w:rPr>
        <w:t xml:space="preserve"> to acquire </w:t>
      </w:r>
      <w:r w:rsidR="00057F60">
        <w:rPr>
          <w:color w:val="000000"/>
          <w:sz w:val="22"/>
          <w:szCs w:val="22"/>
        </w:rPr>
        <w:t>the station</w:t>
      </w:r>
      <w:r w:rsidR="005006D5">
        <w:rPr>
          <w:color w:val="000000"/>
          <w:sz w:val="22"/>
          <w:szCs w:val="22"/>
        </w:rPr>
        <w:t>.</w:t>
      </w:r>
      <w:r>
        <w:rPr>
          <w:rStyle w:val="FootnoteReference"/>
          <w:color w:val="000000"/>
          <w:sz w:val="22"/>
          <w:szCs w:val="22"/>
        </w:rPr>
        <w:footnoteReference w:id="22"/>
      </w:r>
      <w:r w:rsidR="005006D5">
        <w:rPr>
          <w:color w:val="000000"/>
          <w:sz w:val="22"/>
          <w:szCs w:val="22"/>
        </w:rPr>
        <w:t xml:space="preserve">  Urban One</w:t>
      </w:r>
      <w:r w:rsidR="00B96A05">
        <w:rPr>
          <w:color w:val="000000"/>
          <w:sz w:val="22"/>
          <w:szCs w:val="22"/>
        </w:rPr>
        <w:t xml:space="preserve"> says it</w:t>
      </w:r>
      <w:r w:rsidR="005006D5">
        <w:rPr>
          <w:color w:val="000000"/>
          <w:sz w:val="22"/>
          <w:szCs w:val="22"/>
        </w:rPr>
        <w:t xml:space="preserve"> </w:t>
      </w:r>
      <w:r w:rsidRPr="009326D7" w:rsidR="009B071A">
        <w:rPr>
          <w:color w:val="000000"/>
          <w:sz w:val="22"/>
          <w:szCs w:val="22"/>
        </w:rPr>
        <w:t xml:space="preserve">is confident </w:t>
      </w:r>
      <w:r w:rsidR="00791663">
        <w:rPr>
          <w:color w:val="000000"/>
          <w:sz w:val="22"/>
          <w:szCs w:val="22"/>
        </w:rPr>
        <w:t xml:space="preserve">that </w:t>
      </w:r>
      <w:r w:rsidR="00B96A05">
        <w:rPr>
          <w:color w:val="000000"/>
          <w:sz w:val="22"/>
          <w:szCs w:val="22"/>
        </w:rPr>
        <w:t xml:space="preserve">KTHT(FM) </w:t>
      </w:r>
      <w:r w:rsidR="000E1246">
        <w:rPr>
          <w:color w:val="000000"/>
          <w:sz w:val="22"/>
          <w:szCs w:val="22"/>
        </w:rPr>
        <w:t xml:space="preserve">will attract buyers because </w:t>
      </w:r>
      <w:r w:rsidR="006D10DA">
        <w:rPr>
          <w:color w:val="000000"/>
          <w:sz w:val="22"/>
          <w:szCs w:val="22"/>
        </w:rPr>
        <w:t xml:space="preserve">KTHT(FM) </w:t>
      </w:r>
      <w:r w:rsidRPr="009326D7" w:rsidR="009B071A">
        <w:rPr>
          <w:color w:val="000000"/>
          <w:sz w:val="22"/>
          <w:szCs w:val="22"/>
        </w:rPr>
        <w:t>(a Class C station) and KROI</w:t>
      </w:r>
      <w:r w:rsidR="006D10DA">
        <w:rPr>
          <w:color w:val="000000"/>
          <w:sz w:val="22"/>
          <w:szCs w:val="22"/>
        </w:rPr>
        <w:t>(FM)</w:t>
      </w:r>
      <w:r w:rsidRPr="009326D7" w:rsidR="009B071A">
        <w:rPr>
          <w:color w:val="000000"/>
          <w:sz w:val="22"/>
          <w:szCs w:val="22"/>
        </w:rPr>
        <w:t xml:space="preserve"> (a class C1 station) </w:t>
      </w:r>
      <w:r w:rsidR="006D10DA">
        <w:rPr>
          <w:color w:val="000000"/>
          <w:sz w:val="22"/>
          <w:szCs w:val="22"/>
        </w:rPr>
        <w:t>each</w:t>
      </w:r>
      <w:r w:rsidRPr="009326D7" w:rsidR="009B071A">
        <w:rPr>
          <w:color w:val="000000"/>
          <w:sz w:val="22"/>
          <w:szCs w:val="22"/>
        </w:rPr>
        <w:t xml:space="preserve"> serve a substantial portion of the </w:t>
      </w:r>
      <w:r w:rsidR="006D10DA">
        <w:rPr>
          <w:color w:val="000000"/>
          <w:sz w:val="22"/>
          <w:szCs w:val="22"/>
        </w:rPr>
        <w:t>Houston M</w:t>
      </w:r>
      <w:r w:rsidRPr="009326D7" w:rsidR="009B071A">
        <w:rPr>
          <w:color w:val="000000"/>
          <w:sz w:val="22"/>
          <w:szCs w:val="22"/>
        </w:rPr>
        <w:t xml:space="preserve">arket and are ranked in or near the top third of </w:t>
      </w:r>
      <w:r w:rsidR="00EF6586">
        <w:rPr>
          <w:color w:val="000000"/>
          <w:sz w:val="22"/>
          <w:szCs w:val="22"/>
        </w:rPr>
        <w:t xml:space="preserve">approximately 80 full-service AM and FM stations </w:t>
      </w:r>
      <w:r w:rsidR="00B1425D">
        <w:rPr>
          <w:color w:val="000000"/>
          <w:sz w:val="22"/>
          <w:szCs w:val="22"/>
        </w:rPr>
        <w:t>serving the market</w:t>
      </w:r>
      <w:r w:rsidRPr="009326D7" w:rsidR="009B071A">
        <w:rPr>
          <w:color w:val="000000"/>
          <w:sz w:val="22"/>
          <w:szCs w:val="22"/>
        </w:rPr>
        <w:t>.</w:t>
      </w:r>
      <w:r>
        <w:rPr>
          <w:rStyle w:val="FootnoteReference"/>
          <w:color w:val="000000"/>
          <w:sz w:val="22"/>
          <w:szCs w:val="22"/>
        </w:rPr>
        <w:footnoteReference w:id="23"/>
      </w:r>
      <w:r w:rsidRPr="009326D7" w:rsidR="009B071A">
        <w:rPr>
          <w:color w:val="000000"/>
          <w:sz w:val="22"/>
          <w:szCs w:val="22"/>
        </w:rPr>
        <w:t xml:space="preserve"> </w:t>
      </w:r>
      <w:r w:rsidR="00435AFA">
        <w:rPr>
          <w:color w:val="000000"/>
          <w:sz w:val="22"/>
          <w:szCs w:val="22"/>
        </w:rPr>
        <w:t xml:space="preserve"> Under these circumstances we conclude that </w:t>
      </w:r>
      <w:r w:rsidR="00BF59EC">
        <w:rPr>
          <w:color w:val="000000"/>
          <w:sz w:val="22"/>
          <w:szCs w:val="22"/>
        </w:rPr>
        <w:t>the proposed use of the divestiture trust</w:t>
      </w:r>
      <w:r w:rsidR="00096CDB">
        <w:rPr>
          <w:color w:val="000000"/>
          <w:sz w:val="22"/>
          <w:szCs w:val="22"/>
        </w:rPr>
        <w:t xml:space="preserve"> for a limited period is in the public interest.</w:t>
      </w:r>
      <w:r w:rsidR="00EB0787">
        <w:rPr>
          <w:color w:val="000000"/>
          <w:sz w:val="22"/>
          <w:szCs w:val="22"/>
        </w:rPr>
        <w:t xml:space="preserve"> </w:t>
      </w:r>
      <w:r w:rsidR="006C6E78">
        <w:rPr>
          <w:color w:val="000000"/>
          <w:sz w:val="22"/>
          <w:szCs w:val="22"/>
        </w:rPr>
        <w:t xml:space="preserve">  </w:t>
      </w:r>
    </w:p>
    <w:p w:rsidR="005E740C" w:rsidP="00932433" w14:paraId="48CB172A" w14:textId="77777777">
      <w:pPr>
        <w:tabs>
          <w:tab w:val="left" w:pos="0"/>
        </w:tabs>
        <w:suppressAutoHyphens/>
        <w:spacing w:after="240"/>
        <w:outlineLvl w:val="0"/>
        <w:rPr>
          <w:bCs/>
          <w:color w:val="000000"/>
          <w:sz w:val="22"/>
          <w:szCs w:val="22"/>
        </w:rPr>
      </w:pPr>
      <w:r>
        <w:rPr>
          <w:bCs/>
          <w:color w:val="000000"/>
          <w:sz w:val="22"/>
          <w:szCs w:val="22"/>
        </w:rPr>
        <w:tab/>
      </w:r>
      <w:r w:rsidRPr="00D542B5">
        <w:rPr>
          <w:b/>
          <w:color w:val="000000"/>
          <w:sz w:val="22"/>
          <w:szCs w:val="22"/>
        </w:rPr>
        <w:t xml:space="preserve">Conclusion/Actions. </w:t>
      </w:r>
      <w:r>
        <w:rPr>
          <w:bCs/>
          <w:color w:val="000000"/>
          <w:sz w:val="22"/>
          <w:szCs w:val="22"/>
        </w:rPr>
        <w:t xml:space="preserve"> </w:t>
      </w:r>
      <w:r w:rsidR="005D422D">
        <w:rPr>
          <w:bCs/>
          <w:color w:val="000000"/>
          <w:sz w:val="22"/>
          <w:szCs w:val="22"/>
        </w:rPr>
        <w:t>Based on our review of the assignment applications,</w:t>
      </w:r>
      <w:r w:rsidRPr="00D542B5">
        <w:rPr>
          <w:bCs/>
          <w:color w:val="000000"/>
          <w:sz w:val="22"/>
          <w:szCs w:val="22"/>
        </w:rPr>
        <w:t xml:space="preserve"> </w:t>
      </w:r>
      <w:r w:rsidR="005D422D">
        <w:rPr>
          <w:bCs/>
          <w:color w:val="000000"/>
          <w:sz w:val="22"/>
          <w:szCs w:val="22"/>
        </w:rPr>
        <w:t>w</w:t>
      </w:r>
      <w:r w:rsidRPr="00D542B5">
        <w:rPr>
          <w:bCs/>
          <w:color w:val="000000"/>
          <w:sz w:val="22"/>
          <w:szCs w:val="22"/>
        </w:rPr>
        <w:t xml:space="preserve">e conclude that the applicants are fully qualified and that grant of </w:t>
      </w:r>
      <w:r>
        <w:rPr>
          <w:bCs/>
          <w:color w:val="000000"/>
          <w:sz w:val="22"/>
          <w:szCs w:val="22"/>
        </w:rPr>
        <w:t>the</w:t>
      </w:r>
      <w:r w:rsidRPr="00D542B5">
        <w:rPr>
          <w:bCs/>
          <w:color w:val="000000"/>
          <w:sz w:val="22"/>
          <w:szCs w:val="22"/>
        </w:rPr>
        <w:t xml:space="preserve"> applications, subject to the condition</w:t>
      </w:r>
      <w:r>
        <w:rPr>
          <w:bCs/>
          <w:color w:val="000000"/>
          <w:sz w:val="22"/>
          <w:szCs w:val="22"/>
        </w:rPr>
        <w:t>s</w:t>
      </w:r>
      <w:r w:rsidRPr="00D542B5">
        <w:rPr>
          <w:bCs/>
          <w:color w:val="000000"/>
          <w:sz w:val="22"/>
          <w:szCs w:val="22"/>
        </w:rPr>
        <w:t xml:space="preserve"> set forth below, will serve the public interest, convenience, and necessity. </w:t>
      </w:r>
      <w:r>
        <w:rPr>
          <w:bCs/>
          <w:color w:val="000000"/>
          <w:sz w:val="22"/>
          <w:szCs w:val="22"/>
        </w:rPr>
        <w:t xml:space="preserve"> </w:t>
      </w:r>
    </w:p>
    <w:p w:rsidR="00AF07C5" w:rsidP="00932433" w14:paraId="0C229673" w14:textId="654043DD">
      <w:pPr>
        <w:tabs>
          <w:tab w:val="left" w:pos="0"/>
        </w:tabs>
        <w:suppressAutoHyphens/>
        <w:spacing w:after="240"/>
        <w:outlineLvl w:val="0"/>
        <w:rPr>
          <w:bCs/>
          <w:color w:val="000000"/>
          <w:sz w:val="22"/>
          <w:szCs w:val="22"/>
        </w:rPr>
      </w:pPr>
      <w:r>
        <w:rPr>
          <w:bCs/>
          <w:color w:val="000000"/>
          <w:sz w:val="22"/>
          <w:szCs w:val="22"/>
        </w:rPr>
        <w:tab/>
      </w:r>
      <w:r w:rsidRPr="00D542B5" w:rsidR="00D542B5">
        <w:rPr>
          <w:bCs/>
          <w:color w:val="000000"/>
          <w:sz w:val="22"/>
          <w:szCs w:val="22"/>
        </w:rPr>
        <w:t>Accordingly, IT IS ORDERED,</w:t>
      </w:r>
      <w:r w:rsidR="00DA523E">
        <w:rPr>
          <w:bCs/>
          <w:color w:val="000000"/>
          <w:sz w:val="22"/>
          <w:szCs w:val="22"/>
        </w:rPr>
        <w:t xml:space="preserve"> pursuant to sections 4(i), 4(j), 309, and 310(d) of the Communications Act of 1934, as amended,</w:t>
      </w:r>
      <w:r>
        <w:rPr>
          <w:rStyle w:val="FootnoteReference"/>
          <w:bCs/>
          <w:color w:val="000000"/>
          <w:sz w:val="22"/>
          <w:szCs w:val="22"/>
        </w:rPr>
        <w:footnoteReference w:id="24"/>
      </w:r>
      <w:r w:rsidR="00DA523E">
        <w:rPr>
          <w:bCs/>
          <w:color w:val="000000"/>
          <w:sz w:val="22"/>
          <w:szCs w:val="22"/>
        </w:rPr>
        <w:t xml:space="preserve"> and sections 0.61(a) and 0.283 of the Commission’s rules,</w:t>
      </w:r>
      <w:r>
        <w:rPr>
          <w:rStyle w:val="FootnoteReference"/>
          <w:bCs/>
          <w:color w:val="000000"/>
          <w:sz w:val="22"/>
          <w:szCs w:val="22"/>
        </w:rPr>
        <w:footnoteReference w:id="25"/>
      </w:r>
      <w:r w:rsidR="00DA523E">
        <w:rPr>
          <w:bCs/>
          <w:color w:val="000000"/>
          <w:sz w:val="22"/>
          <w:szCs w:val="22"/>
        </w:rPr>
        <w:t xml:space="preserve"> </w:t>
      </w:r>
      <w:r w:rsidRPr="00D542B5" w:rsidR="00D542B5">
        <w:rPr>
          <w:bCs/>
          <w:color w:val="000000"/>
          <w:sz w:val="22"/>
          <w:szCs w:val="22"/>
        </w:rPr>
        <w:t xml:space="preserve">that the applications for consent to </w:t>
      </w:r>
      <w:r w:rsidR="00EE30A9">
        <w:rPr>
          <w:bCs/>
          <w:color w:val="000000"/>
          <w:sz w:val="22"/>
          <w:szCs w:val="22"/>
        </w:rPr>
        <w:t>the assignment of licenses from CMG NY/Texas Radio, LLC,</w:t>
      </w:r>
      <w:r w:rsidR="003766BD">
        <w:rPr>
          <w:bCs/>
          <w:color w:val="000000"/>
          <w:sz w:val="22"/>
          <w:szCs w:val="22"/>
        </w:rPr>
        <w:t xml:space="preserve"> Assignor, to Radio One Licenses, LLC, Assignee</w:t>
      </w:r>
      <w:r w:rsidR="00AD26C4">
        <w:rPr>
          <w:bCs/>
          <w:color w:val="000000"/>
          <w:sz w:val="22"/>
          <w:szCs w:val="22"/>
        </w:rPr>
        <w:t>,</w:t>
      </w:r>
      <w:r w:rsidRPr="00AD26C4" w:rsidR="00AD26C4">
        <w:rPr>
          <w:bCs/>
          <w:color w:val="000000"/>
          <w:sz w:val="22"/>
          <w:szCs w:val="22"/>
        </w:rPr>
        <w:t xml:space="preserve"> </w:t>
      </w:r>
      <w:r w:rsidR="00AD26C4">
        <w:rPr>
          <w:bCs/>
          <w:color w:val="000000"/>
          <w:sz w:val="22"/>
          <w:szCs w:val="22"/>
        </w:rPr>
        <w:t xml:space="preserve">application file no. </w:t>
      </w:r>
      <w:r w:rsidRPr="00D542B5" w:rsidR="00AD26C4">
        <w:rPr>
          <w:sz w:val="22"/>
          <w:szCs w:val="22"/>
        </w:rPr>
        <w:t>00002139</w:t>
      </w:r>
      <w:r w:rsidR="00AD26C4">
        <w:rPr>
          <w:sz w:val="22"/>
          <w:szCs w:val="22"/>
        </w:rPr>
        <w:t>10</w:t>
      </w:r>
      <w:r w:rsidR="003766BD">
        <w:rPr>
          <w:bCs/>
          <w:color w:val="000000"/>
          <w:sz w:val="22"/>
          <w:szCs w:val="22"/>
        </w:rPr>
        <w:t xml:space="preserve">; CMG NY/Texas Radio, LLC, Assignor, to </w:t>
      </w:r>
      <w:r w:rsidR="0008704E">
        <w:rPr>
          <w:bCs/>
          <w:color w:val="000000"/>
          <w:sz w:val="22"/>
          <w:szCs w:val="22"/>
        </w:rPr>
        <w:t>the Sugarland Station Trust, LLC, Assignee</w:t>
      </w:r>
      <w:r w:rsidR="00AD26C4">
        <w:rPr>
          <w:bCs/>
          <w:color w:val="000000"/>
          <w:sz w:val="22"/>
          <w:szCs w:val="22"/>
        </w:rPr>
        <w:t xml:space="preserve">, application file no. </w:t>
      </w:r>
      <w:r w:rsidRPr="00D542B5" w:rsidR="00AD26C4">
        <w:rPr>
          <w:sz w:val="22"/>
          <w:szCs w:val="22"/>
        </w:rPr>
        <w:t>000021390</w:t>
      </w:r>
      <w:r w:rsidR="00AD26C4">
        <w:rPr>
          <w:sz w:val="22"/>
          <w:szCs w:val="22"/>
        </w:rPr>
        <w:t>6</w:t>
      </w:r>
      <w:r w:rsidR="0008704E">
        <w:rPr>
          <w:bCs/>
          <w:color w:val="000000"/>
          <w:sz w:val="22"/>
          <w:szCs w:val="22"/>
        </w:rPr>
        <w:t xml:space="preserve">; and Radio One Licenses, LLC, Assignor, to the Sugarland Station Trust, LLC, Assignee, application file no. </w:t>
      </w:r>
      <w:r w:rsidRPr="00D542B5" w:rsidR="00AD26C4">
        <w:rPr>
          <w:sz w:val="22"/>
          <w:szCs w:val="22"/>
        </w:rPr>
        <w:t>0000213907</w:t>
      </w:r>
      <w:r w:rsidR="0008704E">
        <w:rPr>
          <w:bCs/>
          <w:color w:val="000000"/>
          <w:sz w:val="22"/>
          <w:szCs w:val="22"/>
        </w:rPr>
        <w:t xml:space="preserve">, </w:t>
      </w:r>
      <w:r>
        <w:rPr>
          <w:bCs/>
          <w:color w:val="000000"/>
          <w:sz w:val="22"/>
          <w:szCs w:val="22"/>
        </w:rPr>
        <w:t>ARE GRANTED SUBJECT TO THE FOLLOWING CONDITIONS:</w:t>
      </w:r>
      <w:r>
        <w:rPr>
          <w:bCs/>
          <w:color w:val="000000"/>
          <w:sz w:val="22"/>
          <w:szCs w:val="22"/>
        </w:rPr>
        <w:tab/>
      </w:r>
    </w:p>
    <w:p w:rsidR="00A64559" w:rsidP="00AF07C5" w14:paraId="77457188" w14:textId="7A592E53">
      <w:pPr>
        <w:tabs>
          <w:tab w:val="left" w:pos="0"/>
        </w:tabs>
        <w:suppressAutoHyphens/>
        <w:spacing w:after="240"/>
        <w:ind w:left="720"/>
        <w:outlineLvl w:val="0"/>
        <w:rPr>
          <w:bCs/>
          <w:color w:val="000000"/>
          <w:sz w:val="22"/>
          <w:szCs w:val="22"/>
        </w:rPr>
      </w:pPr>
      <w:r>
        <w:rPr>
          <w:bCs/>
          <w:color w:val="000000"/>
          <w:sz w:val="22"/>
          <w:szCs w:val="22"/>
        </w:rPr>
        <w:t xml:space="preserve">The </w:t>
      </w:r>
      <w:r w:rsidR="00120590">
        <w:rPr>
          <w:bCs/>
          <w:color w:val="000000"/>
          <w:sz w:val="22"/>
          <w:szCs w:val="22"/>
        </w:rPr>
        <w:t xml:space="preserve">transaction approved in application file no. </w:t>
      </w:r>
      <w:r w:rsidRPr="00D542B5" w:rsidR="0037173A">
        <w:rPr>
          <w:sz w:val="22"/>
          <w:szCs w:val="22"/>
        </w:rPr>
        <w:t>00002139</w:t>
      </w:r>
      <w:r w:rsidR="00EA7799">
        <w:rPr>
          <w:sz w:val="22"/>
          <w:szCs w:val="22"/>
        </w:rPr>
        <w:t>1</w:t>
      </w:r>
      <w:r w:rsidRPr="00D542B5" w:rsidR="0037173A">
        <w:rPr>
          <w:sz w:val="22"/>
          <w:szCs w:val="22"/>
        </w:rPr>
        <w:t>0</w:t>
      </w:r>
      <w:r w:rsidR="0037173A">
        <w:rPr>
          <w:sz w:val="22"/>
          <w:szCs w:val="22"/>
        </w:rPr>
        <w:t xml:space="preserve"> </w:t>
      </w:r>
      <w:r w:rsidR="00120590">
        <w:rPr>
          <w:bCs/>
          <w:color w:val="000000"/>
          <w:sz w:val="22"/>
          <w:szCs w:val="22"/>
        </w:rPr>
        <w:t xml:space="preserve">must be consummated prior to or concurrently with </w:t>
      </w:r>
      <w:r>
        <w:rPr>
          <w:bCs/>
          <w:color w:val="000000"/>
          <w:sz w:val="22"/>
          <w:szCs w:val="22"/>
        </w:rPr>
        <w:t xml:space="preserve">transaction approved in application file no. </w:t>
      </w:r>
      <w:r w:rsidRPr="00D542B5" w:rsidR="0037173A">
        <w:rPr>
          <w:sz w:val="22"/>
          <w:szCs w:val="22"/>
        </w:rPr>
        <w:t>00002139</w:t>
      </w:r>
      <w:r w:rsidR="0037173A">
        <w:rPr>
          <w:sz w:val="22"/>
          <w:szCs w:val="22"/>
        </w:rPr>
        <w:t>0</w:t>
      </w:r>
      <w:r w:rsidR="00EA7799">
        <w:rPr>
          <w:sz w:val="22"/>
          <w:szCs w:val="22"/>
        </w:rPr>
        <w:t>7</w:t>
      </w:r>
      <w:r>
        <w:rPr>
          <w:bCs/>
          <w:color w:val="000000"/>
          <w:sz w:val="22"/>
          <w:szCs w:val="22"/>
        </w:rPr>
        <w:t>.</w:t>
      </w:r>
    </w:p>
    <w:p w:rsidR="0037173A" w:rsidRPr="00B57F7C" w:rsidP="00073336" w14:paraId="53C83246" w14:textId="77777777">
      <w:pPr>
        <w:pStyle w:val="ListParagraph"/>
        <w:keepNext/>
        <w:autoSpaceDE w:val="0"/>
        <w:autoSpaceDN w:val="0"/>
        <w:adjustRightInd w:val="0"/>
        <w:spacing w:after="120"/>
        <w:rPr>
          <w:szCs w:val="22"/>
        </w:rPr>
      </w:pPr>
      <w:r>
        <w:rPr>
          <w:bCs/>
          <w:color w:val="000000"/>
          <w:szCs w:val="22"/>
        </w:rPr>
        <w:t xml:space="preserve">The licenses and authorizations issued by the Commission for station KROI(FM), </w:t>
      </w:r>
      <w:r w:rsidR="00413689">
        <w:rPr>
          <w:bCs/>
          <w:color w:val="000000"/>
          <w:szCs w:val="22"/>
        </w:rPr>
        <w:t>Seabrook, Texas</w:t>
      </w:r>
      <w:r w:rsidR="006B7F11">
        <w:rPr>
          <w:bCs/>
          <w:color w:val="000000"/>
          <w:szCs w:val="22"/>
        </w:rPr>
        <w:t xml:space="preserve">, facility ID no. 35565, and </w:t>
      </w:r>
      <w:r w:rsidR="00375147">
        <w:rPr>
          <w:bCs/>
          <w:color w:val="000000"/>
          <w:szCs w:val="22"/>
        </w:rPr>
        <w:t xml:space="preserve">KTHT(FM), Cleveland, Texas, facility ID no. 65308, must be assigned by the Sugarland Station Trust, LLC, pursuant to a long-form assignment of license application to an unrelated third party within two years after its </w:t>
      </w:r>
      <w:r w:rsidR="00F86F84">
        <w:rPr>
          <w:bCs/>
          <w:color w:val="000000"/>
          <w:szCs w:val="22"/>
        </w:rPr>
        <w:t>acquisition</w:t>
      </w:r>
      <w:r w:rsidR="00375147">
        <w:rPr>
          <w:bCs/>
          <w:color w:val="000000"/>
          <w:szCs w:val="22"/>
        </w:rPr>
        <w:t xml:space="preserve"> of the assets of the </w:t>
      </w:r>
      <w:r w:rsidR="00F86F84">
        <w:rPr>
          <w:bCs/>
          <w:color w:val="000000"/>
          <w:szCs w:val="22"/>
        </w:rPr>
        <w:t>s</w:t>
      </w:r>
      <w:r w:rsidR="00375147">
        <w:rPr>
          <w:bCs/>
          <w:color w:val="000000"/>
          <w:szCs w:val="22"/>
        </w:rPr>
        <w:t>tations</w:t>
      </w:r>
      <w:r w:rsidR="00F86F84">
        <w:rPr>
          <w:bCs/>
          <w:color w:val="000000"/>
          <w:szCs w:val="22"/>
        </w:rPr>
        <w:t>, and the Sugarland Station Trust, LLC, must submit (to the attention of the Chief, Audio Division, Media Bureau)</w:t>
      </w:r>
      <w:r w:rsidR="00691BC0">
        <w:rPr>
          <w:bCs/>
          <w:color w:val="000000"/>
          <w:szCs w:val="22"/>
        </w:rPr>
        <w:t>, every six months after its acquisition of such assets, a report describing the efforts to market those assets to third parties.</w:t>
      </w:r>
    </w:p>
    <w:p w:rsidR="0037173A" w:rsidRPr="00B57F7C" w:rsidP="00073336" w14:paraId="423D7834" w14:textId="77777777">
      <w:pPr>
        <w:pStyle w:val="ListParagraph"/>
        <w:keepNext/>
        <w:autoSpaceDE w:val="0"/>
        <w:autoSpaceDN w:val="0"/>
        <w:adjustRightInd w:val="0"/>
        <w:spacing w:after="120"/>
        <w:ind w:left="0" w:firstLine="720"/>
        <w:rPr>
          <w:szCs w:val="22"/>
        </w:rPr>
      </w:pPr>
    </w:p>
    <w:p w:rsidR="0037173A" w:rsidRPr="00B57F7C" w:rsidP="00073336" w14:paraId="4B393563" w14:textId="77777777">
      <w:pPr>
        <w:pStyle w:val="ParaNum"/>
        <w:keepNext/>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r w:rsidRPr="00B57F7C">
        <w:rPr>
          <w:szCs w:val="22"/>
        </w:rPr>
        <w:tab/>
      </w:r>
      <w:r w:rsidRPr="00B57F7C">
        <w:rPr>
          <w:bCs/>
          <w:szCs w:val="22"/>
        </w:rPr>
        <w:t xml:space="preserve"> </w:t>
      </w:r>
      <w:r w:rsidRPr="00B57F7C">
        <w:rPr>
          <w:bCs/>
          <w:szCs w:val="22"/>
        </w:rPr>
        <w:tab/>
      </w:r>
      <w:r w:rsidRPr="00B57F7C">
        <w:rPr>
          <w:bCs/>
          <w:szCs w:val="22"/>
        </w:rPr>
        <w:tab/>
      </w:r>
      <w:r w:rsidRPr="00B57F7C">
        <w:rPr>
          <w:bCs/>
          <w:szCs w:val="22"/>
        </w:rPr>
        <w:tab/>
      </w:r>
      <w:r w:rsidRPr="00B57F7C">
        <w:rPr>
          <w:bCs/>
          <w:szCs w:val="22"/>
        </w:rPr>
        <w:tab/>
      </w:r>
      <w:r w:rsidRPr="00B57F7C">
        <w:rPr>
          <w:bCs/>
          <w:szCs w:val="22"/>
        </w:rPr>
        <w:tab/>
      </w:r>
      <w:r w:rsidRPr="00B57F7C">
        <w:rPr>
          <w:bCs/>
          <w:szCs w:val="22"/>
        </w:rPr>
        <w:tab/>
      </w:r>
      <w:r w:rsidRPr="00B57F7C">
        <w:rPr>
          <w:szCs w:val="22"/>
        </w:rPr>
        <w:t>Sincerely,</w:t>
      </w:r>
    </w:p>
    <w:p w:rsidR="0037173A" w:rsidRPr="00B57F7C" w:rsidP="00073336" w14:paraId="6CC1F047" w14:textId="77777777">
      <w:pPr>
        <w:keepNext/>
        <w:rPr>
          <w:sz w:val="22"/>
          <w:szCs w:val="22"/>
        </w:rPr>
      </w:pPr>
    </w:p>
    <w:p w:rsidR="0037173A" w:rsidRPr="00B57F7C" w:rsidP="0037173A" w14:paraId="672BC169" w14:textId="77777777">
      <w:pPr>
        <w:rPr>
          <w:sz w:val="22"/>
          <w:szCs w:val="22"/>
        </w:rPr>
      </w:pPr>
    </w:p>
    <w:p w:rsidR="0037173A" w:rsidRPr="00B57F7C" w:rsidP="0037173A" w14:paraId="14A7CF76" w14:textId="77777777">
      <w:pPr>
        <w:rPr>
          <w:sz w:val="22"/>
          <w:szCs w:val="22"/>
        </w:rPr>
      </w:pPr>
      <w:r w:rsidRPr="00B57F7C">
        <w:rPr>
          <w:sz w:val="22"/>
          <w:szCs w:val="22"/>
        </w:rPr>
        <w:tab/>
      </w:r>
      <w:r w:rsidRPr="00B57F7C">
        <w:rPr>
          <w:sz w:val="22"/>
          <w:szCs w:val="22"/>
        </w:rPr>
        <w:tab/>
      </w:r>
      <w:r w:rsidRPr="00B57F7C">
        <w:rPr>
          <w:sz w:val="22"/>
          <w:szCs w:val="22"/>
        </w:rPr>
        <w:tab/>
      </w:r>
      <w:r w:rsidRPr="00B57F7C">
        <w:rPr>
          <w:sz w:val="22"/>
          <w:szCs w:val="22"/>
        </w:rPr>
        <w:tab/>
      </w:r>
      <w:r w:rsidRPr="00B57F7C">
        <w:rPr>
          <w:sz w:val="22"/>
          <w:szCs w:val="22"/>
        </w:rPr>
        <w:tab/>
      </w:r>
      <w:r w:rsidRPr="00B57F7C">
        <w:rPr>
          <w:sz w:val="22"/>
          <w:szCs w:val="22"/>
        </w:rPr>
        <w:tab/>
      </w:r>
      <w:r w:rsidRPr="00B57F7C">
        <w:rPr>
          <w:sz w:val="22"/>
          <w:szCs w:val="22"/>
        </w:rPr>
        <w:tab/>
        <w:t>Albert Shuldiner</w:t>
      </w:r>
    </w:p>
    <w:p w:rsidR="0037173A" w:rsidRPr="00B57F7C" w:rsidP="0037173A" w14:paraId="04CE8E14" w14:textId="77777777">
      <w:pPr>
        <w:rPr>
          <w:sz w:val="22"/>
          <w:szCs w:val="22"/>
        </w:rPr>
      </w:pPr>
      <w:r w:rsidRPr="00B57F7C">
        <w:rPr>
          <w:sz w:val="22"/>
          <w:szCs w:val="22"/>
        </w:rPr>
        <w:tab/>
      </w:r>
      <w:r w:rsidRPr="00B57F7C">
        <w:rPr>
          <w:sz w:val="22"/>
          <w:szCs w:val="22"/>
        </w:rPr>
        <w:tab/>
      </w:r>
      <w:r w:rsidRPr="00B57F7C">
        <w:rPr>
          <w:sz w:val="22"/>
          <w:szCs w:val="22"/>
        </w:rPr>
        <w:tab/>
      </w:r>
      <w:r w:rsidRPr="00B57F7C">
        <w:rPr>
          <w:sz w:val="22"/>
          <w:szCs w:val="22"/>
        </w:rPr>
        <w:tab/>
      </w:r>
      <w:r w:rsidRPr="00B57F7C">
        <w:rPr>
          <w:sz w:val="22"/>
          <w:szCs w:val="22"/>
        </w:rPr>
        <w:tab/>
      </w:r>
      <w:r w:rsidRPr="00B57F7C">
        <w:rPr>
          <w:sz w:val="22"/>
          <w:szCs w:val="22"/>
        </w:rPr>
        <w:tab/>
      </w:r>
      <w:r w:rsidRPr="00B57F7C">
        <w:rPr>
          <w:sz w:val="22"/>
          <w:szCs w:val="22"/>
        </w:rPr>
        <w:tab/>
        <w:t>Chief, Audio Division</w:t>
      </w:r>
    </w:p>
    <w:p w:rsidR="0037173A" w:rsidRPr="00B57F7C" w:rsidP="0037173A" w14:paraId="032D4F30" w14:textId="77777777">
      <w:pPr>
        <w:rPr>
          <w:sz w:val="22"/>
          <w:szCs w:val="22"/>
        </w:rPr>
      </w:pPr>
      <w:r w:rsidRPr="00B57F7C">
        <w:rPr>
          <w:sz w:val="22"/>
          <w:szCs w:val="22"/>
        </w:rPr>
        <w:tab/>
      </w:r>
      <w:r w:rsidRPr="00B57F7C">
        <w:rPr>
          <w:sz w:val="22"/>
          <w:szCs w:val="22"/>
        </w:rPr>
        <w:tab/>
      </w:r>
      <w:r w:rsidRPr="00B57F7C">
        <w:rPr>
          <w:sz w:val="22"/>
          <w:szCs w:val="22"/>
        </w:rPr>
        <w:tab/>
      </w:r>
      <w:r w:rsidRPr="00B57F7C">
        <w:rPr>
          <w:sz w:val="22"/>
          <w:szCs w:val="22"/>
        </w:rPr>
        <w:tab/>
      </w:r>
      <w:r w:rsidRPr="00B57F7C">
        <w:rPr>
          <w:sz w:val="22"/>
          <w:szCs w:val="22"/>
        </w:rPr>
        <w:tab/>
      </w:r>
      <w:r w:rsidRPr="00B57F7C">
        <w:rPr>
          <w:sz w:val="22"/>
          <w:szCs w:val="22"/>
        </w:rPr>
        <w:tab/>
      </w:r>
      <w:r w:rsidRPr="00B57F7C">
        <w:rPr>
          <w:sz w:val="22"/>
          <w:szCs w:val="22"/>
        </w:rPr>
        <w:tab/>
      </w:r>
      <w:r w:rsidRPr="00B57F7C">
        <w:rPr>
          <w:sz w:val="22"/>
          <w:szCs w:val="22"/>
          <w:lang w:val="es-ES_tradnl"/>
        </w:rPr>
        <w:t>Media Bureau</w:t>
      </w:r>
    </w:p>
    <w:p w:rsidR="00691BC0" w:rsidP="00AF07C5" w14:paraId="7A12884F" w14:textId="7C43A792">
      <w:pPr>
        <w:tabs>
          <w:tab w:val="left" w:pos="0"/>
        </w:tabs>
        <w:suppressAutoHyphens/>
        <w:spacing w:after="240"/>
        <w:ind w:left="720"/>
        <w:outlineLvl w:val="0"/>
        <w:rPr>
          <w:bCs/>
          <w:color w:val="000000"/>
          <w:sz w:val="22"/>
          <w:szCs w:val="22"/>
        </w:rPr>
      </w:pPr>
    </w:p>
    <w:sectPr>
      <w:footerReference w:type="default" r:id="rId8"/>
      <w:headerReference w:type="first" r:id="rId9"/>
      <w:pgSz w:w="12240" w:h="15840" w:code="1"/>
      <w:pgMar w:top="1987" w:right="1440" w:bottom="1440"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73336" w:rsidRPr="00073336" w14:paraId="5A24452D" w14:textId="77777777">
    <w:pPr>
      <w:pStyle w:val="Footer"/>
      <w:jc w:val="center"/>
      <w:rPr>
        <w:sz w:val="22"/>
        <w:szCs w:val="22"/>
      </w:rPr>
    </w:pPr>
    <w:r w:rsidRPr="00073336">
      <w:rPr>
        <w:sz w:val="22"/>
        <w:szCs w:val="22"/>
      </w:rPr>
      <w:fldChar w:fldCharType="begin"/>
    </w:r>
    <w:r w:rsidRPr="00073336">
      <w:rPr>
        <w:sz w:val="22"/>
        <w:szCs w:val="22"/>
      </w:rPr>
      <w:instrText xml:space="preserve"> PAGE   \* MERGEFORMAT </w:instrText>
    </w:r>
    <w:r w:rsidRPr="00073336">
      <w:rPr>
        <w:sz w:val="22"/>
        <w:szCs w:val="22"/>
      </w:rPr>
      <w:fldChar w:fldCharType="separate"/>
    </w:r>
    <w:r w:rsidRPr="00073336">
      <w:rPr>
        <w:noProof/>
        <w:sz w:val="22"/>
        <w:szCs w:val="22"/>
      </w:rPr>
      <w:t>2</w:t>
    </w:r>
    <w:r w:rsidRPr="00073336">
      <w:rPr>
        <w:noProof/>
        <w:sz w:val="22"/>
        <w:szCs w:val="22"/>
      </w:rPr>
      <w:fldChar w:fldCharType="end"/>
    </w:r>
  </w:p>
  <w:p w:rsidR="001333F1" w14:paraId="4613867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51E3E" w14:paraId="777ACADC" w14:textId="77777777">
      <w:r>
        <w:separator/>
      </w:r>
    </w:p>
  </w:footnote>
  <w:footnote w:type="continuationSeparator" w:id="1">
    <w:p w:rsidR="00151E3E" w14:paraId="77818D94" w14:textId="77777777">
      <w:r>
        <w:continuationSeparator/>
      </w:r>
    </w:p>
  </w:footnote>
  <w:footnote w:id="2">
    <w:p w:rsidR="00AB2805" w:rsidP="00AB2805" w14:paraId="570E158C" w14:textId="2B35B256">
      <w:pPr>
        <w:pStyle w:val="FootnoteText"/>
        <w:spacing w:after="120"/>
      </w:pPr>
      <w:r>
        <w:rPr>
          <w:rStyle w:val="FootnoteReference"/>
        </w:rPr>
        <w:footnoteRef/>
      </w:r>
      <w:r>
        <w:t xml:space="preserve"> 47 CFR § 73.3555(a).</w:t>
      </w:r>
    </w:p>
  </w:footnote>
  <w:footnote w:id="3">
    <w:p w:rsidR="00E82EF2" w:rsidP="001444F6" w14:paraId="16DAA386" w14:textId="7C9D948D">
      <w:pPr>
        <w:pStyle w:val="FootnoteText"/>
        <w:spacing w:after="120"/>
      </w:pPr>
      <w:r>
        <w:rPr>
          <w:rStyle w:val="FootnoteReference"/>
        </w:rPr>
        <w:footnoteRef/>
      </w:r>
      <w:r>
        <w:t xml:space="preserve"> </w:t>
      </w:r>
      <w:r w:rsidR="001C430A">
        <w:t xml:space="preserve">Application File No. 0000213910, </w:t>
      </w:r>
      <w:r w:rsidR="00F95FA5">
        <w:t>a</w:t>
      </w:r>
      <w:r w:rsidR="001C430A">
        <w:t>ttach</w:t>
      </w:r>
      <w:r w:rsidR="0035514C">
        <w:t>s</w:t>
      </w:r>
      <w:r w:rsidR="001C430A">
        <w:t>., Description of Transaction</w:t>
      </w:r>
      <w:r w:rsidR="00A775C5">
        <w:t xml:space="preserve"> at </w:t>
      </w:r>
      <w:r w:rsidR="00C304C8">
        <w:t>1</w:t>
      </w:r>
      <w:r w:rsidR="008A5F59">
        <w:t>, Parties to the Application</w:t>
      </w:r>
      <w:r w:rsidR="0035163A">
        <w:t xml:space="preserve"> at 1</w:t>
      </w:r>
      <w:r w:rsidR="001C430A">
        <w:t>.</w:t>
      </w:r>
    </w:p>
  </w:footnote>
  <w:footnote w:id="4">
    <w:p w:rsidR="001F11C3" w:rsidRPr="00E13B3D" w:rsidP="0035163A" w14:paraId="14F4244D" w14:textId="5165F8B6">
      <w:pPr>
        <w:pStyle w:val="FootnoteText"/>
        <w:spacing w:after="120"/>
      </w:pPr>
      <w:r>
        <w:rPr>
          <w:rStyle w:val="FootnoteReference"/>
        </w:rPr>
        <w:footnoteRef/>
      </w:r>
      <w:r>
        <w:t xml:space="preserve"> </w:t>
      </w:r>
      <w:r w:rsidR="00F95FA5">
        <w:t xml:space="preserve">Application File No. 0000213910, attachs., </w:t>
      </w:r>
      <w:r w:rsidR="002B0CB7">
        <w:t xml:space="preserve">Description of Transaction at </w:t>
      </w:r>
      <w:r w:rsidR="00A9128D">
        <w:t xml:space="preserve">1, </w:t>
      </w:r>
      <w:r w:rsidR="002B0CB7">
        <w:t>3</w:t>
      </w:r>
      <w:r w:rsidR="005258AB">
        <w:t xml:space="preserve">; </w:t>
      </w:r>
      <w:r w:rsidR="00A05885">
        <w:t>Asset Purchase Agreement</w:t>
      </w:r>
      <w:r w:rsidR="00EE3CEB">
        <w:t>, recitals</w:t>
      </w:r>
      <w:r w:rsidR="002B7B67">
        <w:t xml:space="preserve"> &amp;</w:t>
      </w:r>
      <w:r w:rsidR="00EE3CEB">
        <w:t xml:space="preserve"> art. </w:t>
      </w:r>
      <w:r w:rsidR="002B7B67">
        <w:t>1</w:t>
      </w:r>
      <w:r w:rsidR="00EE3CEB">
        <w:t>.</w:t>
      </w:r>
      <w:r w:rsidR="00C304C8">
        <w:t xml:space="preserve"> </w:t>
      </w:r>
      <w:r w:rsidR="00C856FE">
        <w:t xml:space="preserve"> </w:t>
      </w:r>
      <w:r w:rsidR="00E13B3D">
        <w:t>Under the terms of the proposed transactions, t</w:t>
      </w:r>
      <w:r w:rsidR="00C856FE">
        <w:t xml:space="preserve">he license for KTHT(FM) </w:t>
      </w:r>
      <w:r w:rsidR="00E13B3D">
        <w:t>would</w:t>
      </w:r>
      <w:r w:rsidR="00C856FE">
        <w:t xml:space="preserve"> be acquired first by Radio One and then immediately assigned to the Sugarland Trust.</w:t>
      </w:r>
      <w:r w:rsidR="00E13B3D">
        <w:t xml:space="preserve">  </w:t>
      </w:r>
      <w:r w:rsidR="00E13B3D">
        <w:rPr>
          <w:i/>
          <w:iCs/>
        </w:rPr>
        <w:t xml:space="preserve">See </w:t>
      </w:r>
      <w:r w:rsidR="00E13B3D">
        <w:t>Application File No. 0000213910, attach., Description of Transaction at 1, n.2.</w:t>
      </w:r>
    </w:p>
  </w:footnote>
  <w:footnote w:id="5">
    <w:p w:rsidR="002B7B67" w:rsidP="002B4BE3" w14:paraId="73B9F1EB" w14:textId="1FE98F08">
      <w:pPr>
        <w:pStyle w:val="FootnoteText"/>
        <w:spacing w:after="120"/>
      </w:pPr>
      <w:r>
        <w:rPr>
          <w:rStyle w:val="FootnoteReference"/>
        </w:rPr>
        <w:footnoteRef/>
      </w:r>
      <w:r>
        <w:t xml:space="preserve"> </w:t>
      </w:r>
      <w:r w:rsidR="002B4BE3">
        <w:t>Application File No. 0000213910, attach., Description of Transaction at 3.</w:t>
      </w:r>
    </w:p>
  </w:footnote>
  <w:footnote w:id="6">
    <w:p w:rsidR="00F25D54" w:rsidRPr="00F25D54" w:rsidP="00F25D54" w14:paraId="71A4C3B2" w14:textId="310327A5">
      <w:pPr>
        <w:pStyle w:val="FootnoteText"/>
        <w:spacing w:after="120"/>
      </w:pPr>
      <w:r>
        <w:rPr>
          <w:rStyle w:val="FootnoteReference"/>
        </w:rPr>
        <w:footnoteRef/>
      </w:r>
      <w:r>
        <w:t xml:space="preserve"> </w:t>
      </w:r>
      <w:r>
        <w:rPr>
          <w:i/>
          <w:iCs/>
        </w:rPr>
        <w:t>See, e.g.</w:t>
      </w:r>
      <w:r>
        <w:t>, Application File No. 0000213910, attach., Description of Transaction</w:t>
      </w:r>
      <w:r w:rsidR="00CE5453">
        <w:t>, ex</w:t>
      </w:r>
      <w:r w:rsidR="00C85254">
        <w:t>h</w:t>
      </w:r>
      <w:r w:rsidR="00CE5453">
        <w:t>. 1, BIA Houston Market Report</w:t>
      </w:r>
      <w:r w:rsidR="003530C3">
        <w:t>; Application File No. 0000213910</w:t>
      </w:r>
      <w:r w:rsidR="00CC54CB">
        <w:t>, attach., Urban One Authorizations</w:t>
      </w:r>
      <w:r w:rsidR="00CE5453">
        <w:t>.</w:t>
      </w:r>
    </w:p>
  </w:footnote>
  <w:footnote w:id="7">
    <w:p w:rsidR="00CC54CB" w:rsidP="00CC54CB" w14:paraId="727AC0C0" w14:textId="3053C600">
      <w:pPr>
        <w:pStyle w:val="FootnoteText"/>
        <w:spacing w:after="120"/>
      </w:pPr>
      <w:r>
        <w:rPr>
          <w:rStyle w:val="FootnoteReference"/>
        </w:rPr>
        <w:footnoteRef/>
      </w:r>
      <w:r>
        <w:t xml:space="preserve"> 47 CFR § 73.3555(a)</w:t>
      </w:r>
      <w:r w:rsidR="00622566">
        <w:t>(i)</w:t>
      </w:r>
      <w:r w:rsidR="00A07FE0">
        <w:t xml:space="preserve"> (“In a radio market with 45 or more full-power, commercial and noncommercial radio stations, [a person or single entity (or entities under common control) may have an attributable interest </w:t>
      </w:r>
      <w:r w:rsidR="00622566">
        <w:t xml:space="preserve">in] </w:t>
      </w:r>
      <w:r w:rsidR="00A07FE0">
        <w:t>not more than 8</w:t>
      </w:r>
      <w:r w:rsidR="00622566">
        <w:t xml:space="preserve"> commercial radio stations in total and not more than 5 commercial stations in the same service (AM or FM).”)</w:t>
      </w:r>
      <w:r>
        <w:t>.</w:t>
      </w:r>
    </w:p>
  </w:footnote>
  <w:footnote w:id="8">
    <w:p w:rsidR="00622566" w:rsidP="00BE27E9" w14:paraId="5BDFD654" w14:textId="61BA2E21">
      <w:pPr>
        <w:pStyle w:val="FootnoteText"/>
        <w:spacing w:after="120"/>
      </w:pPr>
      <w:r>
        <w:rPr>
          <w:rStyle w:val="FootnoteReference"/>
        </w:rPr>
        <w:footnoteRef/>
      </w:r>
      <w:r>
        <w:t xml:space="preserve"> Application File No. 00</w:t>
      </w:r>
      <w:r w:rsidR="00DD0332">
        <w:t>002139</w:t>
      </w:r>
      <w:r w:rsidR="009D78D0">
        <w:t xml:space="preserve">06, attach., Description of Transaction at </w:t>
      </w:r>
      <w:r w:rsidR="000812ED">
        <w:t>2</w:t>
      </w:r>
      <w:r w:rsidR="00A9001C">
        <w:t xml:space="preserve"> (citing </w:t>
      </w:r>
      <w:r w:rsidR="00A9001C">
        <w:rPr>
          <w:i/>
          <w:iCs/>
        </w:rPr>
        <w:t>John H. Phipps, Inc.</w:t>
      </w:r>
      <w:r w:rsidR="00A9001C">
        <w:t xml:space="preserve">, </w:t>
      </w:r>
      <w:r w:rsidR="003B0F7A">
        <w:t xml:space="preserve">Memorandum Opinion and Order, </w:t>
      </w:r>
      <w:r w:rsidR="00A9001C">
        <w:t>11 FCC Rcd 13053, 13056</w:t>
      </w:r>
      <w:r w:rsidR="00827C6D">
        <w:t>, para. 9 (1996))</w:t>
      </w:r>
      <w:r w:rsidR="00236493">
        <w:t>; Application File No. 0000213907, attach</w:t>
      </w:r>
      <w:r w:rsidR="00C63E5B">
        <w:t>s</w:t>
      </w:r>
      <w:r w:rsidR="00236493">
        <w:t>., Comprehensive Exhibit at 2</w:t>
      </w:r>
      <w:r w:rsidR="004829D6">
        <w:t>, Engagement Agreement (revised) § 3</w:t>
      </w:r>
      <w:r w:rsidR="00236493">
        <w:t>.</w:t>
      </w:r>
    </w:p>
  </w:footnote>
  <w:footnote w:id="9">
    <w:p w:rsidR="00BE27E9" w:rsidP="00BE27E9" w14:paraId="001CD69B" w14:textId="585266F2">
      <w:pPr>
        <w:pStyle w:val="FootnoteText"/>
        <w:spacing w:after="120"/>
      </w:pPr>
      <w:r>
        <w:rPr>
          <w:rStyle w:val="FootnoteReference"/>
        </w:rPr>
        <w:footnoteRef/>
      </w:r>
      <w:r>
        <w:t xml:space="preserve"> Application File No. 0000213910, attach., Description of Transaction at </w:t>
      </w:r>
      <w:r w:rsidR="009303E5">
        <w:t>2</w:t>
      </w:r>
      <w:r>
        <w:t>.</w:t>
      </w:r>
    </w:p>
  </w:footnote>
  <w:footnote w:id="10">
    <w:p w:rsidR="00BE27E9" w:rsidP="00BE27E9" w14:paraId="0D7671B8" w14:textId="660A0775">
      <w:pPr>
        <w:pStyle w:val="FootnoteText"/>
        <w:spacing w:after="120"/>
      </w:pPr>
      <w:r>
        <w:rPr>
          <w:rStyle w:val="FootnoteReference"/>
        </w:rPr>
        <w:footnoteRef/>
      </w:r>
      <w:r>
        <w:t xml:space="preserve"> 47 CFR § 73.3555(a).</w:t>
      </w:r>
    </w:p>
  </w:footnote>
  <w:footnote w:id="11">
    <w:p w:rsidR="00D13202" w:rsidP="000202BD" w14:paraId="5E1DEDF9" w14:textId="5EB85159">
      <w:pPr>
        <w:pStyle w:val="FootnoteText"/>
        <w:spacing w:after="120"/>
      </w:pPr>
      <w:r>
        <w:rPr>
          <w:rStyle w:val="FootnoteReference"/>
        </w:rPr>
        <w:footnoteRef/>
      </w:r>
      <w:r>
        <w:t xml:space="preserve"> </w:t>
      </w:r>
      <w:r w:rsidR="00AD04AE">
        <w:t>Application File No. 0000213910, attach., Description of Transaction at 3.</w:t>
      </w:r>
    </w:p>
  </w:footnote>
  <w:footnote w:id="12">
    <w:p w:rsidR="000202BD" w:rsidP="000202BD" w14:paraId="7B45237C" w14:textId="157026D2">
      <w:pPr>
        <w:pStyle w:val="FootnoteText"/>
        <w:spacing w:after="120"/>
      </w:pPr>
      <w:r>
        <w:rPr>
          <w:rStyle w:val="FootnoteReference"/>
        </w:rPr>
        <w:footnoteRef/>
      </w:r>
      <w:r>
        <w:t xml:space="preserve"> </w:t>
      </w:r>
      <w:r w:rsidR="00AD04AE">
        <w:t xml:space="preserve">Application File No. 0000213907, attach., Engagement Agreement (revised) </w:t>
      </w:r>
      <w:r w:rsidR="000C1A80">
        <w:t>§</w:t>
      </w:r>
      <w:r w:rsidR="00AD04AE">
        <w:t>§ </w:t>
      </w:r>
      <w:r w:rsidR="00C678D7">
        <w:t>1</w:t>
      </w:r>
      <w:r w:rsidR="000C1A80">
        <w:t>, 3</w:t>
      </w:r>
      <w:r w:rsidR="00C678D7">
        <w:t xml:space="preserve"> &amp;</w:t>
      </w:r>
      <w:r w:rsidR="00793CAC">
        <w:t xml:space="preserve"> exh. A, Form of Trust Agreement</w:t>
      </w:r>
      <w:r w:rsidR="006F5DE7">
        <w:t xml:space="preserve"> § 4(f)</w:t>
      </w:r>
      <w:r w:rsidR="00AD04AE">
        <w:t>.</w:t>
      </w:r>
    </w:p>
  </w:footnote>
  <w:footnote w:id="13">
    <w:p w:rsidR="006F5DE7" w:rsidP="00973736" w14:paraId="03EA436C" w14:textId="1E1B436D">
      <w:pPr>
        <w:pStyle w:val="FootnoteText"/>
        <w:spacing w:after="120"/>
      </w:pPr>
      <w:r>
        <w:rPr>
          <w:rStyle w:val="FootnoteReference"/>
        </w:rPr>
        <w:footnoteRef/>
      </w:r>
      <w:r>
        <w:t xml:space="preserve"> </w:t>
      </w:r>
      <w:r w:rsidR="00973736">
        <w:t>Application File No. 0000213907, attach., Engagement Agreement (revised), exh. A, Form of Trust Agreement § 4(f).</w:t>
      </w:r>
    </w:p>
  </w:footnote>
  <w:footnote w:id="14">
    <w:p w:rsidR="009326D7" w:rsidP="00AB2805" w14:paraId="7CD16964" w14:textId="413EFA76">
      <w:pPr>
        <w:pStyle w:val="FootnoteText"/>
        <w:spacing w:after="120"/>
      </w:pPr>
      <w:r>
        <w:rPr>
          <w:rStyle w:val="FootnoteReference"/>
        </w:rPr>
        <w:footnoteRef/>
      </w:r>
      <w:r>
        <w:t xml:space="preserve"> </w:t>
      </w:r>
      <w:r>
        <w:rPr>
          <w:i/>
        </w:rPr>
        <w:t>Shareholders of AMFM, Inc.</w:t>
      </w:r>
      <w:r>
        <w:t>, Memorandum Opinion and Order, 15 FCC Rcd 16062, 16073 (2000) (</w:t>
      </w:r>
      <w:r>
        <w:rPr>
          <w:i/>
        </w:rPr>
        <w:t>AMFM</w:t>
      </w:r>
      <w:r>
        <w:t xml:space="preserve">).  </w:t>
      </w:r>
    </w:p>
  </w:footnote>
  <w:footnote w:id="15">
    <w:p w:rsidR="009326D7" w:rsidP="00AB2805" w14:paraId="0ED7C265" w14:textId="5E3A7DB2">
      <w:pPr>
        <w:pStyle w:val="FootnoteText"/>
        <w:spacing w:after="120"/>
      </w:pPr>
      <w:r>
        <w:rPr>
          <w:rStyle w:val="FootnoteReference"/>
        </w:rPr>
        <w:footnoteRef/>
      </w:r>
      <w:r>
        <w:t xml:space="preserve"> </w:t>
      </w:r>
      <w:r>
        <w:rPr>
          <w:i/>
        </w:rPr>
        <w:t>AMFM</w:t>
      </w:r>
      <w:r>
        <w:t>, 15 FCC Rcd at 16072 (citations omitted).</w:t>
      </w:r>
    </w:p>
  </w:footnote>
  <w:footnote w:id="16">
    <w:p w:rsidR="009326D7" w:rsidP="00AB2805" w14:paraId="44C37CBC" w14:textId="66429CC8">
      <w:pPr>
        <w:pStyle w:val="FootnoteText"/>
        <w:spacing w:after="120"/>
      </w:pPr>
      <w:r>
        <w:rPr>
          <w:rStyle w:val="FootnoteReference"/>
        </w:rPr>
        <w:footnoteRef/>
      </w:r>
      <w:r>
        <w:t xml:space="preserve"> </w:t>
      </w:r>
      <w:smartTag w:uri="urn:schemas-microsoft-com:office:smarttags" w:element="place">
        <w:smartTag w:uri="urn:schemas-microsoft-com:office:smarttags" w:element="State">
          <w:r>
            <w:rPr>
              <w:i/>
            </w:rPr>
            <w:t>Id.</w:t>
          </w:r>
        </w:smartTag>
      </w:smartTag>
      <w:r>
        <w:rPr>
          <w:i/>
        </w:rPr>
        <w:t xml:space="preserve"> </w:t>
      </w:r>
      <w:r>
        <w:t>at 16073.</w:t>
      </w:r>
    </w:p>
  </w:footnote>
  <w:footnote w:id="17">
    <w:p w:rsidR="009326D7" w:rsidP="00AB2805" w14:paraId="62EB85A3" w14:textId="29A9CEB0">
      <w:pPr>
        <w:pStyle w:val="FootnoteText"/>
        <w:spacing w:after="120"/>
      </w:pPr>
      <w:r>
        <w:rPr>
          <w:rStyle w:val="FootnoteReference"/>
        </w:rPr>
        <w:footnoteRef/>
      </w:r>
      <w:r>
        <w:t xml:space="preserve"> </w:t>
      </w:r>
      <w:r>
        <w:rPr>
          <w:i/>
        </w:rPr>
        <w:t>Infinity Broadcasting Corporation</w:t>
      </w:r>
      <w:r>
        <w:t>, Memorandum Opinion and Order, 12 FCC Rcd 5012, 5041 (1996).</w:t>
      </w:r>
    </w:p>
  </w:footnote>
  <w:footnote w:id="18">
    <w:p w:rsidR="009326D7" w:rsidP="00AB2805" w14:paraId="12F73A67" w14:textId="3B10A2E2">
      <w:pPr>
        <w:pStyle w:val="FootnoteText"/>
        <w:spacing w:after="120"/>
      </w:pPr>
      <w:r>
        <w:rPr>
          <w:rStyle w:val="FootnoteReference"/>
        </w:rPr>
        <w:footnoteRef/>
      </w:r>
      <w:r>
        <w:t xml:space="preserve"> </w:t>
      </w:r>
      <w:r>
        <w:rPr>
          <w:i/>
        </w:rPr>
        <w:t>AMFM</w:t>
      </w:r>
      <w:r w:rsidR="00842D8E">
        <w:rPr>
          <w:iCs/>
        </w:rPr>
        <w:t>,</w:t>
      </w:r>
      <w:r>
        <w:rPr>
          <w:i/>
        </w:rPr>
        <w:t xml:space="preserve"> </w:t>
      </w:r>
      <w:r>
        <w:t>15 FCC Rcd</w:t>
      </w:r>
      <w:r>
        <w:rPr>
          <w:i/>
        </w:rPr>
        <w:t xml:space="preserve"> </w:t>
      </w:r>
      <w:r>
        <w:t>at 16073.</w:t>
      </w:r>
    </w:p>
  </w:footnote>
  <w:footnote w:id="19">
    <w:p w:rsidR="00C37664" w:rsidRPr="00A9001C" w:rsidP="000A7482" w14:paraId="4B9423AA" w14:textId="1A27AD3F">
      <w:pPr>
        <w:pStyle w:val="FootnoteText"/>
        <w:spacing w:after="120"/>
      </w:pPr>
      <w:r>
        <w:rPr>
          <w:rStyle w:val="FootnoteReference"/>
        </w:rPr>
        <w:footnoteRef/>
      </w:r>
      <w:r>
        <w:t xml:space="preserve"> </w:t>
      </w:r>
      <w:r w:rsidR="008A4283">
        <w:t>Application File No. 0000213910, attach., Description of Transaction at 4.</w:t>
      </w:r>
      <w:r w:rsidR="000028E3">
        <w:t xml:space="preserve">  As discussed above, simultaneously with </w:t>
      </w:r>
      <w:r w:rsidR="00C603BB">
        <w:t xml:space="preserve">its acquisition of </w:t>
      </w:r>
      <w:r w:rsidR="00893FE8">
        <w:t>KKBQ(FM), KHPT(FM), KGLK(FM), and KTHT(FM) from CMG</w:t>
      </w:r>
      <w:r w:rsidR="00D45AE2">
        <w:t>, Radio One would assign KTHT(FM) and KROI(FM) to the Sugarland Trust.</w:t>
      </w:r>
      <w:r w:rsidR="00A9001C">
        <w:t xml:space="preserve">  </w:t>
      </w:r>
      <w:r w:rsidR="00A9001C">
        <w:rPr>
          <w:i/>
          <w:iCs/>
        </w:rPr>
        <w:t xml:space="preserve">See supra </w:t>
      </w:r>
      <w:r w:rsidR="00A9001C">
        <w:t>note 7 &amp; accompanying text.</w:t>
      </w:r>
    </w:p>
  </w:footnote>
  <w:footnote w:id="20">
    <w:p w:rsidR="007531D1" w:rsidP="000A7482" w14:paraId="5F865C20" w14:textId="29D4660C">
      <w:pPr>
        <w:pStyle w:val="FootnoteText"/>
        <w:spacing w:after="120"/>
      </w:pPr>
      <w:r>
        <w:rPr>
          <w:rStyle w:val="FootnoteReference"/>
        </w:rPr>
        <w:footnoteRef/>
      </w:r>
      <w:r>
        <w:t xml:space="preserve"> </w:t>
      </w:r>
      <w:r w:rsidR="00A23BCF">
        <w:t xml:space="preserve">Application File No. 0000213910, attach., Description of Transaction at 4 </w:t>
      </w:r>
      <w:r w:rsidR="000A7482">
        <w:t>&amp; exh. 1, BIA Houston Report</w:t>
      </w:r>
      <w:r w:rsidR="00A23BCF">
        <w:t>.</w:t>
      </w:r>
      <w:r w:rsidR="00EF3B82">
        <w:t xml:space="preserve">  Indeed, </w:t>
      </w:r>
      <w:r w:rsidR="003535F9">
        <w:t>staff</w:t>
      </w:r>
      <w:r w:rsidR="0069022B">
        <w:t xml:space="preserve"> review</w:t>
      </w:r>
      <w:r w:rsidR="00207E3C">
        <w:t xml:space="preserve"> </w:t>
      </w:r>
      <w:r w:rsidR="003535F9">
        <w:t>of</w:t>
      </w:r>
      <w:r w:rsidR="00207E3C">
        <w:t xml:space="preserve"> </w:t>
      </w:r>
      <w:r w:rsidR="003535F9">
        <w:t>BIA’s</w:t>
      </w:r>
      <w:r w:rsidR="00207E3C">
        <w:t xml:space="preserve"> Media Access Pro database</w:t>
      </w:r>
      <w:r w:rsidR="00CF3DE9">
        <w:t xml:space="preserve"> suggests that</w:t>
      </w:r>
      <w:r w:rsidR="00153AB0">
        <w:t xml:space="preserve"> </w:t>
      </w:r>
      <w:r w:rsidR="00823A1E">
        <w:t>currently t</w:t>
      </w:r>
      <w:r w:rsidR="00153AB0">
        <w:t>here are</w:t>
      </w:r>
      <w:r w:rsidR="00CF3DE9">
        <w:t xml:space="preserve"> 38 independent owners</w:t>
      </w:r>
      <w:r w:rsidR="00153AB0">
        <w:t xml:space="preserve"> (excluding the applicants)</w:t>
      </w:r>
      <w:r w:rsidR="00CF3DE9">
        <w:t xml:space="preserve"> </w:t>
      </w:r>
      <w:r w:rsidR="00153AB0">
        <w:t xml:space="preserve">of </w:t>
      </w:r>
      <w:r w:rsidR="00315C94">
        <w:t xml:space="preserve">full-service AM and FM </w:t>
      </w:r>
      <w:r w:rsidR="00153AB0">
        <w:t xml:space="preserve">radio stations </w:t>
      </w:r>
      <w:r w:rsidR="00315C94">
        <w:t xml:space="preserve">(commercial and noncommercial) </w:t>
      </w:r>
      <w:r w:rsidR="00153AB0">
        <w:t>in the Houston Market.</w:t>
      </w:r>
      <w:r w:rsidR="00CF3DE9">
        <w:t xml:space="preserve"> </w:t>
      </w:r>
      <w:r w:rsidR="003535F9">
        <w:t xml:space="preserve"> </w:t>
      </w:r>
    </w:p>
  </w:footnote>
  <w:footnote w:id="21">
    <w:p w:rsidR="00477D53" w:rsidP="00542007" w14:paraId="08C58610" w14:textId="7991E142">
      <w:pPr>
        <w:pStyle w:val="FootnoteText"/>
        <w:spacing w:after="120"/>
      </w:pPr>
      <w:r>
        <w:rPr>
          <w:rStyle w:val="FootnoteReference"/>
        </w:rPr>
        <w:footnoteRef/>
      </w:r>
      <w:r>
        <w:t xml:space="preserve"> </w:t>
      </w:r>
      <w:r w:rsidR="001433C0">
        <w:t>Application File No. 0000213910, attach., Description of Transaction at 4.</w:t>
      </w:r>
    </w:p>
  </w:footnote>
  <w:footnote w:id="22">
    <w:p w:rsidR="00542007" w:rsidRPr="00863307" w:rsidP="00542007" w14:paraId="21B875CC" w14:textId="10BC6FAB">
      <w:pPr>
        <w:pStyle w:val="FootnoteText"/>
        <w:spacing w:after="120"/>
      </w:pPr>
      <w:r>
        <w:rPr>
          <w:rStyle w:val="FootnoteReference"/>
        </w:rPr>
        <w:footnoteRef/>
      </w:r>
      <w:r>
        <w:t xml:space="preserve"> </w:t>
      </w:r>
      <w:r w:rsidR="00863307">
        <w:rPr>
          <w:i/>
          <w:iCs/>
        </w:rPr>
        <w:t>Id.</w:t>
      </w:r>
    </w:p>
  </w:footnote>
  <w:footnote w:id="23">
    <w:p w:rsidR="00863307" w:rsidRPr="00696FCD" w:rsidP="00696FCD" w14:paraId="3BACA8BA" w14:textId="78528162">
      <w:pPr>
        <w:pStyle w:val="FootnoteText"/>
        <w:spacing w:after="120"/>
      </w:pPr>
      <w:r>
        <w:rPr>
          <w:rStyle w:val="FootnoteReference"/>
        </w:rPr>
        <w:footnoteRef/>
      </w:r>
      <w:r>
        <w:t xml:space="preserve"> </w:t>
      </w:r>
      <w:r w:rsidR="00696FCD">
        <w:rPr>
          <w:i/>
          <w:iCs/>
        </w:rPr>
        <w:t>Id.</w:t>
      </w:r>
    </w:p>
  </w:footnote>
  <w:footnote w:id="24">
    <w:p w:rsidR="00C85B46" w:rsidP="00AB2805" w14:paraId="0CC8A0FB" w14:textId="5A728E03">
      <w:pPr>
        <w:pStyle w:val="FootnoteText"/>
        <w:spacing w:after="120"/>
      </w:pPr>
      <w:r>
        <w:rPr>
          <w:rStyle w:val="FootnoteReference"/>
        </w:rPr>
        <w:footnoteRef/>
      </w:r>
      <w:r>
        <w:t xml:space="preserve"> </w:t>
      </w:r>
      <w:r w:rsidRPr="00C85B46">
        <w:rPr>
          <w:bCs/>
        </w:rPr>
        <w:t>47 U.S.C. §§ 154(i), 154(j), 309, 310(d)</w:t>
      </w:r>
      <w:r>
        <w:rPr>
          <w:bCs/>
        </w:rPr>
        <w:t>.</w:t>
      </w:r>
    </w:p>
  </w:footnote>
  <w:footnote w:id="25">
    <w:p w:rsidR="00C85B46" w:rsidP="00AB2805" w14:paraId="0B870ACD" w14:textId="1C26F344">
      <w:pPr>
        <w:pStyle w:val="FootnoteText"/>
        <w:spacing w:after="120"/>
      </w:pPr>
      <w:r>
        <w:rPr>
          <w:rStyle w:val="FootnoteReference"/>
        </w:rPr>
        <w:footnoteRef/>
      </w:r>
      <w:r>
        <w:t xml:space="preserve"> </w:t>
      </w:r>
      <w:r w:rsidRPr="00C85B46">
        <w:t xml:space="preserve">47 CFR </w:t>
      </w:r>
      <w:r>
        <w:t>§</w:t>
      </w:r>
      <w:r w:rsidRPr="00C85B46">
        <w:t>§</w:t>
      </w:r>
      <w:r>
        <w:t> 0.61(a), 0.283.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54DB" w14:paraId="72116C6A" w14:textId="6A73CBC9">
    <w:pPr>
      <w:pStyle w:val="Header"/>
      <w:tabs>
        <w:tab w:val="clear" w:pos="4320"/>
        <w:tab w:val="clear" w:pos="8640"/>
      </w:tabs>
      <w:spacing w:before="360" w:line="228" w:lineRule="auto"/>
      <w:jc w:val="center"/>
    </w:pPr>
    <w:r>
      <w:rPr>
        <w:noProof/>
      </w:rPr>
      <w:drawing>
        <wp:anchor distT="0" distB="0" distL="114300" distR="114300" simplePos="0" relativeHeight="251658240" behindDoc="1" locked="0" layoutInCell="1" allowOverlap="1">
          <wp:simplePos x="0" y="0"/>
          <wp:positionH relativeFrom="column">
            <wp:posOffset>-403860</wp:posOffset>
          </wp:positionH>
          <wp:positionV relativeFrom="paragraph">
            <wp:posOffset>0</wp:posOffset>
          </wp:positionV>
          <wp:extent cx="752475" cy="752475"/>
          <wp:effectExtent l="0" t="0" r="0" b="0"/>
          <wp:wrapTight wrapText="bothSides">
            <wp:wrapPolygon>
              <wp:start x="6015" y="0"/>
              <wp:lineTo x="0" y="3828"/>
              <wp:lineTo x="0" y="14765"/>
              <wp:lineTo x="1094" y="18046"/>
              <wp:lineTo x="5468" y="21327"/>
              <wp:lineTo x="6015" y="21327"/>
              <wp:lineTo x="15311" y="21327"/>
              <wp:lineTo x="15858" y="21327"/>
              <wp:lineTo x="20233" y="18046"/>
              <wp:lineTo x="21327" y="14765"/>
              <wp:lineTo x="21327" y="3828"/>
              <wp:lineTo x="15311" y="0"/>
              <wp:lineTo x="6015"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52475" cy="752475"/>
                  </a:xfrm>
                  <a:prstGeom prst="rect">
                    <a:avLst/>
                  </a:prstGeom>
                  <a:noFill/>
                </pic:spPr>
              </pic:pic>
            </a:graphicData>
          </a:graphic>
          <wp14:sizeRelH relativeFrom="page">
            <wp14:pctWidth>0</wp14:pctWidth>
          </wp14:sizeRelH>
          <wp14:sizeRelV relativeFrom="page">
            <wp14:pctHeight>0</wp14:pctHeight>
          </wp14:sizeRelV>
        </wp:anchor>
      </w:drawing>
    </w:r>
    <w:r>
      <w:rPr>
        <w:rFonts w:ascii="CG Times (W1)" w:hAnsi="CG Times (W1)"/>
        <w:sz w:val="28"/>
      </w:rPr>
      <w:t>Federal Communications Commission</w:t>
    </w:r>
  </w:p>
  <w:p w:rsidR="002B54DB" w:rsidP="001333F1" w14:paraId="2179254E" w14:textId="77777777">
    <w:pPr>
      <w:tabs>
        <w:tab w:val="center" w:pos="4680"/>
        <w:tab w:val="left" w:pos="8400"/>
      </w:tabs>
    </w:pPr>
    <w:r>
      <w:rPr>
        <w:rFonts w:ascii="CG Times (W1)" w:hAnsi="CG Times (W1)"/>
        <w:sz w:val="28"/>
      </w:rPr>
      <w:tab/>
    </w:r>
    <w:r>
      <w:rPr>
        <w:rFonts w:ascii="CG Times (W1)" w:hAnsi="CG Times (W1)"/>
        <w:sz w:val="28"/>
      </w:rPr>
      <w:t>Washington, D.C. 20554</w:t>
    </w:r>
    <w:r>
      <w:rPr>
        <w:rFonts w:ascii="CG Times (W1)" w:hAnsi="CG Times (W1)"/>
        <w:sz w:val="28"/>
      </w:rPr>
      <w:tab/>
    </w:r>
  </w:p>
  <w:p w:rsidR="002B54DB" w14:paraId="3F98F27C" w14:textId="77777777">
    <w:pPr>
      <w:pStyle w:val="Header"/>
      <w:tabs>
        <w:tab w:val="clear" w:pos="4320"/>
      </w:tabs>
      <w:jc w:val="center"/>
      <w:rPr>
        <w:sz w:val="22"/>
      </w:rPr>
    </w:pPr>
  </w:p>
  <w:p w:rsidR="002B54DB" w14:paraId="699B4E05" w14:textId="77777777">
    <w:pPr>
      <w:pStyle w:val="Header"/>
      <w:tabs>
        <w:tab w:val="clear" w:pos="4320"/>
      </w:tabs>
      <w:jc w:val="center"/>
      <w:rPr>
        <w:sz w:val="22"/>
      </w:rPr>
    </w:pPr>
  </w:p>
  <w:p w:rsidR="002B54DB" w14:paraId="060D00E5" w14:textId="0BE97C32">
    <w:pPr>
      <w:pStyle w:val="Header"/>
      <w:tabs>
        <w:tab w:val="clear" w:pos="4320"/>
      </w:tabs>
      <w:jc w:val="center"/>
      <w:rPr>
        <w:sz w:val="24"/>
      </w:rPr>
    </w:pPr>
    <w:r>
      <w:rPr>
        <w:sz w:val="24"/>
      </w:rPr>
      <w:fldChar w:fldCharType="begin"/>
    </w:r>
    <w:r>
      <w:rPr>
        <w:sz w:val="24"/>
      </w:rPr>
      <w:instrText xml:space="preserve"> TIME \@ "MMMM d, yyyy" </w:instrText>
    </w:r>
    <w:r>
      <w:rPr>
        <w:sz w:val="24"/>
      </w:rPr>
      <w:fldChar w:fldCharType="separate"/>
    </w:r>
    <w:r w:rsidR="00B564F1">
      <w:rPr>
        <w:noProof/>
        <w:sz w:val="24"/>
      </w:rPr>
      <w:t>July 14, 2023</w:t>
    </w:r>
    <w:r>
      <w:rPr>
        <w:sz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20"/>
  <w:displayHorizontalDrawingGridEvery w:val="0"/>
  <w:displayVerticalDrawingGridEvery w:val="0"/>
  <w:doNotUseMarginsForDrawingGridOrigin/>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433"/>
    <w:rsid w:val="000000F5"/>
    <w:rsid w:val="000028E3"/>
    <w:rsid w:val="00014BC1"/>
    <w:rsid w:val="000171C7"/>
    <w:rsid w:val="000178BA"/>
    <w:rsid w:val="000202BD"/>
    <w:rsid w:val="00035EA3"/>
    <w:rsid w:val="00045BF3"/>
    <w:rsid w:val="00057F60"/>
    <w:rsid w:val="00061DC1"/>
    <w:rsid w:val="00073336"/>
    <w:rsid w:val="000805C2"/>
    <w:rsid w:val="000812ED"/>
    <w:rsid w:val="00082F01"/>
    <w:rsid w:val="0008704E"/>
    <w:rsid w:val="00096CDB"/>
    <w:rsid w:val="00097C6C"/>
    <w:rsid w:val="000A061E"/>
    <w:rsid w:val="000A7482"/>
    <w:rsid w:val="000B2399"/>
    <w:rsid w:val="000C1A80"/>
    <w:rsid w:val="000E1246"/>
    <w:rsid w:val="000F2A34"/>
    <w:rsid w:val="000F477F"/>
    <w:rsid w:val="00120590"/>
    <w:rsid w:val="001316E9"/>
    <w:rsid w:val="001333F1"/>
    <w:rsid w:val="00135EA7"/>
    <w:rsid w:val="00137CCC"/>
    <w:rsid w:val="001433C0"/>
    <w:rsid w:val="001444F6"/>
    <w:rsid w:val="00151E3E"/>
    <w:rsid w:val="0015286B"/>
    <w:rsid w:val="00153AB0"/>
    <w:rsid w:val="001709AB"/>
    <w:rsid w:val="001729B2"/>
    <w:rsid w:val="00173141"/>
    <w:rsid w:val="001737A1"/>
    <w:rsid w:val="001958DA"/>
    <w:rsid w:val="001A27EE"/>
    <w:rsid w:val="001A4672"/>
    <w:rsid w:val="001A5EB5"/>
    <w:rsid w:val="001C430A"/>
    <w:rsid w:val="001F11C3"/>
    <w:rsid w:val="00204CE3"/>
    <w:rsid w:val="00207E3C"/>
    <w:rsid w:val="00236493"/>
    <w:rsid w:val="00247867"/>
    <w:rsid w:val="00272020"/>
    <w:rsid w:val="00272396"/>
    <w:rsid w:val="002818D6"/>
    <w:rsid w:val="00293BB4"/>
    <w:rsid w:val="002B0CB7"/>
    <w:rsid w:val="002B4BE3"/>
    <w:rsid w:val="002B54DB"/>
    <w:rsid w:val="002B599D"/>
    <w:rsid w:val="002B7B67"/>
    <w:rsid w:val="002E7300"/>
    <w:rsid w:val="002F509A"/>
    <w:rsid w:val="002F5947"/>
    <w:rsid w:val="003041FF"/>
    <w:rsid w:val="00315C94"/>
    <w:rsid w:val="00323B93"/>
    <w:rsid w:val="0035163A"/>
    <w:rsid w:val="003530C3"/>
    <w:rsid w:val="003535F9"/>
    <w:rsid w:val="0035514C"/>
    <w:rsid w:val="00363AB1"/>
    <w:rsid w:val="0037173A"/>
    <w:rsid w:val="00375147"/>
    <w:rsid w:val="003766BD"/>
    <w:rsid w:val="00377B16"/>
    <w:rsid w:val="00381BA9"/>
    <w:rsid w:val="00387BEA"/>
    <w:rsid w:val="003A0072"/>
    <w:rsid w:val="003B0F7A"/>
    <w:rsid w:val="003E63EE"/>
    <w:rsid w:val="00406B11"/>
    <w:rsid w:val="0041066A"/>
    <w:rsid w:val="00413689"/>
    <w:rsid w:val="00432EFB"/>
    <w:rsid w:val="00435AFA"/>
    <w:rsid w:val="004635A4"/>
    <w:rsid w:val="00477D53"/>
    <w:rsid w:val="004829D6"/>
    <w:rsid w:val="0048339F"/>
    <w:rsid w:val="0048682E"/>
    <w:rsid w:val="00491FE6"/>
    <w:rsid w:val="004D3B53"/>
    <w:rsid w:val="004D68A7"/>
    <w:rsid w:val="005006D5"/>
    <w:rsid w:val="00516E56"/>
    <w:rsid w:val="005258AB"/>
    <w:rsid w:val="00542007"/>
    <w:rsid w:val="0055062F"/>
    <w:rsid w:val="0056190B"/>
    <w:rsid w:val="005851BA"/>
    <w:rsid w:val="00586335"/>
    <w:rsid w:val="00596626"/>
    <w:rsid w:val="00597250"/>
    <w:rsid w:val="005B437C"/>
    <w:rsid w:val="005C2D99"/>
    <w:rsid w:val="005C411B"/>
    <w:rsid w:val="005D422D"/>
    <w:rsid w:val="005D54A7"/>
    <w:rsid w:val="005E5001"/>
    <w:rsid w:val="005E740C"/>
    <w:rsid w:val="00600902"/>
    <w:rsid w:val="0060359D"/>
    <w:rsid w:val="00603786"/>
    <w:rsid w:val="0060506D"/>
    <w:rsid w:val="00622566"/>
    <w:rsid w:val="0066709E"/>
    <w:rsid w:val="0069022B"/>
    <w:rsid w:val="00691BC0"/>
    <w:rsid w:val="00691FCD"/>
    <w:rsid w:val="00696FCD"/>
    <w:rsid w:val="006A5A9F"/>
    <w:rsid w:val="006A659A"/>
    <w:rsid w:val="006B062B"/>
    <w:rsid w:val="006B7F11"/>
    <w:rsid w:val="006C6E78"/>
    <w:rsid w:val="006D10DA"/>
    <w:rsid w:val="006E7DA0"/>
    <w:rsid w:val="006F5DE7"/>
    <w:rsid w:val="00714DA4"/>
    <w:rsid w:val="00716F17"/>
    <w:rsid w:val="00726D4E"/>
    <w:rsid w:val="007352AF"/>
    <w:rsid w:val="00735D31"/>
    <w:rsid w:val="007531D1"/>
    <w:rsid w:val="00782DA1"/>
    <w:rsid w:val="00791663"/>
    <w:rsid w:val="00793CAC"/>
    <w:rsid w:val="0081521F"/>
    <w:rsid w:val="00820586"/>
    <w:rsid w:val="00823882"/>
    <w:rsid w:val="00823A1E"/>
    <w:rsid w:val="00827C6D"/>
    <w:rsid w:val="00842D8E"/>
    <w:rsid w:val="008528EB"/>
    <w:rsid w:val="00863307"/>
    <w:rsid w:val="00871739"/>
    <w:rsid w:val="00872D7F"/>
    <w:rsid w:val="008731EC"/>
    <w:rsid w:val="008825DA"/>
    <w:rsid w:val="00893FE8"/>
    <w:rsid w:val="00894DA9"/>
    <w:rsid w:val="008A4283"/>
    <w:rsid w:val="008A5F59"/>
    <w:rsid w:val="008B438E"/>
    <w:rsid w:val="008C1D05"/>
    <w:rsid w:val="008C4A63"/>
    <w:rsid w:val="008F4263"/>
    <w:rsid w:val="009041CA"/>
    <w:rsid w:val="00911B6A"/>
    <w:rsid w:val="00911C43"/>
    <w:rsid w:val="00917023"/>
    <w:rsid w:val="009303E5"/>
    <w:rsid w:val="00932433"/>
    <w:rsid w:val="009326D7"/>
    <w:rsid w:val="00962197"/>
    <w:rsid w:val="00970DAE"/>
    <w:rsid w:val="00973736"/>
    <w:rsid w:val="00975EA2"/>
    <w:rsid w:val="00986ABD"/>
    <w:rsid w:val="009972AE"/>
    <w:rsid w:val="009B071A"/>
    <w:rsid w:val="009B0735"/>
    <w:rsid w:val="009B5E97"/>
    <w:rsid w:val="009C229B"/>
    <w:rsid w:val="009C7DCD"/>
    <w:rsid w:val="009D78D0"/>
    <w:rsid w:val="00A05885"/>
    <w:rsid w:val="00A0715C"/>
    <w:rsid w:val="00A07FE0"/>
    <w:rsid w:val="00A23BCF"/>
    <w:rsid w:val="00A41CCD"/>
    <w:rsid w:val="00A420D3"/>
    <w:rsid w:val="00A52139"/>
    <w:rsid w:val="00A64559"/>
    <w:rsid w:val="00A675FB"/>
    <w:rsid w:val="00A775C5"/>
    <w:rsid w:val="00A9001C"/>
    <w:rsid w:val="00A9128D"/>
    <w:rsid w:val="00A936E0"/>
    <w:rsid w:val="00AB2805"/>
    <w:rsid w:val="00AD04AE"/>
    <w:rsid w:val="00AD26C4"/>
    <w:rsid w:val="00AE46C6"/>
    <w:rsid w:val="00AF07C5"/>
    <w:rsid w:val="00AF18E0"/>
    <w:rsid w:val="00AF5A88"/>
    <w:rsid w:val="00B11B00"/>
    <w:rsid w:val="00B1425D"/>
    <w:rsid w:val="00B33C38"/>
    <w:rsid w:val="00B40DE0"/>
    <w:rsid w:val="00B42007"/>
    <w:rsid w:val="00B46CBE"/>
    <w:rsid w:val="00B564F1"/>
    <w:rsid w:val="00B57189"/>
    <w:rsid w:val="00B57F7C"/>
    <w:rsid w:val="00B62586"/>
    <w:rsid w:val="00B96A05"/>
    <w:rsid w:val="00BC42BD"/>
    <w:rsid w:val="00BD5F72"/>
    <w:rsid w:val="00BE27E9"/>
    <w:rsid w:val="00BF59EC"/>
    <w:rsid w:val="00C304C8"/>
    <w:rsid w:val="00C37664"/>
    <w:rsid w:val="00C45A6C"/>
    <w:rsid w:val="00C603BB"/>
    <w:rsid w:val="00C63E5B"/>
    <w:rsid w:val="00C678D7"/>
    <w:rsid w:val="00C85254"/>
    <w:rsid w:val="00C856FE"/>
    <w:rsid w:val="00C85B46"/>
    <w:rsid w:val="00C902B7"/>
    <w:rsid w:val="00CB5A52"/>
    <w:rsid w:val="00CB739B"/>
    <w:rsid w:val="00CC028B"/>
    <w:rsid w:val="00CC54CB"/>
    <w:rsid w:val="00CE14D2"/>
    <w:rsid w:val="00CE5453"/>
    <w:rsid w:val="00CF2902"/>
    <w:rsid w:val="00CF3DE9"/>
    <w:rsid w:val="00CF6502"/>
    <w:rsid w:val="00D029CF"/>
    <w:rsid w:val="00D03AE0"/>
    <w:rsid w:val="00D041BB"/>
    <w:rsid w:val="00D13202"/>
    <w:rsid w:val="00D37964"/>
    <w:rsid w:val="00D44EAC"/>
    <w:rsid w:val="00D45AE2"/>
    <w:rsid w:val="00D532B6"/>
    <w:rsid w:val="00D542B5"/>
    <w:rsid w:val="00D63956"/>
    <w:rsid w:val="00D85815"/>
    <w:rsid w:val="00D92A26"/>
    <w:rsid w:val="00D92EED"/>
    <w:rsid w:val="00D96172"/>
    <w:rsid w:val="00DA523E"/>
    <w:rsid w:val="00DB4D0E"/>
    <w:rsid w:val="00DD0332"/>
    <w:rsid w:val="00DE5539"/>
    <w:rsid w:val="00E03990"/>
    <w:rsid w:val="00E101C5"/>
    <w:rsid w:val="00E1046C"/>
    <w:rsid w:val="00E10BCB"/>
    <w:rsid w:val="00E13B3D"/>
    <w:rsid w:val="00E233B0"/>
    <w:rsid w:val="00E323B6"/>
    <w:rsid w:val="00E35E01"/>
    <w:rsid w:val="00E5083F"/>
    <w:rsid w:val="00E5602A"/>
    <w:rsid w:val="00E56AE3"/>
    <w:rsid w:val="00E82EF2"/>
    <w:rsid w:val="00E97AE7"/>
    <w:rsid w:val="00EA764F"/>
    <w:rsid w:val="00EA7799"/>
    <w:rsid w:val="00EB0787"/>
    <w:rsid w:val="00EB5043"/>
    <w:rsid w:val="00EE30A9"/>
    <w:rsid w:val="00EE3CEB"/>
    <w:rsid w:val="00EF3B82"/>
    <w:rsid w:val="00EF6586"/>
    <w:rsid w:val="00F05F99"/>
    <w:rsid w:val="00F06EE6"/>
    <w:rsid w:val="00F10B78"/>
    <w:rsid w:val="00F21DB0"/>
    <w:rsid w:val="00F25D54"/>
    <w:rsid w:val="00F30169"/>
    <w:rsid w:val="00F3534E"/>
    <w:rsid w:val="00F42CBD"/>
    <w:rsid w:val="00F55D42"/>
    <w:rsid w:val="00F63E4E"/>
    <w:rsid w:val="00F72AEE"/>
    <w:rsid w:val="00F82CB1"/>
    <w:rsid w:val="00F86F84"/>
    <w:rsid w:val="00F90F2A"/>
    <w:rsid w:val="00F91F9F"/>
    <w:rsid w:val="00F955D7"/>
    <w:rsid w:val="00F95FA5"/>
    <w:rsid w:val="00FA4BFC"/>
    <w:rsid w:val="00FF4F0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1507464"/>
  <w15:chartTrackingRefBased/>
  <w15:docId w15:val="{4C2C4FFD-3A07-4F59-92CF-A6F7F4A6E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24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uiPriority w:val="99"/>
    <w:unhideWhenUsed/>
    <w:rsid w:val="00932433"/>
    <w:rPr>
      <w:color w:val="0563C1"/>
      <w:u w:val="single"/>
    </w:rPr>
  </w:style>
  <w:style w:type="character" w:styleId="UnresolvedMention">
    <w:name w:val="Unresolved Mention"/>
    <w:uiPriority w:val="99"/>
    <w:semiHidden/>
    <w:unhideWhenUsed/>
    <w:rsid w:val="00932433"/>
    <w:rPr>
      <w:color w:val="605E5C"/>
      <w:shd w:val="clear" w:color="auto" w:fill="E1DFDD"/>
    </w:rPr>
  </w:style>
  <w:style w:type="paragraph" w:styleId="FootnoteText">
    <w:name w:val="footnote text"/>
    <w:aliases w:val="Footnote Text Char Char Char,Footnote Text Char Char Char Char Char Char,Footnote Text Char1 Char,Footnote Text Char1 Char1 Char Char Char,Footnote Text Char2 Char Char Char"/>
    <w:basedOn w:val="Normal"/>
    <w:link w:val="FootnoteTextChar1"/>
    <w:semiHidden/>
    <w:rsid w:val="009326D7"/>
  </w:style>
  <w:style w:type="character" w:customStyle="1" w:styleId="FootnoteTextChar">
    <w:name w:val="Footnote Text Char"/>
    <w:basedOn w:val="DefaultParagraphFont"/>
    <w:uiPriority w:val="99"/>
    <w:semiHidden/>
    <w:rsid w:val="009326D7"/>
  </w:style>
  <w:style w:type="character" w:styleId="FootnoteReference">
    <w:name w:val="footnote reference"/>
    <w:semiHidden/>
    <w:rsid w:val="009326D7"/>
    <w:rPr>
      <w:vertAlign w:val="superscript"/>
    </w:rPr>
  </w:style>
  <w:style w:type="character" w:customStyle="1" w:styleId="FootnoteTextChar1">
    <w:name w:val="Footnote Text Char1"/>
    <w:aliases w:val="Footnote Text Char Char Char Char,Footnote Text Char Char Char Char Char Char Char,Footnote Text Char1 Char Char,Footnote Text Char1 Char1 Char Char Char Char,Footnote Text Char2 Char Char Char Char"/>
    <w:basedOn w:val="DefaultParagraphFont"/>
    <w:link w:val="FootnoteText"/>
    <w:rsid w:val="009326D7"/>
  </w:style>
  <w:style w:type="paragraph" w:styleId="ListParagraph">
    <w:name w:val="List Paragraph"/>
    <w:basedOn w:val="Normal"/>
    <w:uiPriority w:val="34"/>
    <w:qFormat/>
    <w:rsid w:val="0037173A"/>
    <w:pPr>
      <w:widowControl w:val="0"/>
      <w:ind w:left="720"/>
      <w:contextualSpacing/>
    </w:pPr>
    <w:rPr>
      <w:snapToGrid w:val="0"/>
      <w:kern w:val="28"/>
      <w:sz w:val="22"/>
    </w:rPr>
  </w:style>
  <w:style w:type="paragraph" w:customStyle="1" w:styleId="ParaNum">
    <w:name w:val="ParaNum"/>
    <w:basedOn w:val="Normal"/>
    <w:link w:val="ParaNumChar"/>
    <w:rsid w:val="0037173A"/>
    <w:pPr>
      <w:widowControl w:val="0"/>
      <w:numPr>
        <w:numId w:val="1"/>
      </w:numPr>
      <w:tabs>
        <w:tab w:val="clear" w:pos="1080"/>
        <w:tab w:val="num" w:pos="1440"/>
      </w:tabs>
      <w:spacing w:after="120"/>
    </w:pPr>
    <w:rPr>
      <w:snapToGrid w:val="0"/>
      <w:kern w:val="28"/>
      <w:sz w:val="22"/>
    </w:rPr>
  </w:style>
  <w:style w:type="character" w:customStyle="1" w:styleId="ParaNumChar">
    <w:name w:val="ParaNum Char"/>
    <w:link w:val="ParaNum"/>
    <w:locked/>
    <w:rsid w:val="0037173A"/>
    <w:rPr>
      <w:snapToGrid w:val="0"/>
      <w:kern w:val="28"/>
      <w:sz w:val="22"/>
    </w:rPr>
  </w:style>
  <w:style w:type="character" w:customStyle="1" w:styleId="FooterChar">
    <w:name w:val="Footer Char"/>
    <w:basedOn w:val="DefaultParagraphFont"/>
    <w:link w:val="Footer"/>
    <w:uiPriority w:val="99"/>
    <w:rsid w:val="00073336"/>
  </w:style>
  <w:style w:type="paragraph" w:styleId="Revision">
    <w:name w:val="Revision"/>
    <w:hidden/>
    <w:uiPriority w:val="99"/>
    <w:semiHidden/>
    <w:rsid w:val="00323B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hwendel@cooley.com" TargetMode="External" /><Relationship Id="rId6" Type="http://schemas.openxmlformats.org/officeDocument/2006/relationships/hyperlink" Target="mailto:sharris@urban1.com" TargetMode="External" /><Relationship Id="rId7" Type="http://schemas.openxmlformats.org/officeDocument/2006/relationships/hyperlink" Target="mailto:jchautin@hardycarey.com" TargetMode="External" /><Relationship Id="rId8" Type="http://schemas.openxmlformats.org/officeDocument/2006/relationships/footer" Target="footer1.xml" /><Relationship Id="rId9" Type="http://schemas.openxmlformats.org/officeDocument/2006/relationships/header" Target="header1.xm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Letter.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