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5203CF" w:rsidRPr="007C6FA4" w:rsidP="00CF7ED7" w14:paraId="2EE409FD" w14:textId="682435CD">
      <w:pPr>
        <w:ind w:left="6480"/>
        <w:rPr>
          <w:b/>
          <w:iCs/>
        </w:rPr>
      </w:pPr>
      <w:r w:rsidRPr="007C6FA4">
        <w:rPr>
          <w:b/>
          <w:iCs/>
        </w:rPr>
        <w:t xml:space="preserve">DA </w:t>
      </w:r>
      <w:r w:rsidR="00AB5425">
        <w:rPr>
          <w:b/>
          <w:iCs/>
        </w:rPr>
        <w:t>23-60</w:t>
      </w:r>
    </w:p>
    <w:p w:rsidR="00182271" w:rsidRPr="007C6FA4" w:rsidP="00CF7ED7" w14:paraId="7F6AC052" w14:textId="1E14DE80">
      <w:pPr>
        <w:ind w:left="6480"/>
        <w:rPr>
          <w:b/>
        </w:rPr>
      </w:pPr>
      <w:r w:rsidRPr="007C6FA4">
        <w:rPr>
          <w:b/>
          <w:i/>
        </w:rPr>
        <w:t>In Reply Refer to:</w:t>
      </w:r>
      <w:r w:rsidRPr="007C6FA4">
        <w:rPr>
          <w:b/>
          <w:i/>
        </w:rPr>
        <w:br/>
      </w:r>
      <w:r w:rsidRPr="007C6FA4">
        <w:rPr>
          <w:b/>
        </w:rPr>
        <w:t>1800B3-HOD</w:t>
      </w:r>
    </w:p>
    <w:p w:rsidR="005203CF" w:rsidRPr="00345B20" w:rsidP="00CF7ED7" w14:paraId="4AB0265F" w14:textId="25338C5B">
      <w:pPr>
        <w:ind w:left="6480"/>
        <w:rPr>
          <w:b/>
          <w:iCs/>
          <w:lang w:val="es-ES"/>
        </w:rPr>
      </w:pPr>
      <w:r w:rsidRPr="00345B20">
        <w:rPr>
          <w:b/>
          <w:iCs/>
          <w:lang w:val="es-ES"/>
        </w:rPr>
        <w:t>Released</w:t>
      </w:r>
      <w:r w:rsidR="00CF7ED7">
        <w:rPr>
          <w:b/>
          <w:iCs/>
          <w:lang w:val="es-ES"/>
        </w:rPr>
        <w:t xml:space="preserve">:  </w:t>
      </w:r>
      <w:r w:rsidR="00CF7ED7">
        <w:rPr>
          <w:b/>
          <w:iCs/>
          <w:lang w:val="es-ES"/>
        </w:rPr>
        <w:t>January</w:t>
      </w:r>
      <w:r w:rsidR="00CF7ED7">
        <w:rPr>
          <w:b/>
          <w:iCs/>
          <w:lang w:val="es-ES"/>
        </w:rPr>
        <w:t xml:space="preserve"> 23, 2023</w:t>
      </w:r>
    </w:p>
    <w:p w:rsidR="00525795" w:rsidRPr="00F26347" w:rsidP="008035C8" w14:paraId="5134EAF2" w14:textId="77777777">
      <w:pPr>
        <w:rPr>
          <w:sz w:val="22"/>
          <w:szCs w:val="22"/>
          <w:lang w:val="es-ES"/>
        </w:rPr>
      </w:pPr>
      <w:r w:rsidRPr="00F26347">
        <w:rPr>
          <w:rFonts w:eastAsia="Calibri"/>
          <w:sz w:val="22"/>
          <w:szCs w:val="22"/>
          <w:lang w:val="es-ES"/>
        </w:rPr>
        <w:t>Centro Cristiano de Vida Eterna San Antonio</w:t>
      </w:r>
    </w:p>
    <w:p w:rsidR="008035C8" w:rsidRPr="00F26347" w:rsidP="008035C8" w14:paraId="2CFA5AC3" w14:textId="05D172B7">
      <w:pPr>
        <w:rPr>
          <w:sz w:val="22"/>
          <w:szCs w:val="22"/>
          <w:lang w:val="es-ES"/>
        </w:rPr>
      </w:pPr>
      <w:r w:rsidRPr="00F26347">
        <w:rPr>
          <w:sz w:val="22"/>
          <w:szCs w:val="22"/>
          <w:lang w:val="es-ES"/>
        </w:rPr>
        <w:t>c/o</w:t>
      </w:r>
      <w:r w:rsidRPr="00F26347" w:rsidR="00953F2B">
        <w:rPr>
          <w:sz w:val="22"/>
          <w:szCs w:val="22"/>
          <w:lang w:val="es-ES"/>
        </w:rPr>
        <w:t xml:space="preserve"> </w:t>
      </w:r>
      <w:r w:rsidRPr="00F26347">
        <w:rPr>
          <w:sz w:val="22"/>
          <w:szCs w:val="22"/>
          <w:lang w:val="es-ES"/>
        </w:rPr>
        <w:t>Dan J. Alpert, Esq.</w:t>
      </w:r>
    </w:p>
    <w:p w:rsidR="008035C8" w:rsidRPr="00716B79" w:rsidP="008035C8" w14:paraId="1B78C3EF" w14:textId="77777777">
      <w:pPr>
        <w:rPr>
          <w:sz w:val="22"/>
          <w:szCs w:val="22"/>
        </w:rPr>
      </w:pPr>
      <w:r w:rsidRPr="00716B79">
        <w:rPr>
          <w:sz w:val="22"/>
          <w:szCs w:val="22"/>
        </w:rPr>
        <w:t>2120 N. 21</w:t>
      </w:r>
      <w:r w:rsidRPr="00716B79">
        <w:rPr>
          <w:sz w:val="22"/>
          <w:szCs w:val="22"/>
          <w:vertAlign w:val="superscript"/>
        </w:rPr>
        <w:t>st</w:t>
      </w:r>
      <w:r w:rsidRPr="00716B79">
        <w:rPr>
          <w:sz w:val="22"/>
          <w:szCs w:val="22"/>
        </w:rPr>
        <w:t xml:space="preserve"> Rd.</w:t>
      </w:r>
    </w:p>
    <w:p w:rsidR="008F4DE6" w:rsidRPr="00716B79" w:rsidP="008035C8" w14:paraId="6502E78D" w14:textId="072DE70E">
      <w:pPr>
        <w:rPr>
          <w:sz w:val="22"/>
          <w:szCs w:val="22"/>
        </w:rPr>
      </w:pPr>
      <w:r w:rsidRPr="00716B79">
        <w:rPr>
          <w:sz w:val="22"/>
          <w:szCs w:val="22"/>
        </w:rPr>
        <w:t>Arlington, VA 22201</w:t>
      </w:r>
    </w:p>
    <w:p w:rsidR="00525795" w:rsidRPr="00716B79" w:rsidP="008035C8" w14:paraId="0705BF82" w14:textId="40D22DF2">
      <w:pPr>
        <w:rPr>
          <w:sz w:val="22"/>
          <w:szCs w:val="22"/>
        </w:rPr>
      </w:pPr>
      <w:r w:rsidRPr="00716B79">
        <w:rPr>
          <w:sz w:val="22"/>
          <w:szCs w:val="22"/>
        </w:rPr>
        <w:t xml:space="preserve">(sent by email to </w:t>
      </w:r>
      <w:hyperlink r:id="rId5" w:history="1">
        <w:r w:rsidRPr="00716B79" w:rsidR="00C053A0">
          <w:rPr>
            <w:rStyle w:val="Hyperlink"/>
            <w:sz w:val="22"/>
            <w:szCs w:val="22"/>
          </w:rPr>
          <w:t>dja@commlaw.tv</w:t>
        </w:r>
      </w:hyperlink>
      <w:r w:rsidRPr="00716B79" w:rsidR="00C053A0">
        <w:rPr>
          <w:sz w:val="22"/>
          <w:szCs w:val="22"/>
        </w:rPr>
        <w:t>)</w:t>
      </w:r>
    </w:p>
    <w:p w:rsidR="00E77E21" w:rsidRPr="00716B79" w:rsidP="008035C8" w14:paraId="19FD1A5F" w14:textId="79934C01">
      <w:pPr>
        <w:rPr>
          <w:b/>
          <w:bCs/>
          <w:sz w:val="22"/>
          <w:szCs w:val="22"/>
        </w:rPr>
      </w:pPr>
    </w:p>
    <w:p w:rsidR="00DA55F0" w:rsidRPr="00716B79" w:rsidP="008035C8" w14:paraId="22D7AD83" w14:textId="41FC6052">
      <w:pPr>
        <w:rPr>
          <w:sz w:val="22"/>
          <w:szCs w:val="22"/>
        </w:rPr>
      </w:pPr>
      <w:r w:rsidRPr="00716B79">
        <w:rPr>
          <w:sz w:val="22"/>
          <w:szCs w:val="22"/>
        </w:rPr>
        <w:t>Texas Public Radio</w:t>
      </w:r>
    </w:p>
    <w:p w:rsidR="00E77E21" w:rsidRPr="00716B79" w:rsidP="008035C8" w14:paraId="1EF64659" w14:textId="5B3577C6">
      <w:pPr>
        <w:rPr>
          <w:sz w:val="22"/>
          <w:szCs w:val="22"/>
        </w:rPr>
      </w:pPr>
      <w:r w:rsidRPr="00716B79">
        <w:rPr>
          <w:sz w:val="22"/>
          <w:szCs w:val="22"/>
        </w:rPr>
        <w:t xml:space="preserve">c/o </w:t>
      </w:r>
      <w:r w:rsidRPr="00716B79">
        <w:rPr>
          <w:sz w:val="22"/>
          <w:szCs w:val="22"/>
        </w:rPr>
        <w:t xml:space="preserve">Melodie </w:t>
      </w:r>
      <w:r w:rsidRPr="00716B79" w:rsidR="00A40414">
        <w:rPr>
          <w:sz w:val="22"/>
          <w:szCs w:val="22"/>
        </w:rPr>
        <w:t xml:space="preserve">A. </w:t>
      </w:r>
      <w:r w:rsidRPr="00716B79">
        <w:rPr>
          <w:sz w:val="22"/>
          <w:szCs w:val="22"/>
        </w:rPr>
        <w:t>Virtue, Esq.</w:t>
      </w:r>
    </w:p>
    <w:p w:rsidR="00E77E21" w:rsidRPr="00716B79" w:rsidP="008035C8" w14:paraId="6D5740B0" w14:textId="036DD9FF">
      <w:pPr>
        <w:rPr>
          <w:sz w:val="22"/>
          <w:szCs w:val="22"/>
        </w:rPr>
      </w:pPr>
      <w:r w:rsidRPr="00716B79">
        <w:rPr>
          <w:sz w:val="22"/>
          <w:szCs w:val="22"/>
        </w:rPr>
        <w:t>Foster Garvey PC</w:t>
      </w:r>
    </w:p>
    <w:p w:rsidR="00A40414" w:rsidRPr="00716B79" w:rsidP="008035C8" w14:paraId="2850C496" w14:textId="64D9491C">
      <w:pPr>
        <w:rPr>
          <w:sz w:val="22"/>
          <w:szCs w:val="22"/>
        </w:rPr>
      </w:pPr>
      <w:r w:rsidRPr="00716B79">
        <w:rPr>
          <w:sz w:val="22"/>
          <w:szCs w:val="22"/>
        </w:rPr>
        <w:t>1000 Potomac Street, NW</w:t>
      </w:r>
    </w:p>
    <w:p w:rsidR="00A40414" w:rsidRPr="00716B79" w:rsidP="008035C8" w14:paraId="7ED69A73" w14:textId="18586CD9">
      <w:pPr>
        <w:rPr>
          <w:sz w:val="22"/>
          <w:szCs w:val="22"/>
        </w:rPr>
      </w:pPr>
      <w:r w:rsidRPr="00716B79">
        <w:rPr>
          <w:sz w:val="22"/>
          <w:szCs w:val="22"/>
        </w:rPr>
        <w:t>Suite 200</w:t>
      </w:r>
    </w:p>
    <w:p w:rsidR="00A40414" w:rsidRPr="00716B79" w:rsidP="008035C8" w14:paraId="13546EC4" w14:textId="3AF03F50">
      <w:pPr>
        <w:rPr>
          <w:sz w:val="22"/>
          <w:szCs w:val="22"/>
        </w:rPr>
      </w:pPr>
      <w:r w:rsidRPr="00716B79">
        <w:rPr>
          <w:sz w:val="22"/>
          <w:szCs w:val="22"/>
        </w:rPr>
        <w:t>Washington, DC 20007</w:t>
      </w:r>
    </w:p>
    <w:p w:rsidR="009A40E6" w:rsidRPr="00716B79" w:rsidP="008035C8" w14:paraId="2DB9B0E9" w14:textId="35E2678A">
      <w:pPr>
        <w:rPr>
          <w:sz w:val="22"/>
          <w:szCs w:val="22"/>
        </w:rPr>
      </w:pPr>
      <w:r w:rsidRPr="00716B79">
        <w:rPr>
          <w:sz w:val="22"/>
          <w:szCs w:val="22"/>
        </w:rPr>
        <w:t xml:space="preserve">(sent by email to </w:t>
      </w:r>
      <w:hyperlink r:id="rId6" w:history="1">
        <w:r w:rsidRPr="00716B79" w:rsidR="00C053A0">
          <w:rPr>
            <w:rStyle w:val="Hyperlink"/>
            <w:sz w:val="22"/>
            <w:szCs w:val="22"/>
          </w:rPr>
          <w:t>melodie.virtue@foster.com</w:t>
        </w:r>
      </w:hyperlink>
      <w:r w:rsidRPr="00716B79" w:rsidR="00C053A0">
        <w:rPr>
          <w:sz w:val="22"/>
          <w:szCs w:val="22"/>
        </w:rPr>
        <w:t>)</w:t>
      </w:r>
    </w:p>
    <w:p w:rsidR="008F4DE6" w:rsidRPr="00716B79" w:rsidP="008F4DE6" w14:paraId="3B79FF8A" w14:textId="77777777">
      <w:pPr>
        <w:ind w:left="5040" w:hanging="720"/>
        <w:rPr>
          <w:rFonts w:eastAsia="Calibri"/>
          <w:sz w:val="22"/>
          <w:szCs w:val="22"/>
        </w:rPr>
      </w:pPr>
    </w:p>
    <w:p w:rsidR="005203CF" w:rsidRPr="00F26347" w:rsidP="008F4DE6" w14:paraId="70219509" w14:textId="6C7002E2">
      <w:pPr>
        <w:ind w:left="5040" w:hanging="720"/>
        <w:rPr>
          <w:rFonts w:eastAsia="Calibri"/>
          <w:bCs/>
          <w:sz w:val="22"/>
          <w:szCs w:val="22"/>
        </w:rPr>
      </w:pPr>
      <w:r w:rsidRPr="005203CF">
        <w:rPr>
          <w:rFonts w:eastAsia="Calibri"/>
          <w:sz w:val="22"/>
          <w:szCs w:val="22"/>
        </w:rPr>
        <w:t>In re</w:t>
      </w:r>
      <w:r w:rsidRPr="005203CF">
        <w:rPr>
          <w:rFonts w:eastAsia="Calibri"/>
          <w:b/>
          <w:sz w:val="22"/>
          <w:szCs w:val="22"/>
        </w:rPr>
        <w:t xml:space="preserve">: </w:t>
      </w:r>
      <w:r w:rsidRPr="005203CF">
        <w:rPr>
          <w:rFonts w:eastAsia="Calibri"/>
          <w:b/>
          <w:sz w:val="22"/>
          <w:szCs w:val="22"/>
        </w:rPr>
        <w:tab/>
      </w:r>
      <w:bookmarkStart w:id="0" w:name="_Hlk25329216"/>
      <w:bookmarkStart w:id="1" w:name="_Hlk528936373"/>
      <w:r w:rsidRPr="00F26347">
        <w:rPr>
          <w:rFonts w:eastAsia="Calibri"/>
          <w:b/>
          <w:sz w:val="22"/>
          <w:szCs w:val="22"/>
        </w:rPr>
        <w:t>NCE MX Group 196</w:t>
      </w:r>
    </w:p>
    <w:p w:rsidR="005203CF" w:rsidRPr="00F26347" w:rsidP="008F4DE6" w14:paraId="2844D949" w14:textId="77777777">
      <w:pPr>
        <w:ind w:left="5040" w:hanging="720"/>
        <w:rPr>
          <w:rFonts w:eastAsia="Calibri"/>
          <w:b/>
          <w:sz w:val="22"/>
          <w:szCs w:val="22"/>
        </w:rPr>
      </w:pPr>
    </w:p>
    <w:p w:rsidR="008F4DE6" w:rsidRPr="00F26347" w:rsidP="00F26347" w14:paraId="524D1983" w14:textId="59A84AA7">
      <w:pPr>
        <w:ind w:left="5040"/>
        <w:rPr>
          <w:rFonts w:eastAsia="Calibri"/>
          <w:b/>
          <w:sz w:val="22"/>
          <w:szCs w:val="22"/>
          <w:lang w:val="es-ES"/>
        </w:rPr>
      </w:pPr>
      <w:r w:rsidRPr="00F26347">
        <w:rPr>
          <w:b/>
          <w:bCs/>
          <w:sz w:val="22"/>
          <w:szCs w:val="22"/>
          <w:lang w:val="es-ES"/>
        </w:rPr>
        <w:t>Centro Cristiano de Vida Eterna San Antonio</w:t>
      </w:r>
    </w:p>
    <w:bookmarkEnd w:id="0"/>
    <w:bookmarkEnd w:id="1"/>
    <w:p w:rsidR="008F4DE6" w:rsidRPr="00716B79" w:rsidP="008F4DE6" w14:paraId="72D8A242" w14:textId="3451833F">
      <w:pPr>
        <w:ind w:left="4320" w:firstLine="720"/>
        <w:rPr>
          <w:rFonts w:eastAsia="Calibri"/>
          <w:bCs/>
          <w:sz w:val="22"/>
          <w:szCs w:val="22"/>
        </w:rPr>
      </w:pPr>
      <w:r w:rsidRPr="00716B79">
        <w:rPr>
          <w:rFonts w:eastAsia="Calibri"/>
          <w:bCs/>
          <w:sz w:val="22"/>
          <w:szCs w:val="22"/>
        </w:rPr>
        <w:t xml:space="preserve">New NCE FM Station, </w:t>
      </w:r>
      <w:r w:rsidRPr="00716B79" w:rsidR="001653AE">
        <w:rPr>
          <w:rFonts w:eastAsia="Calibri"/>
          <w:bCs/>
          <w:sz w:val="22"/>
          <w:szCs w:val="22"/>
        </w:rPr>
        <w:t>Shiner, Texas</w:t>
      </w:r>
    </w:p>
    <w:p w:rsidR="008F4DE6" w:rsidRPr="00716B79" w:rsidP="008F4DE6" w14:paraId="7BD5BEDA" w14:textId="1B44F308">
      <w:pPr>
        <w:tabs>
          <w:tab w:val="left" w:pos="5040"/>
        </w:tabs>
        <w:rPr>
          <w:rFonts w:eastAsia="Calibri"/>
          <w:bCs/>
          <w:sz w:val="22"/>
          <w:szCs w:val="22"/>
        </w:rPr>
      </w:pPr>
      <w:r w:rsidRPr="00716B79">
        <w:rPr>
          <w:rFonts w:eastAsia="Calibri"/>
          <w:bCs/>
          <w:sz w:val="22"/>
          <w:szCs w:val="22"/>
        </w:rPr>
        <w:tab/>
        <w:t xml:space="preserve">Facility ID No. </w:t>
      </w:r>
      <w:r w:rsidRPr="00716B79" w:rsidR="001768C8">
        <w:rPr>
          <w:rFonts w:eastAsia="Calibri"/>
          <w:bCs/>
          <w:sz w:val="22"/>
          <w:szCs w:val="22"/>
        </w:rPr>
        <w:t>768082</w:t>
      </w:r>
    </w:p>
    <w:p w:rsidR="005203CF" w:rsidP="002B3F7B" w14:paraId="494C1BBF" w14:textId="77777777">
      <w:pPr>
        <w:ind w:left="5040"/>
        <w:rPr>
          <w:sz w:val="22"/>
          <w:szCs w:val="22"/>
        </w:rPr>
      </w:pPr>
      <w:r w:rsidRPr="00716B79">
        <w:rPr>
          <w:rFonts w:eastAsia="Calibri"/>
          <w:noProof/>
          <w:sz w:val="22"/>
          <w:szCs w:val="22"/>
        </w:rPr>
        <w:t xml:space="preserve">Application </w:t>
      </w:r>
      <w:r w:rsidRPr="00716B79" w:rsidR="008F4DE6">
        <w:rPr>
          <w:rFonts w:eastAsia="Calibri"/>
          <w:noProof/>
          <w:sz w:val="22"/>
          <w:szCs w:val="22"/>
        </w:rPr>
        <w:t xml:space="preserve">File No. </w:t>
      </w:r>
      <w:r w:rsidRPr="00716B79" w:rsidR="00F84DAD">
        <w:rPr>
          <w:sz w:val="22"/>
          <w:szCs w:val="22"/>
        </w:rPr>
        <w:t>167134</w:t>
      </w:r>
    </w:p>
    <w:p w:rsidR="005203CF" w:rsidP="002B3F7B" w14:paraId="64F72DCF" w14:textId="77777777">
      <w:pPr>
        <w:ind w:left="5040"/>
        <w:rPr>
          <w:sz w:val="22"/>
          <w:szCs w:val="22"/>
        </w:rPr>
      </w:pPr>
    </w:p>
    <w:p w:rsidR="005203CF" w:rsidP="002B3F7B" w14:paraId="7ECFF05F" w14:textId="77777777">
      <w:pPr>
        <w:ind w:left="5040"/>
        <w:rPr>
          <w:sz w:val="22"/>
          <w:szCs w:val="22"/>
        </w:rPr>
      </w:pPr>
      <w:r>
        <w:rPr>
          <w:b/>
          <w:bCs/>
          <w:sz w:val="22"/>
          <w:szCs w:val="22"/>
        </w:rPr>
        <w:t>Texas Public Radio</w:t>
      </w:r>
    </w:p>
    <w:p w:rsidR="005203CF" w:rsidRPr="00716B79" w:rsidP="005203CF" w14:paraId="55580EC4" w14:textId="59CB7AA7">
      <w:pPr>
        <w:ind w:left="4320" w:firstLine="720"/>
        <w:rPr>
          <w:rFonts w:eastAsia="Calibri"/>
          <w:bCs/>
          <w:sz w:val="22"/>
          <w:szCs w:val="22"/>
        </w:rPr>
      </w:pPr>
      <w:r w:rsidRPr="00716B79">
        <w:rPr>
          <w:rFonts w:eastAsia="Calibri"/>
          <w:bCs/>
          <w:sz w:val="22"/>
          <w:szCs w:val="22"/>
        </w:rPr>
        <w:t xml:space="preserve">New NCE FM Station, </w:t>
      </w:r>
      <w:r>
        <w:rPr>
          <w:rFonts w:eastAsia="Calibri"/>
          <w:bCs/>
          <w:sz w:val="22"/>
          <w:szCs w:val="22"/>
        </w:rPr>
        <w:t>Gonzales</w:t>
      </w:r>
      <w:r w:rsidRPr="00716B79">
        <w:rPr>
          <w:rFonts w:eastAsia="Calibri"/>
          <w:bCs/>
          <w:sz w:val="22"/>
          <w:szCs w:val="22"/>
        </w:rPr>
        <w:t>, Texas</w:t>
      </w:r>
    </w:p>
    <w:p w:rsidR="005203CF" w:rsidRPr="00716B79" w:rsidP="005203CF" w14:paraId="2E3B50B1" w14:textId="3C9A6CC8">
      <w:pPr>
        <w:tabs>
          <w:tab w:val="left" w:pos="5040"/>
        </w:tabs>
        <w:rPr>
          <w:rFonts w:eastAsia="Calibri"/>
          <w:bCs/>
          <w:sz w:val="22"/>
          <w:szCs w:val="22"/>
        </w:rPr>
      </w:pPr>
      <w:r w:rsidRPr="00716B79">
        <w:rPr>
          <w:rFonts w:eastAsia="Calibri"/>
          <w:bCs/>
          <w:sz w:val="22"/>
          <w:szCs w:val="22"/>
        </w:rPr>
        <w:tab/>
        <w:t xml:space="preserve">Facility ID No. </w:t>
      </w:r>
      <w:r>
        <w:rPr>
          <w:rFonts w:eastAsia="Calibri"/>
          <w:bCs/>
          <w:sz w:val="22"/>
          <w:szCs w:val="22"/>
        </w:rPr>
        <w:t>766260</w:t>
      </w:r>
    </w:p>
    <w:p w:rsidR="005203CF" w:rsidP="005203CF" w14:paraId="349367D3" w14:textId="62FE94F4">
      <w:pPr>
        <w:ind w:left="5040"/>
        <w:rPr>
          <w:sz w:val="22"/>
          <w:szCs w:val="22"/>
        </w:rPr>
      </w:pPr>
      <w:r w:rsidRPr="00716B79">
        <w:rPr>
          <w:rFonts w:eastAsia="Calibri"/>
          <w:noProof/>
          <w:sz w:val="22"/>
          <w:szCs w:val="22"/>
        </w:rPr>
        <w:t xml:space="preserve">Application File No. </w:t>
      </w:r>
      <w:r>
        <w:rPr>
          <w:sz w:val="22"/>
          <w:szCs w:val="22"/>
        </w:rPr>
        <w:t>166683</w:t>
      </w:r>
    </w:p>
    <w:p w:rsidR="005203CF" w:rsidP="002B3F7B" w14:paraId="65BF68A7" w14:textId="77777777">
      <w:pPr>
        <w:ind w:left="5040"/>
        <w:rPr>
          <w:rFonts w:eastAsia="Calibri"/>
          <w:noProof/>
          <w:sz w:val="22"/>
          <w:szCs w:val="22"/>
        </w:rPr>
      </w:pPr>
    </w:p>
    <w:p w:rsidR="005203CF" w:rsidRPr="00C94FAC" w:rsidP="005203CF" w14:paraId="3534F2FA" w14:textId="77777777">
      <w:pPr>
        <w:ind w:left="5040"/>
        <w:rPr>
          <w:rFonts w:eastAsia="Calibri"/>
          <w:b/>
          <w:sz w:val="22"/>
          <w:szCs w:val="22"/>
          <w:lang w:val="es-ES"/>
        </w:rPr>
      </w:pPr>
      <w:r w:rsidRPr="00C94FAC">
        <w:rPr>
          <w:b/>
          <w:bCs/>
          <w:sz w:val="22"/>
          <w:szCs w:val="22"/>
          <w:lang w:val="es-ES"/>
        </w:rPr>
        <w:t>Centro Cristiano de Vida Eterna San Antonio</w:t>
      </w:r>
    </w:p>
    <w:p w:rsidR="005203CF" w:rsidRPr="00716B79" w:rsidP="005203CF" w14:paraId="4B5A2DEC" w14:textId="48033081">
      <w:pPr>
        <w:ind w:left="4320" w:firstLine="720"/>
        <w:rPr>
          <w:rFonts w:eastAsia="Calibri"/>
          <w:bCs/>
          <w:sz w:val="22"/>
          <w:szCs w:val="22"/>
        </w:rPr>
      </w:pPr>
      <w:r w:rsidRPr="00716B79">
        <w:rPr>
          <w:rFonts w:eastAsia="Calibri"/>
          <w:bCs/>
          <w:sz w:val="22"/>
          <w:szCs w:val="22"/>
        </w:rPr>
        <w:t xml:space="preserve">New NCE FM Station, </w:t>
      </w:r>
      <w:r>
        <w:rPr>
          <w:rFonts w:eastAsia="Calibri"/>
          <w:bCs/>
          <w:sz w:val="22"/>
          <w:szCs w:val="22"/>
        </w:rPr>
        <w:t>Runge</w:t>
      </w:r>
      <w:r w:rsidRPr="00716B79">
        <w:rPr>
          <w:rFonts w:eastAsia="Calibri"/>
          <w:bCs/>
          <w:sz w:val="22"/>
          <w:szCs w:val="22"/>
        </w:rPr>
        <w:t>, Texas</w:t>
      </w:r>
    </w:p>
    <w:p w:rsidR="005203CF" w:rsidRPr="00716B79" w:rsidP="005203CF" w14:paraId="5DA08D0D" w14:textId="65588599">
      <w:pPr>
        <w:tabs>
          <w:tab w:val="left" w:pos="5040"/>
        </w:tabs>
        <w:rPr>
          <w:rFonts w:eastAsia="Calibri"/>
          <w:bCs/>
          <w:sz w:val="22"/>
          <w:szCs w:val="22"/>
        </w:rPr>
      </w:pPr>
      <w:r w:rsidRPr="00716B79">
        <w:rPr>
          <w:rFonts w:eastAsia="Calibri"/>
          <w:bCs/>
          <w:sz w:val="22"/>
          <w:szCs w:val="22"/>
        </w:rPr>
        <w:tab/>
        <w:t>Facility ID No. 768</w:t>
      </w:r>
      <w:r>
        <w:rPr>
          <w:rFonts w:eastAsia="Calibri"/>
          <w:bCs/>
          <w:sz w:val="22"/>
          <w:szCs w:val="22"/>
        </w:rPr>
        <w:t>090</w:t>
      </w:r>
    </w:p>
    <w:p w:rsidR="005203CF" w:rsidP="005203CF" w14:paraId="73500F26" w14:textId="5824C672">
      <w:pPr>
        <w:ind w:left="5040"/>
        <w:rPr>
          <w:sz w:val="22"/>
          <w:szCs w:val="22"/>
        </w:rPr>
      </w:pPr>
      <w:r w:rsidRPr="00716B79">
        <w:rPr>
          <w:rFonts w:eastAsia="Calibri"/>
          <w:noProof/>
          <w:sz w:val="22"/>
          <w:szCs w:val="22"/>
        </w:rPr>
        <w:t xml:space="preserve">Application File No. </w:t>
      </w:r>
      <w:r w:rsidRPr="00716B79">
        <w:rPr>
          <w:sz w:val="22"/>
          <w:szCs w:val="22"/>
        </w:rPr>
        <w:t>16713</w:t>
      </w:r>
      <w:r>
        <w:rPr>
          <w:sz w:val="22"/>
          <w:szCs w:val="22"/>
        </w:rPr>
        <w:t>0</w:t>
      </w:r>
    </w:p>
    <w:p w:rsidR="009A40E6" w:rsidRPr="00716B79" w:rsidP="002B3F7B" w14:paraId="7C31B1A0" w14:textId="483E2698">
      <w:pPr>
        <w:ind w:left="5040"/>
        <w:rPr>
          <w:sz w:val="22"/>
          <w:szCs w:val="22"/>
        </w:rPr>
      </w:pPr>
    </w:p>
    <w:p w:rsidR="00A85378" w:rsidRPr="00716B79" w:rsidP="00A85378" w14:paraId="79D073D7" w14:textId="77777777">
      <w:pPr>
        <w:tabs>
          <w:tab w:val="left" w:pos="4680"/>
          <w:tab w:val="left" w:pos="5337"/>
        </w:tabs>
        <w:rPr>
          <w:rFonts w:eastAsia="Calibri"/>
          <w:sz w:val="22"/>
          <w:szCs w:val="22"/>
        </w:rPr>
      </w:pPr>
      <w:r w:rsidRPr="00716B79">
        <w:rPr>
          <w:rFonts w:eastAsia="Calibri"/>
          <w:sz w:val="22"/>
          <w:szCs w:val="22"/>
        </w:rPr>
        <w:t xml:space="preserve">Dear </w:t>
      </w:r>
      <w:r w:rsidRPr="00716B79" w:rsidR="00182271">
        <w:rPr>
          <w:rFonts w:eastAsia="Calibri"/>
          <w:noProof/>
          <w:sz w:val="22"/>
          <w:szCs w:val="22"/>
        </w:rPr>
        <w:t>Counsel</w:t>
      </w:r>
      <w:r w:rsidRPr="00716B79">
        <w:rPr>
          <w:rFonts w:eastAsia="Calibri"/>
          <w:sz w:val="22"/>
          <w:szCs w:val="22"/>
        </w:rPr>
        <w:t>:</w:t>
      </w:r>
    </w:p>
    <w:p w:rsidR="008D65E2" w:rsidRPr="00716B79" w:rsidP="00A85378" w14:paraId="41198B4E" w14:textId="77777777">
      <w:pPr>
        <w:tabs>
          <w:tab w:val="left" w:pos="4680"/>
          <w:tab w:val="left" w:pos="5337"/>
        </w:tabs>
        <w:rPr>
          <w:rFonts w:eastAsia="Calibri"/>
          <w:sz w:val="22"/>
          <w:szCs w:val="22"/>
        </w:rPr>
      </w:pPr>
    </w:p>
    <w:p w:rsidR="007C14FC" w:rsidRPr="003D0A51" w:rsidP="003D0A51" w14:paraId="27F2B60C" w14:textId="2EBA4D0E">
      <w:pPr>
        <w:tabs>
          <w:tab w:val="left" w:pos="720"/>
          <w:tab w:val="left" w:pos="4680"/>
          <w:tab w:val="left" w:pos="5337"/>
        </w:tabs>
        <w:spacing w:after="120"/>
        <w:ind w:firstLine="720"/>
        <w:rPr>
          <w:sz w:val="22"/>
          <w:szCs w:val="22"/>
        </w:rPr>
      </w:pPr>
      <w:r w:rsidRPr="00716B79">
        <w:rPr>
          <w:rFonts w:eastAsia="Calibri"/>
          <w:sz w:val="22"/>
          <w:szCs w:val="22"/>
        </w:rPr>
        <w:t>We have before us the referenced application (Application) filed by Centro Cristiano de Vida Eterna San Antonio (CCVESA), which seeks authority to construct a new noncommercial educational FM station at Shiner, Texas</w:t>
      </w:r>
      <w:r w:rsidRPr="00716B79" w:rsidR="00365F79">
        <w:rPr>
          <w:rFonts w:eastAsia="Calibri"/>
          <w:sz w:val="22"/>
          <w:szCs w:val="22"/>
        </w:rPr>
        <w:t>,</w:t>
      </w:r>
      <w:r>
        <w:rPr>
          <w:rStyle w:val="FootnoteReference"/>
          <w:rFonts w:eastAsia="Calibri"/>
          <w:sz w:val="22"/>
          <w:szCs w:val="22"/>
        </w:rPr>
        <w:footnoteReference w:id="2"/>
      </w:r>
      <w:r w:rsidRPr="00716B79" w:rsidR="00365F79">
        <w:rPr>
          <w:rFonts w:eastAsia="Calibri"/>
          <w:sz w:val="22"/>
          <w:szCs w:val="22"/>
        </w:rPr>
        <w:t xml:space="preserve"> and has been designated the tentative selectee for </w:t>
      </w:r>
      <w:r w:rsidR="00615660">
        <w:rPr>
          <w:rFonts w:eastAsia="Calibri"/>
          <w:sz w:val="22"/>
          <w:szCs w:val="22"/>
        </w:rPr>
        <w:t xml:space="preserve">NCE MX </w:t>
      </w:r>
      <w:r w:rsidRPr="00716B79" w:rsidR="00365F79">
        <w:rPr>
          <w:rFonts w:eastAsia="Calibri"/>
          <w:sz w:val="22"/>
          <w:szCs w:val="22"/>
        </w:rPr>
        <w:t>Group 196</w:t>
      </w:r>
      <w:r w:rsidRPr="00716B79">
        <w:rPr>
          <w:rFonts w:eastAsia="Calibri"/>
          <w:sz w:val="22"/>
          <w:szCs w:val="22"/>
        </w:rPr>
        <w:t>.</w:t>
      </w:r>
      <w:r>
        <w:rPr>
          <w:rStyle w:val="FootnoteReference"/>
          <w:rFonts w:eastAsia="Calibri"/>
          <w:sz w:val="22"/>
          <w:szCs w:val="22"/>
        </w:rPr>
        <w:footnoteReference w:id="3"/>
      </w:r>
      <w:r w:rsidRPr="00716B79">
        <w:rPr>
          <w:rFonts w:eastAsia="Calibri"/>
          <w:sz w:val="22"/>
          <w:szCs w:val="22"/>
        </w:rPr>
        <w:t xml:space="preserve">  </w:t>
      </w:r>
      <w:r w:rsidRPr="00716B79" w:rsidR="00DD61D3">
        <w:rPr>
          <w:sz w:val="22"/>
          <w:szCs w:val="22"/>
        </w:rPr>
        <w:t>Also before</w:t>
      </w:r>
      <w:r w:rsidRPr="00716B79" w:rsidR="00DA6478">
        <w:rPr>
          <w:sz w:val="22"/>
          <w:szCs w:val="22"/>
        </w:rPr>
        <w:t xml:space="preserve"> us</w:t>
      </w:r>
      <w:r w:rsidRPr="00716B79" w:rsidR="00DD61D3">
        <w:rPr>
          <w:sz w:val="22"/>
          <w:szCs w:val="22"/>
        </w:rPr>
        <w:t xml:space="preserve"> is a</w:t>
      </w:r>
      <w:r w:rsidRPr="00716B79" w:rsidR="00DA6478">
        <w:rPr>
          <w:sz w:val="22"/>
          <w:szCs w:val="22"/>
        </w:rPr>
        <w:t xml:space="preserve"> Petition to Deny (Petition) the Application filed by </w:t>
      </w:r>
      <w:r w:rsidRPr="00716B79" w:rsidR="00DD61D3">
        <w:rPr>
          <w:sz w:val="22"/>
          <w:szCs w:val="22"/>
        </w:rPr>
        <w:t>Texas Public Radio</w:t>
      </w:r>
      <w:r w:rsidRPr="00716B79" w:rsidR="00147C59">
        <w:rPr>
          <w:sz w:val="22"/>
          <w:szCs w:val="22"/>
        </w:rPr>
        <w:t xml:space="preserve"> (TPR)</w:t>
      </w:r>
      <w:r w:rsidRPr="00716B79" w:rsidR="00DD61D3">
        <w:rPr>
          <w:sz w:val="22"/>
          <w:szCs w:val="22"/>
        </w:rPr>
        <w:t>,</w:t>
      </w:r>
      <w:r>
        <w:rPr>
          <w:rStyle w:val="FootnoteReference"/>
          <w:sz w:val="22"/>
          <w:szCs w:val="22"/>
        </w:rPr>
        <w:footnoteReference w:id="4"/>
      </w:r>
      <w:r w:rsidRPr="00716B79" w:rsidR="00147C59">
        <w:rPr>
          <w:sz w:val="22"/>
          <w:szCs w:val="22"/>
        </w:rPr>
        <w:t xml:space="preserve"> and</w:t>
      </w:r>
      <w:r w:rsidRPr="00716B79" w:rsidR="00DD61D3">
        <w:rPr>
          <w:sz w:val="22"/>
          <w:szCs w:val="22"/>
        </w:rPr>
        <w:t xml:space="preserve"> </w:t>
      </w:r>
      <w:r w:rsidRPr="00716B79" w:rsidR="009C2B65">
        <w:rPr>
          <w:sz w:val="22"/>
          <w:szCs w:val="22"/>
        </w:rPr>
        <w:t>CCVESA’s response to a Letter of Inquiry sent by the Bureau</w:t>
      </w:r>
      <w:r w:rsidRPr="00716B79" w:rsidR="00035A60">
        <w:rPr>
          <w:sz w:val="22"/>
          <w:szCs w:val="22"/>
        </w:rPr>
        <w:t>.</w:t>
      </w:r>
      <w:r>
        <w:rPr>
          <w:rStyle w:val="FootnoteReference"/>
          <w:rFonts w:eastAsia="Calibri"/>
          <w:sz w:val="22"/>
          <w:szCs w:val="22"/>
        </w:rPr>
        <w:footnoteReference w:id="5"/>
      </w:r>
      <w:r w:rsidRPr="00716B79" w:rsidR="00DA6478">
        <w:rPr>
          <w:sz w:val="22"/>
          <w:szCs w:val="22"/>
        </w:rPr>
        <w:t xml:space="preserve"> </w:t>
      </w:r>
      <w:r w:rsidRPr="00716B79" w:rsidR="00035A60">
        <w:rPr>
          <w:sz w:val="22"/>
          <w:szCs w:val="22"/>
        </w:rPr>
        <w:t xml:space="preserve"> </w:t>
      </w:r>
      <w:r w:rsidRPr="00CE3B49" w:rsidR="00DA6478">
        <w:rPr>
          <w:sz w:val="22"/>
          <w:szCs w:val="22"/>
        </w:rPr>
        <w:t>For the reasons set forth below, we</w:t>
      </w:r>
      <w:r w:rsidRPr="00CE3B49" w:rsidR="00035A60">
        <w:rPr>
          <w:sz w:val="22"/>
          <w:szCs w:val="22"/>
        </w:rPr>
        <w:t xml:space="preserve"> </w:t>
      </w:r>
      <w:r w:rsidRPr="00CE3B49" w:rsidR="00147C59">
        <w:rPr>
          <w:sz w:val="22"/>
          <w:szCs w:val="22"/>
        </w:rPr>
        <w:t>grant the Petition</w:t>
      </w:r>
      <w:r w:rsidR="00A00AD2">
        <w:rPr>
          <w:sz w:val="22"/>
          <w:szCs w:val="22"/>
        </w:rPr>
        <w:t>,</w:t>
      </w:r>
      <w:r w:rsidRPr="00CE3B49" w:rsidR="00147C59">
        <w:rPr>
          <w:sz w:val="22"/>
          <w:szCs w:val="22"/>
        </w:rPr>
        <w:t xml:space="preserve"> </w:t>
      </w:r>
      <w:r w:rsidRPr="00A00AD2" w:rsidR="00A00AD2">
        <w:rPr>
          <w:szCs w:val="22"/>
        </w:rPr>
        <w:t xml:space="preserve"> </w:t>
      </w:r>
      <w:r w:rsidRPr="00F72FD7" w:rsidR="00A00AD2">
        <w:rPr>
          <w:sz w:val="22"/>
          <w:szCs w:val="22"/>
        </w:rPr>
        <w:t>rescind our tentative selection of the Application, dismiss the Application</w:t>
      </w:r>
      <w:r w:rsidR="003A38D1">
        <w:rPr>
          <w:sz w:val="22"/>
          <w:szCs w:val="22"/>
        </w:rPr>
        <w:t>,</w:t>
      </w:r>
      <w:r w:rsidRPr="00F72FD7" w:rsidR="00A00AD2">
        <w:rPr>
          <w:sz w:val="22"/>
          <w:szCs w:val="22"/>
        </w:rPr>
        <w:t xml:space="preserve"> and refer NCE MX Group 196 to the Commission to conduct a point system analysis.</w:t>
      </w:r>
      <w:r>
        <w:rPr>
          <w:rStyle w:val="FootnoteReference"/>
          <w:sz w:val="22"/>
          <w:szCs w:val="22"/>
        </w:rPr>
        <w:footnoteReference w:id="6"/>
      </w:r>
    </w:p>
    <w:p w:rsidR="006D6588" w:rsidRPr="00716B79" w:rsidP="005C2FB1" w14:paraId="2647AD28" w14:textId="571F7A61">
      <w:pPr>
        <w:tabs>
          <w:tab w:val="left" w:pos="720"/>
          <w:tab w:val="left" w:pos="4680"/>
          <w:tab w:val="left" w:pos="5337"/>
        </w:tabs>
        <w:spacing w:after="120"/>
        <w:ind w:firstLine="720"/>
        <w:rPr>
          <w:sz w:val="22"/>
          <w:szCs w:val="22"/>
        </w:rPr>
      </w:pPr>
      <w:r w:rsidRPr="00716B79">
        <w:rPr>
          <w:b/>
          <w:bCs/>
          <w:sz w:val="22"/>
          <w:szCs w:val="22"/>
        </w:rPr>
        <w:t xml:space="preserve">Background.  </w:t>
      </w:r>
      <w:r w:rsidR="00716B79">
        <w:rPr>
          <w:sz w:val="22"/>
          <w:szCs w:val="22"/>
        </w:rPr>
        <w:t>CCVESA filed the Application</w:t>
      </w:r>
      <w:r w:rsidRPr="00716B79" w:rsidR="00792BF2">
        <w:rPr>
          <w:sz w:val="22"/>
          <w:szCs w:val="22"/>
        </w:rPr>
        <w:t xml:space="preserve"> during </w:t>
      </w:r>
      <w:r w:rsidR="00C20139">
        <w:rPr>
          <w:sz w:val="22"/>
          <w:szCs w:val="22"/>
        </w:rPr>
        <w:t>the</w:t>
      </w:r>
      <w:r w:rsidRPr="00716B79" w:rsidR="00792BF2">
        <w:rPr>
          <w:sz w:val="22"/>
          <w:szCs w:val="22"/>
        </w:rPr>
        <w:t xml:space="preserve"> </w:t>
      </w:r>
      <w:r w:rsidRPr="00716B79" w:rsidR="00711724">
        <w:rPr>
          <w:sz w:val="22"/>
          <w:szCs w:val="22"/>
        </w:rPr>
        <w:t>November 2021 filing window for new NCE FM applications.</w:t>
      </w:r>
      <w:r>
        <w:rPr>
          <w:rStyle w:val="FootnoteReference"/>
          <w:sz w:val="22"/>
          <w:szCs w:val="22"/>
        </w:rPr>
        <w:footnoteReference w:id="7"/>
      </w:r>
      <w:r w:rsidRPr="00716B79" w:rsidR="007C2479">
        <w:rPr>
          <w:sz w:val="22"/>
          <w:szCs w:val="22"/>
        </w:rPr>
        <w:t xml:space="preserve">  </w:t>
      </w:r>
      <w:r w:rsidR="007D63DD">
        <w:rPr>
          <w:sz w:val="22"/>
          <w:szCs w:val="22"/>
        </w:rPr>
        <w:t>The Bureau determined that the Application was mutually exclusive with another application filed by CCVESA,</w:t>
      </w:r>
      <w:r>
        <w:rPr>
          <w:rStyle w:val="FootnoteReference"/>
          <w:sz w:val="22"/>
          <w:szCs w:val="22"/>
        </w:rPr>
        <w:footnoteReference w:id="8"/>
      </w:r>
      <w:r w:rsidR="007D63DD">
        <w:rPr>
          <w:sz w:val="22"/>
          <w:szCs w:val="22"/>
        </w:rPr>
        <w:t xml:space="preserve"> and an application filed by TPR</w:t>
      </w:r>
      <w:r w:rsidR="00DC0109">
        <w:rPr>
          <w:sz w:val="22"/>
          <w:szCs w:val="22"/>
        </w:rPr>
        <w:t>,</w:t>
      </w:r>
      <w:r>
        <w:rPr>
          <w:rStyle w:val="FootnoteReference"/>
          <w:sz w:val="22"/>
          <w:szCs w:val="22"/>
        </w:rPr>
        <w:footnoteReference w:id="9"/>
      </w:r>
      <w:r w:rsidR="00DC0109">
        <w:rPr>
          <w:sz w:val="22"/>
          <w:szCs w:val="22"/>
        </w:rPr>
        <w:t xml:space="preserve"> and designated the three applications </w:t>
      </w:r>
      <w:r w:rsidR="00615660">
        <w:rPr>
          <w:sz w:val="22"/>
          <w:szCs w:val="22"/>
        </w:rPr>
        <w:t xml:space="preserve">NCE MX </w:t>
      </w:r>
      <w:r w:rsidR="00DC0109">
        <w:rPr>
          <w:sz w:val="22"/>
          <w:szCs w:val="22"/>
        </w:rPr>
        <w:t>Group 196.</w:t>
      </w:r>
      <w:r>
        <w:rPr>
          <w:rStyle w:val="FootnoteReference"/>
          <w:sz w:val="22"/>
          <w:szCs w:val="22"/>
        </w:rPr>
        <w:footnoteReference w:id="10"/>
      </w:r>
      <w:r w:rsidR="00661B50">
        <w:rPr>
          <w:sz w:val="22"/>
          <w:szCs w:val="22"/>
        </w:rPr>
        <w:t xml:space="preserve">  </w:t>
      </w:r>
      <w:r w:rsidR="00167086">
        <w:rPr>
          <w:sz w:val="22"/>
          <w:szCs w:val="22"/>
        </w:rPr>
        <w:t xml:space="preserve">The Bureau later determined that the </w:t>
      </w:r>
      <w:r w:rsidR="00661B50">
        <w:rPr>
          <w:sz w:val="22"/>
          <w:szCs w:val="22"/>
        </w:rPr>
        <w:t>Application was entitled to a fair distribution preference</w:t>
      </w:r>
      <w:r w:rsidRPr="00716B79" w:rsidR="003273CC">
        <w:rPr>
          <w:sz w:val="22"/>
          <w:szCs w:val="22"/>
        </w:rPr>
        <w:t xml:space="preserve">, </w:t>
      </w:r>
      <w:r w:rsidR="00661B50">
        <w:rPr>
          <w:sz w:val="22"/>
          <w:szCs w:val="22"/>
        </w:rPr>
        <w:t>and designated</w:t>
      </w:r>
      <w:r w:rsidRPr="00716B79" w:rsidR="003273CC">
        <w:rPr>
          <w:sz w:val="22"/>
          <w:szCs w:val="22"/>
        </w:rPr>
        <w:t xml:space="preserve"> </w:t>
      </w:r>
      <w:r w:rsidR="00167086">
        <w:rPr>
          <w:sz w:val="22"/>
          <w:szCs w:val="22"/>
        </w:rPr>
        <w:t>it</w:t>
      </w:r>
      <w:r w:rsidRPr="00716B79" w:rsidR="003273CC">
        <w:rPr>
          <w:sz w:val="22"/>
          <w:szCs w:val="22"/>
        </w:rPr>
        <w:t xml:space="preserve"> the tentative selectee of </w:t>
      </w:r>
      <w:r w:rsidR="00615660">
        <w:rPr>
          <w:sz w:val="22"/>
          <w:szCs w:val="22"/>
        </w:rPr>
        <w:t xml:space="preserve">NCE MX </w:t>
      </w:r>
      <w:r w:rsidRPr="00716B79" w:rsidR="003273CC">
        <w:rPr>
          <w:sz w:val="22"/>
          <w:szCs w:val="22"/>
        </w:rPr>
        <w:t xml:space="preserve">Group </w:t>
      </w:r>
      <w:r w:rsidRPr="00716B79" w:rsidR="00E2711A">
        <w:rPr>
          <w:sz w:val="22"/>
          <w:szCs w:val="22"/>
        </w:rPr>
        <w:t>196</w:t>
      </w:r>
      <w:r w:rsidRPr="00716B79" w:rsidR="003273CC">
        <w:rPr>
          <w:sz w:val="22"/>
          <w:szCs w:val="22"/>
        </w:rPr>
        <w:t>.</w:t>
      </w:r>
      <w:r>
        <w:rPr>
          <w:rStyle w:val="FootnoteReference"/>
          <w:sz w:val="22"/>
          <w:szCs w:val="22"/>
        </w:rPr>
        <w:footnoteReference w:id="11"/>
      </w:r>
    </w:p>
    <w:p w:rsidR="00F82209" w:rsidRPr="00716B79" w:rsidP="005C2FB1" w14:paraId="6B83D97A" w14:textId="7966DF3E">
      <w:pPr>
        <w:tabs>
          <w:tab w:val="left" w:pos="720"/>
          <w:tab w:val="left" w:pos="4680"/>
          <w:tab w:val="left" w:pos="5337"/>
        </w:tabs>
        <w:spacing w:after="120"/>
        <w:ind w:firstLine="720"/>
        <w:rPr>
          <w:sz w:val="22"/>
          <w:szCs w:val="22"/>
        </w:rPr>
      </w:pPr>
      <w:r w:rsidRPr="00716B79">
        <w:rPr>
          <w:sz w:val="22"/>
          <w:szCs w:val="22"/>
        </w:rPr>
        <w:t>TPR</w:t>
      </w:r>
      <w:r w:rsidR="009839FF">
        <w:rPr>
          <w:sz w:val="22"/>
          <w:szCs w:val="22"/>
        </w:rPr>
        <w:t xml:space="preserve"> timely</w:t>
      </w:r>
      <w:r w:rsidRPr="00716B79">
        <w:rPr>
          <w:sz w:val="22"/>
          <w:szCs w:val="22"/>
        </w:rPr>
        <w:t xml:space="preserve"> filed </w:t>
      </w:r>
      <w:r w:rsidR="009839FF">
        <w:rPr>
          <w:sz w:val="22"/>
          <w:szCs w:val="22"/>
        </w:rPr>
        <w:t>the Petition</w:t>
      </w:r>
      <w:r w:rsidRPr="00716B79">
        <w:rPr>
          <w:sz w:val="22"/>
          <w:szCs w:val="22"/>
        </w:rPr>
        <w:t xml:space="preserve">.  </w:t>
      </w:r>
      <w:r w:rsidR="003C1AC9">
        <w:rPr>
          <w:sz w:val="22"/>
          <w:szCs w:val="22"/>
        </w:rPr>
        <w:t xml:space="preserve">Among other things, </w:t>
      </w:r>
      <w:r w:rsidRPr="00716B79">
        <w:rPr>
          <w:sz w:val="22"/>
          <w:szCs w:val="22"/>
        </w:rPr>
        <w:t xml:space="preserve">TPR asserts that Application should be </w:t>
      </w:r>
      <w:r w:rsidR="00D47638">
        <w:rPr>
          <w:sz w:val="22"/>
          <w:szCs w:val="22"/>
        </w:rPr>
        <w:t>dismissed</w:t>
      </w:r>
      <w:r w:rsidRPr="00716B79">
        <w:rPr>
          <w:sz w:val="22"/>
          <w:szCs w:val="22"/>
        </w:rPr>
        <w:t xml:space="preserve"> because CCVESA failed to provide a proper site assurance exhibit.</w:t>
      </w:r>
      <w:r>
        <w:rPr>
          <w:rStyle w:val="FootnoteReference"/>
          <w:sz w:val="22"/>
          <w:szCs w:val="22"/>
        </w:rPr>
        <w:footnoteReference w:id="12"/>
      </w:r>
      <w:r w:rsidRPr="00716B79">
        <w:rPr>
          <w:sz w:val="22"/>
          <w:szCs w:val="22"/>
        </w:rPr>
        <w:t xml:space="preserve">  TPR notes that the Application lists a tower owned by American Tower Corporation (ATC) but </w:t>
      </w:r>
      <w:r w:rsidR="005C2FB1">
        <w:rPr>
          <w:sz w:val="22"/>
          <w:szCs w:val="22"/>
        </w:rPr>
        <w:t>includes</w:t>
      </w:r>
      <w:r w:rsidRPr="00716B79">
        <w:rPr>
          <w:sz w:val="22"/>
          <w:szCs w:val="22"/>
        </w:rPr>
        <w:t xml:space="preserve"> contact information for </w:t>
      </w:r>
      <w:r w:rsidR="005C2FB1">
        <w:rPr>
          <w:sz w:val="22"/>
          <w:szCs w:val="22"/>
        </w:rPr>
        <w:t>an officer of</w:t>
      </w:r>
      <w:r w:rsidRPr="00716B79">
        <w:rPr>
          <w:sz w:val="22"/>
          <w:szCs w:val="22"/>
        </w:rPr>
        <w:t xml:space="preserve"> Vertical Bridge REIT, LLC, a different tower company.</w:t>
      </w:r>
      <w:r>
        <w:rPr>
          <w:rStyle w:val="FootnoteReference"/>
          <w:sz w:val="22"/>
          <w:szCs w:val="22"/>
        </w:rPr>
        <w:footnoteReference w:id="13"/>
      </w:r>
    </w:p>
    <w:p w:rsidR="006D7AB0" w:rsidRPr="005C2FB1" w:rsidP="005C2FB1" w14:paraId="491E0F0F" w14:textId="6C8ABDB6">
      <w:pPr>
        <w:tabs>
          <w:tab w:val="left" w:pos="720"/>
          <w:tab w:val="left" w:pos="4680"/>
          <w:tab w:val="left" w:pos="5337"/>
        </w:tabs>
        <w:spacing w:after="120"/>
        <w:ind w:firstLine="720"/>
        <w:rPr>
          <w:rFonts w:eastAsia="Calibri"/>
          <w:i/>
          <w:iCs/>
          <w:noProof/>
          <w:sz w:val="22"/>
          <w:szCs w:val="22"/>
        </w:rPr>
      </w:pPr>
      <w:r>
        <w:rPr>
          <w:sz w:val="22"/>
          <w:szCs w:val="22"/>
        </w:rPr>
        <w:t xml:space="preserve">To date, </w:t>
      </w:r>
      <w:r w:rsidRPr="00716B79">
        <w:rPr>
          <w:sz w:val="22"/>
          <w:szCs w:val="22"/>
        </w:rPr>
        <w:t>CCVESA has not opposed the Petition or amended the CCVESA-Shiner Application to correct the contact information provided</w:t>
      </w:r>
      <w:r>
        <w:rPr>
          <w:sz w:val="22"/>
          <w:szCs w:val="22"/>
        </w:rPr>
        <w:t xml:space="preserve">.  However, </w:t>
      </w:r>
      <w:r w:rsidRPr="00716B79">
        <w:rPr>
          <w:sz w:val="22"/>
          <w:szCs w:val="22"/>
        </w:rPr>
        <w:t xml:space="preserve">it </w:t>
      </w:r>
      <w:r w:rsidR="00BB294F">
        <w:rPr>
          <w:sz w:val="22"/>
          <w:szCs w:val="22"/>
        </w:rPr>
        <w:t>has responded</w:t>
      </w:r>
      <w:r w:rsidRPr="00716B79">
        <w:rPr>
          <w:sz w:val="22"/>
          <w:szCs w:val="22"/>
        </w:rPr>
        <w:t xml:space="preserve"> to </w:t>
      </w:r>
      <w:r>
        <w:rPr>
          <w:sz w:val="22"/>
          <w:szCs w:val="22"/>
        </w:rPr>
        <w:t>an</w:t>
      </w:r>
      <w:r w:rsidRPr="00716B79">
        <w:rPr>
          <w:sz w:val="22"/>
          <w:szCs w:val="22"/>
        </w:rPr>
        <w:t xml:space="preserve"> LOI we sent, which </w:t>
      </w:r>
      <w:r w:rsidRPr="00716B79">
        <w:rPr>
          <w:rFonts w:eastAsia="Calibri"/>
          <w:noProof/>
          <w:sz w:val="22"/>
          <w:szCs w:val="22"/>
        </w:rPr>
        <w:t xml:space="preserve">requested </w:t>
      </w:r>
      <w:r>
        <w:rPr>
          <w:rFonts w:eastAsia="Calibri"/>
          <w:noProof/>
          <w:sz w:val="22"/>
          <w:szCs w:val="22"/>
        </w:rPr>
        <w:t>information regarding</w:t>
      </w:r>
      <w:r w:rsidRPr="00716B79">
        <w:rPr>
          <w:rFonts w:eastAsia="Calibri"/>
          <w:noProof/>
          <w:sz w:val="22"/>
          <w:szCs w:val="22"/>
        </w:rPr>
        <w:t xml:space="preserve"> whether, at </w:t>
      </w:r>
      <w:r w:rsidRPr="005C2FB1">
        <w:rPr>
          <w:sz w:val="22"/>
          <w:szCs w:val="22"/>
        </w:rPr>
        <w:t>the</w:t>
      </w:r>
      <w:r w:rsidRPr="00716B79">
        <w:rPr>
          <w:rFonts w:eastAsia="Calibri"/>
          <w:noProof/>
          <w:sz w:val="22"/>
          <w:szCs w:val="22"/>
        </w:rPr>
        <w:t xml:space="preserve"> time it filed the Application, </w:t>
      </w:r>
      <w:r>
        <w:rPr>
          <w:rFonts w:eastAsia="Calibri"/>
          <w:noProof/>
          <w:sz w:val="22"/>
          <w:szCs w:val="22"/>
        </w:rPr>
        <w:t>CCVESA</w:t>
      </w:r>
      <w:r w:rsidRPr="00716B79">
        <w:rPr>
          <w:rFonts w:eastAsia="Calibri"/>
          <w:noProof/>
          <w:sz w:val="22"/>
          <w:szCs w:val="22"/>
        </w:rPr>
        <w:t xml:space="preserve"> had reasonable assurance that the site specified in the Application was available to it.</w:t>
      </w:r>
      <w:r>
        <w:rPr>
          <w:rStyle w:val="FootnoteReference"/>
          <w:sz w:val="22"/>
          <w:szCs w:val="22"/>
        </w:rPr>
        <w:footnoteReference w:id="14"/>
      </w:r>
      <w:r w:rsidRPr="00716B79">
        <w:rPr>
          <w:rFonts w:eastAsia="Calibri"/>
          <w:i/>
          <w:iCs/>
          <w:noProof/>
          <w:sz w:val="22"/>
          <w:szCs w:val="22"/>
        </w:rPr>
        <w:t xml:space="preserve">  </w:t>
      </w:r>
      <w:r w:rsidR="003A31AC">
        <w:rPr>
          <w:rFonts w:eastAsia="Calibri"/>
          <w:noProof/>
          <w:sz w:val="22"/>
          <w:szCs w:val="22"/>
        </w:rPr>
        <w:t xml:space="preserve">In </w:t>
      </w:r>
      <w:r w:rsidR="009D5D44">
        <w:rPr>
          <w:rFonts w:eastAsia="Calibri"/>
          <w:noProof/>
          <w:sz w:val="22"/>
          <w:szCs w:val="22"/>
        </w:rPr>
        <w:t>the LOI Response</w:t>
      </w:r>
      <w:r w:rsidR="003A31AC">
        <w:rPr>
          <w:rFonts w:eastAsia="Calibri"/>
          <w:noProof/>
          <w:sz w:val="22"/>
          <w:szCs w:val="22"/>
        </w:rPr>
        <w:t>, CCVESA indicated that it had</w:t>
      </w:r>
      <w:r w:rsidR="00D466EE">
        <w:rPr>
          <w:rFonts w:eastAsia="Calibri"/>
          <w:noProof/>
          <w:sz w:val="22"/>
          <w:szCs w:val="22"/>
        </w:rPr>
        <w:t xml:space="preserve"> not contacted </w:t>
      </w:r>
      <w:r w:rsidR="00E74CDD">
        <w:rPr>
          <w:rFonts w:eastAsia="Calibri"/>
          <w:noProof/>
          <w:sz w:val="22"/>
          <w:szCs w:val="22"/>
        </w:rPr>
        <w:t>ATC directly but understood that Cody Peters</w:t>
      </w:r>
      <w:r w:rsidR="007E659F">
        <w:rPr>
          <w:rFonts w:eastAsia="Calibri"/>
          <w:noProof/>
          <w:sz w:val="22"/>
          <w:szCs w:val="22"/>
        </w:rPr>
        <w:t xml:space="preserve"> at ATC had been contacted.</w:t>
      </w:r>
      <w:r>
        <w:rPr>
          <w:rStyle w:val="FootnoteReference"/>
          <w:rFonts w:eastAsia="Calibri"/>
          <w:noProof/>
          <w:sz w:val="22"/>
          <w:szCs w:val="22"/>
        </w:rPr>
        <w:footnoteReference w:id="15"/>
      </w:r>
      <w:r w:rsidR="007E659F">
        <w:rPr>
          <w:rFonts w:eastAsia="Calibri"/>
          <w:noProof/>
          <w:sz w:val="22"/>
          <w:szCs w:val="22"/>
        </w:rPr>
        <w:t xml:space="preserve">  </w:t>
      </w:r>
      <w:r w:rsidR="000107CE">
        <w:rPr>
          <w:rFonts w:eastAsia="Calibri"/>
          <w:noProof/>
          <w:sz w:val="22"/>
          <w:szCs w:val="22"/>
        </w:rPr>
        <w:t xml:space="preserve">While the LOI requested </w:t>
      </w:r>
      <w:r w:rsidR="00807169">
        <w:rPr>
          <w:rFonts w:eastAsia="Calibri"/>
          <w:noProof/>
          <w:sz w:val="22"/>
          <w:szCs w:val="22"/>
        </w:rPr>
        <w:t xml:space="preserve">“all documents … in the possession of [CCVESA] and its agents related to the availability of the proposed site,” </w:t>
      </w:r>
      <w:r w:rsidRPr="004D453D" w:rsidR="007E659F">
        <w:rPr>
          <w:rFonts w:eastAsia="Calibri"/>
          <w:noProof/>
          <w:sz w:val="22"/>
          <w:szCs w:val="22"/>
        </w:rPr>
        <w:t xml:space="preserve">CCVESA </w:t>
      </w:r>
      <w:r w:rsidR="007134D6">
        <w:rPr>
          <w:rFonts w:eastAsia="Calibri"/>
          <w:noProof/>
          <w:sz w:val="22"/>
          <w:szCs w:val="22"/>
        </w:rPr>
        <w:t>submitted no documentation with its LOI Response</w:t>
      </w:r>
      <w:r w:rsidRPr="004D453D">
        <w:rPr>
          <w:rFonts w:eastAsia="Calibri"/>
          <w:noProof/>
          <w:sz w:val="22"/>
          <w:szCs w:val="22"/>
        </w:rPr>
        <w:t>.</w:t>
      </w:r>
      <w:r w:rsidR="00A27A14">
        <w:rPr>
          <w:rFonts w:eastAsia="Calibri"/>
          <w:noProof/>
          <w:sz w:val="22"/>
          <w:szCs w:val="22"/>
        </w:rPr>
        <w:t xml:space="preserve">  </w:t>
      </w:r>
    </w:p>
    <w:p w:rsidR="00927DE0" w:rsidRPr="005C2FB1" w:rsidP="005C2FB1" w14:paraId="73E95FA3" w14:textId="4AA810C3">
      <w:pPr>
        <w:tabs>
          <w:tab w:val="left" w:pos="720"/>
          <w:tab w:val="left" w:pos="4680"/>
          <w:tab w:val="left" w:pos="5337"/>
        </w:tabs>
        <w:spacing w:after="120"/>
        <w:ind w:firstLine="720"/>
        <w:rPr>
          <w:rFonts w:eastAsia="Calibri"/>
          <w:sz w:val="22"/>
          <w:szCs w:val="22"/>
        </w:rPr>
      </w:pPr>
      <w:r w:rsidRPr="00716B79">
        <w:rPr>
          <w:rFonts w:eastAsia="Calibri"/>
          <w:b/>
          <w:bCs/>
          <w:sz w:val="22"/>
          <w:szCs w:val="22"/>
        </w:rPr>
        <w:t xml:space="preserve">Discussion.  </w:t>
      </w:r>
      <w:r w:rsidRPr="005C2FB1" w:rsidR="00590F38">
        <w:rPr>
          <w:sz w:val="22"/>
          <w:szCs w:val="22"/>
        </w:rPr>
        <w:t xml:space="preserve">We conclude that </w:t>
      </w:r>
      <w:r w:rsidRPr="005C2FB1" w:rsidR="00D1253E">
        <w:rPr>
          <w:sz w:val="22"/>
          <w:szCs w:val="22"/>
        </w:rPr>
        <w:t>the CCVESA-Shiner Application is defective.  As TPR notes,</w:t>
      </w:r>
      <w:r>
        <w:rPr>
          <w:rStyle w:val="FootnoteReference"/>
          <w:sz w:val="22"/>
          <w:szCs w:val="22"/>
        </w:rPr>
        <w:footnoteReference w:id="16"/>
      </w:r>
      <w:r w:rsidRPr="005C2FB1" w:rsidR="00587D1C">
        <w:rPr>
          <w:sz w:val="22"/>
          <w:szCs w:val="22"/>
        </w:rPr>
        <w:t xml:space="preserve"> </w:t>
      </w:r>
      <w:r w:rsidR="00D35AE0">
        <w:rPr>
          <w:sz w:val="22"/>
          <w:szCs w:val="22"/>
        </w:rPr>
        <w:t xml:space="preserve">because the Application specified a site owned by ATC, </w:t>
      </w:r>
      <w:r w:rsidRPr="005C2FB1" w:rsidR="00587D1C">
        <w:rPr>
          <w:sz w:val="22"/>
          <w:szCs w:val="22"/>
        </w:rPr>
        <w:t xml:space="preserve">CCVESA was required to </w:t>
      </w:r>
      <w:r w:rsidR="00B33A93">
        <w:rPr>
          <w:sz w:val="22"/>
          <w:szCs w:val="22"/>
        </w:rPr>
        <w:t>specify</w:t>
      </w:r>
      <w:r w:rsidRPr="005C2FB1" w:rsidR="00587D1C">
        <w:rPr>
          <w:sz w:val="22"/>
          <w:szCs w:val="22"/>
        </w:rPr>
        <w:t xml:space="preserve"> </w:t>
      </w:r>
      <w:r w:rsidR="002F769E">
        <w:rPr>
          <w:sz w:val="22"/>
          <w:szCs w:val="22"/>
        </w:rPr>
        <w:t>the name of the person contacted</w:t>
      </w:r>
      <w:r w:rsidR="00B33A93">
        <w:rPr>
          <w:sz w:val="22"/>
          <w:szCs w:val="22"/>
        </w:rPr>
        <w:t xml:space="preserve"> about the site, the person’s telephone number, and the person’s status (</w:t>
      </w:r>
      <w:r w:rsidRPr="00B33A93" w:rsidR="00B33A93">
        <w:rPr>
          <w:i/>
          <w:iCs/>
          <w:sz w:val="22"/>
          <w:szCs w:val="22"/>
        </w:rPr>
        <w:t xml:space="preserve">i.e. </w:t>
      </w:r>
      <w:r w:rsidR="00B33A93">
        <w:rPr>
          <w:sz w:val="22"/>
          <w:szCs w:val="22"/>
        </w:rPr>
        <w:t>owner, agent or authorized representative)</w:t>
      </w:r>
      <w:r w:rsidRPr="005C2FB1" w:rsidR="007D5330">
        <w:rPr>
          <w:sz w:val="22"/>
          <w:szCs w:val="22"/>
        </w:rPr>
        <w:t xml:space="preserve">.  CCVESA </w:t>
      </w:r>
      <w:r w:rsidR="00464543">
        <w:rPr>
          <w:sz w:val="22"/>
          <w:szCs w:val="22"/>
        </w:rPr>
        <w:t>submitted</w:t>
      </w:r>
      <w:r w:rsidRPr="005C2FB1" w:rsidR="007D5330">
        <w:rPr>
          <w:sz w:val="22"/>
          <w:szCs w:val="22"/>
        </w:rPr>
        <w:t xml:space="preserve"> information </w:t>
      </w:r>
      <w:r w:rsidRPr="00A675E2" w:rsidR="00E91E70">
        <w:rPr>
          <w:rFonts w:eastAsia="Calibri"/>
          <w:noProof/>
          <w:sz w:val="22"/>
          <w:szCs w:val="22"/>
        </w:rPr>
        <w:t>regarding</w:t>
      </w:r>
      <w:r w:rsidRPr="005C2FB1" w:rsidR="00E91E70">
        <w:rPr>
          <w:sz w:val="22"/>
          <w:szCs w:val="22"/>
        </w:rPr>
        <w:t xml:space="preserve"> </w:t>
      </w:r>
      <w:r w:rsidR="00464543">
        <w:rPr>
          <w:sz w:val="22"/>
          <w:szCs w:val="22"/>
        </w:rPr>
        <w:t>a</w:t>
      </w:r>
      <w:r w:rsidR="00E95A94">
        <w:rPr>
          <w:sz w:val="22"/>
          <w:szCs w:val="22"/>
        </w:rPr>
        <w:t xml:space="preserve">n individual </w:t>
      </w:r>
      <w:r w:rsidR="00464543">
        <w:rPr>
          <w:sz w:val="22"/>
          <w:szCs w:val="22"/>
        </w:rPr>
        <w:t>employed</w:t>
      </w:r>
      <w:r w:rsidRPr="005C2FB1" w:rsidR="00E91E70">
        <w:rPr>
          <w:sz w:val="22"/>
          <w:szCs w:val="22"/>
        </w:rPr>
        <w:t xml:space="preserve"> </w:t>
      </w:r>
      <w:r w:rsidR="00E95A94">
        <w:rPr>
          <w:sz w:val="22"/>
          <w:szCs w:val="22"/>
        </w:rPr>
        <w:t xml:space="preserve">by an </w:t>
      </w:r>
      <w:r w:rsidRPr="005C2FB1" w:rsidR="00E91E70">
        <w:rPr>
          <w:sz w:val="22"/>
          <w:szCs w:val="22"/>
        </w:rPr>
        <w:t>unrelated tower company.</w:t>
      </w:r>
      <w:r>
        <w:rPr>
          <w:rStyle w:val="FootnoteReference"/>
          <w:sz w:val="22"/>
          <w:szCs w:val="22"/>
        </w:rPr>
        <w:footnoteReference w:id="17"/>
      </w:r>
      <w:r w:rsidRPr="005C2FB1" w:rsidR="00E91E70">
        <w:rPr>
          <w:sz w:val="22"/>
          <w:szCs w:val="22"/>
        </w:rPr>
        <w:t xml:space="preserve">  To date, </w:t>
      </w:r>
      <w:r w:rsidR="00E95A94">
        <w:rPr>
          <w:sz w:val="22"/>
          <w:szCs w:val="22"/>
        </w:rPr>
        <w:t>CCVESA</w:t>
      </w:r>
      <w:r w:rsidRPr="005C2FB1" w:rsidR="00E91E70">
        <w:rPr>
          <w:sz w:val="22"/>
          <w:szCs w:val="22"/>
        </w:rPr>
        <w:t xml:space="preserve"> has not</w:t>
      </w:r>
      <w:r w:rsidRPr="005C2FB1" w:rsidR="007D5330">
        <w:rPr>
          <w:sz w:val="22"/>
          <w:szCs w:val="22"/>
        </w:rPr>
        <w:t xml:space="preserve"> amended the </w:t>
      </w:r>
      <w:r w:rsidRPr="005C2FB1" w:rsidR="00E91E70">
        <w:rPr>
          <w:sz w:val="22"/>
          <w:szCs w:val="22"/>
        </w:rPr>
        <w:t>Application to correct this error.</w:t>
      </w:r>
    </w:p>
    <w:p w:rsidR="00F72FD7" w:rsidP="00F72FD7" w14:paraId="5C7D2A26" w14:textId="3C2ACFC1">
      <w:pPr>
        <w:pStyle w:val="ParaNum"/>
        <w:numPr>
          <w:ilvl w:val="0"/>
          <w:numId w:val="0"/>
        </w:numPr>
        <w:ind w:firstLine="720"/>
        <w:rPr>
          <w:szCs w:val="22"/>
        </w:rPr>
      </w:pPr>
      <w:r w:rsidRPr="00111E0F">
        <w:rPr>
          <w:rFonts w:eastAsia="Calibri"/>
          <w:szCs w:val="22"/>
        </w:rPr>
        <w:t xml:space="preserve">We also find that, based </w:t>
      </w:r>
      <w:r w:rsidRPr="00111E0F" w:rsidR="007475D6">
        <w:rPr>
          <w:rFonts w:eastAsia="Calibri"/>
          <w:noProof/>
          <w:szCs w:val="22"/>
        </w:rPr>
        <w:t xml:space="preserve">on the record before us, </w:t>
      </w:r>
      <w:r w:rsidRPr="00111E0F" w:rsidR="00223900">
        <w:rPr>
          <w:rFonts w:eastAsia="Calibri"/>
          <w:noProof/>
          <w:szCs w:val="22"/>
        </w:rPr>
        <w:t>CCVESA</w:t>
      </w:r>
      <w:r w:rsidRPr="00111E0F" w:rsidR="007475D6">
        <w:rPr>
          <w:rFonts w:eastAsia="Calibri"/>
          <w:noProof/>
          <w:szCs w:val="22"/>
        </w:rPr>
        <w:t xml:space="preserve"> </w:t>
      </w:r>
      <w:r w:rsidRPr="00111E0F" w:rsidR="009E564A">
        <w:rPr>
          <w:rFonts w:eastAsia="Calibri"/>
          <w:noProof/>
          <w:szCs w:val="22"/>
        </w:rPr>
        <w:t xml:space="preserve">lacked reasonable assurance that the site specified in the </w:t>
      </w:r>
      <w:r w:rsidRPr="00111E0F" w:rsidR="007C14FC">
        <w:rPr>
          <w:rFonts w:eastAsia="Calibri"/>
          <w:noProof/>
          <w:szCs w:val="22"/>
        </w:rPr>
        <w:t>Application</w:t>
      </w:r>
      <w:r w:rsidRPr="00111E0F" w:rsidR="009E564A">
        <w:rPr>
          <w:rFonts w:eastAsia="Calibri"/>
          <w:noProof/>
          <w:szCs w:val="22"/>
        </w:rPr>
        <w:t xml:space="preserve"> </w:t>
      </w:r>
      <w:r w:rsidRPr="00111E0F" w:rsidR="009E564A">
        <w:rPr>
          <w:rFonts w:eastAsia="Calibri"/>
          <w:szCs w:val="22"/>
        </w:rPr>
        <w:t>was</w:t>
      </w:r>
      <w:r w:rsidRPr="00111E0F" w:rsidR="009E564A">
        <w:rPr>
          <w:rFonts w:eastAsia="Calibri"/>
          <w:noProof/>
          <w:szCs w:val="22"/>
        </w:rPr>
        <w:t xml:space="preserve"> available at the time it filed the Application.</w:t>
      </w:r>
      <w:r w:rsidRPr="00111E0F" w:rsidR="00E707D7">
        <w:rPr>
          <w:rFonts w:eastAsia="Calibri"/>
          <w:noProof/>
          <w:szCs w:val="22"/>
        </w:rPr>
        <w:t xml:space="preserve">  </w:t>
      </w:r>
      <w:r w:rsidRPr="00111E0F" w:rsidR="00B536A7">
        <w:rPr>
          <w:rFonts w:eastAsia="Calibri"/>
          <w:noProof/>
          <w:szCs w:val="22"/>
        </w:rPr>
        <w:t xml:space="preserve">CCVESA </w:t>
      </w:r>
      <w:r w:rsidR="00C413C1">
        <w:rPr>
          <w:rFonts w:eastAsia="Calibri"/>
          <w:noProof/>
          <w:szCs w:val="22"/>
        </w:rPr>
        <w:t xml:space="preserve">has not submitted any evidence </w:t>
      </w:r>
      <w:r w:rsidR="00B73A53">
        <w:rPr>
          <w:rFonts w:eastAsia="Calibri"/>
          <w:noProof/>
          <w:szCs w:val="22"/>
        </w:rPr>
        <w:t xml:space="preserve">that it obtained reasonable assurance of the availability of </w:t>
      </w:r>
      <w:r w:rsidRPr="00111E0F" w:rsidR="00C413C1">
        <w:rPr>
          <w:rFonts w:eastAsia="Calibri"/>
          <w:noProof/>
          <w:szCs w:val="22"/>
        </w:rPr>
        <w:t>the site specified in the Application</w:t>
      </w:r>
      <w:r w:rsidRPr="00111E0F" w:rsidR="00B536A7">
        <w:rPr>
          <w:rFonts w:eastAsia="Calibri"/>
          <w:noProof/>
          <w:szCs w:val="22"/>
        </w:rPr>
        <w:t>.</w:t>
      </w:r>
      <w:r w:rsidRPr="00111E0F" w:rsidR="00F31C94">
        <w:rPr>
          <w:rFonts w:eastAsia="Calibri"/>
          <w:noProof/>
          <w:szCs w:val="22"/>
        </w:rPr>
        <w:t xml:space="preserve">  </w:t>
      </w:r>
      <w:r w:rsidR="000608E6">
        <w:rPr>
          <w:rFonts w:eastAsia="Calibri"/>
          <w:noProof/>
          <w:szCs w:val="22"/>
        </w:rPr>
        <w:t xml:space="preserve">This site availability defect </w:t>
      </w:r>
      <w:r w:rsidRPr="00111E0F" w:rsidR="00E707D7">
        <w:rPr>
          <w:rFonts w:eastAsia="Calibri"/>
          <w:noProof/>
          <w:szCs w:val="22"/>
        </w:rPr>
        <w:t>is non-curable and renders the Application subject to dismissal</w:t>
      </w:r>
      <w:r w:rsidRPr="00111E0F" w:rsidR="00CF50D9">
        <w:rPr>
          <w:rFonts w:eastAsia="Calibri"/>
          <w:noProof/>
          <w:szCs w:val="22"/>
        </w:rPr>
        <w:t xml:space="preserve"> without an opportunity to amend</w:t>
      </w:r>
      <w:r w:rsidRPr="00111E0F" w:rsidR="00E707D7">
        <w:rPr>
          <w:rFonts w:eastAsia="Calibri"/>
          <w:noProof/>
          <w:szCs w:val="22"/>
        </w:rPr>
        <w:t>.</w:t>
      </w:r>
      <w:r>
        <w:rPr>
          <w:rStyle w:val="FootnoteReference"/>
          <w:rFonts w:eastAsia="Calibri"/>
          <w:noProof/>
          <w:szCs w:val="22"/>
        </w:rPr>
        <w:footnoteReference w:id="18"/>
      </w:r>
      <w:r w:rsidRPr="00111E0F" w:rsidR="009E564A">
        <w:rPr>
          <w:rFonts w:eastAsia="Calibri"/>
          <w:noProof/>
          <w:szCs w:val="22"/>
        </w:rPr>
        <w:t xml:space="preserve">  </w:t>
      </w:r>
      <w:r w:rsidRPr="000428CA">
        <w:rPr>
          <w:szCs w:val="22"/>
        </w:rPr>
        <w:t>Accordingly, we grant the</w:t>
      </w:r>
      <w:r>
        <w:rPr>
          <w:szCs w:val="22"/>
        </w:rPr>
        <w:t xml:space="preserve"> Petition,</w:t>
      </w:r>
      <w:r w:rsidRPr="000428CA">
        <w:rPr>
          <w:szCs w:val="22"/>
        </w:rPr>
        <w:t xml:space="preserve"> rescind our initial tentative selection of the Application</w:t>
      </w:r>
      <w:r>
        <w:rPr>
          <w:szCs w:val="22"/>
        </w:rPr>
        <w:t xml:space="preserve">, and dismiss the </w:t>
      </w:r>
      <w:r w:rsidR="009A54D5">
        <w:rPr>
          <w:szCs w:val="22"/>
        </w:rPr>
        <w:t>A</w:t>
      </w:r>
      <w:r>
        <w:rPr>
          <w:szCs w:val="22"/>
        </w:rPr>
        <w:t>pplication</w:t>
      </w:r>
      <w:r w:rsidRPr="000428CA">
        <w:rPr>
          <w:szCs w:val="22"/>
        </w:rPr>
        <w:t xml:space="preserve">. </w:t>
      </w:r>
    </w:p>
    <w:p w:rsidR="00A73E6E" w:rsidP="00A73E6E" w14:paraId="5E23C634" w14:textId="5170E565">
      <w:pPr>
        <w:pStyle w:val="ParaNum"/>
        <w:numPr>
          <w:ilvl w:val="0"/>
          <w:numId w:val="0"/>
        </w:numPr>
        <w:ind w:firstLine="720"/>
        <w:rPr>
          <w:szCs w:val="22"/>
        </w:rPr>
      </w:pPr>
      <w:r w:rsidRPr="000428CA">
        <w:rPr>
          <w:szCs w:val="22"/>
        </w:rPr>
        <w:t xml:space="preserve"> </w:t>
      </w:r>
      <w:r>
        <w:rPr>
          <w:szCs w:val="22"/>
        </w:rPr>
        <w:t xml:space="preserve">In light of this finding, we </w:t>
      </w:r>
      <w:r w:rsidRPr="000428CA">
        <w:rPr>
          <w:szCs w:val="22"/>
        </w:rPr>
        <w:t>conduct a new fair distribution analysis</w:t>
      </w:r>
      <w:r>
        <w:rPr>
          <w:szCs w:val="22"/>
        </w:rPr>
        <w:t>.</w:t>
      </w:r>
      <w:r w:rsidR="00A45503">
        <w:rPr>
          <w:szCs w:val="22"/>
        </w:rPr>
        <w:t xml:space="preserve">  The remaining two applications in NCE MX Group 196 propose service to different communities in Texas.</w:t>
      </w:r>
      <w:r w:rsidR="00BD7934">
        <w:rPr>
          <w:szCs w:val="22"/>
        </w:rPr>
        <w:t xml:space="preserve"> </w:t>
      </w:r>
      <w:r w:rsidR="001B7DF7">
        <w:rPr>
          <w:szCs w:val="22"/>
        </w:rPr>
        <w:t xml:space="preserve"> </w:t>
      </w:r>
      <w:r w:rsidR="00BD7934">
        <w:rPr>
          <w:szCs w:val="22"/>
        </w:rPr>
        <w:t xml:space="preserve">Texas Public Radio proposes to serve </w:t>
      </w:r>
      <w:r w:rsidR="000B33F1">
        <w:rPr>
          <w:szCs w:val="22"/>
        </w:rPr>
        <w:t>Gonzales</w:t>
      </w:r>
      <w:r w:rsidR="00BD7934">
        <w:rPr>
          <w:szCs w:val="22"/>
        </w:rPr>
        <w:t xml:space="preserve">.  </w:t>
      </w:r>
      <w:r w:rsidR="00327B71">
        <w:rPr>
          <w:szCs w:val="22"/>
        </w:rPr>
        <w:t>CCVESA</w:t>
      </w:r>
      <w:r w:rsidR="00BD7934">
        <w:rPr>
          <w:szCs w:val="22"/>
        </w:rPr>
        <w:t xml:space="preserve"> proposes to serve Runge (CCVESA-Runge).  Each applicant claims eligibility for a fair distribution preference based on first NCE service population totals.</w:t>
      </w:r>
      <w:r>
        <w:rPr>
          <w:rStyle w:val="FootnoteReference"/>
          <w:szCs w:val="22"/>
        </w:rPr>
        <w:footnoteReference w:id="19"/>
      </w:r>
      <w:r w:rsidR="00BD7934">
        <w:rPr>
          <w:szCs w:val="22"/>
        </w:rPr>
        <w:t xml:space="preserve">  </w:t>
      </w:r>
      <w:r w:rsidR="00106E23">
        <w:rPr>
          <w:szCs w:val="22"/>
        </w:rPr>
        <w:t>TPR claims to provide new first NCE service to 4,175 people</w:t>
      </w:r>
      <w:r w:rsidR="00460759">
        <w:rPr>
          <w:szCs w:val="22"/>
        </w:rPr>
        <w:t>,</w:t>
      </w:r>
      <w:r w:rsidR="00106E23">
        <w:rPr>
          <w:szCs w:val="22"/>
        </w:rPr>
        <w:t xml:space="preserve"> and CCVESA-Runge claims to provide new first NCE service to 3,724 people.  The proposals are comparable because neither exceeds the other by at least 5,000 people.</w:t>
      </w:r>
      <w:r>
        <w:rPr>
          <w:rStyle w:val="FootnoteReference"/>
          <w:szCs w:val="22"/>
        </w:rPr>
        <w:footnoteReference w:id="20"/>
      </w:r>
      <w:r w:rsidR="00106E23">
        <w:rPr>
          <w:szCs w:val="22"/>
        </w:rPr>
        <w:t xml:space="preserve">  </w:t>
      </w:r>
      <w:r w:rsidR="00EC7478">
        <w:rPr>
          <w:szCs w:val="22"/>
        </w:rPr>
        <w:t>Therefore</w:t>
      </w:r>
      <w:r w:rsidR="00106E23">
        <w:rPr>
          <w:szCs w:val="22"/>
        </w:rPr>
        <w:t xml:space="preserve">, we consider combined first and second NCE service population totals.  TPR would provide a first or second NCE service to </w:t>
      </w:r>
      <w:r w:rsidR="001B7DF7">
        <w:rPr>
          <w:szCs w:val="22"/>
        </w:rPr>
        <w:t>16,542</w:t>
      </w:r>
      <w:r w:rsidR="00106E23">
        <w:rPr>
          <w:szCs w:val="22"/>
        </w:rPr>
        <w:t xml:space="preserve"> people</w:t>
      </w:r>
      <w:r w:rsidR="00460759">
        <w:rPr>
          <w:szCs w:val="22"/>
        </w:rPr>
        <w:t>,</w:t>
      </w:r>
      <w:r w:rsidR="00106E23">
        <w:rPr>
          <w:szCs w:val="22"/>
        </w:rPr>
        <w:t xml:space="preserve"> and CCVESA</w:t>
      </w:r>
      <w:r>
        <w:rPr>
          <w:szCs w:val="22"/>
        </w:rPr>
        <w:t>-Runge</w:t>
      </w:r>
      <w:r w:rsidR="00106E23">
        <w:rPr>
          <w:szCs w:val="22"/>
        </w:rPr>
        <w:t xml:space="preserve"> would provide a first or second </w:t>
      </w:r>
      <w:r w:rsidR="00460759">
        <w:rPr>
          <w:szCs w:val="22"/>
        </w:rPr>
        <w:t xml:space="preserve">NCE </w:t>
      </w:r>
      <w:r w:rsidR="00106E23">
        <w:rPr>
          <w:szCs w:val="22"/>
        </w:rPr>
        <w:t xml:space="preserve">service to </w:t>
      </w:r>
      <w:r w:rsidR="001B7DF7">
        <w:rPr>
          <w:szCs w:val="22"/>
        </w:rPr>
        <w:t>18,675</w:t>
      </w:r>
      <w:r w:rsidR="00106E23">
        <w:rPr>
          <w:szCs w:val="22"/>
        </w:rPr>
        <w:t xml:space="preserve"> people.</w:t>
      </w:r>
      <w:r>
        <w:rPr>
          <w:rStyle w:val="FootnoteReference"/>
          <w:szCs w:val="22"/>
        </w:rPr>
        <w:footnoteReference w:id="21"/>
      </w:r>
      <w:r w:rsidR="00106E23">
        <w:rPr>
          <w:szCs w:val="22"/>
        </w:rPr>
        <w:t xml:space="preserve">  Because these proposals are also comparable, the fair distribution analysis ends here.</w:t>
      </w:r>
      <w:r>
        <w:rPr>
          <w:szCs w:val="22"/>
        </w:rPr>
        <w:t xml:space="preserve">  </w:t>
      </w:r>
      <w:r w:rsidRPr="000428CA">
        <w:rPr>
          <w:szCs w:val="22"/>
        </w:rPr>
        <w:t xml:space="preserve">Accordingly, </w:t>
      </w:r>
      <w:r>
        <w:rPr>
          <w:szCs w:val="22"/>
        </w:rPr>
        <w:t xml:space="preserve">because </w:t>
      </w:r>
      <w:r w:rsidRPr="000428CA">
        <w:rPr>
          <w:szCs w:val="22"/>
        </w:rPr>
        <w:t xml:space="preserve">we are unable to designate a tentative selectee under a </w:t>
      </w:r>
      <w:r w:rsidR="008F53E0">
        <w:rPr>
          <w:szCs w:val="22"/>
        </w:rPr>
        <w:t xml:space="preserve">section </w:t>
      </w:r>
      <w:r w:rsidRPr="000428CA">
        <w:rPr>
          <w:szCs w:val="22"/>
        </w:rPr>
        <w:t>307(b) fair distribution analysis</w:t>
      </w:r>
      <w:r>
        <w:rPr>
          <w:szCs w:val="22"/>
        </w:rPr>
        <w:t xml:space="preserve">, TPR and CCVESA-Runge will proceed to a point system analysis. </w:t>
      </w:r>
    </w:p>
    <w:p w:rsidR="003245BE" w:rsidRPr="000428CA" w:rsidP="003245BE" w14:paraId="1DA77D19" w14:textId="77777777">
      <w:pPr>
        <w:pStyle w:val="ParaNum"/>
        <w:numPr>
          <w:ilvl w:val="0"/>
          <w:numId w:val="0"/>
        </w:numPr>
        <w:ind w:firstLine="720"/>
        <w:contextualSpacing/>
        <w:rPr>
          <w:szCs w:val="22"/>
        </w:rPr>
      </w:pPr>
      <w:r w:rsidRPr="000428CA">
        <w:rPr>
          <w:szCs w:val="22"/>
        </w:rPr>
        <w:t>The point system analysis, which is conducted when section 307(b) is not determinative, must be conducted by the Commission, as this analysis is considered a simplified “hearing” for purposes of section 155(c)(1) of the Act.</w:t>
      </w:r>
      <w:r>
        <w:rPr>
          <w:rStyle w:val="FootnoteReference"/>
          <w:szCs w:val="22"/>
        </w:rPr>
        <w:footnoteReference w:id="22"/>
      </w:r>
      <w:r w:rsidRPr="000428CA">
        <w:rPr>
          <w:szCs w:val="22"/>
        </w:rPr>
        <w:t xml:space="preserve">  Accordingly we </w:t>
      </w:r>
      <w:r>
        <w:rPr>
          <w:szCs w:val="22"/>
        </w:rPr>
        <w:t xml:space="preserve">have </w:t>
      </w:r>
      <w:r w:rsidRPr="000428CA">
        <w:rPr>
          <w:szCs w:val="22"/>
        </w:rPr>
        <w:t>refer</w:t>
      </w:r>
      <w:r>
        <w:rPr>
          <w:szCs w:val="22"/>
        </w:rPr>
        <w:t>red</w:t>
      </w:r>
      <w:r w:rsidRPr="000428CA">
        <w:rPr>
          <w:szCs w:val="22"/>
        </w:rPr>
        <w:t xml:space="preserve"> the matter to the Commission to make a determination under a point </w:t>
      </w:r>
      <w:r>
        <w:rPr>
          <w:szCs w:val="22"/>
        </w:rPr>
        <w:t>system</w:t>
      </w:r>
      <w:r w:rsidRPr="000428CA">
        <w:rPr>
          <w:szCs w:val="22"/>
        </w:rPr>
        <w:t xml:space="preserve"> analysis</w:t>
      </w:r>
      <w:r>
        <w:rPr>
          <w:szCs w:val="22"/>
        </w:rPr>
        <w:t>.</w:t>
      </w:r>
      <w:r>
        <w:rPr>
          <w:rStyle w:val="FootnoteReference"/>
          <w:szCs w:val="22"/>
        </w:rPr>
        <w:footnoteReference w:id="23"/>
      </w:r>
      <w:r>
        <w:rPr>
          <w:szCs w:val="22"/>
        </w:rPr>
        <w:t xml:space="preserve"> </w:t>
      </w:r>
    </w:p>
    <w:p w:rsidR="00EC7478" w:rsidP="007D2D6B" w14:paraId="03BCD13A" w14:textId="6928F27E">
      <w:pPr>
        <w:tabs>
          <w:tab w:val="left" w:pos="0"/>
        </w:tabs>
        <w:suppressAutoHyphens/>
        <w:spacing w:after="120"/>
        <w:outlineLvl w:val="0"/>
        <w:rPr>
          <w:rFonts w:eastAsia="Calibri"/>
          <w:noProof/>
          <w:sz w:val="22"/>
          <w:szCs w:val="22"/>
        </w:rPr>
      </w:pPr>
      <w:r>
        <w:rPr>
          <w:szCs w:val="22"/>
        </w:rPr>
        <w:t xml:space="preserve"> </w:t>
      </w:r>
      <w:r w:rsidR="009A54D5">
        <w:rPr>
          <w:rFonts w:eastAsia="Calibri"/>
          <w:b/>
          <w:bCs/>
          <w:noProof/>
          <w:sz w:val="22"/>
          <w:szCs w:val="22"/>
        </w:rPr>
        <w:tab/>
      </w:r>
      <w:r w:rsidRPr="00652FAE" w:rsidR="005C2FB1">
        <w:rPr>
          <w:rFonts w:eastAsia="Calibri"/>
          <w:b/>
          <w:bCs/>
          <w:noProof/>
          <w:sz w:val="22"/>
          <w:szCs w:val="22"/>
        </w:rPr>
        <w:t>Ordering Clauses.</w:t>
      </w:r>
      <w:r w:rsidR="005C2FB1">
        <w:rPr>
          <w:rFonts w:eastAsia="Calibri"/>
          <w:noProof/>
          <w:sz w:val="22"/>
          <w:szCs w:val="22"/>
        </w:rPr>
        <w:t xml:space="preserve">  </w:t>
      </w:r>
      <w:r w:rsidR="00F7063E">
        <w:rPr>
          <w:rFonts w:eastAsia="Calibri"/>
          <w:noProof/>
          <w:sz w:val="22"/>
          <w:szCs w:val="22"/>
        </w:rPr>
        <w:t xml:space="preserve">For the reasons discussed above, </w:t>
      </w:r>
      <w:r w:rsidRPr="00F7063E" w:rsidR="00F7063E">
        <w:rPr>
          <w:rFonts w:eastAsia="Calibri"/>
          <w:b/>
          <w:bCs/>
          <w:noProof/>
          <w:sz w:val="22"/>
          <w:szCs w:val="22"/>
        </w:rPr>
        <w:t>IT IS ORDERED</w:t>
      </w:r>
      <w:r w:rsidR="00F7063E">
        <w:rPr>
          <w:rFonts w:eastAsia="Calibri"/>
          <w:noProof/>
          <w:sz w:val="22"/>
          <w:szCs w:val="22"/>
        </w:rPr>
        <w:t xml:space="preserve"> that the Petition to Deny </w:t>
      </w:r>
      <w:r w:rsidR="00743442">
        <w:rPr>
          <w:rFonts w:eastAsia="Calibri"/>
          <w:noProof/>
          <w:sz w:val="22"/>
          <w:szCs w:val="22"/>
        </w:rPr>
        <w:t xml:space="preserve">(Pleading File No. </w:t>
      </w:r>
      <w:r w:rsidR="00652FAE">
        <w:rPr>
          <w:rFonts w:eastAsia="Calibri"/>
          <w:noProof/>
          <w:sz w:val="22"/>
          <w:szCs w:val="22"/>
        </w:rPr>
        <w:t xml:space="preserve">204985) </w:t>
      </w:r>
      <w:r w:rsidR="00F7063E">
        <w:rPr>
          <w:rFonts w:eastAsia="Calibri"/>
          <w:noProof/>
          <w:sz w:val="22"/>
          <w:szCs w:val="22"/>
        </w:rPr>
        <w:t xml:space="preserve">filed by Texas Public Radio on December 9, 2022, </w:t>
      </w:r>
      <w:r w:rsidRPr="00F7063E" w:rsidR="00F7063E">
        <w:rPr>
          <w:rFonts w:eastAsia="Calibri"/>
          <w:b/>
          <w:bCs/>
          <w:noProof/>
          <w:sz w:val="22"/>
          <w:szCs w:val="22"/>
        </w:rPr>
        <w:t>IS GRANTED</w:t>
      </w:r>
      <w:r w:rsidR="00F7063E">
        <w:rPr>
          <w:rFonts w:eastAsia="Calibri"/>
          <w:noProof/>
          <w:sz w:val="22"/>
          <w:szCs w:val="22"/>
        </w:rPr>
        <w:t xml:space="preserve">.  </w:t>
      </w:r>
    </w:p>
    <w:p w:rsidR="007C14FC" w:rsidRPr="00716B79" w:rsidP="007D2D6B" w14:paraId="3F824853" w14:textId="6697278C">
      <w:pPr>
        <w:tabs>
          <w:tab w:val="left" w:pos="0"/>
        </w:tabs>
        <w:suppressAutoHyphens/>
        <w:spacing w:after="120"/>
        <w:outlineLvl w:val="0"/>
        <w:rPr>
          <w:rFonts w:eastAsia="Calibri"/>
          <w:i/>
          <w:iCs/>
          <w:noProof/>
          <w:sz w:val="22"/>
          <w:szCs w:val="22"/>
        </w:rPr>
      </w:pPr>
      <w:r>
        <w:rPr>
          <w:rFonts w:eastAsia="Calibri"/>
          <w:noProof/>
          <w:sz w:val="22"/>
          <w:szCs w:val="22"/>
        </w:rPr>
        <w:tab/>
      </w:r>
      <w:r w:rsidRPr="00716B79" w:rsidR="008F4DE6">
        <w:rPr>
          <w:rFonts w:eastAsia="Calibri"/>
          <w:b/>
          <w:bCs/>
          <w:noProof/>
          <w:sz w:val="22"/>
          <w:szCs w:val="22"/>
        </w:rPr>
        <w:t xml:space="preserve">IT IS </w:t>
      </w:r>
      <w:r w:rsidR="00F7063E">
        <w:rPr>
          <w:rFonts w:eastAsia="Calibri"/>
          <w:b/>
          <w:bCs/>
          <w:noProof/>
          <w:sz w:val="22"/>
          <w:szCs w:val="22"/>
        </w:rPr>
        <w:t xml:space="preserve">FURTHER </w:t>
      </w:r>
      <w:r w:rsidRPr="00716B79" w:rsidR="008F4DE6">
        <w:rPr>
          <w:rFonts w:eastAsia="Calibri"/>
          <w:b/>
          <w:bCs/>
          <w:noProof/>
          <w:sz w:val="22"/>
          <w:szCs w:val="22"/>
        </w:rPr>
        <w:t>ORDERED</w:t>
      </w:r>
      <w:r w:rsidRPr="00716B79" w:rsidR="008F4DE6">
        <w:rPr>
          <w:rFonts w:eastAsia="Calibri"/>
          <w:noProof/>
          <w:sz w:val="22"/>
          <w:szCs w:val="22"/>
        </w:rPr>
        <w:t>, that</w:t>
      </w:r>
      <w:r w:rsidRPr="00716B79" w:rsidR="009E564A">
        <w:rPr>
          <w:rFonts w:eastAsia="Calibri"/>
          <w:noProof/>
          <w:sz w:val="22"/>
          <w:szCs w:val="22"/>
        </w:rPr>
        <w:t xml:space="preserve"> </w:t>
      </w:r>
      <w:r w:rsidRPr="00716B79" w:rsidR="008F4DE6">
        <w:rPr>
          <w:rFonts w:eastAsia="Calibri"/>
          <w:noProof/>
          <w:sz w:val="22"/>
          <w:szCs w:val="22"/>
        </w:rPr>
        <w:t xml:space="preserve">the </w:t>
      </w:r>
      <w:r w:rsidR="009A54D5">
        <w:rPr>
          <w:rFonts w:eastAsia="Calibri"/>
          <w:noProof/>
          <w:sz w:val="22"/>
          <w:szCs w:val="22"/>
        </w:rPr>
        <w:t xml:space="preserve">tentative selection of the </w:t>
      </w:r>
      <w:r w:rsidRPr="00716B79" w:rsidR="008F4DE6">
        <w:rPr>
          <w:rFonts w:eastAsia="Calibri"/>
          <w:noProof/>
          <w:sz w:val="22"/>
          <w:szCs w:val="22"/>
        </w:rPr>
        <w:t xml:space="preserve">application of </w:t>
      </w:r>
      <w:r w:rsidRPr="00716B79" w:rsidR="00223900">
        <w:rPr>
          <w:rFonts w:eastAsia="Calibri"/>
          <w:noProof/>
          <w:sz w:val="22"/>
          <w:szCs w:val="22"/>
        </w:rPr>
        <w:t>Centro Cristiano de Vida Eterna San Antonio</w:t>
      </w:r>
      <w:r w:rsidRPr="00716B79" w:rsidR="008F4DE6">
        <w:rPr>
          <w:rFonts w:eastAsia="Calibri"/>
          <w:noProof/>
          <w:sz w:val="22"/>
          <w:szCs w:val="22"/>
        </w:rPr>
        <w:t xml:space="preserve"> (File No. </w:t>
      </w:r>
      <w:r w:rsidRPr="00716B79" w:rsidR="00223900">
        <w:rPr>
          <w:rFonts w:eastAsia="Calibri"/>
          <w:noProof/>
          <w:sz w:val="22"/>
          <w:szCs w:val="22"/>
        </w:rPr>
        <w:t>167134</w:t>
      </w:r>
      <w:r w:rsidRPr="00716B79" w:rsidR="008F4DE6">
        <w:rPr>
          <w:rFonts w:eastAsia="Calibri"/>
          <w:noProof/>
          <w:sz w:val="22"/>
          <w:szCs w:val="22"/>
        </w:rPr>
        <w:t xml:space="preserve">) </w:t>
      </w:r>
      <w:r w:rsidRPr="00716B79" w:rsidR="009E564A">
        <w:rPr>
          <w:rFonts w:eastAsia="Calibri"/>
          <w:noProof/>
          <w:sz w:val="22"/>
          <w:szCs w:val="22"/>
        </w:rPr>
        <w:t xml:space="preserve">for authority to construct a new </w:t>
      </w:r>
      <w:r w:rsidRPr="00716B79" w:rsidR="00671F0D">
        <w:rPr>
          <w:rFonts w:eastAsia="Calibri"/>
          <w:noProof/>
          <w:sz w:val="22"/>
          <w:szCs w:val="22"/>
        </w:rPr>
        <w:t>noncommercial educational</w:t>
      </w:r>
      <w:r w:rsidRPr="00716B79" w:rsidR="009E564A">
        <w:rPr>
          <w:rFonts w:eastAsia="Calibri"/>
          <w:noProof/>
          <w:sz w:val="22"/>
          <w:szCs w:val="22"/>
        </w:rPr>
        <w:t xml:space="preserve"> FM station at </w:t>
      </w:r>
      <w:r w:rsidRPr="00716B79" w:rsidR="00223900">
        <w:rPr>
          <w:rFonts w:eastAsia="Calibri"/>
          <w:noProof/>
          <w:sz w:val="22"/>
          <w:szCs w:val="22"/>
        </w:rPr>
        <w:t>Shineer, Texas</w:t>
      </w:r>
      <w:r w:rsidRPr="00716B79" w:rsidR="008F4DE6">
        <w:rPr>
          <w:rFonts w:eastAsia="Calibri"/>
          <w:noProof/>
          <w:sz w:val="22"/>
          <w:szCs w:val="22"/>
        </w:rPr>
        <w:t xml:space="preserve">, </w:t>
      </w:r>
      <w:r w:rsidRPr="000428CA" w:rsidR="009A54D5">
        <w:rPr>
          <w:b/>
          <w:bCs/>
          <w:sz w:val="22"/>
          <w:szCs w:val="22"/>
        </w:rPr>
        <w:t>IS RESCINDED</w:t>
      </w:r>
      <w:r w:rsidR="009A54D5">
        <w:rPr>
          <w:b/>
          <w:bCs/>
          <w:sz w:val="22"/>
          <w:szCs w:val="22"/>
        </w:rPr>
        <w:t xml:space="preserve"> </w:t>
      </w:r>
      <w:r w:rsidRPr="00345B20" w:rsidR="009A54D5">
        <w:rPr>
          <w:sz w:val="22"/>
          <w:szCs w:val="22"/>
        </w:rPr>
        <w:t>and the application</w:t>
      </w:r>
      <w:r w:rsidR="009A54D5">
        <w:rPr>
          <w:b/>
          <w:bCs/>
          <w:sz w:val="22"/>
          <w:szCs w:val="22"/>
        </w:rPr>
        <w:t xml:space="preserve"> </w:t>
      </w:r>
      <w:r w:rsidRPr="00716B79" w:rsidR="008F4DE6">
        <w:rPr>
          <w:rFonts w:eastAsia="Calibri"/>
          <w:b/>
          <w:bCs/>
          <w:noProof/>
          <w:sz w:val="22"/>
          <w:szCs w:val="22"/>
        </w:rPr>
        <w:t>IS DISMISSED</w:t>
      </w:r>
      <w:r w:rsidRPr="00716B79" w:rsidR="008F4DE6">
        <w:rPr>
          <w:rFonts w:eastAsia="Calibri"/>
          <w:i/>
          <w:iCs/>
          <w:noProof/>
          <w:sz w:val="22"/>
          <w:szCs w:val="22"/>
        </w:rPr>
        <w:t>.</w:t>
      </w:r>
    </w:p>
    <w:p w:rsidR="008F4DE6" w:rsidRPr="00716B79" w:rsidP="007C14FC" w14:paraId="7A0F77F3" w14:textId="77777777">
      <w:pPr>
        <w:ind w:firstLine="720"/>
        <w:rPr>
          <w:sz w:val="22"/>
          <w:szCs w:val="22"/>
        </w:rPr>
      </w:pPr>
      <w:r w:rsidRPr="00716B79">
        <w:rPr>
          <w:i/>
          <w:iCs/>
          <w:sz w:val="22"/>
          <w:szCs w:val="22"/>
        </w:rPr>
        <w:tab/>
      </w:r>
      <w:r w:rsidRPr="00716B79">
        <w:rPr>
          <w:i/>
          <w:iCs/>
          <w:sz w:val="22"/>
          <w:szCs w:val="22"/>
        </w:rPr>
        <w:tab/>
      </w:r>
      <w:r w:rsidRPr="00716B79">
        <w:rPr>
          <w:i/>
          <w:iCs/>
          <w:sz w:val="22"/>
          <w:szCs w:val="22"/>
        </w:rPr>
        <w:tab/>
      </w:r>
      <w:r w:rsidRPr="00716B79">
        <w:rPr>
          <w:sz w:val="22"/>
          <w:szCs w:val="22"/>
        </w:rPr>
        <w:tab/>
      </w:r>
      <w:r w:rsidRPr="00716B79">
        <w:rPr>
          <w:sz w:val="22"/>
          <w:szCs w:val="22"/>
        </w:rPr>
        <w:tab/>
        <w:t>Sincerely,</w:t>
      </w:r>
    </w:p>
    <w:p w:rsidR="0015759F" w:rsidRPr="00716B79" w:rsidP="007C14FC" w14:paraId="30A07103" w14:textId="77121F80">
      <w:pPr>
        <w:rPr>
          <w:sz w:val="22"/>
          <w:szCs w:val="22"/>
        </w:rPr>
      </w:pPr>
    </w:p>
    <w:p w:rsidR="0015759F" w:rsidRPr="00716B79" w:rsidP="007C14FC" w14:paraId="592E6B92" w14:textId="457318BA">
      <w:pPr>
        <w:rPr>
          <w:sz w:val="22"/>
          <w:szCs w:val="22"/>
        </w:rPr>
      </w:pPr>
    </w:p>
    <w:p w:rsidR="009E564A" w:rsidRPr="00716B79" w:rsidP="008F4DE6" w14:paraId="6B887BF9" w14:textId="6E08E894">
      <w:pPr>
        <w:rPr>
          <w:sz w:val="22"/>
          <w:szCs w:val="22"/>
        </w:rPr>
      </w:pPr>
    </w:p>
    <w:p w:rsidR="009E564A" w:rsidRPr="00716B79" w:rsidP="008F4DE6" w14:paraId="66CF6FF9" w14:textId="77777777">
      <w:pPr>
        <w:rPr>
          <w:sz w:val="22"/>
          <w:szCs w:val="22"/>
        </w:rPr>
      </w:pPr>
    </w:p>
    <w:p w:rsidR="008F4DE6" w:rsidRPr="00716B79" w:rsidP="008F4DE6" w14:paraId="16F1C83B" w14:textId="77777777">
      <w:pPr>
        <w:tabs>
          <w:tab w:val="left" w:pos="4320"/>
        </w:tabs>
        <w:rPr>
          <w:sz w:val="22"/>
          <w:szCs w:val="22"/>
        </w:rPr>
      </w:pPr>
      <w:r w:rsidRPr="00716B79">
        <w:rPr>
          <w:sz w:val="22"/>
          <w:szCs w:val="22"/>
        </w:rPr>
        <w:tab/>
        <w:t>Albert Shuldiner</w:t>
      </w:r>
    </w:p>
    <w:p w:rsidR="008F4DE6" w:rsidRPr="00B33F63" w:rsidP="008F4DE6" w14:paraId="549B4CC2" w14:textId="77777777">
      <w:pPr>
        <w:tabs>
          <w:tab w:val="left" w:pos="4320"/>
        </w:tabs>
        <w:rPr>
          <w:sz w:val="22"/>
          <w:szCs w:val="22"/>
        </w:rPr>
      </w:pPr>
      <w:r w:rsidRPr="00716B79">
        <w:rPr>
          <w:sz w:val="22"/>
          <w:szCs w:val="22"/>
        </w:rPr>
        <w:tab/>
        <w:t xml:space="preserve">Chief, </w:t>
      </w:r>
      <w:r w:rsidRPr="00B33F63">
        <w:rPr>
          <w:sz w:val="22"/>
          <w:szCs w:val="22"/>
        </w:rPr>
        <w:t xml:space="preserve">Audio </w:t>
      </w:r>
      <w:r w:rsidRPr="00716B79">
        <w:rPr>
          <w:sz w:val="22"/>
          <w:szCs w:val="22"/>
        </w:rPr>
        <w:t>Division</w:t>
      </w:r>
    </w:p>
    <w:p w:rsidR="00204CE3" w:rsidRPr="00716B79" w:rsidP="009E564A" w14:paraId="520B4088" w14:textId="6D4E4C64">
      <w:pPr>
        <w:tabs>
          <w:tab w:val="left" w:pos="4320"/>
          <w:tab w:val="left" w:pos="4680"/>
          <w:tab w:val="left" w:pos="5400"/>
        </w:tabs>
        <w:ind w:firstLine="720"/>
        <w:rPr>
          <w:sz w:val="22"/>
          <w:szCs w:val="22"/>
          <w:lang w:val="es-ES_tradnl"/>
        </w:rPr>
      </w:pPr>
      <w:r w:rsidRPr="00B33F63">
        <w:rPr>
          <w:sz w:val="22"/>
          <w:szCs w:val="22"/>
        </w:rPr>
        <w:tab/>
      </w:r>
      <w:r w:rsidRPr="00716B79">
        <w:rPr>
          <w:sz w:val="22"/>
          <w:szCs w:val="22"/>
          <w:lang w:val="es-ES_tradnl"/>
        </w:rPr>
        <w:t>Media Bureau</w:t>
      </w:r>
    </w:p>
    <w:sectPr>
      <w:headerReference w:type="first" r:id="rId7"/>
      <w:pgSz w:w="12240" w:h="15840" w:code="1"/>
      <w:pgMar w:top="1987"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403F6" w14:paraId="22AF04A2" w14:textId="77777777">
      <w:r>
        <w:separator/>
      </w:r>
    </w:p>
  </w:footnote>
  <w:footnote w:type="continuationSeparator" w:id="1">
    <w:p w:rsidR="002403F6" w14:paraId="639D6BB1" w14:textId="77777777">
      <w:r>
        <w:continuationSeparator/>
      </w:r>
    </w:p>
  </w:footnote>
  <w:footnote w:id="2">
    <w:p w:rsidR="00497256" w:rsidRPr="00334F9C" w:rsidP="004C1BAB" w14:paraId="119F19F1" w14:textId="77777777">
      <w:pPr>
        <w:pStyle w:val="FootnoteText"/>
      </w:pPr>
      <w:r w:rsidRPr="00205C36">
        <w:rPr>
          <w:rStyle w:val="FootnoteReference"/>
        </w:rPr>
        <w:footnoteRef/>
      </w:r>
      <w:r w:rsidRPr="00205C36">
        <w:t xml:space="preserve"> </w:t>
      </w:r>
      <w:r>
        <w:t xml:space="preserve">Application </w:t>
      </w:r>
      <w:r w:rsidRPr="00205C36">
        <w:t xml:space="preserve">File No. </w:t>
      </w:r>
      <w:r>
        <w:rPr>
          <w:rFonts w:eastAsia="Calibri"/>
          <w:noProof/>
        </w:rPr>
        <w:t>0000167134 (</w:t>
      </w:r>
      <w:r w:rsidRPr="00E924A2">
        <w:rPr>
          <w:rFonts w:eastAsia="Calibri"/>
          <w:noProof/>
        </w:rPr>
        <w:t>Application</w:t>
      </w:r>
      <w:r>
        <w:rPr>
          <w:rFonts w:eastAsia="Calibri"/>
          <w:noProof/>
        </w:rPr>
        <w:t>)</w:t>
      </w:r>
      <w:r w:rsidRPr="00205C36">
        <w:t>.</w:t>
      </w:r>
    </w:p>
  </w:footnote>
  <w:footnote w:id="3">
    <w:p w:rsidR="00497256" w:rsidP="004C1BAB" w14:paraId="707665A4" w14:textId="48D27967">
      <w:pPr>
        <w:pStyle w:val="FootnoteText"/>
      </w:pPr>
      <w:r>
        <w:rPr>
          <w:rStyle w:val="FootnoteReference"/>
        </w:rPr>
        <w:footnoteRef/>
      </w:r>
      <w:r>
        <w:t xml:space="preserve"> </w:t>
      </w:r>
      <w:r w:rsidRPr="000F7A98" w:rsidR="00D034CB">
        <w:rPr>
          <w:bCs/>
          <w:i/>
          <w:iCs/>
        </w:rPr>
        <w:t>Threshold Fair Distribution Analysis of 5 Groups of Mutually Exclusive Applications</w:t>
      </w:r>
      <w:r w:rsidR="00345B20">
        <w:rPr>
          <w:bCs/>
          <w:i/>
          <w:iCs/>
        </w:rPr>
        <w:t xml:space="preserve"> </w:t>
      </w:r>
      <w:r w:rsidRPr="00345B20" w:rsidR="00D034CB">
        <w:rPr>
          <w:i/>
          <w:iCs/>
        </w:rPr>
        <w:t>for Permits to Construct New Noncommercial Educational FM Stations</w:t>
      </w:r>
      <w:r w:rsidRPr="0055538B" w:rsidR="00D034CB">
        <w:t>,</w:t>
      </w:r>
      <w:r w:rsidRPr="000F7A98" w:rsidR="00D034CB">
        <w:t xml:space="preserve"> Memorandum Opinion and Order, DA 22-1166</w:t>
      </w:r>
      <w:r w:rsidR="00D034CB">
        <w:t xml:space="preserve">, at 5, para. </w:t>
      </w:r>
      <w:r w:rsidR="00BC7962">
        <w:t>11</w:t>
      </w:r>
      <w:r w:rsidRPr="000F7A98" w:rsidR="00D034CB">
        <w:t xml:space="preserve"> (MB Nov. 9, 2022) (</w:t>
      </w:r>
      <w:r w:rsidRPr="00460759" w:rsidR="00D034CB">
        <w:t>Fair Distribution Order</w:t>
      </w:r>
      <w:r w:rsidRPr="007134D6" w:rsidR="00D034CB">
        <w:t>).</w:t>
      </w:r>
    </w:p>
  </w:footnote>
  <w:footnote w:id="4">
    <w:p w:rsidR="00652FAE" w:rsidP="004C1BAB" w14:paraId="1390A0AD" w14:textId="45CA34D5">
      <w:pPr>
        <w:pStyle w:val="FootnoteText"/>
      </w:pPr>
      <w:r>
        <w:rPr>
          <w:rStyle w:val="FootnoteReference"/>
        </w:rPr>
        <w:footnoteRef/>
      </w:r>
      <w:r>
        <w:t xml:space="preserve"> </w:t>
      </w:r>
      <w:r>
        <w:t xml:space="preserve">Pleading File No. </w:t>
      </w:r>
      <w:r w:rsidR="00FD246E">
        <w:t>204985 (filed Dec. 9, 2022) (</w:t>
      </w:r>
      <w:r w:rsidRPr="007134D6" w:rsidR="00FD246E">
        <w:t>Petition</w:t>
      </w:r>
      <w:r w:rsidR="00FD246E">
        <w:t>).</w:t>
      </w:r>
    </w:p>
  </w:footnote>
  <w:footnote w:id="5">
    <w:p w:rsidR="00147C59" w:rsidP="004C1BAB" w14:paraId="00B93B16" w14:textId="0C620FBB">
      <w:pPr>
        <w:pStyle w:val="FootnoteText"/>
      </w:pPr>
      <w:r>
        <w:rPr>
          <w:rStyle w:val="FootnoteReference"/>
        </w:rPr>
        <w:footnoteRef/>
      </w:r>
      <w:r>
        <w:t xml:space="preserve"> </w:t>
      </w:r>
      <w:r w:rsidR="005416B0">
        <w:t xml:space="preserve">Letter from Dan J. Alpert, Counsel, Centro Cristiano </w:t>
      </w:r>
      <w:r w:rsidRPr="00E924A2" w:rsidR="005416B0">
        <w:t>de Vida Eterna San Antonio, to Tom Hutton, Deputy Division Chief, Law, Audio Division, Media Bureau (dated Jan. 14, 2022)</w:t>
      </w:r>
      <w:r w:rsidRPr="00E924A2" w:rsidR="007B50AA">
        <w:t xml:space="preserve"> (LOI Response)</w:t>
      </w:r>
      <w:r w:rsidRPr="00E924A2" w:rsidR="005416B0">
        <w:t>.</w:t>
      </w:r>
      <w:r w:rsidR="005416B0">
        <w:t xml:space="preserve">  </w:t>
      </w:r>
    </w:p>
  </w:footnote>
  <w:footnote w:id="6">
    <w:p w:rsidR="00A00AD2" w:rsidRPr="00717946" w:rsidP="004C1BAB" w14:paraId="2B8955AA" w14:textId="77777777">
      <w:pPr>
        <w:pStyle w:val="FootnoteText"/>
      </w:pPr>
      <w:r w:rsidRPr="00717946">
        <w:rPr>
          <w:rStyle w:val="FootnoteReference"/>
        </w:rPr>
        <w:footnoteRef/>
      </w:r>
      <w:r w:rsidRPr="00717946">
        <w:t xml:space="preserve"> </w:t>
      </w:r>
      <w:r w:rsidRPr="00362F3C">
        <w:rPr>
          <w:i/>
          <w:iCs/>
        </w:rPr>
        <w:t>See</w:t>
      </w:r>
      <w:r w:rsidRPr="00717946">
        <w:t xml:space="preserve"> 47 CFR § 73.7002(b)</w:t>
      </w:r>
      <w:r>
        <w:t>;</w:t>
      </w:r>
      <w:r w:rsidRPr="00717946">
        <w:t xml:space="preserve"> </w:t>
      </w:r>
      <w:r w:rsidRPr="00362F3C">
        <w:rPr>
          <w:i/>
          <w:iCs/>
        </w:rPr>
        <w:t>see also Reexamination of the Comparative Standards for Noncommercial Educational Applicants</w:t>
      </w:r>
      <w:r w:rsidRPr="00717946">
        <w:t xml:space="preserve">, Report and Order, 15 FCC </w:t>
      </w:r>
      <w:r w:rsidRPr="00717946">
        <w:t>Rcd</w:t>
      </w:r>
      <w:r w:rsidRPr="00717946">
        <w:t xml:space="preserve"> 7386, 7420 (2001)</w:t>
      </w:r>
      <w:r>
        <w:t xml:space="preserve"> (</w:t>
      </w:r>
      <w:r w:rsidRPr="00362F3C">
        <w:rPr>
          <w:i/>
          <w:iCs/>
        </w:rPr>
        <w:t>NCE Order</w:t>
      </w:r>
      <w:r>
        <w:t>)</w:t>
      </w:r>
      <w:r w:rsidRPr="00717946">
        <w:t>.</w:t>
      </w:r>
    </w:p>
  </w:footnote>
  <w:footnote w:id="7">
    <w:p w:rsidR="003273CC" w:rsidRPr="007D1990" w:rsidP="004C1BAB" w14:paraId="14E376E0" w14:textId="77777777">
      <w:pPr>
        <w:pStyle w:val="FootnoteText"/>
      </w:pPr>
      <w:r>
        <w:rPr>
          <w:rStyle w:val="FootnoteReference"/>
        </w:rPr>
        <w:footnoteRef/>
      </w:r>
      <w:r>
        <w:t xml:space="preserve"> </w:t>
      </w:r>
      <w:r w:rsidRPr="00460759">
        <w:t>Media Bureau Announces NCE FM New Station Application Filing Window; Window Open from November 2, 2021, to November 9, 2021</w:t>
      </w:r>
      <w:r>
        <w:t xml:space="preserve">, MB Docket No. 20-343, Public Notice, 36 FCC </w:t>
      </w:r>
      <w:r>
        <w:t>Rcd</w:t>
      </w:r>
      <w:r>
        <w:t xml:space="preserve"> 7449 (MB 2021).</w:t>
      </w:r>
    </w:p>
  </w:footnote>
  <w:footnote w:id="8">
    <w:p w:rsidR="005207EF" w:rsidP="004C1BAB" w14:paraId="038E1526" w14:textId="3DAA4A37">
      <w:pPr>
        <w:pStyle w:val="FootnoteText"/>
      </w:pPr>
      <w:r>
        <w:rPr>
          <w:rStyle w:val="FootnoteReference"/>
        </w:rPr>
        <w:footnoteRef/>
      </w:r>
      <w:r>
        <w:t xml:space="preserve"> </w:t>
      </w:r>
      <w:r>
        <w:t>Application File No. 167130.</w:t>
      </w:r>
    </w:p>
  </w:footnote>
  <w:footnote w:id="9">
    <w:p w:rsidR="005207EF" w:rsidP="004C1BAB" w14:paraId="6D28585D" w14:textId="64F109BA">
      <w:pPr>
        <w:pStyle w:val="FootnoteText"/>
      </w:pPr>
      <w:r>
        <w:rPr>
          <w:rStyle w:val="FootnoteReference"/>
        </w:rPr>
        <w:footnoteRef/>
      </w:r>
      <w:r>
        <w:t xml:space="preserve"> </w:t>
      </w:r>
      <w:r w:rsidR="001F7C34">
        <w:t>Application File No. 166683.</w:t>
      </w:r>
    </w:p>
  </w:footnote>
  <w:footnote w:id="10">
    <w:p w:rsidR="00DC2477" w:rsidP="004C1BAB" w14:paraId="71CB4371" w14:textId="5293EAD1">
      <w:pPr>
        <w:pStyle w:val="FootnoteText"/>
      </w:pPr>
      <w:r>
        <w:rPr>
          <w:rStyle w:val="FootnoteReference"/>
        </w:rPr>
        <w:footnoteRef/>
      </w:r>
      <w:r>
        <w:t xml:space="preserve"> </w:t>
      </w:r>
      <w:r w:rsidRPr="00460759">
        <w:t>Media Bureau Identifies Groups of Mutually Exclusive Applications Submitted in the November 2021, Filing Window for New Noncommercial Educational FM Stations</w:t>
      </w:r>
      <w:r>
        <w:t xml:space="preserve">, Public Notice, </w:t>
      </w:r>
      <w:r w:rsidR="00661B50">
        <w:t xml:space="preserve">MB Docket No. 20-343, </w:t>
      </w:r>
      <w:r w:rsidR="00150DD0">
        <w:t xml:space="preserve">36 FCC </w:t>
      </w:r>
      <w:r w:rsidR="00150DD0">
        <w:t>Rcd</w:t>
      </w:r>
      <w:r w:rsidR="00150DD0">
        <w:t xml:space="preserve"> 16452 (MB 2021).</w:t>
      </w:r>
    </w:p>
  </w:footnote>
  <w:footnote w:id="11">
    <w:p w:rsidR="003273CC" w:rsidRPr="00CB38E7" w:rsidP="004C1BAB" w14:paraId="154D2469" w14:textId="328038DF">
      <w:pPr>
        <w:pStyle w:val="FootnoteText"/>
      </w:pPr>
      <w:r>
        <w:rPr>
          <w:rStyle w:val="FootnoteReference"/>
        </w:rPr>
        <w:footnoteRef/>
      </w:r>
      <w:r>
        <w:t xml:space="preserve"> </w:t>
      </w:r>
      <w:r w:rsidR="00661B50">
        <w:rPr>
          <w:i/>
          <w:iCs/>
        </w:rPr>
        <w:t>Fair Distribution Order</w:t>
      </w:r>
      <w:r w:rsidR="00005420">
        <w:t>, DA 22-1166,</w:t>
      </w:r>
      <w:r>
        <w:t xml:space="preserve"> at 5, para. 14.</w:t>
      </w:r>
    </w:p>
  </w:footnote>
  <w:footnote w:id="12">
    <w:p w:rsidR="005C7086" w:rsidP="004C1BAB" w14:paraId="5ABD7AFB" w14:textId="5A5A03F4">
      <w:pPr>
        <w:pStyle w:val="FootnoteText"/>
      </w:pPr>
      <w:r>
        <w:rPr>
          <w:rStyle w:val="FootnoteReference"/>
        </w:rPr>
        <w:footnoteRef/>
      </w:r>
      <w:r>
        <w:t xml:space="preserve"> </w:t>
      </w:r>
      <w:r>
        <w:t>Petition at 3</w:t>
      </w:r>
      <w:r w:rsidR="00690986">
        <w:t>-4</w:t>
      </w:r>
      <w:r>
        <w:t>.</w:t>
      </w:r>
      <w:r w:rsidR="000C7B81">
        <w:t xml:space="preserve">  TPR also </w:t>
      </w:r>
      <w:r w:rsidR="007109DC">
        <w:t>alleges</w:t>
      </w:r>
      <w:r w:rsidR="000C7B81">
        <w:t xml:space="preserve"> that </w:t>
      </w:r>
      <w:r w:rsidR="00104691">
        <w:t>(1) the Application</w:t>
      </w:r>
      <w:r w:rsidR="00B97A23">
        <w:t xml:space="preserve"> </w:t>
      </w:r>
      <w:r w:rsidR="00104691">
        <w:t xml:space="preserve">should not have been awarded a fair distribution preference, and (2) </w:t>
      </w:r>
      <w:r w:rsidR="00E83F6E">
        <w:t xml:space="preserve">CCVESA underreported its </w:t>
      </w:r>
      <w:r w:rsidR="00780D85">
        <w:t xml:space="preserve">existing authorizations in the Application.  </w:t>
      </w:r>
      <w:r w:rsidRPr="00780D85" w:rsidR="00780D85">
        <w:rPr>
          <w:i/>
          <w:iCs/>
        </w:rPr>
        <w:t>Id</w:t>
      </w:r>
      <w:r w:rsidR="00780D85">
        <w:t>.</w:t>
      </w:r>
      <w:r w:rsidR="00104691">
        <w:t xml:space="preserve"> </w:t>
      </w:r>
      <w:r w:rsidR="00780D85">
        <w:t xml:space="preserve">at </w:t>
      </w:r>
      <w:r w:rsidR="00130549">
        <w:t xml:space="preserve">5-6.  Given our dismissal of the Application </w:t>
      </w:r>
      <w:r w:rsidR="007109DC">
        <w:t>on site availability grounds, we need not and do not reach TPR’s other allegations.</w:t>
      </w:r>
    </w:p>
  </w:footnote>
  <w:footnote w:id="13">
    <w:p w:rsidR="00C13FBE" w:rsidP="004C1BAB" w14:paraId="2C4B1950" w14:textId="3BA29CF5">
      <w:pPr>
        <w:pStyle w:val="FootnoteText"/>
      </w:pPr>
      <w:r>
        <w:rPr>
          <w:rStyle w:val="FootnoteReference"/>
        </w:rPr>
        <w:footnoteRef/>
      </w:r>
      <w:r>
        <w:t xml:space="preserve"> </w:t>
      </w:r>
      <w:r w:rsidRPr="00690986" w:rsidR="00690986">
        <w:rPr>
          <w:i/>
          <w:iCs/>
        </w:rPr>
        <w:t>Id</w:t>
      </w:r>
      <w:r w:rsidR="00690986">
        <w:t>. at 3</w:t>
      </w:r>
      <w:r>
        <w:t>.</w:t>
      </w:r>
    </w:p>
  </w:footnote>
  <w:footnote w:id="14">
    <w:p w:rsidR="007134D6" w:rsidP="004C1BAB" w14:paraId="328A2357" w14:textId="08D3E43A">
      <w:pPr>
        <w:pStyle w:val="FootnoteText"/>
      </w:pPr>
      <w:r>
        <w:rPr>
          <w:rStyle w:val="FootnoteReference"/>
        </w:rPr>
        <w:footnoteRef/>
      </w:r>
      <w:r w:rsidR="00E924A2">
        <w:t xml:space="preserve"> </w:t>
      </w:r>
      <w:r w:rsidR="00E924A2">
        <w:t xml:space="preserve">Letter from Albert Shuldiner, Chief, Audio Division, to </w:t>
      </w:r>
      <w:r w:rsidR="009B0146">
        <w:t>Martin Guevara</w:t>
      </w:r>
      <w:r w:rsidR="00E924A2">
        <w:t xml:space="preserve">, </w:t>
      </w:r>
      <w:r w:rsidR="009B0146">
        <w:t>Centro Cristiano de Vida Eterna San Antonio</w:t>
      </w:r>
      <w:r w:rsidR="00E924A2">
        <w:t xml:space="preserve">, Application File No. </w:t>
      </w:r>
      <w:r w:rsidR="009B0146">
        <w:t>166134</w:t>
      </w:r>
      <w:r w:rsidR="00E924A2">
        <w:t xml:space="preserve"> (dated Nov. 23, 2021).</w:t>
      </w:r>
    </w:p>
  </w:footnote>
  <w:footnote w:id="15">
    <w:p w:rsidR="007134D6" w:rsidP="004C1BAB" w14:paraId="0AD400BA" w14:textId="1C45C522">
      <w:pPr>
        <w:pStyle w:val="FootnoteText"/>
      </w:pPr>
      <w:r>
        <w:rPr>
          <w:rStyle w:val="FootnoteReference"/>
        </w:rPr>
        <w:footnoteRef/>
      </w:r>
      <w:r>
        <w:t xml:space="preserve"> </w:t>
      </w:r>
      <w:r>
        <w:t xml:space="preserve">LOI Response at </w:t>
      </w:r>
      <w:r w:rsidR="009D5D44">
        <w:t>1-2.</w:t>
      </w:r>
    </w:p>
  </w:footnote>
  <w:footnote w:id="16">
    <w:p w:rsidR="00A675E2" w:rsidP="004C1BAB" w14:paraId="28E5DBBC" w14:textId="40FB601C">
      <w:pPr>
        <w:pStyle w:val="FootnoteText"/>
      </w:pPr>
      <w:r>
        <w:rPr>
          <w:rStyle w:val="FootnoteReference"/>
        </w:rPr>
        <w:footnoteRef/>
      </w:r>
      <w:r>
        <w:t xml:space="preserve"> </w:t>
      </w:r>
      <w:r>
        <w:t xml:space="preserve">Petition at </w:t>
      </w:r>
      <w:r w:rsidR="0017488E">
        <w:t>4.</w:t>
      </w:r>
    </w:p>
  </w:footnote>
  <w:footnote w:id="17">
    <w:p w:rsidR="00A675E2" w:rsidP="004C1BAB" w14:paraId="2D46828C" w14:textId="12211FB2">
      <w:pPr>
        <w:pStyle w:val="FootnoteText"/>
      </w:pPr>
      <w:r>
        <w:rPr>
          <w:rStyle w:val="FootnoteReference"/>
        </w:rPr>
        <w:footnoteRef/>
      </w:r>
      <w:r>
        <w:t xml:space="preserve"> </w:t>
      </w:r>
      <w:r>
        <w:t xml:space="preserve">Application at </w:t>
      </w:r>
      <w:r w:rsidR="003C1AC9">
        <w:t>Vertical Bridge Tower Contact Attach.</w:t>
      </w:r>
    </w:p>
  </w:footnote>
  <w:footnote w:id="18">
    <w:p w:rsidR="001865FC" w:rsidP="004C1BAB" w14:paraId="72C93C02" w14:textId="213C15E4">
      <w:pPr>
        <w:pStyle w:val="FootnoteText"/>
      </w:pPr>
      <w:r>
        <w:rPr>
          <w:rStyle w:val="FootnoteReference"/>
        </w:rPr>
        <w:footnoteRef/>
      </w:r>
      <w:r>
        <w:t xml:space="preserve"> </w:t>
      </w:r>
      <w:r w:rsidRPr="004900AE" w:rsidR="004900AE">
        <w:rPr>
          <w:i/>
          <w:iCs/>
        </w:rPr>
        <w:t>See Able Radio Corp.</w:t>
      </w:r>
      <w:r w:rsidR="004900AE">
        <w:t xml:space="preserve">, Letter Order, 26 FCC </w:t>
      </w:r>
      <w:r w:rsidR="004900AE">
        <w:t>Rcd</w:t>
      </w:r>
      <w:r w:rsidR="004900AE">
        <w:t xml:space="preserve"> 16161</w:t>
      </w:r>
      <w:r w:rsidR="00D008AB">
        <w:t>, 16163</w:t>
      </w:r>
      <w:r w:rsidR="004900AE">
        <w:t xml:space="preserve"> (MB 2011); </w:t>
      </w:r>
      <w:r w:rsidRPr="004900AE" w:rsidR="004900AE">
        <w:rPr>
          <w:i/>
          <w:iCs/>
        </w:rPr>
        <w:t>Radio Delaware, Inc.</w:t>
      </w:r>
      <w:r w:rsidR="004900AE">
        <w:t xml:space="preserve">, Memorandum Opinion and Order, 4 FCC </w:t>
      </w:r>
      <w:r w:rsidR="004900AE">
        <w:t>Rcd</w:t>
      </w:r>
      <w:r w:rsidR="004900AE">
        <w:t xml:space="preserve"> 8630, 8631, paras. 9-11 (Rev. Bd. 1989).</w:t>
      </w:r>
    </w:p>
  </w:footnote>
  <w:footnote w:id="19">
    <w:p w:rsidR="001B7DF7" w:rsidRPr="00AE275F" w:rsidP="004C1BAB" w14:paraId="15763711" w14:textId="3C4D76EC">
      <w:pPr>
        <w:pStyle w:val="FootnoteText"/>
      </w:pPr>
      <w:r>
        <w:rPr>
          <w:rStyle w:val="FootnoteReference"/>
        </w:rPr>
        <w:footnoteRef/>
      </w:r>
      <w:r>
        <w:t xml:space="preserve"> </w:t>
      </w:r>
      <w:r w:rsidRPr="00B537D0">
        <w:rPr>
          <w:i/>
          <w:iCs/>
        </w:rPr>
        <w:t>See</w:t>
      </w:r>
      <w:r>
        <w:t xml:space="preserve"> </w:t>
      </w:r>
      <w:r w:rsidR="008F53E0">
        <w:t xml:space="preserve">Application </w:t>
      </w:r>
      <w:r>
        <w:t xml:space="preserve">File Nos. 166683 and 167130, Fair Distribution of Service Section, and associated exhibits. </w:t>
      </w:r>
      <w:r w:rsidR="00460759">
        <w:t xml:space="preserve"> </w:t>
      </w:r>
      <w:r>
        <w:t xml:space="preserve">TPR claims that it would provide first NCE service to 4,175 of the 17,649 people encompassed within its 60 </w:t>
      </w:r>
      <w:r>
        <w:t>dBu</w:t>
      </w:r>
      <w:r>
        <w:t xml:space="preserve"> contou</w:t>
      </w:r>
      <w:r w:rsidR="00744422">
        <w:t>r.</w:t>
      </w:r>
      <w:r w:rsidR="000B33F1">
        <w:t xml:space="preserve">. </w:t>
      </w:r>
      <w:r>
        <w:t xml:space="preserve"> CCVESA-Runge claims that it would provide first NCE service to 3</w:t>
      </w:r>
      <w:r w:rsidR="000B33F1">
        <w:t>,</w:t>
      </w:r>
      <w:r>
        <w:t>724 of the 18,675 people</w:t>
      </w:r>
      <w:r w:rsidR="00460759">
        <w:t xml:space="preserve"> within its 60 </w:t>
      </w:r>
      <w:r w:rsidR="00460759">
        <w:t>dBu</w:t>
      </w:r>
      <w:r w:rsidR="00460759">
        <w:t xml:space="preserve"> contour</w:t>
      </w:r>
      <w:r>
        <w:t xml:space="preserve">.  Thus, each </w:t>
      </w:r>
      <w:r w:rsidR="009A54D5">
        <w:t xml:space="preserve">applicant </w:t>
      </w:r>
      <w:r>
        <w:t xml:space="preserve">would provide </w:t>
      </w:r>
      <w:r w:rsidR="000B33F1">
        <w:t>first</w:t>
      </w:r>
      <w:r w:rsidR="00460759">
        <w:t xml:space="preserve">  </w:t>
      </w:r>
      <w:r>
        <w:t xml:space="preserve">NCE service to </w:t>
      </w:r>
      <w:r w:rsidRPr="003A38D1">
        <w:t>a</w:t>
      </w:r>
      <w:r w:rsidRPr="003A38D1" w:rsidR="009A54D5">
        <w:t>t</w:t>
      </w:r>
      <w:r w:rsidRPr="003A38D1">
        <w:t xml:space="preserve"> least 10% of the population within its respective 60 </w:t>
      </w:r>
      <w:r w:rsidRPr="003A38D1">
        <w:t>dBu</w:t>
      </w:r>
      <w:r w:rsidRPr="003A38D1">
        <w:t xml:space="preserve"> contour and to more than 2,000 </w:t>
      </w:r>
      <w:r w:rsidRPr="00AE275F">
        <w:t xml:space="preserve">people. </w:t>
      </w:r>
    </w:p>
  </w:footnote>
  <w:footnote w:id="20">
    <w:p w:rsidR="00AE275F" w:rsidP="004C1BAB" w14:paraId="1F001965" w14:textId="55B913E1">
      <w:pPr>
        <w:pStyle w:val="FootnoteText"/>
      </w:pPr>
      <w:r w:rsidRPr="00AE275F">
        <w:rPr>
          <w:rStyle w:val="FootnoteReference"/>
        </w:rPr>
        <w:footnoteRef/>
      </w:r>
      <w:r w:rsidRPr="00AE275F">
        <w:t xml:space="preserve"> </w:t>
      </w:r>
      <w:r w:rsidRPr="00744422">
        <w:t>The applicant proposing to provide service to the</w:t>
      </w:r>
      <w:r>
        <w:t xml:space="preserve"> </w:t>
      </w:r>
      <w:r w:rsidRPr="00744422">
        <w:t xml:space="preserve">greatest number of people will only be awarded a construction permit if it will provide such service to at least 10% of the people within the station's 60 </w:t>
      </w:r>
      <w:r w:rsidRPr="00744422">
        <w:t>dBu</w:t>
      </w:r>
      <w:r w:rsidRPr="00744422">
        <w:t xml:space="preserve"> contour </w:t>
      </w:r>
      <w:r w:rsidRPr="00744422">
        <w:rPr>
          <w:i/>
          <w:iCs/>
        </w:rPr>
        <w:t>and</w:t>
      </w:r>
      <w:r w:rsidRPr="00744422">
        <w:t xml:space="preserve"> to at least 5,000 more people than the next best applicant.</w:t>
      </w:r>
      <w:r w:rsidRPr="00AE275F">
        <w:t xml:space="preserve">  </w:t>
      </w:r>
      <w:r w:rsidRPr="00AE275F">
        <w:rPr>
          <w:i/>
          <w:iCs/>
        </w:rPr>
        <w:t xml:space="preserve">See </w:t>
      </w:r>
      <w:hyperlink r:id="rId1" w:anchor="co_pp_a83b000018c76" w:history="1">
        <w:r w:rsidRPr="00345B20">
          <w:t>47 CFR § 73.7002(b)</w:t>
        </w:r>
      </w:hyperlink>
      <w:r w:rsidRPr="00CF1B58">
        <w:t>.</w:t>
      </w:r>
    </w:p>
  </w:footnote>
  <w:footnote w:id="21">
    <w:p w:rsidR="008F53E0" w:rsidP="004C1BAB" w14:paraId="6E9C8A29" w14:textId="224C639A">
      <w:pPr>
        <w:pStyle w:val="FootnoteText"/>
      </w:pPr>
      <w:r>
        <w:rPr>
          <w:rStyle w:val="FootnoteReference"/>
        </w:rPr>
        <w:footnoteRef/>
      </w:r>
      <w:r>
        <w:t xml:space="preserve"> </w:t>
      </w:r>
      <w:r w:rsidRPr="008F53E0">
        <w:rPr>
          <w:i/>
          <w:iCs/>
        </w:rPr>
        <w:t>See</w:t>
      </w:r>
      <w:r>
        <w:t xml:space="preserve"> Application File Nos. 166683 and 167130, Fair Distribution of Service Section, and associated exhibits.</w:t>
      </w:r>
    </w:p>
  </w:footnote>
  <w:footnote w:id="22">
    <w:p w:rsidR="003245BE" w:rsidRPr="00717946" w:rsidP="00B537D0" w14:paraId="3D76EB4B" w14:textId="37BC246A">
      <w:pPr>
        <w:pStyle w:val="ParaNum"/>
        <w:numPr>
          <w:ilvl w:val="0"/>
          <w:numId w:val="0"/>
        </w:numPr>
      </w:pPr>
      <w:r w:rsidRPr="00744422">
        <w:rPr>
          <w:rStyle w:val="FootnoteReference"/>
          <w:sz w:val="20"/>
        </w:rPr>
        <w:footnoteRef/>
      </w:r>
      <w:r w:rsidRPr="00744422">
        <w:rPr>
          <w:sz w:val="20"/>
        </w:rPr>
        <w:t xml:space="preserve"> </w:t>
      </w:r>
      <w:r w:rsidRPr="00744422">
        <w:rPr>
          <w:i/>
          <w:sz w:val="20"/>
        </w:rPr>
        <w:t xml:space="preserve">See </w:t>
      </w:r>
      <w:r w:rsidRPr="00744422">
        <w:rPr>
          <w:sz w:val="20"/>
        </w:rPr>
        <w:t xml:space="preserve">47 CFR § 73.7002(b); </w:t>
      </w:r>
      <w:r w:rsidRPr="00744422">
        <w:rPr>
          <w:i/>
          <w:sz w:val="20"/>
        </w:rPr>
        <w:t>see also NCE Order</w:t>
      </w:r>
      <w:r w:rsidRPr="00744422">
        <w:rPr>
          <w:sz w:val="20"/>
        </w:rPr>
        <w:t xml:space="preserve">, 15 FCC </w:t>
      </w:r>
      <w:r w:rsidRPr="00744422">
        <w:rPr>
          <w:sz w:val="20"/>
        </w:rPr>
        <w:t>Rcd</w:t>
      </w:r>
      <w:r w:rsidRPr="00744422">
        <w:rPr>
          <w:sz w:val="20"/>
        </w:rPr>
        <w:t xml:space="preserve"> at 7420.</w:t>
      </w:r>
    </w:p>
  </w:footnote>
  <w:footnote w:id="23">
    <w:p w:rsidR="003245BE" w:rsidRPr="00982B9C" w:rsidP="003245BE" w14:paraId="162D7377" w14:textId="1449541E">
      <w:pPr>
        <w:shd w:val="clear" w:color="auto" w:fill="FFFFFF"/>
        <w:spacing w:after="120"/>
        <w:textAlignment w:val="baseline"/>
        <w:rPr>
          <w:color w:val="000000"/>
        </w:rPr>
      </w:pPr>
      <w:r w:rsidRPr="00717946">
        <w:rPr>
          <w:rStyle w:val="FootnoteReference"/>
        </w:rPr>
        <w:footnoteRef/>
      </w:r>
      <w:r w:rsidRPr="00717946">
        <w:t xml:space="preserve"> </w:t>
      </w:r>
      <w:r w:rsidRPr="00717946">
        <w:rPr>
          <w:i/>
          <w:iCs/>
        </w:rPr>
        <w:t>See Central Florida Educational Foundation, Inc. c/o Joseph E. Dunne, Esq.</w:t>
      </w:r>
      <w:r w:rsidRPr="00717946">
        <w:t xml:space="preserve">, Letter Order, 22 FCC </w:t>
      </w:r>
      <w:r w:rsidRPr="00717946">
        <w:t>Rcd</w:t>
      </w:r>
      <w:r w:rsidRPr="00717946">
        <w:t xml:space="preserve">. 18332, 18334 (MB 2007) (referring the matter to the Commission for consideration where the initial outcome would be altered by the potential for a new points analysis).  </w:t>
      </w:r>
      <w:r w:rsidRPr="00717946">
        <w:rPr>
          <w:i/>
          <w:iCs/>
        </w:rPr>
        <w:t xml:space="preserve">See also </w:t>
      </w:r>
      <w:r w:rsidRPr="00717946">
        <w:rPr>
          <w:i/>
          <w:iCs/>
          <w:color w:val="000000"/>
          <w:bdr w:val="none" w:sz="0" w:space="0" w:color="auto" w:frame="1"/>
        </w:rPr>
        <w:t>Comparative Consideration of 24 Groups of Mutually Exclusive Applications for Permits to Construct New or Modified Noncommercial Educ. F</w:t>
      </w:r>
      <w:r>
        <w:rPr>
          <w:i/>
          <w:iCs/>
          <w:color w:val="000000"/>
          <w:bdr w:val="none" w:sz="0" w:space="0" w:color="auto" w:frame="1"/>
        </w:rPr>
        <w:t>M</w:t>
      </w:r>
      <w:r w:rsidRPr="00717946">
        <w:rPr>
          <w:i/>
          <w:iCs/>
          <w:color w:val="000000"/>
          <w:bdr w:val="none" w:sz="0" w:space="0" w:color="auto" w:frame="1"/>
        </w:rPr>
        <w:t xml:space="preserve"> Stations</w:t>
      </w:r>
      <w:r w:rsidRPr="00717946">
        <w:rPr>
          <w:color w:val="000000"/>
        </w:rPr>
        <w:t xml:space="preserve">, Memorandum Opinion and Order, 25 FCC </w:t>
      </w:r>
      <w:r w:rsidRPr="00717946">
        <w:rPr>
          <w:color w:val="000000"/>
        </w:rPr>
        <w:t>Rcd</w:t>
      </w:r>
      <w:r w:rsidRPr="00717946">
        <w:rPr>
          <w:color w:val="000000"/>
        </w:rPr>
        <w:t xml:space="preserve"> 12887, 12914 (2010) (“staff should refer only those issues to the Commission where the exclusion or inclusion of challenged or claimed points could alter the outcome in the particular NCE group, or where a new or novel question or substantial and material question of fact otherwise exists.”).</w:t>
      </w:r>
      <w:r>
        <w:rPr>
          <w:color w:val="00000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54DB" w14:paraId="23345770" w14:textId="322A467F">
    <w:pPr>
      <w:pStyle w:val="Header"/>
      <w:tabs>
        <w:tab w:val="clear" w:pos="4320"/>
        <w:tab w:val="clear" w:pos="8640"/>
      </w:tabs>
      <w:spacing w:before="360" w:line="228" w:lineRule="auto"/>
      <w:jc w:val="center"/>
    </w:pPr>
    <w:r>
      <w:rPr>
        <w:noProof/>
      </w:rPr>
      <w:drawing>
        <wp:anchor distT="0" distB="0" distL="114300" distR="114300" simplePos="0" relativeHeight="251658240" behindDoc="1" locked="0" layoutInCell="1" allowOverlap="1">
          <wp:simplePos x="0" y="0"/>
          <wp:positionH relativeFrom="column">
            <wp:posOffset>-403860</wp:posOffset>
          </wp:positionH>
          <wp:positionV relativeFrom="paragraph">
            <wp:posOffset>0</wp:posOffset>
          </wp:positionV>
          <wp:extent cx="752475" cy="752475"/>
          <wp:effectExtent l="0" t="0" r="0" b="0"/>
          <wp:wrapTight wrapText="bothSides">
            <wp:wrapPolygon>
              <wp:start x="6015" y="0"/>
              <wp:lineTo x="0" y="3828"/>
              <wp:lineTo x="0" y="14765"/>
              <wp:lineTo x="1094" y="18046"/>
              <wp:lineTo x="5468" y="21327"/>
              <wp:lineTo x="6015" y="21327"/>
              <wp:lineTo x="15311" y="21327"/>
              <wp:lineTo x="15858" y="21327"/>
              <wp:lineTo x="20233" y="18046"/>
              <wp:lineTo x="21327" y="14765"/>
              <wp:lineTo x="21327" y="3828"/>
              <wp:lineTo x="15311" y="0"/>
              <wp:lineTo x="601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2475" cy="752475"/>
                  </a:xfrm>
                  <a:prstGeom prst="rect">
                    <a:avLst/>
                  </a:prstGeom>
                  <a:noFill/>
                </pic:spPr>
              </pic:pic>
            </a:graphicData>
          </a:graphic>
          <wp14:sizeRelH relativeFrom="page">
            <wp14:pctWidth>0</wp14:pctWidth>
          </wp14:sizeRelH>
          <wp14:sizeRelV relativeFrom="page">
            <wp14:pctHeight>0</wp14:pctHeight>
          </wp14:sizeRelV>
        </wp:anchor>
      </w:drawing>
    </w:r>
    <w:r>
      <w:rPr>
        <w:rFonts w:ascii="CG Times (W1)" w:hAnsi="CG Times (W1)"/>
        <w:sz w:val="28"/>
      </w:rPr>
      <w:t>Federal Communications Commission</w:t>
    </w:r>
  </w:p>
  <w:p w:rsidR="002B54DB" w:rsidP="001333F1" w14:paraId="2A0B3297" w14:textId="77777777">
    <w:pPr>
      <w:tabs>
        <w:tab w:val="center" w:pos="4680"/>
        <w:tab w:val="left" w:pos="8400"/>
      </w:tabs>
    </w:pPr>
    <w:r>
      <w:rPr>
        <w:rFonts w:ascii="CG Times (W1)" w:hAnsi="CG Times (W1)"/>
        <w:sz w:val="28"/>
      </w:rPr>
      <w:tab/>
    </w:r>
    <w:r>
      <w:rPr>
        <w:rFonts w:ascii="CG Times (W1)" w:hAnsi="CG Times (W1)"/>
        <w:sz w:val="28"/>
      </w:rPr>
      <w:t>Washington, D.C. 20554</w:t>
    </w:r>
    <w:r>
      <w:rPr>
        <w:rFonts w:ascii="CG Times (W1)" w:hAnsi="CG Times (W1)"/>
        <w:sz w:val="28"/>
      </w:rPr>
      <w:tab/>
    </w:r>
  </w:p>
  <w:p w:rsidR="002B54DB" w14:paraId="0AA0889A" w14:textId="77777777">
    <w:pPr>
      <w:pStyle w:val="Header"/>
      <w:tabs>
        <w:tab w:val="clear" w:pos="4320"/>
      </w:tabs>
      <w:jc w:val="center"/>
      <w:rPr>
        <w:sz w:val="22"/>
      </w:rPr>
    </w:pPr>
  </w:p>
  <w:p w:rsidR="002B54DB" w14:paraId="4BA522D5" w14:textId="77777777">
    <w:pPr>
      <w:pStyle w:val="Header"/>
      <w:tabs>
        <w:tab w:val="clear" w:pos="4320"/>
      </w:tabs>
      <w:jc w:val="center"/>
      <w:rPr>
        <w:sz w:val="22"/>
      </w:rPr>
    </w:pPr>
  </w:p>
  <w:p w:rsidR="002B54DB" w14:paraId="193629A3" w14:textId="592284A8">
    <w:pPr>
      <w:pStyle w:val="Header"/>
      <w:tabs>
        <w:tab w:val="clear" w:pos="4320"/>
      </w:tabs>
      <w:jc w:val="center"/>
      <w:rPr>
        <w:sz w:val="24"/>
      </w:rPr>
    </w:pPr>
    <w:r>
      <w:rPr>
        <w:sz w:val="24"/>
      </w:rPr>
      <w:fldChar w:fldCharType="begin"/>
    </w:r>
    <w:r>
      <w:rPr>
        <w:sz w:val="24"/>
      </w:rPr>
      <w:instrText xml:space="preserve"> TIME \@ "MMMM d, yyyy" </w:instrText>
    </w:r>
    <w:r>
      <w:rPr>
        <w:sz w:val="24"/>
      </w:rPr>
      <w:fldChar w:fldCharType="separate"/>
    </w:r>
    <w:r w:rsidR="00AB5425">
      <w:rPr>
        <w:noProof/>
        <w:sz w:val="24"/>
      </w:rPr>
      <w:t>January 23, 2023</w:t>
    </w:r>
    <w:r>
      <w:rPr>
        <w:sz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E9D"/>
    <w:rsid w:val="00005420"/>
    <w:rsid w:val="00006577"/>
    <w:rsid w:val="000107CE"/>
    <w:rsid w:val="0002398F"/>
    <w:rsid w:val="00035A60"/>
    <w:rsid w:val="00035EA3"/>
    <w:rsid w:val="000413FD"/>
    <w:rsid w:val="000428CA"/>
    <w:rsid w:val="000517B8"/>
    <w:rsid w:val="0005204E"/>
    <w:rsid w:val="000608E6"/>
    <w:rsid w:val="00077137"/>
    <w:rsid w:val="000A0961"/>
    <w:rsid w:val="000B33F1"/>
    <w:rsid w:val="000C3276"/>
    <w:rsid w:val="000C7B81"/>
    <w:rsid w:val="000D5637"/>
    <w:rsid w:val="000E7422"/>
    <w:rsid w:val="000F7A98"/>
    <w:rsid w:val="00104691"/>
    <w:rsid w:val="00106E23"/>
    <w:rsid w:val="00110A83"/>
    <w:rsid w:val="00111E0F"/>
    <w:rsid w:val="00116F05"/>
    <w:rsid w:val="0012354A"/>
    <w:rsid w:val="00130549"/>
    <w:rsid w:val="00131381"/>
    <w:rsid w:val="001333F1"/>
    <w:rsid w:val="00147C59"/>
    <w:rsid w:val="00150DD0"/>
    <w:rsid w:val="0015759F"/>
    <w:rsid w:val="00162BCC"/>
    <w:rsid w:val="001653AE"/>
    <w:rsid w:val="00167086"/>
    <w:rsid w:val="0017488E"/>
    <w:rsid w:val="001768C8"/>
    <w:rsid w:val="00182271"/>
    <w:rsid w:val="00183914"/>
    <w:rsid w:val="001865FC"/>
    <w:rsid w:val="001A1C43"/>
    <w:rsid w:val="001A5880"/>
    <w:rsid w:val="001B7DF7"/>
    <w:rsid w:val="001F7C34"/>
    <w:rsid w:val="00204CE3"/>
    <w:rsid w:val="00205C36"/>
    <w:rsid w:val="00223900"/>
    <w:rsid w:val="002265AA"/>
    <w:rsid w:val="002403F6"/>
    <w:rsid w:val="00250FC4"/>
    <w:rsid w:val="00266EA2"/>
    <w:rsid w:val="002719D3"/>
    <w:rsid w:val="00296B85"/>
    <w:rsid w:val="002A7DDF"/>
    <w:rsid w:val="002B3F7B"/>
    <w:rsid w:val="002B54DB"/>
    <w:rsid w:val="002B5A28"/>
    <w:rsid w:val="002C1031"/>
    <w:rsid w:val="002D532C"/>
    <w:rsid w:val="002E2081"/>
    <w:rsid w:val="002E4BB1"/>
    <w:rsid w:val="002E7188"/>
    <w:rsid w:val="002F769E"/>
    <w:rsid w:val="003162DF"/>
    <w:rsid w:val="003245BE"/>
    <w:rsid w:val="003273CC"/>
    <w:rsid w:val="00327B71"/>
    <w:rsid w:val="003302F1"/>
    <w:rsid w:val="003324AD"/>
    <w:rsid w:val="00333DFD"/>
    <w:rsid w:val="00334F9C"/>
    <w:rsid w:val="00342543"/>
    <w:rsid w:val="00345B20"/>
    <w:rsid w:val="00353306"/>
    <w:rsid w:val="0035664E"/>
    <w:rsid w:val="00356EA7"/>
    <w:rsid w:val="00362F3C"/>
    <w:rsid w:val="00365F79"/>
    <w:rsid w:val="003A31AC"/>
    <w:rsid w:val="003A38D1"/>
    <w:rsid w:val="003B43E2"/>
    <w:rsid w:val="003B56AB"/>
    <w:rsid w:val="003C1AC9"/>
    <w:rsid w:val="003C3246"/>
    <w:rsid w:val="003C420D"/>
    <w:rsid w:val="003D0A51"/>
    <w:rsid w:val="003E7857"/>
    <w:rsid w:val="00412316"/>
    <w:rsid w:val="004144B5"/>
    <w:rsid w:val="004229CC"/>
    <w:rsid w:val="00433C82"/>
    <w:rsid w:val="00460759"/>
    <w:rsid w:val="00464543"/>
    <w:rsid w:val="00475996"/>
    <w:rsid w:val="004900AE"/>
    <w:rsid w:val="00497256"/>
    <w:rsid w:val="004B04F5"/>
    <w:rsid w:val="004C1BAB"/>
    <w:rsid w:val="004C3245"/>
    <w:rsid w:val="004C7A43"/>
    <w:rsid w:val="004D0ECC"/>
    <w:rsid w:val="004D3B53"/>
    <w:rsid w:val="004D453D"/>
    <w:rsid w:val="004E132D"/>
    <w:rsid w:val="004F2F16"/>
    <w:rsid w:val="005019DF"/>
    <w:rsid w:val="0050713C"/>
    <w:rsid w:val="005203CF"/>
    <w:rsid w:val="005207EF"/>
    <w:rsid w:val="00525795"/>
    <w:rsid w:val="005416B0"/>
    <w:rsid w:val="00553EF7"/>
    <w:rsid w:val="0055538B"/>
    <w:rsid w:val="0056077E"/>
    <w:rsid w:val="00566EFA"/>
    <w:rsid w:val="005721E9"/>
    <w:rsid w:val="00572AAE"/>
    <w:rsid w:val="005744C5"/>
    <w:rsid w:val="005802C9"/>
    <w:rsid w:val="0058535F"/>
    <w:rsid w:val="00587C60"/>
    <w:rsid w:val="00587D1C"/>
    <w:rsid w:val="00590F38"/>
    <w:rsid w:val="00594F9D"/>
    <w:rsid w:val="005A12F0"/>
    <w:rsid w:val="005A706F"/>
    <w:rsid w:val="005B5FC0"/>
    <w:rsid w:val="005B6E5A"/>
    <w:rsid w:val="005C2FB1"/>
    <w:rsid w:val="005C3064"/>
    <w:rsid w:val="005C4A21"/>
    <w:rsid w:val="005C625A"/>
    <w:rsid w:val="005C7086"/>
    <w:rsid w:val="005C785D"/>
    <w:rsid w:val="005E3207"/>
    <w:rsid w:val="00605EF0"/>
    <w:rsid w:val="00614E9D"/>
    <w:rsid w:val="00615660"/>
    <w:rsid w:val="00617E6F"/>
    <w:rsid w:val="006213C8"/>
    <w:rsid w:val="00625157"/>
    <w:rsid w:val="00643786"/>
    <w:rsid w:val="0064427F"/>
    <w:rsid w:val="00650DD5"/>
    <w:rsid w:val="00652FAE"/>
    <w:rsid w:val="00655AFE"/>
    <w:rsid w:val="00661B50"/>
    <w:rsid w:val="00667ACE"/>
    <w:rsid w:val="00671F0D"/>
    <w:rsid w:val="00690986"/>
    <w:rsid w:val="00693D4B"/>
    <w:rsid w:val="006A5F62"/>
    <w:rsid w:val="006A6A2F"/>
    <w:rsid w:val="006B1FAE"/>
    <w:rsid w:val="006B20C8"/>
    <w:rsid w:val="006D6588"/>
    <w:rsid w:val="006D7AB0"/>
    <w:rsid w:val="006E5045"/>
    <w:rsid w:val="006F2C49"/>
    <w:rsid w:val="006F4FD6"/>
    <w:rsid w:val="00701828"/>
    <w:rsid w:val="007109DC"/>
    <w:rsid w:val="00711724"/>
    <w:rsid w:val="007134D6"/>
    <w:rsid w:val="00716B79"/>
    <w:rsid w:val="00717946"/>
    <w:rsid w:val="0072355D"/>
    <w:rsid w:val="007413A7"/>
    <w:rsid w:val="00743442"/>
    <w:rsid w:val="00744422"/>
    <w:rsid w:val="00746D10"/>
    <w:rsid w:val="007475D6"/>
    <w:rsid w:val="00760CDC"/>
    <w:rsid w:val="00761A18"/>
    <w:rsid w:val="0076456E"/>
    <w:rsid w:val="007763BC"/>
    <w:rsid w:val="00780D85"/>
    <w:rsid w:val="007833F2"/>
    <w:rsid w:val="00792BF2"/>
    <w:rsid w:val="007A1CB8"/>
    <w:rsid w:val="007B50AA"/>
    <w:rsid w:val="007B6AB3"/>
    <w:rsid w:val="007C14FC"/>
    <w:rsid w:val="007C2479"/>
    <w:rsid w:val="007C6FA4"/>
    <w:rsid w:val="007D1990"/>
    <w:rsid w:val="007D2D6B"/>
    <w:rsid w:val="007D5330"/>
    <w:rsid w:val="007D63DD"/>
    <w:rsid w:val="007D759D"/>
    <w:rsid w:val="007E659F"/>
    <w:rsid w:val="008022AC"/>
    <w:rsid w:val="008035C8"/>
    <w:rsid w:val="00803894"/>
    <w:rsid w:val="00807169"/>
    <w:rsid w:val="008343F4"/>
    <w:rsid w:val="00850395"/>
    <w:rsid w:val="00856363"/>
    <w:rsid w:val="00870F40"/>
    <w:rsid w:val="0087200A"/>
    <w:rsid w:val="00876C58"/>
    <w:rsid w:val="008B487D"/>
    <w:rsid w:val="008C11B5"/>
    <w:rsid w:val="008D65E2"/>
    <w:rsid w:val="008E7D5F"/>
    <w:rsid w:val="008F07F6"/>
    <w:rsid w:val="008F42B3"/>
    <w:rsid w:val="008F4DE6"/>
    <w:rsid w:val="008F53E0"/>
    <w:rsid w:val="008F61C4"/>
    <w:rsid w:val="009105E3"/>
    <w:rsid w:val="00914BE8"/>
    <w:rsid w:val="00916C77"/>
    <w:rsid w:val="00925B72"/>
    <w:rsid w:val="00927DE0"/>
    <w:rsid w:val="00953F2B"/>
    <w:rsid w:val="00982B9C"/>
    <w:rsid w:val="009835B7"/>
    <w:rsid w:val="009839FF"/>
    <w:rsid w:val="009A40E6"/>
    <w:rsid w:val="009A54D5"/>
    <w:rsid w:val="009B0146"/>
    <w:rsid w:val="009B6B2C"/>
    <w:rsid w:val="009C2B65"/>
    <w:rsid w:val="009C3399"/>
    <w:rsid w:val="009C497C"/>
    <w:rsid w:val="009D5D44"/>
    <w:rsid w:val="009E32AD"/>
    <w:rsid w:val="009E564A"/>
    <w:rsid w:val="00A00AD2"/>
    <w:rsid w:val="00A05092"/>
    <w:rsid w:val="00A27A14"/>
    <w:rsid w:val="00A30211"/>
    <w:rsid w:val="00A37B15"/>
    <w:rsid w:val="00A40414"/>
    <w:rsid w:val="00A44838"/>
    <w:rsid w:val="00A449D3"/>
    <w:rsid w:val="00A45503"/>
    <w:rsid w:val="00A523EB"/>
    <w:rsid w:val="00A549ED"/>
    <w:rsid w:val="00A57B10"/>
    <w:rsid w:val="00A675E2"/>
    <w:rsid w:val="00A71F77"/>
    <w:rsid w:val="00A73E6E"/>
    <w:rsid w:val="00A85378"/>
    <w:rsid w:val="00A94B2B"/>
    <w:rsid w:val="00AB06E9"/>
    <w:rsid w:val="00AB3D7D"/>
    <w:rsid w:val="00AB5425"/>
    <w:rsid w:val="00AC203D"/>
    <w:rsid w:val="00AD50A5"/>
    <w:rsid w:val="00AE275F"/>
    <w:rsid w:val="00B12C32"/>
    <w:rsid w:val="00B33A93"/>
    <w:rsid w:val="00B33F63"/>
    <w:rsid w:val="00B536A7"/>
    <w:rsid w:val="00B537D0"/>
    <w:rsid w:val="00B6401B"/>
    <w:rsid w:val="00B73A53"/>
    <w:rsid w:val="00B75C19"/>
    <w:rsid w:val="00B8291C"/>
    <w:rsid w:val="00B92D5E"/>
    <w:rsid w:val="00B97A23"/>
    <w:rsid w:val="00BA4D54"/>
    <w:rsid w:val="00BB294F"/>
    <w:rsid w:val="00BC7962"/>
    <w:rsid w:val="00BD12C4"/>
    <w:rsid w:val="00BD7934"/>
    <w:rsid w:val="00C03C76"/>
    <w:rsid w:val="00C053A0"/>
    <w:rsid w:val="00C116F4"/>
    <w:rsid w:val="00C13FBE"/>
    <w:rsid w:val="00C16B0D"/>
    <w:rsid w:val="00C16B1F"/>
    <w:rsid w:val="00C16EEC"/>
    <w:rsid w:val="00C20139"/>
    <w:rsid w:val="00C229C8"/>
    <w:rsid w:val="00C37CB2"/>
    <w:rsid w:val="00C40572"/>
    <w:rsid w:val="00C413C1"/>
    <w:rsid w:val="00C94FAC"/>
    <w:rsid w:val="00CA1162"/>
    <w:rsid w:val="00CB38E7"/>
    <w:rsid w:val="00CC146C"/>
    <w:rsid w:val="00CC2A68"/>
    <w:rsid w:val="00CC6B6F"/>
    <w:rsid w:val="00CD03AA"/>
    <w:rsid w:val="00CD3095"/>
    <w:rsid w:val="00CE0E89"/>
    <w:rsid w:val="00CE3B49"/>
    <w:rsid w:val="00CF0C93"/>
    <w:rsid w:val="00CF1B58"/>
    <w:rsid w:val="00CF50D9"/>
    <w:rsid w:val="00CF7ED7"/>
    <w:rsid w:val="00D008AB"/>
    <w:rsid w:val="00D034CB"/>
    <w:rsid w:val="00D1253E"/>
    <w:rsid w:val="00D215AD"/>
    <w:rsid w:val="00D224C6"/>
    <w:rsid w:val="00D2277E"/>
    <w:rsid w:val="00D35AE0"/>
    <w:rsid w:val="00D43DF7"/>
    <w:rsid w:val="00D4406F"/>
    <w:rsid w:val="00D466EE"/>
    <w:rsid w:val="00D47638"/>
    <w:rsid w:val="00D55C4B"/>
    <w:rsid w:val="00D57BA2"/>
    <w:rsid w:val="00D607CA"/>
    <w:rsid w:val="00D61B61"/>
    <w:rsid w:val="00D81414"/>
    <w:rsid w:val="00DA0041"/>
    <w:rsid w:val="00DA55F0"/>
    <w:rsid w:val="00DA6478"/>
    <w:rsid w:val="00DC0109"/>
    <w:rsid w:val="00DC2190"/>
    <w:rsid w:val="00DC2477"/>
    <w:rsid w:val="00DC4409"/>
    <w:rsid w:val="00DD2B12"/>
    <w:rsid w:val="00DD3D80"/>
    <w:rsid w:val="00DD4EAD"/>
    <w:rsid w:val="00DD61D3"/>
    <w:rsid w:val="00DD68C6"/>
    <w:rsid w:val="00E23649"/>
    <w:rsid w:val="00E26C10"/>
    <w:rsid w:val="00E2711A"/>
    <w:rsid w:val="00E57D6F"/>
    <w:rsid w:val="00E57EB1"/>
    <w:rsid w:val="00E707D7"/>
    <w:rsid w:val="00E74CDD"/>
    <w:rsid w:val="00E75FAE"/>
    <w:rsid w:val="00E77E21"/>
    <w:rsid w:val="00E83F6E"/>
    <w:rsid w:val="00E84D76"/>
    <w:rsid w:val="00E91E70"/>
    <w:rsid w:val="00E924A2"/>
    <w:rsid w:val="00E95A94"/>
    <w:rsid w:val="00EC4F19"/>
    <w:rsid w:val="00EC6A6D"/>
    <w:rsid w:val="00EC7478"/>
    <w:rsid w:val="00ED1C54"/>
    <w:rsid w:val="00ED218E"/>
    <w:rsid w:val="00EE3625"/>
    <w:rsid w:val="00EE5D0F"/>
    <w:rsid w:val="00F2125E"/>
    <w:rsid w:val="00F26347"/>
    <w:rsid w:val="00F31C94"/>
    <w:rsid w:val="00F7063E"/>
    <w:rsid w:val="00F72FD7"/>
    <w:rsid w:val="00F82209"/>
    <w:rsid w:val="00F84DAD"/>
    <w:rsid w:val="00F92C2C"/>
    <w:rsid w:val="00FD246E"/>
    <w:rsid w:val="00FD72C4"/>
    <w:rsid w:val="00FE54E0"/>
    <w:rsid w:val="00FE65AC"/>
    <w:rsid w:val="00FE73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485E94F"/>
  <w15:chartTrackingRefBased/>
  <w15:docId w15:val="{2A574668-3E6E-43A7-B2A5-6E69B05F6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4D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FootnoteText">
    <w:name w:val="footnote text"/>
    <w:aliases w:val="ALTS FOOTNOTE,Footnote Text Char Char Char,Footnote Text Char Char Char Char Char,Footnote Text Char1 Char,Footnote Text Char1 Char Char Char,Footnote Text Char1 Char Char Char Char Char,f,fn,rrfootnote Char Char Char Char Char Char"/>
    <w:basedOn w:val="Normal"/>
    <w:link w:val="FootnoteTextChar1"/>
    <w:autoRedefine/>
    <w:qFormat/>
    <w:rsid w:val="004C1BAB"/>
    <w:pPr>
      <w:tabs>
        <w:tab w:val="right" w:pos="8640"/>
      </w:tabs>
      <w:spacing w:after="120"/>
    </w:pPr>
  </w:style>
  <w:style w:type="character" w:customStyle="1" w:styleId="FootnoteTextChar">
    <w:name w:val="Footnote Text Char"/>
    <w:aliases w:val="Footnote Text Char Char6 Char Char,Footnote Text Char Char6 Char Char1 Char1 Char,Footnote Text Char2 Char3 Char,Footnote Text Char4 Char2 Char Char Char Char Char,Footnote Text Char6 Char Char,Footnote Text Char6 Char Char Char Char"/>
    <w:basedOn w:val="DefaultParagraphFont"/>
    <w:rsid w:val="008F4DE6"/>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sid w:val="008F4DE6"/>
    <w:rPr>
      <w:vertAlign w:val="superscript"/>
    </w:rPr>
  </w:style>
  <w:style w:type="character" w:customStyle="1" w:styleId="FootnoteTextChar1">
    <w:name w:val="Footnote Text Char1"/>
    <w:aliases w:val="ALTS FOOTNOTE Char,Footnote Text Char Char Char Char,Footnote Text Char Char Char Char Char Char,Footnote Text Char1 Char Char,Footnote Text Char1 Char Char Char Char,Footnote Text Char1 Char Char Char Char Char Char,f Char,fn Char"/>
    <w:link w:val="FootnoteText"/>
    <w:rsid w:val="004C1BAB"/>
  </w:style>
  <w:style w:type="character" w:styleId="Hyperlink">
    <w:name w:val="Hyperlink"/>
    <w:basedOn w:val="DefaultParagraphFont"/>
    <w:rsid w:val="008035C8"/>
    <w:rPr>
      <w:color w:val="0000FF"/>
      <w:u w:val="single"/>
    </w:rPr>
  </w:style>
  <w:style w:type="character" w:styleId="CommentReference">
    <w:name w:val="annotation reference"/>
    <w:basedOn w:val="DefaultParagraphFont"/>
    <w:uiPriority w:val="99"/>
    <w:semiHidden/>
    <w:unhideWhenUsed/>
    <w:rsid w:val="00DD2B12"/>
    <w:rPr>
      <w:sz w:val="16"/>
      <w:szCs w:val="16"/>
    </w:rPr>
  </w:style>
  <w:style w:type="paragraph" w:styleId="CommentText">
    <w:name w:val="annotation text"/>
    <w:basedOn w:val="Normal"/>
    <w:link w:val="CommentTextChar"/>
    <w:uiPriority w:val="99"/>
    <w:unhideWhenUsed/>
    <w:rsid w:val="00DD2B12"/>
  </w:style>
  <w:style w:type="character" w:customStyle="1" w:styleId="CommentTextChar">
    <w:name w:val="Comment Text Char"/>
    <w:basedOn w:val="DefaultParagraphFont"/>
    <w:link w:val="CommentText"/>
    <w:uiPriority w:val="99"/>
    <w:rsid w:val="00DD2B12"/>
  </w:style>
  <w:style w:type="paragraph" w:styleId="CommentSubject">
    <w:name w:val="annotation subject"/>
    <w:basedOn w:val="CommentText"/>
    <w:next w:val="CommentText"/>
    <w:link w:val="CommentSubjectChar"/>
    <w:uiPriority w:val="99"/>
    <w:semiHidden/>
    <w:unhideWhenUsed/>
    <w:rsid w:val="00DD2B12"/>
    <w:rPr>
      <w:b/>
      <w:bCs/>
    </w:rPr>
  </w:style>
  <w:style w:type="character" w:customStyle="1" w:styleId="CommentSubjectChar">
    <w:name w:val="Comment Subject Char"/>
    <w:basedOn w:val="CommentTextChar"/>
    <w:link w:val="CommentSubject"/>
    <w:uiPriority w:val="99"/>
    <w:semiHidden/>
    <w:rsid w:val="00DD2B12"/>
    <w:rPr>
      <w:b/>
      <w:bCs/>
    </w:rPr>
  </w:style>
  <w:style w:type="character" w:styleId="UnresolvedMention">
    <w:name w:val="Unresolved Mention"/>
    <w:basedOn w:val="DefaultParagraphFont"/>
    <w:uiPriority w:val="99"/>
    <w:semiHidden/>
    <w:unhideWhenUsed/>
    <w:rsid w:val="00C053A0"/>
    <w:rPr>
      <w:color w:val="605E5C"/>
      <w:shd w:val="clear" w:color="auto" w:fill="E1DFDD"/>
    </w:rPr>
  </w:style>
  <w:style w:type="paragraph" w:customStyle="1" w:styleId="ParaNum">
    <w:name w:val="ParaNum"/>
    <w:basedOn w:val="Normal"/>
    <w:rsid w:val="00DA6478"/>
    <w:pPr>
      <w:widowControl w:val="0"/>
      <w:numPr>
        <w:numId w:val="1"/>
      </w:numPr>
      <w:tabs>
        <w:tab w:val="clear" w:pos="1080"/>
        <w:tab w:val="num" w:pos="1440"/>
      </w:tabs>
      <w:spacing w:after="120"/>
    </w:pPr>
    <w:rPr>
      <w:snapToGrid w:val="0"/>
      <w:kern w:val="28"/>
      <w:sz w:val="22"/>
    </w:rPr>
  </w:style>
  <w:style w:type="character" w:styleId="PageNumber">
    <w:name w:val="page number"/>
    <w:basedOn w:val="DefaultParagraphFont"/>
    <w:rsid w:val="009B6B2C"/>
  </w:style>
  <w:style w:type="paragraph" w:styleId="Revision">
    <w:name w:val="Revision"/>
    <w:hidden/>
    <w:uiPriority w:val="99"/>
    <w:semiHidden/>
    <w:rsid w:val="00A00A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dja@commlaw.tv" TargetMode="External" /><Relationship Id="rId6" Type="http://schemas.openxmlformats.org/officeDocument/2006/relationships/hyperlink" Target="mailto:melodie.virtue@foster.com" TargetMode="External" /><Relationship Id="rId7" Type="http://schemas.openxmlformats.org/officeDocument/2006/relationships/header" Target="header1.xml" /><Relationship Id="rId8" Type="http://schemas.openxmlformats.org/officeDocument/2006/relationships/theme" Target="theme/theme1.xml" /><Relationship Id="rId9" Type="http://schemas.openxmlformats.org/officeDocument/2006/relationships/numbering" Target="numbering.xml" /></Relationships>
</file>

<file path=word/_rels/footnotes.xml.rels><?xml version="1.0" encoding="utf-8" standalone="yes"?><Relationships xmlns="http://schemas.openxmlformats.org/package/2006/relationships"><Relationship Id="rId1" Type="http://schemas.openxmlformats.org/officeDocument/2006/relationships/hyperlink" Target="https://1.next.westlaw.com/Link/Document/FullText?findType=L&amp;pubNum=1000547&amp;cite=47CFRS73.7002&amp;originatingDoc=Ic802fe10632911edafa9f442c28f63be&amp;refType=RB&amp;originationContext=document&amp;transitionType=DocumentItem&amp;ppcid=8a19a49e327c42dc974516c7ba36ee81&amp;contextData=(sc.History*oc.Search)"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Letter.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