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F2901" w:rsidRPr="00511023" w:rsidP="001F60DA" w14:paraId="76004994" w14:textId="02CFA2F9"/>
    <w:p w:rsidR="00DD04E3" w:rsidRPr="00487C86" w:rsidP="00B508A1" w14:paraId="03A9F0BD" w14:textId="4885564F">
      <w:pPr>
        <w:pStyle w:val="Header"/>
        <w:tabs>
          <w:tab w:val="clear" w:pos="4680"/>
          <w:tab w:val="left" w:pos="8803"/>
          <w:tab w:val="clear" w:pos="9360"/>
        </w:tabs>
        <w:spacing w:before="360" w:line="228" w:lineRule="auto"/>
        <w:rPr>
          <w:rFonts w:ascii="CG Times (W1)" w:hAnsi="CG Times (W1)"/>
          <w:sz w:val="28"/>
        </w:rPr>
      </w:pPr>
      <w:r>
        <w:rPr>
          <w:rFonts w:ascii="CG Times (W1)" w:hAnsi="CG Times (W1)"/>
          <w:sz w:val="28"/>
        </w:rPr>
        <w:tab/>
      </w:r>
    </w:p>
    <w:p w:rsidR="00DD04E3" w:rsidRPr="00BA3DE9" w:rsidP="00DD04E3" w14:paraId="29853F34" w14:textId="16E248F5">
      <w:pPr>
        <w:pStyle w:val="Header"/>
        <w:tabs>
          <w:tab w:val="left" w:pos="2340"/>
          <w:tab w:val="left" w:pos="3600"/>
        </w:tabs>
        <w:spacing w:before="360" w:line="228" w:lineRule="auto"/>
        <w:ind w:firstLine="720"/>
        <w:rPr>
          <w:sz w:val="28"/>
          <w:szCs w:val="28"/>
        </w:rPr>
      </w:pPr>
      <w:r w:rsidRPr="00BA3DE9">
        <w:rPr>
          <w:noProof/>
          <w:sz w:val="28"/>
          <w:szCs w:val="28"/>
        </w:rPr>
        <w:drawing>
          <wp:anchor distT="0" distB="0" distL="114300" distR="114300" simplePos="0" relativeHeight="251658240" behindDoc="1" locked="0" layoutInCell="1" allowOverlap="1">
            <wp:simplePos x="0" y="0"/>
            <wp:positionH relativeFrom="margin">
              <wp:posOffset>777588</wp:posOffset>
            </wp:positionH>
            <wp:positionV relativeFrom="page">
              <wp:posOffset>919833</wp:posOffset>
            </wp:positionV>
            <wp:extent cx="752475" cy="752475"/>
            <wp:effectExtent l="0" t="0" r="9525" b="9525"/>
            <wp:wrapSquare wrapText="bothSides"/>
            <wp:docPr id="544963637" name="Picture 5449636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963637" name="Picture 1" descr="Logo&#10;&#10;Description automatically generated"/>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DE9">
        <w:rPr>
          <w:sz w:val="28"/>
          <w:szCs w:val="28"/>
        </w:rPr>
        <w:t>Federal Communications Commission</w:t>
      </w:r>
    </w:p>
    <w:p w:rsidR="00DD04E3" w:rsidRPr="00BA3DE9" w:rsidP="00DD04E3" w14:paraId="77D67EBC" w14:textId="3D13C6FD">
      <w:pPr>
        <w:tabs>
          <w:tab w:val="left" w:pos="2340"/>
          <w:tab w:val="left" w:pos="3240"/>
          <w:tab w:val="left" w:pos="3600"/>
        </w:tabs>
        <w:rPr>
          <w:sz w:val="28"/>
          <w:szCs w:val="28"/>
        </w:rPr>
      </w:pPr>
      <w:r w:rsidRPr="000F4596">
        <w:rPr>
          <w:sz w:val="28"/>
          <w:szCs w:val="28"/>
        </w:rPr>
        <w:tab/>
      </w:r>
      <w:r w:rsidRPr="000F4596">
        <w:rPr>
          <w:sz w:val="28"/>
          <w:szCs w:val="28"/>
        </w:rPr>
        <w:tab/>
      </w:r>
      <w:r w:rsidR="00E26067">
        <w:rPr>
          <w:sz w:val="28"/>
          <w:szCs w:val="28"/>
        </w:rPr>
        <w:tab/>
      </w:r>
      <w:r w:rsidRPr="00BA3DE9">
        <w:rPr>
          <w:sz w:val="28"/>
          <w:szCs w:val="28"/>
        </w:rPr>
        <w:t>Washington, DC 20554</w:t>
      </w:r>
    </w:p>
    <w:p w:rsidR="00DD04E3" w:rsidRPr="00573A06" w:rsidP="00DD04E3" w14:paraId="7AC8F21F" w14:textId="04CB9801">
      <w:pPr>
        <w:tabs>
          <w:tab w:val="left" w:pos="3510"/>
          <w:tab w:val="left" w:pos="3780"/>
        </w:tabs>
        <w:rPr>
          <w:sz w:val="28"/>
          <w:szCs w:val="28"/>
        </w:rPr>
      </w:pPr>
      <w:r w:rsidRPr="00BA3DE9">
        <w:rPr>
          <w:sz w:val="28"/>
          <w:szCs w:val="28"/>
        </w:rPr>
        <w:tab/>
      </w:r>
      <w:r w:rsidRPr="00BA3DE9">
        <w:rPr>
          <w:sz w:val="28"/>
          <w:szCs w:val="28"/>
        </w:rPr>
        <w:tab/>
      </w:r>
      <w:r w:rsidRPr="00BA3DE9">
        <w:rPr>
          <w:sz w:val="28"/>
          <w:szCs w:val="28"/>
        </w:rPr>
        <w:tab/>
      </w:r>
      <w:r w:rsidR="00E26067">
        <w:rPr>
          <w:sz w:val="28"/>
          <w:szCs w:val="28"/>
        </w:rPr>
        <w:t xml:space="preserve">        </w:t>
      </w:r>
      <w:r w:rsidR="00B508A1">
        <w:rPr>
          <w:sz w:val="28"/>
          <w:szCs w:val="28"/>
        </w:rPr>
        <w:t xml:space="preserve">    </w:t>
      </w:r>
      <w:r w:rsidRPr="00BA3DE9">
        <w:rPr>
          <w:sz w:val="28"/>
          <w:szCs w:val="28"/>
        </w:rPr>
        <w:t xml:space="preserve">July </w:t>
      </w:r>
      <w:r w:rsidR="00E26067">
        <w:rPr>
          <w:sz w:val="28"/>
          <w:szCs w:val="28"/>
        </w:rPr>
        <w:t>19</w:t>
      </w:r>
      <w:r w:rsidRPr="00BA3DE9">
        <w:rPr>
          <w:sz w:val="28"/>
          <w:szCs w:val="28"/>
        </w:rPr>
        <w:t>, 2023</w:t>
      </w:r>
    </w:p>
    <w:p w:rsidR="006F117F" w:rsidP="004C55BD" w14:paraId="700578AB" w14:textId="77777777">
      <w:pPr>
        <w:rPr>
          <w:sz w:val="24"/>
          <w:szCs w:val="24"/>
        </w:rPr>
      </w:pPr>
    </w:p>
    <w:p w:rsidR="00DD04E3" w:rsidP="004C55BD" w14:paraId="150925EB" w14:textId="77777777">
      <w:pPr>
        <w:rPr>
          <w:sz w:val="24"/>
          <w:szCs w:val="24"/>
        </w:rPr>
      </w:pPr>
    </w:p>
    <w:p w:rsidR="00DD04E3" w:rsidP="00DD04E3" w14:paraId="0F54E2EE" w14:textId="235B381B">
      <w:pPr>
        <w:ind w:right="417"/>
        <w:jc w:val="right"/>
        <w:rPr>
          <w:b/>
          <w:sz w:val="24"/>
          <w:szCs w:val="24"/>
        </w:rPr>
      </w:pPr>
      <w:r w:rsidRPr="00511023">
        <w:rPr>
          <w:b/>
          <w:sz w:val="24"/>
          <w:szCs w:val="24"/>
        </w:rPr>
        <w:t xml:space="preserve">DA </w:t>
      </w:r>
      <w:r>
        <w:rPr>
          <w:b/>
          <w:sz w:val="24"/>
          <w:szCs w:val="24"/>
        </w:rPr>
        <w:t>23</w:t>
      </w:r>
      <w:r w:rsidRPr="00511023">
        <w:rPr>
          <w:b/>
          <w:sz w:val="24"/>
          <w:szCs w:val="24"/>
        </w:rPr>
        <w:t>-</w:t>
      </w:r>
      <w:r w:rsidR="00E26067">
        <w:rPr>
          <w:b/>
          <w:sz w:val="24"/>
          <w:szCs w:val="24"/>
        </w:rPr>
        <w:t>615</w:t>
      </w:r>
    </w:p>
    <w:p w:rsidR="00DD04E3" w:rsidRPr="00511023" w:rsidP="00DD04E3" w14:paraId="06373765" w14:textId="77777777">
      <w:pPr>
        <w:jc w:val="right"/>
        <w:rPr>
          <w:sz w:val="24"/>
          <w:szCs w:val="24"/>
        </w:rPr>
      </w:pPr>
    </w:p>
    <w:p w:rsidR="00862D5E" w:rsidRPr="00862D5E" w:rsidP="00862D5E" w14:paraId="4539242F" w14:textId="77777777">
      <w:pPr>
        <w:jc w:val="center"/>
        <w:rPr>
          <w:rFonts w:eastAsia="Calibri"/>
          <w:b/>
          <w:sz w:val="28"/>
          <w:szCs w:val="28"/>
        </w:rPr>
      </w:pPr>
      <w:r w:rsidRPr="00862D5E">
        <w:rPr>
          <w:rFonts w:eastAsia="Calibri"/>
          <w:b/>
          <w:sz w:val="28"/>
          <w:szCs w:val="28"/>
        </w:rPr>
        <w:t>SMALL ENTITY COMPLIANCE GUIDE</w:t>
      </w:r>
    </w:p>
    <w:p w:rsidR="00352443" w:rsidRPr="001F60DA" w:rsidP="001F60DA" w14:paraId="3B065092" w14:textId="77777777">
      <w:pPr>
        <w:jc w:val="center"/>
        <w:rPr>
          <w:bCs/>
          <w:sz w:val="24"/>
          <w:szCs w:val="24"/>
        </w:rPr>
      </w:pPr>
    </w:p>
    <w:p w:rsidR="00925716" w:rsidRPr="00DF33A2" w:rsidP="001F60DA" w14:paraId="39277D26" w14:textId="3FA5D87D">
      <w:pPr>
        <w:ind w:left="1080" w:right="867"/>
        <w:jc w:val="center"/>
        <w:rPr>
          <w:b/>
          <w:sz w:val="24"/>
          <w:szCs w:val="24"/>
        </w:rPr>
      </w:pPr>
      <w:r w:rsidRPr="00DF33A2">
        <w:rPr>
          <w:b/>
          <w:sz w:val="24"/>
          <w:szCs w:val="24"/>
        </w:rPr>
        <w:t>Unlicensed White Space Device Operations in the</w:t>
      </w:r>
      <w:r w:rsidRPr="00DF33A2" w:rsidR="00341E3C">
        <w:rPr>
          <w:b/>
          <w:sz w:val="24"/>
          <w:szCs w:val="24"/>
        </w:rPr>
        <w:t xml:space="preserve"> </w:t>
      </w:r>
      <w:r w:rsidRPr="00DF33A2">
        <w:rPr>
          <w:b/>
          <w:sz w:val="24"/>
          <w:szCs w:val="24"/>
        </w:rPr>
        <w:t>Television Bands</w:t>
      </w:r>
      <w:r w:rsidRPr="00DF33A2" w:rsidR="001F774D">
        <w:rPr>
          <w:b/>
          <w:sz w:val="24"/>
          <w:szCs w:val="24"/>
        </w:rPr>
        <w:t>;</w:t>
      </w:r>
      <w:r w:rsidRPr="00DF33A2" w:rsidR="007934E7">
        <w:rPr>
          <w:b/>
          <w:sz w:val="24"/>
          <w:szCs w:val="24"/>
        </w:rPr>
        <w:t xml:space="preserve"> Amendment of Part 15 of the Commission’s Rules for Unlicensed Operations in the Television Bands, Repurposed 600 MHz Band, 600 MHz Guard Bands and Duplex Gap, and Channel 37</w:t>
      </w:r>
    </w:p>
    <w:p w:rsidR="00004B86" w:rsidRPr="001F60DA" w:rsidP="001F60DA" w14:paraId="3567F86D" w14:textId="77777777">
      <w:pPr>
        <w:jc w:val="center"/>
        <w:rPr>
          <w:bCs/>
          <w:sz w:val="24"/>
          <w:szCs w:val="24"/>
        </w:rPr>
      </w:pPr>
    </w:p>
    <w:p w:rsidR="006F2901" w:rsidRPr="00DF33A2" w:rsidP="001F60DA" w14:paraId="3E93547C" w14:textId="737B85C0">
      <w:pPr>
        <w:jc w:val="center"/>
        <w:rPr>
          <w:b/>
          <w:sz w:val="24"/>
          <w:szCs w:val="24"/>
        </w:rPr>
      </w:pPr>
      <w:r w:rsidRPr="00DF33A2">
        <w:rPr>
          <w:b/>
          <w:sz w:val="24"/>
          <w:szCs w:val="24"/>
        </w:rPr>
        <w:t xml:space="preserve">FCC </w:t>
      </w:r>
      <w:r w:rsidRPr="00DF33A2" w:rsidR="00DB196A">
        <w:rPr>
          <w:b/>
          <w:sz w:val="24"/>
          <w:szCs w:val="24"/>
        </w:rPr>
        <w:t>23</w:t>
      </w:r>
      <w:r w:rsidRPr="00DF33A2" w:rsidR="00C37AC8">
        <w:rPr>
          <w:b/>
          <w:sz w:val="24"/>
          <w:szCs w:val="24"/>
        </w:rPr>
        <w:t>-</w:t>
      </w:r>
      <w:r w:rsidRPr="00DF33A2" w:rsidR="00DB196A">
        <w:rPr>
          <w:b/>
          <w:sz w:val="24"/>
          <w:szCs w:val="24"/>
        </w:rPr>
        <w:t>24</w:t>
      </w:r>
    </w:p>
    <w:p w:rsidR="006F2901" w:rsidRPr="00DF33A2" w:rsidP="001F60DA" w14:paraId="351CE09B" w14:textId="477E55C6">
      <w:pPr>
        <w:jc w:val="center"/>
        <w:rPr>
          <w:b/>
          <w:sz w:val="24"/>
          <w:szCs w:val="24"/>
        </w:rPr>
      </w:pPr>
      <w:r w:rsidRPr="00DF33A2">
        <w:rPr>
          <w:b/>
          <w:sz w:val="24"/>
          <w:szCs w:val="24"/>
        </w:rPr>
        <w:t>ET</w:t>
      </w:r>
      <w:r w:rsidRPr="00DF33A2" w:rsidR="00C37AC8">
        <w:rPr>
          <w:b/>
          <w:sz w:val="24"/>
          <w:szCs w:val="24"/>
        </w:rPr>
        <w:t xml:space="preserve"> Docket No</w:t>
      </w:r>
      <w:r w:rsidRPr="00DF33A2" w:rsidR="006B65B0">
        <w:rPr>
          <w:b/>
          <w:sz w:val="24"/>
          <w:szCs w:val="24"/>
        </w:rPr>
        <w:t>s</w:t>
      </w:r>
      <w:r w:rsidRPr="00DF33A2" w:rsidR="00C37AC8">
        <w:rPr>
          <w:b/>
          <w:sz w:val="24"/>
          <w:szCs w:val="24"/>
        </w:rPr>
        <w:t xml:space="preserve">. </w:t>
      </w:r>
      <w:r w:rsidRPr="00DF33A2" w:rsidR="006B65B0">
        <w:rPr>
          <w:b/>
          <w:sz w:val="24"/>
          <w:szCs w:val="24"/>
        </w:rPr>
        <w:t xml:space="preserve">14-165 and </w:t>
      </w:r>
      <w:r w:rsidRPr="00DF33A2">
        <w:rPr>
          <w:b/>
          <w:sz w:val="24"/>
          <w:szCs w:val="24"/>
        </w:rPr>
        <w:t>20</w:t>
      </w:r>
      <w:r w:rsidRPr="00DF33A2" w:rsidR="00C37AC8">
        <w:rPr>
          <w:b/>
          <w:sz w:val="24"/>
          <w:szCs w:val="24"/>
        </w:rPr>
        <w:t>-</w:t>
      </w:r>
      <w:r w:rsidRPr="00DF33A2">
        <w:rPr>
          <w:b/>
          <w:sz w:val="24"/>
          <w:szCs w:val="24"/>
        </w:rPr>
        <w:t>36</w:t>
      </w:r>
    </w:p>
    <w:p w:rsidR="006F2901" w:rsidRPr="00DF33A2" w:rsidP="001F60DA" w14:paraId="2FE15FB2" w14:textId="1F8922C5">
      <w:pPr>
        <w:jc w:val="center"/>
        <w:rPr>
          <w:b/>
          <w:sz w:val="24"/>
          <w:szCs w:val="24"/>
        </w:rPr>
      </w:pPr>
      <w:r w:rsidRPr="00DF33A2">
        <w:rPr>
          <w:b/>
          <w:sz w:val="24"/>
          <w:szCs w:val="24"/>
        </w:rPr>
        <w:t>Adopted</w:t>
      </w:r>
      <w:r w:rsidRPr="00DF33A2">
        <w:rPr>
          <w:b/>
          <w:sz w:val="24"/>
          <w:szCs w:val="24"/>
        </w:rPr>
        <w:t xml:space="preserve"> </w:t>
      </w:r>
      <w:r w:rsidRPr="00DF33A2" w:rsidR="005D4C5B">
        <w:rPr>
          <w:b/>
          <w:sz w:val="24"/>
          <w:szCs w:val="24"/>
        </w:rPr>
        <w:t>April 1</w:t>
      </w:r>
      <w:r w:rsidRPr="00DF33A2">
        <w:rPr>
          <w:b/>
          <w:sz w:val="24"/>
          <w:szCs w:val="24"/>
        </w:rPr>
        <w:t>1</w:t>
      </w:r>
      <w:r w:rsidRPr="00DF33A2" w:rsidR="00C37AC8">
        <w:rPr>
          <w:b/>
          <w:sz w:val="24"/>
          <w:szCs w:val="24"/>
        </w:rPr>
        <w:t>, 20</w:t>
      </w:r>
      <w:r w:rsidRPr="00DF33A2" w:rsidR="005D4C5B">
        <w:rPr>
          <w:b/>
          <w:sz w:val="24"/>
          <w:szCs w:val="24"/>
        </w:rPr>
        <w:t>23</w:t>
      </w:r>
    </w:p>
    <w:p w:rsidR="00487C86" w:rsidP="00487C86" w14:paraId="63E9D2EA" w14:textId="77777777">
      <w:pPr>
        <w:ind w:left="1080" w:right="720"/>
      </w:pPr>
    </w:p>
    <w:p w:rsidR="006F2901" w:rsidRPr="00B73F6A" w:rsidP="00487C86" w14:paraId="0359BFFD" w14:textId="1C862F85">
      <w:pPr>
        <w:ind w:left="1080" w:right="720"/>
      </w:pPr>
      <w:r>
        <w:t>I</w:t>
      </w:r>
      <w:r w:rsidRPr="00B73F6A">
        <w:t>n accordance with Section 212 of the Small Business Regulatory Enforcement Fairness Act of 1996</w:t>
      </w:r>
      <w:r>
        <w:t xml:space="preserve">, this Guide </w:t>
      </w:r>
      <w:r w:rsidRPr="00B73F6A">
        <w:t xml:space="preserve">is intended to help small entities—small businesses, small organizations (non-profits), and small governmental jurisdictions—comply with the rules adopted in the above-referenced </w:t>
      </w:r>
      <w:r w:rsidRPr="00B73F6A" w:rsidR="00C47CEF">
        <w:t>Federal Communications Commission (</w:t>
      </w:r>
      <w:r w:rsidRPr="00B73F6A">
        <w:t>FCC</w:t>
      </w:r>
      <w:r w:rsidRPr="00B73F6A" w:rsidR="00C47CEF">
        <w:t xml:space="preserve"> or Commission)</w:t>
      </w:r>
      <w:r w:rsidRPr="00B73F6A">
        <w:t xml:space="preserve"> rulemaking dockets.  This Guide is not intended to replace </w:t>
      </w:r>
      <w:r w:rsidRPr="00B73F6A" w:rsidR="00C47CEF">
        <w:t xml:space="preserve">or supersede </w:t>
      </w:r>
      <w:r w:rsidRPr="00B73F6A">
        <w:t>the</w:t>
      </w:r>
      <w:r w:rsidRPr="00B73F6A" w:rsidR="00C47CEF">
        <w:t>se</w:t>
      </w:r>
      <w:r w:rsidRPr="00B73F6A">
        <w:t xml:space="preserve"> rules</w:t>
      </w:r>
      <w:r w:rsidRPr="00B73F6A" w:rsidR="00C47CEF">
        <w:t xml:space="preserve">, but to facilitate compliance with the rules. </w:t>
      </w:r>
      <w:r w:rsidRPr="00B73F6A">
        <w:t xml:space="preserve"> Although we have attempted to cover all parts of the rules that might be especially important to small entities, the coverage may not be exhaustive.  This Guide </w:t>
      </w:r>
      <w:r w:rsidRPr="00B73F6A" w:rsidR="00B629FE">
        <w:t xml:space="preserve">cannot anticipate all situations in which the rules apply.  Furthermore, the Commission </w:t>
      </w:r>
      <w:r w:rsidRPr="00B73F6A">
        <w:t xml:space="preserve">retains the discretion to adopt </w:t>
      </w:r>
      <w:r w:rsidRPr="00B73F6A" w:rsidR="00B629FE">
        <w:t xml:space="preserve">case-by-case </w:t>
      </w:r>
      <w:r w:rsidRPr="00B73F6A">
        <w:t>approaches</w:t>
      </w:r>
      <w:r w:rsidRPr="00B73F6A" w:rsidR="00B629FE">
        <w:t>, where appropriate,</w:t>
      </w:r>
      <w:r w:rsidRPr="00B73F6A">
        <w:t xml:space="preserve"> that may differ from this Guide.  Any decision regarding a particular small entity will be based on the statute and</w:t>
      </w:r>
      <w:r w:rsidRPr="00B73F6A" w:rsidR="008E2841">
        <w:t xml:space="preserve"> any relevant rules</w:t>
      </w:r>
      <w:r w:rsidRPr="00B73F6A">
        <w:t xml:space="preserve">. </w:t>
      </w:r>
    </w:p>
    <w:p w:rsidR="006F2901" w:rsidRPr="00B73F6A" w:rsidP="001F60DA" w14:paraId="25270ABA" w14:textId="77777777">
      <w:pPr>
        <w:ind w:left="1080" w:right="720"/>
      </w:pPr>
    </w:p>
    <w:p w:rsidR="006F2901" w:rsidRPr="00B73F6A" w:rsidP="001F60DA" w14:paraId="65D355CA" w14:textId="3B78C664">
      <w:pPr>
        <w:ind w:left="1080" w:right="720"/>
      </w:pPr>
      <w:r w:rsidRPr="00B73F6A">
        <w:t>In any civil or administrative action against a small entity for a violation of rules, the content of the Small Entity Compliance Guide may be considered as evidence of the reasonableness or appropriateness of proposed fines, penalties</w:t>
      </w:r>
      <w:r w:rsidR="001F60DA">
        <w:t>,</w:t>
      </w:r>
      <w:r w:rsidRPr="00B73F6A">
        <w:t xml:space="preserve"> or damages.  Interested parties are free to file comments regarding this Guide</w:t>
      </w:r>
      <w:r w:rsidR="001F60DA">
        <w:t xml:space="preserve"> in the above-referenced proceeding</w:t>
      </w:r>
      <w:r w:rsidRPr="00B73F6A">
        <w:t xml:space="preserve"> and the appropriateness of its application to a particular situation</w:t>
      </w:r>
      <w:r w:rsidRPr="00B73F6A" w:rsidR="00B47D0B">
        <w:t xml:space="preserve">. </w:t>
      </w:r>
      <w:r w:rsidRPr="00B73F6A" w:rsidR="00A74F1A">
        <w:t xml:space="preserve"> </w:t>
      </w:r>
      <w:r w:rsidRPr="00B73F6A" w:rsidR="00B47D0B">
        <w:t>T</w:t>
      </w:r>
      <w:r w:rsidRPr="00B73F6A">
        <w:t xml:space="preserve">he </w:t>
      </w:r>
      <w:r w:rsidR="001F60DA">
        <w:t>Commission</w:t>
      </w:r>
      <w:r w:rsidRPr="00B73F6A" w:rsidR="001F60DA">
        <w:t xml:space="preserve"> </w:t>
      </w:r>
      <w:r w:rsidRPr="00B73F6A">
        <w:t xml:space="preserve">will </w:t>
      </w:r>
      <w:r w:rsidRPr="00B73F6A" w:rsidR="00FE30EB">
        <w:t xml:space="preserve">then </w:t>
      </w:r>
      <w:r w:rsidRPr="00B73F6A">
        <w:t xml:space="preserve">consider whether the recommendations or interpretations in the Guide are appropriate in that situation.  The </w:t>
      </w:r>
      <w:r w:rsidR="001F60DA">
        <w:t>Commission</w:t>
      </w:r>
      <w:r w:rsidRPr="00B73F6A" w:rsidR="001F60DA">
        <w:t xml:space="preserve"> </w:t>
      </w:r>
      <w:r w:rsidRPr="00B73F6A">
        <w:t xml:space="preserve">may decide to revise this Guide without public notice to reflect changes in </w:t>
      </w:r>
      <w:r w:rsidR="001F60DA">
        <w:t xml:space="preserve">its </w:t>
      </w:r>
      <w:r w:rsidRPr="00B73F6A">
        <w:t xml:space="preserve">approach to implementing a rule or </w:t>
      </w:r>
      <w:r w:rsidRPr="00B73F6A" w:rsidR="00B47D0B">
        <w:t>i</w:t>
      </w:r>
      <w:r w:rsidRPr="00B73F6A">
        <w:t>t</w:t>
      </w:r>
      <w:r w:rsidRPr="00B73F6A" w:rsidR="00B47D0B">
        <w:t xml:space="preserve"> may</w:t>
      </w:r>
      <w:r w:rsidRPr="00B73F6A">
        <w:t xml:space="preserve"> clarify or update the text of the Guide.  Direct your comments</w:t>
      </w:r>
      <w:r w:rsidR="001F60DA">
        <w:t>,</w:t>
      </w:r>
      <w:r w:rsidRPr="00B73F6A">
        <w:t xml:space="preserve"> recommendations, or </w:t>
      </w:r>
      <w:r w:rsidR="001F60DA">
        <w:t>request</w:t>
      </w:r>
      <w:r w:rsidRPr="00B73F6A" w:rsidR="001F60DA">
        <w:t xml:space="preserve"> </w:t>
      </w:r>
      <w:r w:rsidRPr="00B73F6A">
        <w:t>for further assistance to the FCC’s Consumer Center:</w:t>
      </w:r>
    </w:p>
    <w:p w:rsidR="000E4E16" w:rsidRPr="00511023" w:rsidP="000E4E16" w14:paraId="44F9D184" w14:textId="77777777">
      <w:pPr>
        <w:pStyle w:val="ListParagraph"/>
        <w:ind w:left="1080"/>
        <w:rPr>
          <w:b/>
        </w:rPr>
      </w:pPr>
    </w:p>
    <w:p w:rsidR="006F2901" w:rsidRPr="00E2092F" w:rsidP="001F60DA" w14:paraId="3EE78D98" w14:textId="05A6654E">
      <w:pPr>
        <w:jc w:val="center"/>
        <w:rPr>
          <w:b/>
        </w:rPr>
      </w:pPr>
      <w:r w:rsidRPr="00E2092F">
        <w:rPr>
          <w:b/>
        </w:rPr>
        <w:t>1-888-CALL-FCC (1-888-225-5322)</w:t>
      </w:r>
    </w:p>
    <w:p w:rsidR="00B47D0B" w:rsidRPr="00E2092F" w:rsidP="001F60DA" w14:paraId="7189DA74" w14:textId="5B89279E">
      <w:pPr>
        <w:jc w:val="center"/>
        <w:rPr>
          <w:b/>
        </w:rPr>
      </w:pPr>
      <w:r w:rsidRPr="00E2092F">
        <w:rPr>
          <w:b/>
        </w:rPr>
        <w:t>TTY: 1-888-TELL-FCC (1-888-835-5322)</w:t>
      </w:r>
    </w:p>
    <w:p w:rsidR="006F2901" w:rsidRPr="00E2092F" w:rsidP="001F60DA" w14:paraId="542FD57C" w14:textId="71A82108">
      <w:pPr>
        <w:jc w:val="center"/>
        <w:rPr>
          <w:b/>
        </w:rPr>
      </w:pPr>
      <w:r w:rsidRPr="00E2092F">
        <w:rPr>
          <w:b/>
        </w:rPr>
        <w:t>Videophone: 1-844-4-FCC-ASL (1-844-432-2275)</w:t>
      </w:r>
    </w:p>
    <w:p w:rsidR="0095132F" w:rsidRPr="00E2092F" w:rsidP="001F60DA" w14:paraId="4A1DEB02" w14:textId="37C1C0C6">
      <w:pPr>
        <w:jc w:val="center"/>
        <w:rPr>
          <w:b/>
        </w:rPr>
        <w:sectPr w:rsidSect="003E02CC">
          <w:footerReference w:type="default" r:id="rId6"/>
          <w:pgSz w:w="12240" w:h="15840"/>
          <w:pgMar w:top="346" w:right="1037" w:bottom="274" w:left="706" w:header="720" w:footer="187" w:gutter="0"/>
          <w:cols w:space="720"/>
          <w:docGrid w:linePitch="360"/>
        </w:sectPr>
      </w:pPr>
      <w:r w:rsidRPr="00E2092F">
        <w:rPr>
          <w:b/>
        </w:rPr>
        <w:t>Fax: 1-866-418-0232</w:t>
      </w:r>
    </w:p>
    <w:p w:rsidR="00CD624E" w:rsidP="00CD624E" w14:paraId="25301E88" w14:textId="77777777">
      <w:pPr>
        <w:jc w:val="center"/>
        <w:rPr>
          <w:b/>
          <w:u w:val="single"/>
        </w:rPr>
      </w:pPr>
      <w:r w:rsidRPr="00C419A9">
        <w:rPr>
          <w:b/>
          <w:u w:val="single"/>
        </w:rPr>
        <w:t>TABLE OF CONTENTS</w:t>
      </w:r>
    </w:p>
    <w:p w:rsidR="001F60DA" w:rsidP="00CD624E" w14:paraId="12DAEBE5" w14:textId="77777777">
      <w:pPr>
        <w:jc w:val="center"/>
        <w:rPr>
          <w:b/>
          <w:u w:val="single"/>
        </w:rPr>
      </w:pPr>
    </w:p>
    <w:p w:rsidR="00CD624E" w:rsidRPr="0073724B" w:rsidP="00CD624E" w14:paraId="1A18EB69" w14:textId="5488B320">
      <w:pPr>
        <w:tabs>
          <w:tab w:val="right" w:leader="dot" w:pos="8640"/>
        </w:tabs>
        <w:rPr>
          <w:bCs/>
        </w:rPr>
      </w:pPr>
      <w:r w:rsidRPr="0073724B">
        <w:rPr>
          <w:bCs/>
        </w:rPr>
        <w:t xml:space="preserve">I.          OBJECTIVES OF THE PROCEEDING </w:t>
      </w:r>
      <w:r w:rsidRPr="0073724B">
        <w:rPr>
          <w:bCs/>
        </w:rPr>
        <w:tab/>
      </w:r>
      <w:r w:rsidRPr="0073724B" w:rsidR="001F0D76">
        <w:rPr>
          <w:bCs/>
        </w:rPr>
        <w:t>1</w:t>
      </w:r>
    </w:p>
    <w:p w:rsidR="00CD624E" w:rsidP="00CD624E" w14:paraId="490BE852" w14:textId="51590951">
      <w:pPr>
        <w:tabs>
          <w:tab w:val="right" w:leader="dot" w:pos="8640"/>
        </w:tabs>
        <w:rPr>
          <w:bCs/>
        </w:rPr>
      </w:pPr>
      <w:r w:rsidRPr="0073724B">
        <w:rPr>
          <w:bCs/>
        </w:rPr>
        <w:t xml:space="preserve">II.         COMPLIANCE REQUIREMENTS </w:t>
      </w:r>
      <w:r w:rsidRPr="0073724B">
        <w:rPr>
          <w:bCs/>
        </w:rPr>
        <w:tab/>
      </w:r>
      <w:r w:rsidR="007D32B5">
        <w:rPr>
          <w:bCs/>
        </w:rPr>
        <w:t>1</w:t>
      </w:r>
    </w:p>
    <w:p w:rsidR="00D43CF6" w:rsidP="00E778C3" w14:paraId="69E9A472" w14:textId="1C643F9E">
      <w:pPr>
        <w:pStyle w:val="ListParagraph"/>
        <w:numPr>
          <w:ilvl w:val="0"/>
          <w:numId w:val="21"/>
        </w:numPr>
        <w:tabs>
          <w:tab w:val="right" w:leader="dot" w:pos="8640"/>
        </w:tabs>
        <w:ind w:left="1080"/>
        <w:contextualSpacing w:val="0"/>
        <w:rPr>
          <w:bCs/>
        </w:rPr>
      </w:pPr>
      <w:bookmarkStart w:id="0" w:name="_Hlk136447523"/>
      <w:r w:rsidRPr="00E778C3">
        <w:rPr>
          <w:bCs/>
        </w:rPr>
        <w:t>Mobile Device Database Re-check Requirements</w:t>
      </w:r>
      <w:r w:rsidRPr="00BA3DE9">
        <w:rPr>
          <w:bCs/>
        </w:rPr>
        <w:tab/>
        <w:t>2</w:t>
      </w:r>
    </w:p>
    <w:bookmarkEnd w:id="0"/>
    <w:p w:rsidR="00E778C3" w:rsidRPr="00E778C3" w:rsidP="00BA3DE9" w14:paraId="30351143" w14:textId="2AAAC36B">
      <w:pPr>
        <w:pStyle w:val="ListParagraph"/>
        <w:numPr>
          <w:ilvl w:val="0"/>
          <w:numId w:val="21"/>
        </w:numPr>
        <w:tabs>
          <w:tab w:val="right" w:leader="dot" w:pos="8640"/>
        </w:tabs>
        <w:ind w:left="1080"/>
        <w:contextualSpacing w:val="0"/>
        <w:rPr>
          <w:bCs/>
        </w:rPr>
      </w:pPr>
      <w:r w:rsidRPr="00E778C3">
        <w:rPr>
          <w:bCs/>
        </w:rPr>
        <w:t>Narrowband Device Database Re-check Requirements</w:t>
      </w:r>
      <w:r w:rsidRPr="00E778C3">
        <w:rPr>
          <w:bCs/>
        </w:rPr>
        <w:tab/>
        <w:t>2</w:t>
      </w:r>
    </w:p>
    <w:p w:rsidR="00CD624E" w:rsidRPr="0073724B" w:rsidP="00CD624E" w14:paraId="68DC6F13" w14:textId="0093E55D">
      <w:pPr>
        <w:tabs>
          <w:tab w:val="right" w:leader="dot" w:pos="8640"/>
        </w:tabs>
        <w:rPr>
          <w:bCs/>
        </w:rPr>
      </w:pPr>
      <w:r w:rsidRPr="0073724B">
        <w:rPr>
          <w:bCs/>
        </w:rPr>
        <w:t xml:space="preserve">III.        RECORDKEEPING AND REPORTING REQUIREMENTS </w:t>
      </w:r>
      <w:r w:rsidRPr="0073724B">
        <w:rPr>
          <w:bCs/>
        </w:rPr>
        <w:tab/>
      </w:r>
      <w:r w:rsidR="007D32B5">
        <w:rPr>
          <w:bCs/>
        </w:rPr>
        <w:t>3</w:t>
      </w:r>
    </w:p>
    <w:p w:rsidR="00CD624E" w:rsidRPr="0073724B" w:rsidP="00CD624E" w14:paraId="6B9E0B35" w14:textId="44D2D7B5">
      <w:pPr>
        <w:tabs>
          <w:tab w:val="right" w:leader="dot" w:pos="8640"/>
        </w:tabs>
        <w:rPr>
          <w:bCs/>
        </w:rPr>
      </w:pPr>
      <w:r w:rsidRPr="0073724B">
        <w:rPr>
          <w:bCs/>
        </w:rPr>
        <w:t xml:space="preserve">IV.        IMPLEMENTATION DATE </w:t>
      </w:r>
      <w:r w:rsidRPr="0073724B">
        <w:rPr>
          <w:bCs/>
        </w:rPr>
        <w:tab/>
      </w:r>
      <w:r w:rsidR="007D32B5">
        <w:rPr>
          <w:bCs/>
        </w:rPr>
        <w:t>3</w:t>
      </w:r>
    </w:p>
    <w:p w:rsidR="00CD624E" w:rsidRPr="0073724B" w:rsidP="00CD624E" w14:paraId="2920F242" w14:textId="67AA1A10">
      <w:pPr>
        <w:tabs>
          <w:tab w:val="right" w:leader="dot" w:pos="8640"/>
        </w:tabs>
        <w:rPr>
          <w:bCs/>
        </w:rPr>
      </w:pPr>
      <w:r w:rsidRPr="0073724B">
        <w:rPr>
          <w:bCs/>
        </w:rPr>
        <w:t xml:space="preserve">V.         INTERNET LINKS </w:t>
      </w:r>
      <w:r w:rsidRPr="0073724B">
        <w:rPr>
          <w:bCs/>
        </w:rPr>
        <w:tab/>
      </w:r>
      <w:r w:rsidR="007D32B5">
        <w:rPr>
          <w:bCs/>
        </w:rPr>
        <w:t>3</w:t>
      </w:r>
    </w:p>
    <w:p w:rsidR="008D4AA5" w:rsidRPr="00074CA4" w:rsidP="00074CA4" w14:paraId="2364AF40" w14:textId="77777777">
      <w:pPr>
        <w:rPr>
          <w:b/>
        </w:rPr>
      </w:pPr>
    </w:p>
    <w:p w:rsidR="00463A2A" w:rsidP="00E97A21" w14:paraId="2A40148F" w14:textId="77777777">
      <w:pPr>
        <w:rPr>
          <w:b/>
        </w:rPr>
      </w:pPr>
    </w:p>
    <w:p w:rsidR="001743EF" w:rsidP="00E97A21" w14:paraId="68D15CDE" w14:textId="77777777">
      <w:pPr>
        <w:rPr>
          <w:b/>
        </w:rPr>
      </w:pPr>
    </w:p>
    <w:p w:rsidR="008F0585" w:rsidP="00E97A21" w14:paraId="0E64538F" w14:textId="3DFB329C">
      <w:pPr>
        <w:rPr>
          <w:b/>
        </w:rPr>
        <w:sectPr w:rsidSect="001743EF">
          <w:headerReference w:type="default" r:id="rId7"/>
          <w:pgSz w:w="12240" w:h="15840"/>
          <w:pgMar w:top="1440" w:right="1440" w:bottom="1008" w:left="1440" w:header="720" w:footer="187" w:gutter="0"/>
          <w:pgNumType w:start="1"/>
          <w:cols w:space="720"/>
          <w:docGrid w:linePitch="360"/>
        </w:sectPr>
      </w:pPr>
    </w:p>
    <w:p w:rsidR="00E97A21" w:rsidRPr="001B034D" w:rsidP="001303AA" w14:paraId="003F6D71" w14:textId="23BFB700">
      <w:pPr>
        <w:tabs>
          <w:tab w:val="left" w:pos="720"/>
        </w:tabs>
        <w:spacing w:after="120"/>
        <w:rPr>
          <w:b/>
        </w:rPr>
      </w:pPr>
      <w:r w:rsidRPr="001B034D">
        <w:rPr>
          <w:b/>
        </w:rPr>
        <w:t>I.</w:t>
      </w:r>
      <w:r w:rsidRPr="001B034D">
        <w:rPr>
          <w:b/>
        </w:rPr>
        <w:tab/>
      </w:r>
      <w:r w:rsidRPr="001B034D" w:rsidR="001A1EAC">
        <w:rPr>
          <w:b/>
        </w:rPr>
        <w:t>OBJECTIVES OF THE PROCEEDING</w:t>
      </w:r>
    </w:p>
    <w:p w:rsidR="00C63C1F" w:rsidP="001303AA" w14:paraId="1FDFF85E" w14:textId="54E56773">
      <w:pPr>
        <w:spacing w:after="120"/>
      </w:pPr>
      <w:r w:rsidRPr="001B034D">
        <w:t xml:space="preserve">In </w:t>
      </w:r>
      <w:r w:rsidRPr="001B034D" w:rsidR="00C9580D">
        <w:t>the</w:t>
      </w:r>
      <w:r w:rsidRPr="001B034D">
        <w:t xml:space="preserve"> </w:t>
      </w:r>
      <w:bookmarkStart w:id="1" w:name="_Hlk136441784"/>
      <w:r w:rsidRPr="001B034D" w:rsidR="00DD1844">
        <w:rPr>
          <w:i/>
          <w:iCs/>
        </w:rPr>
        <w:t xml:space="preserve">Order on Reconsideration, </w:t>
      </w:r>
      <w:r w:rsidRPr="001B034D">
        <w:rPr>
          <w:i/>
        </w:rPr>
        <w:t>Report and Order</w:t>
      </w:r>
      <w:r w:rsidRPr="001B034D" w:rsidR="00DD1844">
        <w:rPr>
          <w:i/>
        </w:rPr>
        <w:t>, and Memorandum Opinion and Order</w:t>
      </w:r>
      <w:r w:rsidRPr="001B034D">
        <w:t xml:space="preserve"> </w:t>
      </w:r>
      <w:bookmarkEnd w:id="1"/>
      <w:r w:rsidRPr="001B034D">
        <w:t xml:space="preserve">in </w:t>
      </w:r>
      <w:r w:rsidRPr="001B034D" w:rsidR="001062B1">
        <w:t>ET</w:t>
      </w:r>
      <w:r w:rsidRPr="001B034D">
        <w:t xml:space="preserve"> Docket No</w:t>
      </w:r>
      <w:r w:rsidRPr="001B034D" w:rsidR="00DD1844">
        <w:t>s</w:t>
      </w:r>
      <w:r w:rsidRPr="001B034D">
        <w:t xml:space="preserve">. </w:t>
      </w:r>
      <w:r w:rsidRPr="001B034D" w:rsidR="00DD1844">
        <w:t>14-</w:t>
      </w:r>
      <w:r w:rsidRPr="001B034D" w:rsidR="00C94E3F">
        <w:t xml:space="preserve">165 and </w:t>
      </w:r>
      <w:r w:rsidRPr="001B034D" w:rsidR="001062B1">
        <w:t>20</w:t>
      </w:r>
      <w:r w:rsidRPr="001B034D">
        <w:t xml:space="preserve">-36, the </w:t>
      </w:r>
      <w:r w:rsidRPr="00065CC3" w:rsidR="00065CC3">
        <w:t xml:space="preserve">Federal Communications </w:t>
      </w:r>
      <w:r w:rsidRPr="001B034D">
        <w:t xml:space="preserve">Commission </w:t>
      </w:r>
      <w:r w:rsidR="00065CC3">
        <w:t xml:space="preserve">(Commission) </w:t>
      </w:r>
      <w:r w:rsidR="004577B0">
        <w:t xml:space="preserve">adopted three orders </w:t>
      </w:r>
      <w:r w:rsidR="002A3AC8">
        <w:t xml:space="preserve">regarding the effective and efficient management of </w:t>
      </w:r>
      <w:r w:rsidRPr="001B034D" w:rsidR="00075E72">
        <w:t>white space devices</w:t>
      </w:r>
      <w:r w:rsidR="003A7D80">
        <w:t xml:space="preserve"> </w:t>
      </w:r>
      <w:r w:rsidR="00166BD6">
        <w:t xml:space="preserve">operating </w:t>
      </w:r>
      <w:r w:rsidR="003A7D80">
        <w:t xml:space="preserve">in </w:t>
      </w:r>
      <w:r w:rsidR="009A51EB">
        <w:t xml:space="preserve">the </w:t>
      </w:r>
      <w:r w:rsidR="00035770">
        <w:t xml:space="preserve">broadcast television (TV) bands and portions of the </w:t>
      </w:r>
      <w:r w:rsidR="009A51EB">
        <w:t>600</w:t>
      </w:r>
      <w:r w:rsidR="00035770">
        <w:t xml:space="preserve"> MHz band</w:t>
      </w:r>
      <w:r w:rsidRPr="001B034D" w:rsidR="00075E72">
        <w:t>.</w:t>
      </w:r>
      <w:r>
        <w:rPr>
          <w:rStyle w:val="FootnoteReference"/>
        </w:rPr>
        <w:footnoteReference w:id="3"/>
      </w:r>
      <w:r w:rsidRPr="001B034D" w:rsidR="00075E72">
        <w:t xml:space="preserve">  </w:t>
      </w:r>
    </w:p>
    <w:p w:rsidR="00576B01" w:rsidP="00F95474" w14:paraId="0382778E" w14:textId="57566FC8">
      <w:pPr>
        <w:spacing w:after="120"/>
      </w:pPr>
      <w:r>
        <w:t>The</w:t>
      </w:r>
      <w:r w:rsidR="006F3823">
        <w:t xml:space="preserve"> Commission’s actions in the </w:t>
      </w:r>
      <w:r w:rsidRPr="00BA3DE9" w:rsidR="00A56E9E">
        <w:rPr>
          <w:i/>
          <w:iCs/>
        </w:rPr>
        <w:t xml:space="preserve">Order </w:t>
      </w:r>
      <w:r w:rsidRPr="00BA3DE9" w:rsidR="009C7B66">
        <w:rPr>
          <w:i/>
          <w:iCs/>
        </w:rPr>
        <w:t>on Reconsideration</w:t>
      </w:r>
      <w:r w:rsidR="00B718EF">
        <w:t xml:space="preserve"> </w:t>
      </w:r>
      <w:r w:rsidR="006F3823">
        <w:t>reject</w:t>
      </w:r>
      <w:r w:rsidR="00775F31">
        <w:t>ed</w:t>
      </w:r>
      <w:r w:rsidR="006F3823">
        <w:t xml:space="preserve"> a petition for reconsideration of two rules changes </w:t>
      </w:r>
      <w:r w:rsidR="00C56045">
        <w:t>and upheld</w:t>
      </w:r>
      <w:r w:rsidRPr="00877908" w:rsidR="00C56045">
        <w:t xml:space="preserve"> </w:t>
      </w:r>
      <w:r w:rsidR="002630AD">
        <w:t>prior</w:t>
      </w:r>
      <w:r w:rsidRPr="00877908" w:rsidR="00877908">
        <w:t xml:space="preserve"> Commission decisions </w:t>
      </w:r>
      <w:r w:rsidR="002630AD">
        <w:t xml:space="preserve">concerning </w:t>
      </w:r>
      <w:r w:rsidR="006B3B4A">
        <w:t xml:space="preserve">the operation of </w:t>
      </w:r>
      <w:r w:rsidR="006229C3">
        <w:t xml:space="preserve">mobile </w:t>
      </w:r>
      <w:r w:rsidR="00777CC8">
        <w:t>white space</w:t>
      </w:r>
      <w:r w:rsidRPr="00877908" w:rsidR="00877908">
        <w:t xml:space="preserve"> devices </w:t>
      </w:r>
      <w:r w:rsidR="00154524">
        <w:t xml:space="preserve">and </w:t>
      </w:r>
      <w:r w:rsidRPr="00877908" w:rsidR="00877908">
        <w:t xml:space="preserve">narrowband white space devices </w:t>
      </w:r>
      <w:r w:rsidR="006F3823">
        <w:t>utilizing broadcast TV bands</w:t>
      </w:r>
      <w:r w:rsidR="009C7B66">
        <w:t>.</w:t>
      </w:r>
      <w:r w:rsidR="0071279C">
        <w:t xml:space="preserve">  </w:t>
      </w:r>
    </w:p>
    <w:p w:rsidR="00F95474" w:rsidRPr="001B034D" w:rsidP="00F95474" w14:paraId="661FD2D5" w14:textId="1A76F33A">
      <w:pPr>
        <w:spacing w:after="120"/>
      </w:pPr>
      <w:r>
        <w:t>Relatedly, t</w:t>
      </w:r>
      <w:r w:rsidR="009C7B66">
        <w:t xml:space="preserve">he </w:t>
      </w:r>
      <w:r w:rsidRPr="00BA3DE9" w:rsidR="009C7B66">
        <w:rPr>
          <w:i/>
          <w:iCs/>
        </w:rPr>
        <w:t>Report and Order</w:t>
      </w:r>
      <w:r w:rsidR="003F3D7B">
        <w:t xml:space="preserve"> </w:t>
      </w:r>
      <w:r w:rsidRPr="001B034D">
        <w:t xml:space="preserve">adopted rules specifying how often mobile and narrowband white space devices must contact a white space database to determine the operating channels and associated maximum permissible power levels that are available at a device’s location.  The amended rules: </w:t>
      </w:r>
      <w:r w:rsidR="00A5028D">
        <w:t xml:space="preserve"> </w:t>
      </w:r>
      <w:r w:rsidRPr="001B034D">
        <w:t>(1) require a mobile white space device to contact a white space database at least once per hour to determine whether its operating channel continues to be available</w:t>
      </w:r>
      <w:r w:rsidR="00EA1077">
        <w:t>,</w:t>
      </w:r>
      <w:r w:rsidRPr="001B034D" w:rsidR="00EA1077">
        <w:t xml:space="preserve"> </w:t>
      </w:r>
      <w:r w:rsidRPr="001B034D">
        <w:t>and (2) require a narrowband white space device to contact a white space database at least once per day to determine whether its operating channel continues to be available.</w:t>
      </w:r>
    </w:p>
    <w:p w:rsidR="004B00B8" w:rsidRPr="001B034D" w:rsidP="001303AA" w14:paraId="2373C373" w14:textId="0D78B475">
      <w:pPr>
        <w:spacing w:after="120"/>
      </w:pPr>
      <w:r>
        <w:t xml:space="preserve">Lastly, </w:t>
      </w:r>
      <w:r w:rsidR="00E7093D">
        <w:t xml:space="preserve">in </w:t>
      </w:r>
      <w:r>
        <w:t xml:space="preserve">the </w:t>
      </w:r>
      <w:r w:rsidRPr="00BA3DE9">
        <w:rPr>
          <w:i/>
          <w:iCs/>
        </w:rPr>
        <w:t>Memorandum Opinion and Order</w:t>
      </w:r>
      <w:r w:rsidR="00E7093D">
        <w:t xml:space="preserve">, the Commission </w:t>
      </w:r>
      <w:r w:rsidRPr="00E7093D" w:rsidR="00E7093D">
        <w:t>decline</w:t>
      </w:r>
      <w:r w:rsidR="00E7093D">
        <w:t>d</w:t>
      </w:r>
      <w:r w:rsidRPr="00E7093D" w:rsidR="00E7093D">
        <w:t xml:space="preserve"> to modify </w:t>
      </w:r>
      <w:r w:rsidR="00E7093D">
        <w:t xml:space="preserve">existing </w:t>
      </w:r>
      <w:r w:rsidRPr="00E7093D" w:rsidR="00E7093D">
        <w:t xml:space="preserve">rules </w:t>
      </w:r>
      <w:r w:rsidR="00E7093D">
        <w:t>to</w:t>
      </w:r>
      <w:r w:rsidRPr="00E7093D" w:rsidR="00E7093D">
        <w:t xml:space="preserve"> permit white space databases </w:t>
      </w:r>
      <w:r w:rsidR="006A32A5">
        <w:t>to use</w:t>
      </w:r>
      <w:r w:rsidRPr="00E7093D" w:rsidR="00E7093D">
        <w:t xml:space="preserve"> more complex terrain-based models to determine </w:t>
      </w:r>
      <w:r w:rsidR="00E7093D">
        <w:t>which TV channels are available for white space operation at a particular location, opting to retain the current model for determining TV channel availability.</w:t>
      </w:r>
      <w:r>
        <w:rPr>
          <w:rStyle w:val="FootnoteReference"/>
        </w:rPr>
        <w:footnoteReference w:id="4"/>
      </w:r>
      <w:r w:rsidR="00FD3DB4">
        <w:t xml:space="preserve">  Additionally, the </w:t>
      </w:r>
      <w:r w:rsidRPr="003746C3" w:rsidR="00FD3DB4">
        <w:rPr>
          <w:i/>
          <w:iCs/>
        </w:rPr>
        <w:t>Memorandum Opinion and Order</w:t>
      </w:r>
      <w:r w:rsidR="00BE1496">
        <w:t xml:space="preserve"> </w:t>
      </w:r>
      <w:r w:rsidR="00CA78D4">
        <w:t xml:space="preserve">corrects section </w:t>
      </w:r>
      <w:r w:rsidRPr="00CA78D4" w:rsidR="00CA78D4">
        <w:t>15.713(e)(6) of the rules,</w:t>
      </w:r>
      <w:r w:rsidR="00CA78D4">
        <w:t xml:space="preserve"> which pertains to </w:t>
      </w:r>
      <w:r w:rsidRPr="001B034D" w:rsidR="009C3559">
        <w:t>the maximum permissible antenna height above ground for fixed white space device</w:t>
      </w:r>
      <w:r w:rsidRPr="001B034D" w:rsidR="006F07B8">
        <w:t>s</w:t>
      </w:r>
      <w:r w:rsidRPr="001B034D" w:rsidR="009C3559">
        <w:t>.</w:t>
      </w:r>
      <w:r>
        <w:rPr>
          <w:rStyle w:val="FootnoteReference"/>
        </w:rPr>
        <w:footnoteReference w:id="5"/>
      </w:r>
    </w:p>
    <w:p w:rsidR="00A10309" w:rsidRPr="001B034D" w:rsidP="001303AA" w14:paraId="0DE4DFB7" w14:textId="510257DE">
      <w:pPr>
        <w:spacing w:before="120" w:after="120"/>
      </w:pPr>
      <w:r w:rsidRPr="001B034D">
        <w:t>The</w:t>
      </w:r>
      <w:r w:rsidR="006F3823">
        <w:t xml:space="preserve"> steps taken by the</w:t>
      </w:r>
      <w:r w:rsidRPr="001B034D">
        <w:t xml:space="preserve"> </w:t>
      </w:r>
      <w:r w:rsidR="006F3823">
        <w:t>Commission in t</w:t>
      </w:r>
      <w:r w:rsidRPr="001B034D">
        <w:t>h</w:t>
      </w:r>
      <w:r w:rsidR="006F3823">
        <w:t>e</w:t>
      </w:r>
      <w:r w:rsidRPr="001B034D">
        <w:t xml:space="preserve"> </w:t>
      </w:r>
      <w:bookmarkStart w:id="3" w:name="_Hlk133247173"/>
      <w:r w:rsidRPr="001B034D" w:rsidR="007369CA">
        <w:rPr>
          <w:i/>
          <w:iCs/>
        </w:rPr>
        <w:t xml:space="preserve">Order on Reconsideration, </w:t>
      </w:r>
      <w:r w:rsidRPr="001B034D" w:rsidR="007369CA">
        <w:rPr>
          <w:i/>
        </w:rPr>
        <w:t>Report and Order, and Memorandum Opinion and Order</w:t>
      </w:r>
      <w:bookmarkEnd w:id="3"/>
      <w:r w:rsidRPr="001B034D" w:rsidR="007369CA">
        <w:t xml:space="preserve"> </w:t>
      </w:r>
      <w:r w:rsidR="006F3823">
        <w:t xml:space="preserve">further its goals of providing clarity to white space device users and manufacturers, while also optimizing the use of </w:t>
      </w:r>
      <w:r w:rsidRPr="001B034D">
        <w:t>white space devices</w:t>
      </w:r>
      <w:r w:rsidR="00423995">
        <w:t>.  Moreover, these</w:t>
      </w:r>
      <w:r w:rsidRPr="001B034D">
        <w:t xml:space="preserve"> </w:t>
      </w:r>
      <w:r w:rsidR="00423995">
        <w:t>actions facilitate</w:t>
      </w:r>
      <w:r w:rsidRPr="001B034D" w:rsidR="00BB7075">
        <w:t xml:space="preserve"> improved broadband services</w:t>
      </w:r>
      <w:r w:rsidRPr="001B034D" w:rsidR="006A7B17">
        <w:t xml:space="preserve"> </w:t>
      </w:r>
      <w:r w:rsidRPr="001B034D" w:rsidR="00BB7075">
        <w:t xml:space="preserve">to all Americans, particularly those in rural, Tribal and other underserved areas, </w:t>
      </w:r>
      <w:r w:rsidRPr="001B034D">
        <w:t>while</w:t>
      </w:r>
      <w:r w:rsidR="00423995">
        <w:t xml:space="preserve"> also</w:t>
      </w:r>
      <w:r w:rsidRPr="001B034D">
        <w:t xml:space="preserve"> protecting other </w:t>
      </w:r>
      <w:r w:rsidRPr="001B034D" w:rsidR="006A7B17">
        <w:t>operations in the</w:t>
      </w:r>
      <w:r w:rsidRPr="001B034D" w:rsidR="00C93E3A">
        <w:t xml:space="preserve"> TV bands from </w:t>
      </w:r>
      <w:r w:rsidR="00423995">
        <w:t xml:space="preserve">harmful </w:t>
      </w:r>
      <w:r w:rsidRPr="001B034D" w:rsidR="00C93E3A">
        <w:t>interference.</w:t>
      </w:r>
    </w:p>
    <w:p w:rsidR="00DA673B" w:rsidRPr="001B034D" w:rsidP="001303AA" w14:paraId="007016BC" w14:textId="2D948987">
      <w:pPr>
        <w:tabs>
          <w:tab w:val="left" w:pos="720"/>
        </w:tabs>
        <w:spacing w:after="120"/>
        <w:rPr>
          <w:b/>
        </w:rPr>
      </w:pPr>
      <w:r w:rsidRPr="001B034D">
        <w:rPr>
          <w:b/>
        </w:rPr>
        <w:t xml:space="preserve">II. </w:t>
      </w:r>
      <w:r w:rsidRPr="001B034D" w:rsidR="00286EA8">
        <w:rPr>
          <w:b/>
        </w:rPr>
        <w:tab/>
      </w:r>
      <w:r w:rsidRPr="001B034D">
        <w:rPr>
          <w:b/>
        </w:rPr>
        <w:t>COMPLIANCE REQUIREMENTS</w:t>
      </w:r>
    </w:p>
    <w:p w:rsidR="008A783B" w:rsidRPr="00BA3DE9" w:rsidP="00543851" w14:paraId="591F6EA0" w14:textId="1923F5D7">
      <w:pPr>
        <w:spacing w:after="120"/>
      </w:pPr>
      <w:r>
        <w:t xml:space="preserve">The </w:t>
      </w:r>
      <w:r w:rsidR="003E0C86">
        <w:t xml:space="preserve">compliance requirements </w:t>
      </w:r>
      <w:r w:rsidR="008A55C0">
        <w:t xml:space="preserve">resulting from the Commission’s actions </w:t>
      </w:r>
      <w:r w:rsidR="00C004CD">
        <w:t xml:space="preserve">in the </w:t>
      </w:r>
      <w:r w:rsidRPr="001B034D" w:rsidR="008957C3">
        <w:rPr>
          <w:i/>
          <w:iCs/>
        </w:rPr>
        <w:t xml:space="preserve">Order on Reconsideration, </w:t>
      </w:r>
      <w:r w:rsidRPr="001B034D" w:rsidR="008957C3">
        <w:rPr>
          <w:i/>
        </w:rPr>
        <w:t>Report and Order, and Memorandum Opinion and Order</w:t>
      </w:r>
      <w:r w:rsidR="00FD7C87">
        <w:rPr>
          <w:iCs/>
        </w:rPr>
        <w:t>,</w:t>
      </w:r>
      <w:r w:rsidR="00C004CD">
        <w:t xml:space="preserve"> </w:t>
      </w:r>
      <w:r w:rsidRPr="00573A06" w:rsidR="008957C3">
        <w:t>which</w:t>
      </w:r>
      <w:r w:rsidR="008957C3">
        <w:t xml:space="preserve"> </w:t>
      </w:r>
      <w:r w:rsidR="00FD7C87">
        <w:t>revises</w:t>
      </w:r>
      <w:r w:rsidRPr="001B034D" w:rsidR="00C34CF2">
        <w:t xml:space="preserve"> the database re-check requirements in </w:t>
      </w:r>
      <w:r w:rsidR="0007429E">
        <w:t>s</w:t>
      </w:r>
      <w:r w:rsidRPr="001B034D" w:rsidR="0007429E">
        <w:t xml:space="preserve">ection </w:t>
      </w:r>
      <w:bookmarkStart w:id="4" w:name="_Hlk136595968"/>
      <w:r w:rsidRPr="001B034D" w:rsidR="00B6201F">
        <w:t>15.711(h)</w:t>
      </w:r>
      <w:r w:rsidRPr="001B034D" w:rsidR="00E51B4A">
        <w:t xml:space="preserve"> </w:t>
      </w:r>
      <w:bookmarkEnd w:id="4"/>
      <w:r w:rsidRPr="001B034D" w:rsidR="00E51B4A">
        <w:t xml:space="preserve">for </w:t>
      </w:r>
      <w:r w:rsidRPr="001B034D" w:rsidR="00F16E73">
        <w:t>various</w:t>
      </w:r>
      <w:r w:rsidRPr="001B034D" w:rsidR="00E51B4A">
        <w:t xml:space="preserve"> categories of white space devices</w:t>
      </w:r>
      <w:r w:rsidR="008A55C0">
        <w:t xml:space="preserve">, are set forth in the </w:t>
      </w:r>
      <w:r w:rsidRPr="009A495B" w:rsidR="008A55C0">
        <w:rPr>
          <w:i/>
          <w:iCs/>
        </w:rPr>
        <w:t>Report and Order</w:t>
      </w:r>
      <w:r w:rsidRPr="001B034D" w:rsidR="00E51B4A">
        <w:t>.</w:t>
      </w:r>
      <w:r w:rsidR="00CB52C5">
        <w:t xml:space="preserve">  </w:t>
      </w:r>
      <w:r w:rsidR="00C31613">
        <w:t xml:space="preserve">Due to the </w:t>
      </w:r>
      <w:r w:rsidRPr="0061248C" w:rsidR="00C31613">
        <w:t xml:space="preserve">technical similarities between mobile and fixed devices, the </w:t>
      </w:r>
      <w:r w:rsidRPr="0061248C" w:rsidR="00CB52C5">
        <w:t xml:space="preserve">Commission </w:t>
      </w:r>
      <w:r w:rsidRPr="0061248C" w:rsidR="00C31613">
        <w:t>opted</w:t>
      </w:r>
      <w:r w:rsidRPr="0061248C" w:rsidR="00CB52C5">
        <w:t xml:space="preserve"> to require mobile devices to </w:t>
      </w:r>
      <w:r w:rsidRPr="00573A06">
        <w:t>re-check the white space databases at least once per hour</w:t>
      </w:r>
      <w:r w:rsidRPr="00573A06" w:rsidR="00C31613">
        <w:t xml:space="preserve">, which is </w:t>
      </w:r>
      <w:r w:rsidRPr="00573A06">
        <w:t>the same re-check interval required for fixed devices (excluding narrowband).</w:t>
      </w:r>
      <w:r w:rsidRPr="00573A06" w:rsidR="00C31613">
        <w:rPr>
          <w:sz w:val="20"/>
        </w:rPr>
        <w:t xml:space="preserve"> </w:t>
      </w:r>
      <w:r w:rsidRPr="00573A06" w:rsidR="00C31613">
        <w:t xml:space="preserve"> </w:t>
      </w:r>
      <w:r w:rsidRPr="00573A06" w:rsidR="00D12DC1">
        <w:t xml:space="preserve">For narrowband devices, the Commission required maintaining the current once daily re-check, as </w:t>
      </w:r>
      <w:r w:rsidRPr="00573A06" w:rsidR="0061248C">
        <w:t xml:space="preserve">it </w:t>
      </w:r>
      <w:r w:rsidRPr="00BA3DE9" w:rsidR="00D12DC1">
        <w:t>concluded narrowband devices ha</w:t>
      </w:r>
      <w:r w:rsidRPr="00BA3DE9" w:rsidR="0061248C">
        <w:t xml:space="preserve">d </w:t>
      </w:r>
      <w:r w:rsidRPr="00BA3DE9" w:rsidR="00D12DC1">
        <w:t xml:space="preserve">a very low likelihood of </w:t>
      </w:r>
      <w:r w:rsidRPr="00BA3DE9" w:rsidR="0061248C">
        <w:t>causing</w:t>
      </w:r>
      <w:r w:rsidRPr="00BA3DE9" w:rsidR="00D12DC1">
        <w:t xml:space="preserve"> harmful interference to licensed wireless microphones and </w:t>
      </w:r>
      <w:r w:rsidRPr="00BA3DE9" w:rsidR="0061248C">
        <w:t>therefore did not necessitate an hourly database re-check</w:t>
      </w:r>
      <w:r w:rsidRPr="00BA3DE9" w:rsidR="00D12DC1">
        <w:t>.</w:t>
      </w:r>
    </w:p>
    <w:p w:rsidR="00DA673B" w:rsidRPr="001B034D" w:rsidP="00543851" w14:paraId="0B12357B" w14:textId="3C38E1DC">
      <w:pPr>
        <w:spacing w:after="120"/>
      </w:pPr>
      <w:r w:rsidRPr="001B034D">
        <w:t xml:space="preserve">The </w:t>
      </w:r>
      <w:r w:rsidRPr="001B034D" w:rsidR="008C0476">
        <w:t xml:space="preserve">revised </w:t>
      </w:r>
      <w:r w:rsidRPr="001B034D">
        <w:t xml:space="preserve">section </w:t>
      </w:r>
      <w:r w:rsidRPr="001B034D" w:rsidR="00A83349">
        <w:t xml:space="preserve">contains three paragraphs which </w:t>
      </w:r>
      <w:r w:rsidRPr="001B034D" w:rsidR="009A7BD4">
        <w:t>specify</w:t>
      </w:r>
      <w:r w:rsidRPr="001B034D" w:rsidR="00A83349">
        <w:t xml:space="preserve"> the</w:t>
      </w:r>
      <w:r w:rsidRPr="001B034D" w:rsidR="002D0360">
        <w:t xml:space="preserve"> re-check </w:t>
      </w:r>
      <w:r w:rsidRPr="001B034D" w:rsidR="009D276D">
        <w:t>requirements</w:t>
      </w:r>
      <w:r w:rsidRPr="001B034D" w:rsidR="002D57DF">
        <w:t xml:space="preserve"> </w:t>
      </w:r>
      <w:r w:rsidRPr="001B034D" w:rsidR="00A83349">
        <w:t>that</w:t>
      </w:r>
      <w:r w:rsidRPr="001B034D" w:rsidR="000467A7">
        <w:t xml:space="preserve"> apply to</w:t>
      </w:r>
      <w:r w:rsidRPr="001B034D" w:rsidR="004749A4">
        <w:t>:</w:t>
      </w:r>
      <w:r w:rsidRPr="001B034D">
        <w:t xml:space="preserve"> </w:t>
      </w:r>
      <w:r w:rsidR="00FD7C87">
        <w:t xml:space="preserve"> </w:t>
      </w:r>
      <w:r w:rsidRPr="001B034D">
        <w:t>(1)</w:t>
      </w:r>
      <w:r w:rsidR="00FD7C87">
        <w:t> </w:t>
      </w:r>
      <w:r w:rsidRPr="001B034D" w:rsidR="002D57DF">
        <w:t>mobile, fixed and Mode II personal/portable devices</w:t>
      </w:r>
      <w:r w:rsidRPr="001B034D" w:rsidR="003B7AFB">
        <w:t xml:space="preserve"> (excluding narrowband devices)</w:t>
      </w:r>
      <w:r w:rsidRPr="001B034D" w:rsidR="002D57DF">
        <w:t xml:space="preserve"> operating in the TV bands; (2)</w:t>
      </w:r>
      <w:r w:rsidRPr="001B034D" w:rsidR="003B7AFB">
        <w:t xml:space="preserve"> fixed and Mode II personal/portable devices operating outside </w:t>
      </w:r>
      <w:r w:rsidRPr="001B034D" w:rsidR="00A465A8">
        <w:t xml:space="preserve">of </w:t>
      </w:r>
      <w:r w:rsidRPr="001B034D" w:rsidR="003B7AFB">
        <w:t>the TV bands; and (3)</w:t>
      </w:r>
      <w:r w:rsidR="00FD7C87">
        <w:t> </w:t>
      </w:r>
      <w:r w:rsidRPr="001B034D" w:rsidR="003B7AFB">
        <w:t>narrowband devices (which operate only in the TV bands).</w:t>
      </w:r>
    </w:p>
    <w:p w:rsidR="00DA673B" w:rsidRPr="00BA3DE9" w:rsidP="00BA3DE9" w14:paraId="549A555F" w14:textId="061ABB16">
      <w:pPr>
        <w:pStyle w:val="ListParagraph"/>
        <w:numPr>
          <w:ilvl w:val="0"/>
          <w:numId w:val="17"/>
        </w:numPr>
        <w:tabs>
          <w:tab w:val="left" w:pos="720"/>
        </w:tabs>
        <w:spacing w:after="120"/>
        <w:ind w:left="720" w:hanging="720"/>
        <w:contextualSpacing w:val="0"/>
        <w:rPr>
          <w:b/>
          <w:iCs/>
        </w:rPr>
      </w:pPr>
      <w:bookmarkStart w:id="5" w:name="_Hlk132635794"/>
      <w:r w:rsidRPr="00BA3DE9">
        <w:rPr>
          <w:b/>
          <w:iCs/>
        </w:rPr>
        <w:t>Mobile Device Database Re-check</w:t>
      </w:r>
      <w:r w:rsidRPr="00BA3DE9">
        <w:rPr>
          <w:b/>
          <w:iCs/>
        </w:rPr>
        <w:t xml:space="preserve"> Requirements (47 CFR </w:t>
      </w:r>
      <w:r w:rsidRPr="00BA3DE9" w:rsidR="00A1151C">
        <w:rPr>
          <w:b/>
          <w:iCs/>
        </w:rPr>
        <w:t>§</w:t>
      </w:r>
      <w:r w:rsidRPr="00BA3DE9">
        <w:rPr>
          <w:b/>
          <w:iCs/>
        </w:rPr>
        <w:t xml:space="preserve">§ </w:t>
      </w:r>
      <w:r w:rsidRPr="00BA3DE9">
        <w:rPr>
          <w:b/>
          <w:iCs/>
        </w:rPr>
        <w:t>15.711(h)(1)</w:t>
      </w:r>
      <w:r w:rsidRPr="00BA3DE9" w:rsidR="003F75DB">
        <w:rPr>
          <w:b/>
          <w:iCs/>
        </w:rPr>
        <w:t xml:space="preserve"> &amp;</w:t>
      </w:r>
      <w:r w:rsidRPr="00BA3DE9" w:rsidR="00A83349">
        <w:rPr>
          <w:b/>
          <w:iCs/>
        </w:rPr>
        <w:t xml:space="preserve"> </w:t>
      </w:r>
      <w:r w:rsidRPr="00BA3DE9" w:rsidR="003F75DB">
        <w:rPr>
          <w:b/>
          <w:iCs/>
        </w:rPr>
        <w:t>(k)(</w:t>
      </w:r>
      <w:r w:rsidRPr="00BA3DE9" w:rsidR="00AF27C3">
        <w:rPr>
          <w:b/>
          <w:iCs/>
        </w:rPr>
        <w:t>9</w:t>
      </w:r>
      <w:r w:rsidRPr="00BA3DE9" w:rsidR="003F75DB">
        <w:rPr>
          <w:b/>
          <w:iCs/>
        </w:rPr>
        <w:t>)</w:t>
      </w:r>
      <w:r w:rsidRPr="00BA3DE9">
        <w:rPr>
          <w:b/>
          <w:iCs/>
        </w:rPr>
        <w:t>)</w:t>
      </w:r>
    </w:p>
    <w:bookmarkEnd w:id="5"/>
    <w:p w:rsidR="00DA673B" w:rsidRPr="001B034D" w:rsidP="00543851" w14:paraId="3FCA055D" w14:textId="38CA5746">
      <w:pPr>
        <w:pStyle w:val="ListParagraph"/>
        <w:numPr>
          <w:ilvl w:val="0"/>
          <w:numId w:val="18"/>
        </w:numPr>
        <w:spacing w:after="120"/>
        <w:contextualSpacing w:val="0"/>
      </w:pPr>
      <w:r w:rsidRPr="001B034D">
        <w:t>M</w:t>
      </w:r>
      <w:r w:rsidRPr="001B034D" w:rsidR="003B7AFB">
        <w:t xml:space="preserve">obile white space devices are </w:t>
      </w:r>
      <w:r w:rsidRPr="001B034D" w:rsidR="002A683B">
        <w:t xml:space="preserve">now </w:t>
      </w:r>
      <w:r w:rsidRPr="001B034D" w:rsidR="003B7AFB">
        <w:t>subject to the</w:t>
      </w:r>
      <w:r w:rsidRPr="001B034D" w:rsidR="007F2022">
        <w:t xml:space="preserve"> same database re-check requirement</w:t>
      </w:r>
      <w:r w:rsidRPr="001B034D" w:rsidR="004C0041">
        <w:t>s</w:t>
      </w:r>
      <w:r w:rsidRPr="001B034D" w:rsidR="007F2022">
        <w:t xml:space="preserve"> as fixed and Mode II personal/portable devices (excluding narrowband</w:t>
      </w:r>
      <w:r w:rsidRPr="001B034D" w:rsidR="00E922EB">
        <w:t xml:space="preserve"> devices</w:t>
      </w:r>
      <w:r w:rsidRPr="001B034D" w:rsidR="007F2022">
        <w:t>) that operate in the TV bands</w:t>
      </w:r>
      <w:r w:rsidRPr="001B034D">
        <w:t>.</w:t>
      </w:r>
      <w:r w:rsidRPr="001B034D" w:rsidR="00AF27C3">
        <w:t xml:space="preserve">  </w:t>
      </w:r>
      <w:r w:rsidRPr="001B034D" w:rsidR="001312E6">
        <w:t xml:space="preserve">Specifically, </w:t>
      </w:r>
      <w:r w:rsidR="00FD7C87">
        <w:t>section 15.711</w:t>
      </w:r>
      <w:r w:rsidRPr="001B034D" w:rsidR="00504DCC">
        <w:t xml:space="preserve">(h)(1) was modified to </w:t>
      </w:r>
      <w:r w:rsidRPr="001B034D" w:rsidR="00BE7537">
        <w:t>make mobile white space devices subject to</w:t>
      </w:r>
      <w:r w:rsidRPr="001B034D" w:rsidR="00E96C35">
        <w:t xml:space="preserve"> the same database re-check requirements </w:t>
      </w:r>
      <w:r w:rsidRPr="001B034D" w:rsidR="00F3725E">
        <w:t>as the</w:t>
      </w:r>
      <w:r w:rsidRPr="001B034D" w:rsidR="00B04EA4">
        <w:t>se</w:t>
      </w:r>
      <w:r w:rsidRPr="001B034D" w:rsidR="00F3725E">
        <w:t xml:space="preserve"> other categories of devices.</w:t>
      </w:r>
      <w:r w:rsidR="003F2165">
        <w:t xml:space="preserve">  </w:t>
      </w:r>
      <w:r w:rsidR="00FB7585">
        <w:t>In addition, s</w:t>
      </w:r>
      <w:r w:rsidR="003F2165">
        <w:t>ection 15.711</w:t>
      </w:r>
      <w:r w:rsidRPr="001B034D" w:rsidR="00373043">
        <w:t>(k)(9) was modified</w:t>
      </w:r>
      <w:r w:rsidRPr="001B034D" w:rsidR="001312E6">
        <w:t xml:space="preserve"> to replace the </w:t>
      </w:r>
      <w:r w:rsidRPr="001B034D" w:rsidR="00E96C35">
        <w:t xml:space="preserve">former </w:t>
      </w:r>
      <w:r w:rsidRPr="001B034D" w:rsidR="001312E6">
        <w:t xml:space="preserve">database re-check requirements for mobile devices with a </w:t>
      </w:r>
      <w:r w:rsidR="00DA3571">
        <w:t>cross-</w:t>
      </w:r>
      <w:r w:rsidR="000F5F9E">
        <w:t>reference</w:t>
      </w:r>
      <w:r w:rsidRPr="001B034D" w:rsidR="00DA3571">
        <w:t xml:space="preserve"> </w:t>
      </w:r>
      <w:r w:rsidRPr="001B034D" w:rsidR="001312E6">
        <w:t xml:space="preserve">to </w:t>
      </w:r>
      <w:r w:rsidR="003F2165">
        <w:t>section 15.711</w:t>
      </w:r>
      <w:r w:rsidRPr="001B034D" w:rsidR="001312E6">
        <w:t>(h)(1)</w:t>
      </w:r>
      <w:r w:rsidR="00047A42">
        <w:t xml:space="preserve"> that</w:t>
      </w:r>
      <w:r w:rsidRPr="00FE0CF7" w:rsidR="00FE0CF7">
        <w:t xml:space="preserve"> will specify the </w:t>
      </w:r>
      <w:r w:rsidR="00A8738D">
        <w:t xml:space="preserve">applicable </w:t>
      </w:r>
      <w:r w:rsidRPr="00FE0CF7" w:rsidR="00FE0CF7">
        <w:t>database re-check requirements</w:t>
      </w:r>
      <w:r w:rsidRPr="001B034D" w:rsidR="001312E6">
        <w:t>.</w:t>
      </w:r>
    </w:p>
    <w:p w:rsidR="004D6BD5" w:rsidRPr="001B034D" w:rsidP="00543851" w14:paraId="3557D14E" w14:textId="65DBDDC3">
      <w:pPr>
        <w:pStyle w:val="ListParagraph"/>
        <w:numPr>
          <w:ilvl w:val="0"/>
          <w:numId w:val="18"/>
        </w:numPr>
        <w:spacing w:after="120"/>
        <w:contextualSpacing w:val="0"/>
      </w:pPr>
      <w:r w:rsidRPr="001B034D">
        <w:t xml:space="preserve">Under </w:t>
      </w:r>
      <w:r w:rsidR="00FB7585">
        <w:t>section 15.711</w:t>
      </w:r>
      <w:r w:rsidRPr="001B034D" w:rsidR="000F76E6">
        <w:t>(h)(1)</w:t>
      </w:r>
      <w:r w:rsidRPr="001B034D">
        <w:t>, m</w:t>
      </w:r>
      <w:r w:rsidRPr="001B034D" w:rsidR="004C0041">
        <w:t xml:space="preserve">obile devices must </w:t>
      </w:r>
      <w:r w:rsidRPr="001B034D" w:rsidR="00911ABB">
        <w:t xml:space="preserve">access the white space database at least once every 60 minutes to verify that the operating channel(s) and associated maximum </w:t>
      </w:r>
      <w:r w:rsidRPr="001B034D" w:rsidR="00E922EB">
        <w:t xml:space="preserve">permissible </w:t>
      </w:r>
      <w:r w:rsidRPr="001B034D" w:rsidR="00911ABB">
        <w:t xml:space="preserve">power levels continue to be available at </w:t>
      </w:r>
      <w:r w:rsidRPr="001B034D" w:rsidR="00E922EB">
        <w:t>their</w:t>
      </w:r>
      <w:r w:rsidRPr="001B034D" w:rsidR="00911ABB">
        <w:t xml:space="preserve"> location. </w:t>
      </w:r>
      <w:r w:rsidRPr="001B034D">
        <w:t xml:space="preserve"> </w:t>
      </w:r>
      <w:r w:rsidRPr="001B034D" w:rsidR="00911ABB">
        <w:t xml:space="preserve">Devices </w:t>
      </w:r>
      <w:r w:rsidRPr="001B034D">
        <w:t>must</w:t>
      </w:r>
      <w:r w:rsidRPr="001B034D" w:rsidR="00911ABB">
        <w:t xml:space="preserve"> adjust their channel usage in accordance with the most recent channel availability schedule information provided by the white space database for the two-hour period beginning at the time the device last accessed the database.</w:t>
      </w:r>
      <w:r w:rsidRPr="001B034D" w:rsidR="00E922EB">
        <w:t xml:space="preserve">  Scheduling information is provided by the database </w:t>
      </w:r>
      <w:r w:rsidRPr="001B034D" w:rsidR="0073770B">
        <w:t>when</w:t>
      </w:r>
      <w:r w:rsidRPr="001B034D" w:rsidR="00E922EB">
        <w:t xml:space="preserve"> necessary to protect registered licensed wireless microphones near a white space device’s location.</w:t>
      </w:r>
    </w:p>
    <w:p w:rsidR="00864203" w:rsidRPr="001B034D" w:rsidP="00D0223F" w14:paraId="629A8E17" w14:textId="468C2F90">
      <w:pPr>
        <w:pStyle w:val="ListParagraph"/>
        <w:numPr>
          <w:ilvl w:val="0"/>
          <w:numId w:val="18"/>
        </w:numPr>
        <w:spacing w:after="120"/>
        <w:contextualSpacing w:val="0"/>
      </w:pPr>
      <w:r w:rsidRPr="001B034D">
        <w:t>If a device fails to successfully contact the white space database, it may continue to operate until no longer than 120 minutes after the last successful contact, at which time it must cease operations until it reestablishes contact with the white space database and re-verifies its list of available channels and associated maximum power levels.</w:t>
      </w:r>
    </w:p>
    <w:p w:rsidR="00860997" w:rsidRPr="00420D3A" w:rsidP="00BA3DE9" w14:paraId="48A77B8B" w14:textId="71CEC67B">
      <w:pPr>
        <w:pStyle w:val="ListParagraph"/>
        <w:numPr>
          <w:ilvl w:val="0"/>
          <w:numId w:val="17"/>
        </w:numPr>
        <w:tabs>
          <w:tab w:val="left" w:pos="720"/>
        </w:tabs>
        <w:spacing w:after="120"/>
        <w:ind w:left="720" w:hanging="720"/>
        <w:contextualSpacing w:val="0"/>
        <w:rPr>
          <w:b/>
          <w:iCs/>
        </w:rPr>
      </w:pPr>
      <w:bookmarkStart w:id="6" w:name="_Hlk136447483"/>
      <w:r w:rsidRPr="00BA3DE9">
        <w:rPr>
          <w:b/>
          <w:iCs/>
        </w:rPr>
        <w:t xml:space="preserve">Narrowband Device Database Re-check Requirements </w:t>
      </w:r>
      <w:bookmarkEnd w:id="6"/>
      <w:r w:rsidRPr="00BA3DE9">
        <w:rPr>
          <w:b/>
          <w:iCs/>
        </w:rPr>
        <w:t xml:space="preserve">(47 CFR </w:t>
      </w:r>
      <w:r w:rsidRPr="00BA3DE9" w:rsidR="00A1151C">
        <w:rPr>
          <w:b/>
          <w:iCs/>
        </w:rPr>
        <w:t>§</w:t>
      </w:r>
      <w:r w:rsidRPr="00BA3DE9">
        <w:rPr>
          <w:b/>
          <w:iCs/>
        </w:rPr>
        <w:t>§ 15.711(h)</w:t>
      </w:r>
      <w:r w:rsidRPr="00BA3DE9" w:rsidR="007471C0">
        <w:rPr>
          <w:b/>
          <w:iCs/>
        </w:rPr>
        <w:t xml:space="preserve">(2) &amp; </w:t>
      </w:r>
      <w:r w:rsidRPr="00BA3DE9">
        <w:rPr>
          <w:b/>
          <w:iCs/>
        </w:rPr>
        <w:t>(3))</w:t>
      </w:r>
    </w:p>
    <w:p w:rsidR="004C4A5D" w:rsidRPr="001B034D" w:rsidP="00543851" w14:paraId="175C3E35" w14:textId="66052B7D">
      <w:pPr>
        <w:pStyle w:val="ListParagraph"/>
        <w:numPr>
          <w:ilvl w:val="0"/>
          <w:numId w:val="18"/>
        </w:numPr>
        <w:spacing w:after="120"/>
        <w:contextualSpacing w:val="0"/>
      </w:pPr>
      <w:r w:rsidRPr="001B034D">
        <w:t>Narrowband</w:t>
      </w:r>
      <w:r w:rsidRPr="001B034D" w:rsidR="00656061">
        <w:t xml:space="preserve"> white space devices are </w:t>
      </w:r>
      <w:r w:rsidRPr="001B034D">
        <w:t xml:space="preserve">no longer </w:t>
      </w:r>
      <w:r w:rsidRPr="001B034D" w:rsidR="00656061">
        <w:t xml:space="preserve">subject to the same database re-check requirements as fixed and Mode II personal/portable devices </w:t>
      </w:r>
      <w:r w:rsidRPr="001B034D" w:rsidR="00C410FE">
        <w:t xml:space="preserve">operating outside of the </w:t>
      </w:r>
      <w:r w:rsidRPr="001B034D" w:rsidR="00656061">
        <w:t>TV bands</w:t>
      </w:r>
      <w:r w:rsidRPr="001B034D" w:rsidR="004C3822">
        <w:t xml:space="preserve"> specified</w:t>
      </w:r>
      <w:r w:rsidRPr="001B034D" w:rsidR="00195629">
        <w:t xml:space="preserve"> in </w:t>
      </w:r>
      <w:r w:rsidR="00047A42">
        <w:t>section 15.711</w:t>
      </w:r>
      <w:r w:rsidRPr="001B034D" w:rsidR="00047A42">
        <w:t xml:space="preserve"> </w:t>
      </w:r>
      <w:r w:rsidRPr="001B034D" w:rsidR="0092678D">
        <w:t>(h)(2).</w:t>
      </w:r>
      <w:r w:rsidRPr="001B034D" w:rsidR="00EA43F9">
        <w:t xml:space="preserve">  Instead, they </w:t>
      </w:r>
      <w:r w:rsidR="00900832">
        <w:t xml:space="preserve">are </w:t>
      </w:r>
      <w:r w:rsidRPr="001B034D" w:rsidR="00EA43F9">
        <w:t xml:space="preserve">required to comply with the database re-check requirements in a new </w:t>
      </w:r>
      <w:r w:rsidR="00047A42">
        <w:t>subsection</w:t>
      </w:r>
      <w:r w:rsidRPr="001B034D" w:rsidR="00047A42">
        <w:t xml:space="preserve"> </w:t>
      </w:r>
      <w:r w:rsidR="00C4762E">
        <w:t>15.711</w:t>
      </w:r>
      <w:r w:rsidRPr="001B034D" w:rsidR="00EA43F9">
        <w:t>(h)(3).</w:t>
      </w:r>
    </w:p>
    <w:p w:rsidR="00195629" w:rsidRPr="001B034D" w:rsidP="00543851" w14:paraId="16A8866E" w14:textId="2E77E9FC">
      <w:pPr>
        <w:pStyle w:val="ListParagraph"/>
        <w:numPr>
          <w:ilvl w:val="0"/>
          <w:numId w:val="18"/>
        </w:numPr>
        <w:spacing w:after="120"/>
        <w:contextualSpacing w:val="0"/>
      </w:pPr>
      <w:r w:rsidRPr="001B034D">
        <w:t>A narrowband device that has been in a powered-on state shall access the database at least once each 24-hour</w:t>
      </w:r>
      <w:r w:rsidRPr="001B034D" w:rsidR="00FA4E35">
        <w:t xml:space="preserve"> </w:t>
      </w:r>
      <w:r w:rsidRPr="001B034D">
        <w:t>period to verify that the operating channel(s) and associated maximum power levels continue to be</w:t>
      </w:r>
      <w:r w:rsidRPr="001B034D" w:rsidR="00FA4E35">
        <w:t xml:space="preserve"> </w:t>
      </w:r>
      <w:r w:rsidRPr="001B034D">
        <w:t>available at its location.</w:t>
      </w:r>
    </w:p>
    <w:p w:rsidR="00225705" w:rsidRPr="001B034D" w:rsidP="00543851" w14:paraId="55ABDC2F" w14:textId="197973EF">
      <w:pPr>
        <w:pStyle w:val="ListParagraph"/>
        <w:numPr>
          <w:ilvl w:val="0"/>
          <w:numId w:val="18"/>
        </w:numPr>
        <w:spacing w:after="120"/>
        <w:contextualSpacing w:val="0"/>
      </w:pPr>
      <w:r w:rsidRPr="001B034D">
        <w:t xml:space="preserve">A device must cease operating if it fails to successfully access the database </w:t>
      </w:r>
      <w:r w:rsidRPr="001B034D" w:rsidR="000A28C2">
        <w:t>within</w:t>
      </w:r>
      <w:r w:rsidRPr="001B034D" w:rsidR="002221C2">
        <w:t xml:space="preserve"> </w:t>
      </w:r>
      <w:r w:rsidRPr="001B034D">
        <w:t>24 hours from its last</w:t>
      </w:r>
      <w:r w:rsidRPr="001B034D" w:rsidR="00FA4E35">
        <w:t xml:space="preserve"> </w:t>
      </w:r>
      <w:r w:rsidRPr="001B034D">
        <w:t>successful contact</w:t>
      </w:r>
      <w:r w:rsidRPr="001B034D" w:rsidR="004B025D">
        <w:t>.  It may not resume operation</w:t>
      </w:r>
      <w:r w:rsidRPr="001B034D">
        <w:t xml:space="preserve"> until it re-establishes contact with the white space database and re-verifi</w:t>
      </w:r>
      <w:r w:rsidRPr="001B034D" w:rsidR="00FA4E35">
        <w:t>e</w:t>
      </w:r>
      <w:r w:rsidRPr="001B034D">
        <w:t>s its</w:t>
      </w:r>
      <w:r w:rsidRPr="001B034D" w:rsidR="00FA4E35">
        <w:t xml:space="preserve"> </w:t>
      </w:r>
      <w:r w:rsidRPr="001B034D">
        <w:t>list of available channels and corresponding power levels.</w:t>
      </w:r>
    </w:p>
    <w:p w:rsidR="00225705" w:rsidRPr="001B034D" w:rsidP="00B50AB3" w14:paraId="0C989C2B" w14:textId="307A98E6">
      <w:pPr>
        <w:spacing w:after="120"/>
      </w:pPr>
      <w:r>
        <w:t>In t</w:t>
      </w:r>
      <w:r w:rsidRPr="001B034D">
        <w:t xml:space="preserve">he </w:t>
      </w:r>
      <w:r w:rsidRPr="001B034D">
        <w:rPr>
          <w:i/>
        </w:rPr>
        <w:t>Memorandum Opinion and Order</w:t>
      </w:r>
      <w:r w:rsidR="00F24833">
        <w:t>,</w:t>
      </w:r>
      <w:r w:rsidRPr="00F24833">
        <w:t xml:space="preserve"> </w:t>
      </w:r>
      <w:r>
        <w:t xml:space="preserve">the Commission </w:t>
      </w:r>
      <w:r w:rsidRPr="002C1920" w:rsidR="002C1920">
        <w:t xml:space="preserve">declined to modify existing rules </w:t>
      </w:r>
      <w:r w:rsidR="0070758F">
        <w:t>to permit</w:t>
      </w:r>
      <w:r w:rsidRPr="002C1920" w:rsidR="002C1920">
        <w:t xml:space="preserve"> white space databases </w:t>
      </w:r>
      <w:r w:rsidR="0070758F">
        <w:t>to use</w:t>
      </w:r>
      <w:r w:rsidRPr="002C1920" w:rsidR="002C1920">
        <w:t xml:space="preserve"> more complex terrain-based models </w:t>
      </w:r>
      <w:r w:rsidR="00406432">
        <w:t xml:space="preserve">(such as the Longley-Rice Irregular Terrain Model) </w:t>
      </w:r>
      <w:r w:rsidRPr="002C1920" w:rsidR="002C1920">
        <w:t>to determine which TV channels are available for white space operation at a particular location</w:t>
      </w:r>
      <w:r w:rsidR="00BB542A">
        <w:t>;</w:t>
      </w:r>
      <w:r w:rsidR="00FC3B2B">
        <w:t xml:space="preserve"> therefore </w:t>
      </w:r>
      <w:r w:rsidR="00406432">
        <w:t xml:space="preserve">no compliance requirements are changed. </w:t>
      </w:r>
      <w:r w:rsidR="00FC3B2B">
        <w:t xml:space="preserve"> </w:t>
      </w:r>
      <w:r>
        <w:t>The Commission,</w:t>
      </w:r>
      <w:r w:rsidR="00406432">
        <w:t xml:space="preserve"> </w:t>
      </w:r>
      <w:r w:rsidR="00FC3B2B">
        <w:t xml:space="preserve">however, </w:t>
      </w:r>
      <w:r>
        <w:t>modified</w:t>
      </w:r>
      <w:r w:rsidRPr="001B034D">
        <w:t xml:space="preserve"> </w:t>
      </w:r>
      <w:r w:rsidR="0007429E">
        <w:t>s</w:t>
      </w:r>
      <w:r w:rsidRPr="001B034D" w:rsidR="0007429E">
        <w:t xml:space="preserve">ection </w:t>
      </w:r>
      <w:r w:rsidRPr="001B034D">
        <w:t>15.7</w:t>
      </w:r>
      <w:r w:rsidRPr="001B034D" w:rsidR="004B448E">
        <w:t>13(e)(6) by removing an incorrect reference to a 30 meter antenna height above ground limit</w:t>
      </w:r>
      <w:r w:rsidRPr="001B034D" w:rsidR="00051563">
        <w:t xml:space="preserve"> for fixed white space devices</w:t>
      </w:r>
      <w:r w:rsidRPr="001B034D" w:rsidR="004B448E">
        <w:t>.</w:t>
      </w:r>
      <w:r>
        <w:rPr>
          <w:rStyle w:val="FootnoteReference"/>
        </w:rPr>
        <w:footnoteReference w:id="6"/>
      </w:r>
      <w:r w:rsidRPr="001B034D" w:rsidR="004B448E">
        <w:t xml:space="preserve">  </w:t>
      </w:r>
      <w:r w:rsidR="00FC3B2B">
        <w:t>T</w:t>
      </w:r>
      <w:r w:rsidRPr="001B034D" w:rsidR="004B448E">
        <w:t xml:space="preserve">his is a ministerial revision that </w:t>
      </w:r>
      <w:r w:rsidRPr="001B034D" w:rsidR="00597D31">
        <w:t>conforms the text of the rule to</w:t>
      </w:r>
      <w:r w:rsidRPr="001B034D" w:rsidR="004B448E">
        <w:t xml:space="preserve"> </w:t>
      </w:r>
      <w:r w:rsidR="00AE5B12">
        <w:t>the</w:t>
      </w:r>
      <w:r w:rsidRPr="001B034D" w:rsidR="004B448E">
        <w:t xml:space="preserve"> Commission</w:t>
      </w:r>
      <w:r w:rsidR="00AE5B12">
        <w:t xml:space="preserve">’s </w:t>
      </w:r>
      <w:r w:rsidRPr="001B034D" w:rsidR="004B448E">
        <w:t xml:space="preserve">decision </w:t>
      </w:r>
      <w:r w:rsidR="00AE5B12">
        <w:t xml:space="preserve">in the </w:t>
      </w:r>
      <w:r w:rsidRPr="00AE5B12" w:rsidR="00AE5B12">
        <w:rPr>
          <w:i/>
          <w:iCs/>
        </w:rPr>
        <w:t>2020 White Spaces Order and FNPRM</w:t>
      </w:r>
      <w:r w:rsidRPr="00AE5B12" w:rsidR="00AE5B12">
        <w:t xml:space="preserve"> </w:t>
      </w:r>
      <w:r w:rsidRPr="001B034D" w:rsidR="004B448E">
        <w:t>and therefore</w:t>
      </w:r>
      <w:r w:rsidRPr="001B034D" w:rsidR="00393948">
        <w:t xml:space="preserve"> does not change any </w:t>
      </w:r>
      <w:r w:rsidRPr="001B034D" w:rsidR="00393948">
        <w:t>compliance requirements.</w:t>
      </w:r>
      <w:r>
        <w:rPr>
          <w:rStyle w:val="FootnoteReference"/>
        </w:rPr>
        <w:footnoteReference w:id="7"/>
      </w:r>
    </w:p>
    <w:p w:rsidR="009A61EC" w:rsidRPr="001B034D" w:rsidP="00B50AB3" w14:paraId="3AA3064C" w14:textId="19E06D2B">
      <w:pPr>
        <w:spacing w:after="120"/>
      </w:pPr>
      <w:r>
        <w:t>Lastly, in t</w:t>
      </w:r>
      <w:r w:rsidRPr="001B034D" w:rsidR="00051563">
        <w:t xml:space="preserve">he </w:t>
      </w:r>
      <w:r w:rsidRPr="001B034D" w:rsidR="00051563">
        <w:rPr>
          <w:i/>
          <w:iCs/>
        </w:rPr>
        <w:t>Order on Reconsideration</w:t>
      </w:r>
      <w:r>
        <w:t xml:space="preserve">, the Commission continued to </w:t>
      </w:r>
      <w:r w:rsidRPr="001F43EF">
        <w:t xml:space="preserve">allow mobile devices </w:t>
      </w:r>
      <w:r w:rsidR="00573A06">
        <w:t xml:space="preserve">to operate </w:t>
      </w:r>
      <w:r w:rsidRPr="001F43EF">
        <w:t>at 16 watts</w:t>
      </w:r>
      <w:r>
        <w:t xml:space="preserve"> </w:t>
      </w:r>
      <w:r w:rsidRPr="001F43EF">
        <w:t>Effective Isotropic Radiated Power</w:t>
      </w:r>
      <w:r>
        <w:t xml:space="preserve"> (</w:t>
      </w:r>
      <w:r w:rsidRPr="001F43EF">
        <w:t>EIRP</w:t>
      </w:r>
      <w:r>
        <w:t>)</w:t>
      </w:r>
      <w:r w:rsidRPr="001F43EF">
        <w:t xml:space="preserve"> and permit narrowband white space devices to operate in all areas rather than limiting them to “less congested” areas.</w:t>
      </w:r>
      <w:r>
        <w:t xml:space="preserve">  </w:t>
      </w:r>
      <w:r w:rsidR="00247C00">
        <w:t>T</w:t>
      </w:r>
      <w:r>
        <w:t xml:space="preserve">he </w:t>
      </w:r>
      <w:r w:rsidRPr="00BA3DE9" w:rsidR="005E05D1">
        <w:rPr>
          <w:i/>
          <w:iCs/>
        </w:rPr>
        <w:t>Order on Reconsideration</w:t>
      </w:r>
      <w:r w:rsidR="005E05D1">
        <w:t xml:space="preserve"> does not </w:t>
      </w:r>
      <w:r w:rsidRPr="001B034D" w:rsidR="00051563">
        <w:t>change</w:t>
      </w:r>
      <w:r w:rsidR="005E05D1">
        <w:t xml:space="preserve"> existing rules concerning these areas</w:t>
      </w:r>
      <w:r>
        <w:t>, no</w:t>
      </w:r>
      <w:r w:rsidR="005E05D1">
        <w:t>r does it change any related</w:t>
      </w:r>
      <w:r>
        <w:t xml:space="preserve"> compliance requirements.</w:t>
      </w:r>
    </w:p>
    <w:p w:rsidR="00DE567B" w:rsidRPr="001B034D" w:rsidP="00096235" w14:paraId="1759BBF7" w14:textId="59C85934">
      <w:pPr>
        <w:tabs>
          <w:tab w:val="left" w:pos="720"/>
        </w:tabs>
        <w:spacing w:after="120"/>
        <w:rPr>
          <w:b/>
        </w:rPr>
      </w:pPr>
      <w:r w:rsidRPr="001B034D">
        <w:rPr>
          <w:b/>
        </w:rPr>
        <w:t>I</w:t>
      </w:r>
      <w:r w:rsidRPr="001B034D" w:rsidR="00BA1697">
        <w:rPr>
          <w:b/>
        </w:rPr>
        <w:t>II.</w:t>
      </w:r>
      <w:r w:rsidRPr="001B034D" w:rsidR="00286EA8">
        <w:rPr>
          <w:b/>
        </w:rPr>
        <w:tab/>
      </w:r>
      <w:r w:rsidRPr="001B034D">
        <w:rPr>
          <w:b/>
        </w:rPr>
        <w:t xml:space="preserve">RECORDKEEPING </w:t>
      </w:r>
      <w:r w:rsidRPr="001B034D" w:rsidR="00292357">
        <w:rPr>
          <w:b/>
        </w:rPr>
        <w:t xml:space="preserve">AND REPORTING </w:t>
      </w:r>
      <w:r w:rsidRPr="001B034D">
        <w:rPr>
          <w:b/>
        </w:rPr>
        <w:t>REQUIREMENTS</w:t>
      </w:r>
    </w:p>
    <w:p w:rsidR="001961AA" w:rsidRPr="001B034D" w:rsidP="00096235" w14:paraId="1ED3D0C5" w14:textId="5502964C">
      <w:pPr>
        <w:pStyle w:val="ParaNum"/>
        <w:numPr>
          <w:ilvl w:val="0"/>
          <w:numId w:val="0"/>
        </w:numPr>
        <w:rPr>
          <w:color w:val="010101"/>
          <w:szCs w:val="22"/>
        </w:rPr>
      </w:pPr>
      <w:r w:rsidRPr="001B034D">
        <w:rPr>
          <w:color w:val="010101"/>
          <w:szCs w:val="22"/>
        </w:rPr>
        <w:t xml:space="preserve">The Commission’s actions in the </w:t>
      </w:r>
      <w:r w:rsidRPr="001B034D" w:rsidR="00DB18EC">
        <w:rPr>
          <w:i/>
          <w:iCs/>
          <w:szCs w:val="22"/>
        </w:rPr>
        <w:t xml:space="preserve">Order on Reconsideration, </w:t>
      </w:r>
      <w:r w:rsidRPr="001B034D" w:rsidR="00DB18EC">
        <w:rPr>
          <w:i/>
          <w:szCs w:val="22"/>
        </w:rPr>
        <w:t>Report and Order, and Memorandum Opinion and Order</w:t>
      </w:r>
      <w:r w:rsidRPr="001B034D" w:rsidR="00DB18EC">
        <w:rPr>
          <w:color w:val="010101"/>
          <w:szCs w:val="22"/>
        </w:rPr>
        <w:t xml:space="preserve"> </w:t>
      </w:r>
      <w:r w:rsidRPr="001B034D" w:rsidR="000D790A">
        <w:rPr>
          <w:color w:val="010101"/>
          <w:szCs w:val="22"/>
        </w:rPr>
        <w:t>did</w:t>
      </w:r>
      <w:r w:rsidRPr="001B034D">
        <w:rPr>
          <w:color w:val="010101"/>
          <w:szCs w:val="22"/>
        </w:rPr>
        <w:t xml:space="preserve"> not create any new recordkeeping </w:t>
      </w:r>
      <w:r w:rsidRPr="001B034D" w:rsidR="00013982">
        <w:rPr>
          <w:color w:val="010101"/>
          <w:szCs w:val="22"/>
        </w:rPr>
        <w:t xml:space="preserve">or reporting </w:t>
      </w:r>
      <w:r w:rsidRPr="001B034D">
        <w:rPr>
          <w:color w:val="010101"/>
          <w:szCs w:val="22"/>
        </w:rPr>
        <w:t>requirements.</w:t>
      </w:r>
    </w:p>
    <w:p w:rsidR="00066CB4" w:rsidRPr="001B034D" w:rsidP="00096235" w14:paraId="2F69183C" w14:textId="7612FBF9">
      <w:pPr>
        <w:tabs>
          <w:tab w:val="left" w:pos="720"/>
        </w:tabs>
        <w:spacing w:after="120"/>
        <w:rPr>
          <w:b/>
        </w:rPr>
      </w:pPr>
      <w:r w:rsidRPr="001B034D">
        <w:rPr>
          <w:b/>
        </w:rPr>
        <w:t>I</w:t>
      </w:r>
      <w:r w:rsidRPr="001B034D">
        <w:rPr>
          <w:b/>
        </w:rPr>
        <w:t xml:space="preserve">V. </w:t>
      </w:r>
      <w:r w:rsidRPr="001B034D" w:rsidR="00286EA8">
        <w:rPr>
          <w:b/>
        </w:rPr>
        <w:tab/>
      </w:r>
      <w:r w:rsidRPr="001B034D">
        <w:rPr>
          <w:b/>
        </w:rPr>
        <w:t>IMPLEMENTATION</w:t>
      </w:r>
      <w:r w:rsidRPr="001B034D" w:rsidR="00716724">
        <w:rPr>
          <w:b/>
        </w:rPr>
        <w:t xml:space="preserve"> DATE</w:t>
      </w:r>
    </w:p>
    <w:p w:rsidR="00AB1D1E" w:rsidRPr="001B034D" w:rsidP="00E256E7" w14:paraId="33EBBABA" w14:textId="2132AD8B">
      <w:pPr>
        <w:pStyle w:val="ParaNum"/>
        <w:numPr>
          <w:ilvl w:val="0"/>
          <w:numId w:val="0"/>
        </w:numPr>
        <w:rPr>
          <w:b/>
          <w:szCs w:val="22"/>
        </w:rPr>
      </w:pPr>
      <w:r w:rsidRPr="001B034D">
        <w:rPr>
          <w:szCs w:val="22"/>
        </w:rPr>
        <w:t>T</w:t>
      </w:r>
      <w:r w:rsidRPr="001B034D" w:rsidR="00491F77">
        <w:rPr>
          <w:szCs w:val="22"/>
        </w:rPr>
        <w:t>he rule</w:t>
      </w:r>
      <w:r w:rsidR="001941B5">
        <w:rPr>
          <w:szCs w:val="22"/>
        </w:rPr>
        <w:t>s</w:t>
      </w:r>
      <w:r w:rsidRPr="001B034D" w:rsidR="00DB18EC">
        <w:rPr>
          <w:szCs w:val="22"/>
        </w:rPr>
        <w:t xml:space="preserve"> </w:t>
      </w:r>
      <w:r w:rsidRPr="001B034D" w:rsidR="00491F77">
        <w:rPr>
          <w:szCs w:val="22"/>
        </w:rPr>
        <w:t xml:space="preserve">in the </w:t>
      </w:r>
      <w:r w:rsidRPr="001B034D" w:rsidR="00DB18EC">
        <w:rPr>
          <w:i/>
          <w:iCs/>
          <w:szCs w:val="22"/>
        </w:rPr>
        <w:t xml:space="preserve">Order on Reconsideration, </w:t>
      </w:r>
      <w:r w:rsidRPr="001B034D" w:rsidR="00DB18EC">
        <w:rPr>
          <w:i/>
          <w:szCs w:val="22"/>
        </w:rPr>
        <w:t>Report and Order, and Memorandum Opinion and Order</w:t>
      </w:r>
      <w:r w:rsidRPr="001B034D" w:rsidR="00DB18EC">
        <w:rPr>
          <w:szCs w:val="22"/>
        </w:rPr>
        <w:t xml:space="preserve"> </w:t>
      </w:r>
      <w:r w:rsidR="00247C00">
        <w:rPr>
          <w:szCs w:val="22"/>
        </w:rPr>
        <w:t>became</w:t>
      </w:r>
      <w:r w:rsidRPr="001B034D" w:rsidR="00491F77">
        <w:rPr>
          <w:szCs w:val="22"/>
        </w:rPr>
        <w:t xml:space="preserve"> effective</w:t>
      </w:r>
      <w:r w:rsidRPr="001B034D" w:rsidR="001C10EF">
        <w:rPr>
          <w:szCs w:val="22"/>
        </w:rPr>
        <w:t xml:space="preserve"> </w:t>
      </w:r>
      <w:r w:rsidR="00241E18">
        <w:rPr>
          <w:szCs w:val="22"/>
        </w:rPr>
        <w:t xml:space="preserve">on </w:t>
      </w:r>
      <w:r w:rsidRPr="00DD73B5" w:rsidR="00DD73B5">
        <w:rPr>
          <w:szCs w:val="22"/>
        </w:rPr>
        <w:t>June 21, 2023</w:t>
      </w:r>
      <w:r w:rsidRPr="001B034D" w:rsidR="001338B0">
        <w:rPr>
          <w:szCs w:val="22"/>
        </w:rPr>
        <w:t>.</w:t>
      </w:r>
    </w:p>
    <w:p w:rsidR="00233B90" w:rsidRPr="001B034D" w:rsidP="00CE2BF2" w14:paraId="170C5BF1" w14:textId="3BD95F4C">
      <w:pPr>
        <w:tabs>
          <w:tab w:val="left" w:pos="720"/>
        </w:tabs>
        <w:spacing w:after="120"/>
        <w:rPr>
          <w:b/>
        </w:rPr>
      </w:pPr>
      <w:r w:rsidRPr="001B034D">
        <w:rPr>
          <w:b/>
        </w:rPr>
        <w:t>V.</w:t>
      </w:r>
      <w:r w:rsidRPr="001B034D">
        <w:rPr>
          <w:b/>
        </w:rPr>
        <w:tab/>
      </w:r>
      <w:r w:rsidRPr="001B034D" w:rsidR="00C5062A">
        <w:rPr>
          <w:b/>
        </w:rPr>
        <w:t>INTERNET LINKS</w:t>
      </w:r>
    </w:p>
    <w:p w:rsidR="005539D9" w:rsidRPr="001B034D" w:rsidP="00E256E7" w14:paraId="14FA3A97" w14:textId="77777777">
      <w:pPr>
        <w:pStyle w:val="ParaNum"/>
        <w:numPr>
          <w:ilvl w:val="0"/>
          <w:numId w:val="0"/>
        </w:numPr>
        <w:rPr>
          <w:bCs/>
          <w:szCs w:val="22"/>
        </w:rPr>
      </w:pPr>
      <w:r w:rsidRPr="001B034D">
        <w:rPr>
          <w:bCs/>
          <w:szCs w:val="22"/>
        </w:rPr>
        <w:t>A copy of the</w:t>
      </w:r>
      <w:r w:rsidRPr="001B034D" w:rsidR="00894121">
        <w:rPr>
          <w:bCs/>
          <w:szCs w:val="22"/>
        </w:rPr>
        <w:t xml:space="preserve"> </w:t>
      </w:r>
      <w:r w:rsidRPr="001B034D" w:rsidR="00DB18EC">
        <w:rPr>
          <w:bCs/>
          <w:i/>
          <w:iCs/>
          <w:szCs w:val="22"/>
        </w:rPr>
        <w:t>Order on Reconsideration, Report and Order, and Memorandum Opinion and Order</w:t>
      </w:r>
      <w:r w:rsidRPr="001B034D">
        <w:rPr>
          <w:bCs/>
          <w:szCs w:val="22"/>
        </w:rPr>
        <w:t xml:space="preserve"> is available at:</w:t>
      </w:r>
    </w:p>
    <w:p w:rsidR="00C5062A" w:rsidRPr="001B034D" w:rsidP="00C5062A" w14:paraId="502FE2B9" w14:textId="18872DF1">
      <w:pPr>
        <w:rPr>
          <w:bCs/>
        </w:rPr>
      </w:pPr>
      <w:hyperlink r:id="rId8" w:history="1">
        <w:r w:rsidRPr="001B034D" w:rsidR="00A27183">
          <w:rPr>
            <w:rStyle w:val="Hyperlink"/>
            <w:bCs/>
          </w:rPr>
          <w:t>https://docs.fcc.gov/public/attachments/FCC-23-24A1.pdf</w:t>
        </w:r>
      </w:hyperlink>
      <w:r w:rsidRPr="001B034D" w:rsidR="00A27183">
        <w:rPr>
          <w:bCs/>
        </w:rPr>
        <w:t>.</w:t>
      </w:r>
    </w:p>
    <w:p w:rsidR="002973BD" w:rsidRPr="001B034D" w:rsidP="00C5062A" w14:paraId="5819B98F" w14:textId="77777777">
      <w:pPr>
        <w:rPr>
          <w:bCs/>
        </w:rPr>
      </w:pPr>
    </w:p>
    <w:p w:rsidR="005539D9" w:rsidRPr="001B034D" w:rsidP="00BA3DE9" w14:paraId="323F755E" w14:textId="77777777">
      <w:pPr>
        <w:pStyle w:val="ParaNum"/>
        <w:numPr>
          <w:ilvl w:val="0"/>
          <w:numId w:val="0"/>
        </w:numPr>
        <w:rPr>
          <w:bCs/>
        </w:rPr>
      </w:pPr>
      <w:r w:rsidRPr="001B034D">
        <w:rPr>
          <w:bCs/>
          <w:szCs w:val="22"/>
        </w:rPr>
        <w:t xml:space="preserve">A copy of the Federal Register Summary of the </w:t>
      </w:r>
      <w:r w:rsidRPr="001B034D" w:rsidR="00DB18EC">
        <w:rPr>
          <w:bCs/>
          <w:i/>
          <w:iCs/>
          <w:szCs w:val="22"/>
        </w:rPr>
        <w:t>Order on Reconsideration, Report and Order, and Memorandum Opinion and Order</w:t>
      </w:r>
      <w:r w:rsidRPr="001B034D" w:rsidR="00DB18EC">
        <w:rPr>
          <w:bCs/>
          <w:szCs w:val="22"/>
        </w:rPr>
        <w:t xml:space="preserve"> </w:t>
      </w:r>
      <w:r w:rsidRPr="001B034D">
        <w:rPr>
          <w:bCs/>
          <w:szCs w:val="22"/>
        </w:rPr>
        <w:t>is available at:</w:t>
      </w:r>
    </w:p>
    <w:p w:rsidR="004008B8" w:rsidRPr="001B034D" w:rsidP="00081FCA" w14:paraId="76D7AB80" w14:textId="52D3FFF3">
      <w:pPr>
        <w:rPr>
          <w:b/>
          <w:bCs/>
        </w:rPr>
      </w:pPr>
      <w:hyperlink r:id="rId9" w:history="1">
        <w:r w:rsidRPr="001B034D" w:rsidR="005539D9">
          <w:rPr>
            <w:rStyle w:val="Hyperlink"/>
            <w:rFonts w:eastAsia="Calibri"/>
            <w:bCs/>
          </w:rPr>
          <w:t>https://www.govinfo.gov/content/pkg/FR-2023-05-22/pdf/2023-10166.pdf</w:t>
        </w:r>
      </w:hyperlink>
      <w:r w:rsidRPr="001B034D" w:rsidR="00D6412A">
        <w:rPr>
          <w:b/>
          <w:bCs/>
        </w:rPr>
        <w:t>.</w:t>
      </w:r>
    </w:p>
    <w:sectPr w:rsidSect="003E02CC">
      <w:headerReference w:type="default" r:id="rId10"/>
      <w:footerReference w:type="default" r:id="rId11"/>
      <w:pgSz w:w="12240" w:h="15840"/>
      <w:pgMar w:top="36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6886" w:rsidP="00034878" w14:paraId="35FC69B9" w14:textId="77777777">
      <w:r>
        <w:separator/>
      </w:r>
    </w:p>
  </w:footnote>
  <w:footnote w:type="continuationSeparator" w:id="1">
    <w:p w:rsidR="00956886" w:rsidP="00034878" w14:paraId="121518C0" w14:textId="77777777">
      <w:r>
        <w:continuationSeparator/>
      </w:r>
    </w:p>
  </w:footnote>
  <w:footnote w:type="continuationNotice" w:id="2">
    <w:p w:rsidR="00956886" w14:paraId="4FCB9F93" w14:textId="77777777"/>
  </w:footnote>
  <w:footnote w:id="3">
    <w:p w:rsidR="00724349" w:rsidRPr="00991057" w:rsidP="00BA3DE9" w14:paraId="4A13E637" w14:textId="00B64852">
      <w:pPr>
        <w:pStyle w:val="FootnoteText"/>
      </w:pPr>
      <w:r w:rsidRPr="00991057">
        <w:rPr>
          <w:rStyle w:val="FootnoteReference"/>
        </w:rPr>
        <w:footnoteRef/>
      </w:r>
      <w:r w:rsidRPr="00991057">
        <w:t xml:space="preserve"> </w:t>
      </w:r>
      <w:r w:rsidRPr="00BA3DE9">
        <w:rPr>
          <w:i/>
          <w:iCs/>
        </w:rPr>
        <w:t>Unlicensed White Space Device Operations in the Television Bands; Amendment of Part 15 of the Commission’s Rules for Unlicensed Operations in the Television Bands, Repurposed 600 MHz Band, 600 MHz Guard Bands and Duplex Gap, and Channel 37</w:t>
      </w:r>
      <w:r w:rsidRPr="00BA3DE9">
        <w:t>, ET Docket Nos. 14-165 and 20-36, Order on Reconsideration, Report and Order, and Memorandum Opinion and Order, FCC 23-24 (Apr. 12, 2023) (</w:t>
      </w:r>
      <w:r w:rsidRPr="00BA3DE9">
        <w:rPr>
          <w:i/>
          <w:iCs/>
        </w:rPr>
        <w:t>Order on Reconsideration, Report and Order, and Memorandum Opinion and Order</w:t>
      </w:r>
      <w:r w:rsidRPr="00BA3DE9">
        <w:t>).</w:t>
      </w:r>
      <w:r w:rsidRPr="00991057">
        <w:t xml:space="preserve"> </w:t>
      </w:r>
    </w:p>
  </w:footnote>
  <w:footnote w:id="4">
    <w:p w:rsidR="00E7093D" w:rsidRPr="00BA3DE9" w:rsidP="00BA3DE9" w14:paraId="33FA5C3E" w14:textId="11363A51">
      <w:pPr>
        <w:pStyle w:val="FootnoteText"/>
      </w:pPr>
      <w:r w:rsidRPr="00BA3DE9">
        <w:rPr>
          <w:rStyle w:val="FootnoteReference"/>
        </w:rPr>
        <w:footnoteRef/>
      </w:r>
      <w:r w:rsidRPr="00BA3DE9">
        <w:t xml:space="preserve"> </w:t>
      </w:r>
      <w:r w:rsidRPr="00991057">
        <w:t>47 CFR § 15.712.  This section requires white space devices to meet minimum separation distances from the protected contours of co-channel and adjacent channel TV stations, as well as from other protected services including licensed wireless microphones, land mobile stations, and certain receive sites.</w:t>
      </w:r>
    </w:p>
  </w:footnote>
  <w:footnote w:id="5">
    <w:p w:rsidR="00991057" w:rsidP="00BA3DE9" w14:paraId="7798C94F" w14:textId="15A2F1F6">
      <w:pPr>
        <w:pStyle w:val="FootnoteText"/>
      </w:pPr>
      <w:r w:rsidRPr="00BA3DE9">
        <w:rPr>
          <w:rStyle w:val="FootnoteReference"/>
        </w:rPr>
        <w:footnoteRef/>
      </w:r>
      <w:r w:rsidRPr="00BA3DE9">
        <w:t xml:space="preserve"> </w:t>
      </w:r>
      <w:bookmarkStart w:id="2" w:name="_Hlk136595922"/>
      <w:r>
        <w:t xml:space="preserve">Id. </w:t>
      </w:r>
      <w:r w:rsidRPr="00F32A59" w:rsidR="00F32A59">
        <w:t>§ 15.713(e)(6)</w:t>
      </w:r>
      <w:r w:rsidR="00F32A59">
        <w:t>.</w:t>
      </w:r>
      <w:bookmarkEnd w:id="2"/>
    </w:p>
    <w:p w:rsidR="00753BA2" w:rsidP="00BA3DE9" w14:paraId="7C5D96D6" w14:textId="77777777">
      <w:pPr>
        <w:pStyle w:val="FootnoteText"/>
      </w:pPr>
    </w:p>
    <w:p w:rsidR="00753BA2" w:rsidP="00DD04E3" w14:paraId="55810FE1" w14:textId="77777777">
      <w:pPr>
        <w:pStyle w:val="Footer"/>
        <w:jc w:val="center"/>
        <w:rPr>
          <w:noProof/>
        </w:rPr>
      </w:pPr>
      <w:r w:rsidRPr="001743EF">
        <w:fldChar w:fldCharType="begin"/>
      </w:r>
      <w:r w:rsidRPr="001743EF">
        <w:instrText xml:space="preserve"> PAGE   \* MERGEFORMAT </w:instrText>
      </w:r>
      <w:r w:rsidRPr="001743EF">
        <w:fldChar w:fldCharType="separate"/>
      </w:r>
      <w:r>
        <w:t>1</w:t>
      </w:r>
      <w:r w:rsidRPr="001743EF">
        <w:rPr>
          <w:noProof/>
        </w:rPr>
        <w:fldChar w:fldCharType="end"/>
      </w:r>
    </w:p>
    <w:p w:rsidR="00DD04E3" w:rsidRPr="00753BA2" w:rsidP="00753BA2" w14:paraId="3E26D7F2" w14:textId="020F7F7A">
      <w:pPr>
        <w:pStyle w:val="Footer"/>
        <w:jc w:val="center"/>
      </w:pPr>
    </w:p>
  </w:footnote>
  <w:footnote w:id="6">
    <w:p w:rsidR="004571B6" w14:paraId="6BDB4B65" w14:textId="180C131E">
      <w:pPr>
        <w:pStyle w:val="FootnoteText"/>
      </w:pPr>
      <w:r w:rsidRPr="00BA3DE9">
        <w:rPr>
          <w:rStyle w:val="FootnoteReference"/>
        </w:rPr>
        <w:footnoteRef/>
      </w:r>
      <w:r w:rsidRPr="00BA3DE9">
        <w:t xml:space="preserve"> 47 CFR § 15.713(e)(6).</w:t>
      </w:r>
    </w:p>
    <w:p w:rsidR="00DD04E3" w:rsidP="00DD04E3" w14:paraId="363826A2" w14:textId="232EE04E">
      <w:pPr>
        <w:pStyle w:val="FootnoteText"/>
        <w:jc w:val="center"/>
      </w:pPr>
      <w:r>
        <w:t>2</w:t>
      </w:r>
    </w:p>
    <w:p w:rsidR="00753BA2" w:rsidP="00DD04E3" w14:paraId="5D155B5F" w14:textId="77777777">
      <w:pPr>
        <w:pStyle w:val="FootnoteText"/>
        <w:jc w:val="center"/>
      </w:pPr>
    </w:p>
    <w:p w:rsidR="00753BA2" w:rsidP="00DD04E3" w14:paraId="6E80EAD6" w14:textId="77777777">
      <w:pPr>
        <w:pStyle w:val="FootnoteText"/>
        <w:jc w:val="center"/>
      </w:pPr>
    </w:p>
    <w:p w:rsidR="00B508A1" w:rsidRPr="00BA3DE9" w:rsidP="00DD04E3" w14:paraId="536AC7E7" w14:textId="77777777">
      <w:pPr>
        <w:pStyle w:val="FootnoteText"/>
        <w:jc w:val="center"/>
      </w:pPr>
    </w:p>
  </w:footnote>
  <w:footnote w:id="7">
    <w:p w:rsidR="00DC07EF" w14:paraId="0A4DF18C" w14:textId="057172BB">
      <w:pPr>
        <w:pStyle w:val="FootnoteText"/>
        <w:rPr>
          <w:snapToGrid w:val="0"/>
          <w:kern w:val="28"/>
        </w:rPr>
      </w:pPr>
      <w:r w:rsidRPr="00BA3DE9">
        <w:rPr>
          <w:rStyle w:val="FootnoteReference"/>
        </w:rPr>
        <w:footnoteRef/>
      </w:r>
      <w:r w:rsidRPr="00BA3DE9">
        <w:t xml:space="preserve"> </w:t>
      </w:r>
      <w:bookmarkStart w:id="7" w:name="_Hlk118811105"/>
      <w:r w:rsidRPr="0067106A" w:rsidR="00AE5B12">
        <w:rPr>
          <w:i/>
          <w:iCs/>
        </w:rPr>
        <w:t>Unlicensed White Space Device Operations in the Television Bands</w:t>
      </w:r>
      <w:r w:rsidRPr="0067106A" w:rsidR="00AE5B12">
        <w:t xml:space="preserve">, Report and Order and Further Notice of Proposed Rulemaking, 35 FCC Rcd 12603 (2020) </w:t>
      </w:r>
      <w:bookmarkEnd w:id="7"/>
      <w:r w:rsidRPr="0067106A" w:rsidR="00AE5B12">
        <w:t>(</w:t>
      </w:r>
      <w:bookmarkStart w:id="8" w:name="_Hlk138841978"/>
      <w:r w:rsidRPr="0067106A" w:rsidR="00AE5B12">
        <w:rPr>
          <w:i/>
          <w:iCs/>
        </w:rPr>
        <w:t xml:space="preserve">2020 White Spaces </w:t>
      </w:r>
      <w:bookmarkStart w:id="9" w:name="_Hlk99961683"/>
      <w:r w:rsidRPr="0067106A" w:rsidR="00AE5B12">
        <w:rPr>
          <w:i/>
          <w:iCs/>
        </w:rPr>
        <w:t>Order and FNPRM</w:t>
      </w:r>
      <w:bookmarkEnd w:id="8"/>
      <w:bookmarkEnd w:id="9"/>
      <w:r w:rsidRPr="0067106A" w:rsidR="00AE5B12">
        <w:t>).</w:t>
      </w:r>
      <w:r w:rsidRPr="0067106A" w:rsidR="0067106A">
        <w:t xml:space="preserve">  </w:t>
      </w:r>
      <w:r w:rsidR="0067106A">
        <w:t>T</w:t>
      </w:r>
      <w:r w:rsidRPr="0067106A" w:rsidR="0067106A">
        <w:t xml:space="preserve">he Commission removed the antenna height above ground limit for most fixed white space devices.  </w:t>
      </w:r>
      <w:r w:rsidRPr="00BA3DE9" w:rsidR="0067106A">
        <w:rPr>
          <w:i/>
          <w:iCs/>
        </w:rPr>
        <w:t>See</w:t>
      </w:r>
      <w:r w:rsidRPr="0067106A" w:rsidR="0067106A">
        <w:t xml:space="preserve"> </w:t>
      </w:r>
      <w:r w:rsidRPr="00BA3DE9" w:rsidR="0067106A">
        <w:rPr>
          <w:i/>
          <w:iCs/>
          <w:snapToGrid w:val="0"/>
          <w:kern w:val="28"/>
        </w:rPr>
        <w:t xml:space="preserve">2020 White Spaces </w:t>
      </w:r>
      <w:r w:rsidRPr="00BA3DE9" w:rsidR="0067106A">
        <w:rPr>
          <w:i/>
          <w:snapToGrid w:val="0"/>
          <w:kern w:val="28"/>
        </w:rPr>
        <w:t>Order</w:t>
      </w:r>
      <w:r w:rsidRPr="00BA3DE9" w:rsidR="0067106A">
        <w:rPr>
          <w:i/>
          <w:iCs/>
          <w:snapToGrid w:val="0"/>
          <w:kern w:val="28"/>
        </w:rPr>
        <w:t xml:space="preserve"> and FNPRM</w:t>
      </w:r>
      <w:r w:rsidRPr="00BA3DE9" w:rsidR="0067106A">
        <w:rPr>
          <w:snapToGrid w:val="0"/>
          <w:kern w:val="28"/>
        </w:rPr>
        <w:t xml:space="preserve">,  35 FCC Rcd at </w:t>
      </w:r>
      <w:r w:rsidR="00DE1D5C">
        <w:rPr>
          <w:snapToGrid w:val="0"/>
          <w:kern w:val="28"/>
        </w:rPr>
        <w:t>1</w:t>
      </w:r>
      <w:r w:rsidRPr="00BA3DE9" w:rsidR="0067106A">
        <w:rPr>
          <w:snapToGrid w:val="0"/>
          <w:kern w:val="28"/>
        </w:rPr>
        <w:t>261</w:t>
      </w:r>
      <w:r w:rsidR="00DE1D5C">
        <w:rPr>
          <w:snapToGrid w:val="0"/>
          <w:kern w:val="28"/>
        </w:rPr>
        <w:t>3</w:t>
      </w:r>
      <w:r w:rsidRPr="00BA3DE9" w:rsidR="0067106A">
        <w:rPr>
          <w:snapToGrid w:val="0"/>
          <w:kern w:val="28"/>
        </w:rPr>
        <w:t>-15, paras. 3</w:t>
      </w:r>
      <w:r w:rsidR="00DE1D5C">
        <w:rPr>
          <w:snapToGrid w:val="0"/>
          <w:kern w:val="28"/>
        </w:rPr>
        <w:t>1</w:t>
      </w:r>
      <w:r w:rsidRPr="00BA3DE9" w:rsidR="0067106A">
        <w:rPr>
          <w:snapToGrid w:val="0"/>
          <w:kern w:val="28"/>
        </w:rPr>
        <w:t>-33.</w:t>
      </w:r>
    </w:p>
    <w:p w:rsidR="00DD04E3" w14:paraId="722637D6" w14:textId="77777777">
      <w:pPr>
        <w:pStyle w:val="FootnoteText"/>
        <w:rPr>
          <w:snapToGrid w:val="0"/>
          <w:kern w:val="28"/>
        </w:rPr>
      </w:pPr>
    </w:p>
    <w:p w:rsidR="00DD04E3" w:rsidRPr="00BA3DE9" w:rsidP="00DD04E3" w14:paraId="09ACDD5C" w14:textId="47B4BCD5">
      <w:pPr>
        <w:pStyle w:val="FootnoteText"/>
        <w:jc w:val="center"/>
      </w:pPr>
      <w:r>
        <w:rPr>
          <w:snapToGrid w:val="0"/>
          <w:kern w:val="28"/>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RPr="006867DD" w:rsidP="006867DD" w14:paraId="65D1CA50" w14:textId="1E2B2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361CD"/>
    <w:multiLevelType w:val="hybridMultilevel"/>
    <w:tmpl w:val="4C5842DA"/>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E11E3D"/>
    <w:multiLevelType w:val="hybridMultilevel"/>
    <w:tmpl w:val="E314FEAA"/>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5B2927"/>
    <w:multiLevelType w:val="hybridMultilevel"/>
    <w:tmpl w:val="D5409CA0"/>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51A7554"/>
    <w:multiLevelType w:val="hybridMultilevel"/>
    <w:tmpl w:val="0390F8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8"/>
  </w:num>
  <w:num w:numId="3">
    <w:abstractNumId w:val="14"/>
  </w:num>
  <w:num w:numId="4">
    <w:abstractNumId w:val="7"/>
  </w:num>
  <w:num w:numId="5">
    <w:abstractNumId w:val="18"/>
  </w:num>
  <w:num w:numId="6">
    <w:abstractNumId w:val="9"/>
  </w:num>
  <w:num w:numId="7">
    <w:abstractNumId w:val="5"/>
  </w:num>
  <w:num w:numId="8">
    <w:abstractNumId w:val="16"/>
  </w:num>
  <w:num w:numId="9">
    <w:abstractNumId w:val="13"/>
  </w:num>
  <w:num w:numId="10">
    <w:abstractNumId w:val="6"/>
  </w:num>
  <w:num w:numId="11">
    <w:abstractNumId w:val="10"/>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3"/>
    </w:lvlOverride>
  </w:num>
  <w:num w:numId="14">
    <w:abstractNumId w:val="19"/>
  </w:num>
  <w:num w:numId="15">
    <w:abstractNumId w:val="16"/>
  </w:num>
  <w:num w:numId="16">
    <w:abstractNumId w:val="16"/>
  </w:num>
  <w:num w:numId="17">
    <w:abstractNumId w:val="11"/>
  </w:num>
  <w:num w:numId="18">
    <w:abstractNumId w:val="0"/>
  </w:num>
  <w:num w:numId="19">
    <w:abstractNumId w:val="2"/>
  </w:num>
  <w:num w:numId="20">
    <w:abstractNumId w:val="16"/>
  </w:num>
  <w:num w:numId="21">
    <w:abstractNumId w:val="17"/>
  </w:num>
  <w:num w:numId="22">
    <w:abstractNumId w:val="3"/>
  </w:num>
  <w:num w:numId="23">
    <w:abstractNumId w:val="12"/>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attachedTemplate r:id="rId1"/>
  <w:linkStyle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1C4C"/>
    <w:rsid w:val="00004B86"/>
    <w:rsid w:val="0000705E"/>
    <w:rsid w:val="00013982"/>
    <w:rsid w:val="0001453A"/>
    <w:rsid w:val="00025AB0"/>
    <w:rsid w:val="000320CC"/>
    <w:rsid w:val="000320E1"/>
    <w:rsid w:val="00034878"/>
    <w:rsid w:val="00034B63"/>
    <w:rsid w:val="00035770"/>
    <w:rsid w:val="000409FC"/>
    <w:rsid w:val="000467A7"/>
    <w:rsid w:val="00046D2E"/>
    <w:rsid w:val="00047744"/>
    <w:rsid w:val="00047A42"/>
    <w:rsid w:val="00051563"/>
    <w:rsid w:val="000601FD"/>
    <w:rsid w:val="000657D4"/>
    <w:rsid w:val="00065CC3"/>
    <w:rsid w:val="00066CB4"/>
    <w:rsid w:val="00070AEB"/>
    <w:rsid w:val="00071B00"/>
    <w:rsid w:val="0007429E"/>
    <w:rsid w:val="00074CA4"/>
    <w:rsid w:val="00075E72"/>
    <w:rsid w:val="000760C6"/>
    <w:rsid w:val="00081710"/>
    <w:rsid w:val="00081FCA"/>
    <w:rsid w:val="00083FF5"/>
    <w:rsid w:val="00087BBD"/>
    <w:rsid w:val="0009148E"/>
    <w:rsid w:val="00091B16"/>
    <w:rsid w:val="0009430B"/>
    <w:rsid w:val="00096235"/>
    <w:rsid w:val="000A28C2"/>
    <w:rsid w:val="000B4F9A"/>
    <w:rsid w:val="000B7E9D"/>
    <w:rsid w:val="000C1FA6"/>
    <w:rsid w:val="000D2F0F"/>
    <w:rsid w:val="000D790A"/>
    <w:rsid w:val="000E10AE"/>
    <w:rsid w:val="000E1A79"/>
    <w:rsid w:val="000E4E16"/>
    <w:rsid w:val="000F4596"/>
    <w:rsid w:val="000F5F9E"/>
    <w:rsid w:val="000F616D"/>
    <w:rsid w:val="000F76E6"/>
    <w:rsid w:val="000F7BE7"/>
    <w:rsid w:val="0010298C"/>
    <w:rsid w:val="001044F7"/>
    <w:rsid w:val="001062B1"/>
    <w:rsid w:val="00114EB9"/>
    <w:rsid w:val="00115515"/>
    <w:rsid w:val="00121A4A"/>
    <w:rsid w:val="001300A5"/>
    <w:rsid w:val="001303AA"/>
    <w:rsid w:val="001312E6"/>
    <w:rsid w:val="00131CCC"/>
    <w:rsid w:val="001323F5"/>
    <w:rsid w:val="001338B0"/>
    <w:rsid w:val="00133D08"/>
    <w:rsid w:val="00141048"/>
    <w:rsid w:val="00146EE5"/>
    <w:rsid w:val="00152909"/>
    <w:rsid w:val="00153A18"/>
    <w:rsid w:val="001544BD"/>
    <w:rsid w:val="00154524"/>
    <w:rsid w:val="00166BD6"/>
    <w:rsid w:val="00173AB8"/>
    <w:rsid w:val="00173D16"/>
    <w:rsid w:val="001743EF"/>
    <w:rsid w:val="001744D2"/>
    <w:rsid w:val="00175713"/>
    <w:rsid w:val="0018483A"/>
    <w:rsid w:val="001941B5"/>
    <w:rsid w:val="00195629"/>
    <w:rsid w:val="001961AA"/>
    <w:rsid w:val="001A1EAC"/>
    <w:rsid w:val="001A6AC5"/>
    <w:rsid w:val="001B034D"/>
    <w:rsid w:val="001C10EF"/>
    <w:rsid w:val="001C1DC2"/>
    <w:rsid w:val="001C6FF8"/>
    <w:rsid w:val="001D589E"/>
    <w:rsid w:val="001D6690"/>
    <w:rsid w:val="001F0D76"/>
    <w:rsid w:val="001F43EF"/>
    <w:rsid w:val="001F60DA"/>
    <w:rsid w:val="001F774D"/>
    <w:rsid w:val="00206F16"/>
    <w:rsid w:val="00217DDA"/>
    <w:rsid w:val="002221C2"/>
    <w:rsid w:val="00225705"/>
    <w:rsid w:val="00230205"/>
    <w:rsid w:val="00233B90"/>
    <w:rsid w:val="00234675"/>
    <w:rsid w:val="00241E18"/>
    <w:rsid w:val="00243CE9"/>
    <w:rsid w:val="00247C00"/>
    <w:rsid w:val="00247E1B"/>
    <w:rsid w:val="00250172"/>
    <w:rsid w:val="002630AD"/>
    <w:rsid w:val="0026630C"/>
    <w:rsid w:val="002706DE"/>
    <w:rsid w:val="00282849"/>
    <w:rsid w:val="00286EA8"/>
    <w:rsid w:val="00292357"/>
    <w:rsid w:val="002951B7"/>
    <w:rsid w:val="002973BD"/>
    <w:rsid w:val="002A3AC8"/>
    <w:rsid w:val="002A4C9E"/>
    <w:rsid w:val="002A57BD"/>
    <w:rsid w:val="002A5DCA"/>
    <w:rsid w:val="002A683B"/>
    <w:rsid w:val="002A73FE"/>
    <w:rsid w:val="002B11B3"/>
    <w:rsid w:val="002B26B8"/>
    <w:rsid w:val="002B3369"/>
    <w:rsid w:val="002B6FD0"/>
    <w:rsid w:val="002C1920"/>
    <w:rsid w:val="002C1EA9"/>
    <w:rsid w:val="002D0360"/>
    <w:rsid w:val="002D0DED"/>
    <w:rsid w:val="002D57DF"/>
    <w:rsid w:val="002E165D"/>
    <w:rsid w:val="002E355B"/>
    <w:rsid w:val="002E6E6E"/>
    <w:rsid w:val="002F683E"/>
    <w:rsid w:val="002F7376"/>
    <w:rsid w:val="003017A1"/>
    <w:rsid w:val="00303C08"/>
    <w:rsid w:val="00306532"/>
    <w:rsid w:val="00312F34"/>
    <w:rsid w:val="003149AB"/>
    <w:rsid w:val="003172B5"/>
    <w:rsid w:val="00320D58"/>
    <w:rsid w:val="00322D25"/>
    <w:rsid w:val="00330480"/>
    <w:rsid w:val="003322AF"/>
    <w:rsid w:val="00334EB4"/>
    <w:rsid w:val="00336ACA"/>
    <w:rsid w:val="00341E3C"/>
    <w:rsid w:val="003423E5"/>
    <w:rsid w:val="00344AF5"/>
    <w:rsid w:val="0034659A"/>
    <w:rsid w:val="00352443"/>
    <w:rsid w:val="00364D35"/>
    <w:rsid w:val="00367858"/>
    <w:rsid w:val="00373043"/>
    <w:rsid w:val="003733F4"/>
    <w:rsid w:val="003746C3"/>
    <w:rsid w:val="003760D6"/>
    <w:rsid w:val="003837F4"/>
    <w:rsid w:val="00385AEE"/>
    <w:rsid w:val="003874B3"/>
    <w:rsid w:val="00393948"/>
    <w:rsid w:val="003A7D80"/>
    <w:rsid w:val="003B6958"/>
    <w:rsid w:val="003B7AFB"/>
    <w:rsid w:val="003D1B5B"/>
    <w:rsid w:val="003D226E"/>
    <w:rsid w:val="003D50A3"/>
    <w:rsid w:val="003D51B8"/>
    <w:rsid w:val="003D6900"/>
    <w:rsid w:val="003E02CC"/>
    <w:rsid w:val="003E0C86"/>
    <w:rsid w:val="003E344A"/>
    <w:rsid w:val="003E417A"/>
    <w:rsid w:val="003E545D"/>
    <w:rsid w:val="003E6343"/>
    <w:rsid w:val="003E671A"/>
    <w:rsid w:val="003F1DFC"/>
    <w:rsid w:val="003F2165"/>
    <w:rsid w:val="003F3D7B"/>
    <w:rsid w:val="003F5428"/>
    <w:rsid w:val="003F5CB7"/>
    <w:rsid w:val="003F5F61"/>
    <w:rsid w:val="003F6E46"/>
    <w:rsid w:val="003F75DB"/>
    <w:rsid w:val="004008B8"/>
    <w:rsid w:val="0040311E"/>
    <w:rsid w:val="00405710"/>
    <w:rsid w:val="00406432"/>
    <w:rsid w:val="004126D5"/>
    <w:rsid w:val="0041380C"/>
    <w:rsid w:val="00420D3A"/>
    <w:rsid w:val="00423995"/>
    <w:rsid w:val="004250C7"/>
    <w:rsid w:val="004253C5"/>
    <w:rsid w:val="00425A97"/>
    <w:rsid w:val="00446091"/>
    <w:rsid w:val="004571B6"/>
    <w:rsid w:val="00457780"/>
    <w:rsid w:val="004577B0"/>
    <w:rsid w:val="0046173A"/>
    <w:rsid w:val="00463A2A"/>
    <w:rsid w:val="0046639E"/>
    <w:rsid w:val="004740BF"/>
    <w:rsid w:val="004749A4"/>
    <w:rsid w:val="00485B77"/>
    <w:rsid w:val="00487C86"/>
    <w:rsid w:val="00491D54"/>
    <w:rsid w:val="00491E46"/>
    <w:rsid w:val="00491F77"/>
    <w:rsid w:val="004A5406"/>
    <w:rsid w:val="004B00B8"/>
    <w:rsid w:val="004B025D"/>
    <w:rsid w:val="004B448E"/>
    <w:rsid w:val="004B6491"/>
    <w:rsid w:val="004B7242"/>
    <w:rsid w:val="004C0041"/>
    <w:rsid w:val="004C3822"/>
    <w:rsid w:val="004C498C"/>
    <w:rsid w:val="004C4A5D"/>
    <w:rsid w:val="004C55BD"/>
    <w:rsid w:val="004D6BD5"/>
    <w:rsid w:val="004F0BC7"/>
    <w:rsid w:val="004F235C"/>
    <w:rsid w:val="004F3108"/>
    <w:rsid w:val="004F6587"/>
    <w:rsid w:val="004F68F6"/>
    <w:rsid w:val="005008FB"/>
    <w:rsid w:val="00504DCC"/>
    <w:rsid w:val="0050544C"/>
    <w:rsid w:val="005054A9"/>
    <w:rsid w:val="00511023"/>
    <w:rsid w:val="00514667"/>
    <w:rsid w:val="00514D06"/>
    <w:rsid w:val="00517E87"/>
    <w:rsid w:val="00524DC7"/>
    <w:rsid w:val="005275C1"/>
    <w:rsid w:val="00527F85"/>
    <w:rsid w:val="005434C1"/>
    <w:rsid w:val="00543851"/>
    <w:rsid w:val="005449FD"/>
    <w:rsid w:val="005539D9"/>
    <w:rsid w:val="00557844"/>
    <w:rsid w:val="00562972"/>
    <w:rsid w:val="0056444A"/>
    <w:rsid w:val="0056795A"/>
    <w:rsid w:val="00570069"/>
    <w:rsid w:val="005717FB"/>
    <w:rsid w:val="00573A06"/>
    <w:rsid w:val="00576B01"/>
    <w:rsid w:val="005869BB"/>
    <w:rsid w:val="00597D31"/>
    <w:rsid w:val="005A3EED"/>
    <w:rsid w:val="005B3852"/>
    <w:rsid w:val="005C1817"/>
    <w:rsid w:val="005D4C5B"/>
    <w:rsid w:val="005E05D1"/>
    <w:rsid w:val="005E1F17"/>
    <w:rsid w:val="005E70B7"/>
    <w:rsid w:val="00610B56"/>
    <w:rsid w:val="0061248C"/>
    <w:rsid w:val="006175DB"/>
    <w:rsid w:val="00621514"/>
    <w:rsid w:val="006229C3"/>
    <w:rsid w:val="00627D65"/>
    <w:rsid w:val="00636948"/>
    <w:rsid w:val="00637613"/>
    <w:rsid w:val="00643FD3"/>
    <w:rsid w:val="0065192F"/>
    <w:rsid w:val="006549D3"/>
    <w:rsid w:val="00656061"/>
    <w:rsid w:val="00657897"/>
    <w:rsid w:val="00657EA8"/>
    <w:rsid w:val="00661548"/>
    <w:rsid w:val="00664214"/>
    <w:rsid w:val="00665DFB"/>
    <w:rsid w:val="0067106A"/>
    <w:rsid w:val="00676547"/>
    <w:rsid w:val="00677244"/>
    <w:rsid w:val="006813D3"/>
    <w:rsid w:val="006837D8"/>
    <w:rsid w:val="00683C2E"/>
    <w:rsid w:val="00686248"/>
    <w:rsid w:val="006867DD"/>
    <w:rsid w:val="00690D71"/>
    <w:rsid w:val="006A0193"/>
    <w:rsid w:val="006A32A5"/>
    <w:rsid w:val="006A7B17"/>
    <w:rsid w:val="006B3B4A"/>
    <w:rsid w:val="006B4F31"/>
    <w:rsid w:val="006B65B0"/>
    <w:rsid w:val="006D2647"/>
    <w:rsid w:val="006D7A73"/>
    <w:rsid w:val="006E50A3"/>
    <w:rsid w:val="006E542F"/>
    <w:rsid w:val="006F07B8"/>
    <w:rsid w:val="006F117F"/>
    <w:rsid w:val="006F2901"/>
    <w:rsid w:val="006F3823"/>
    <w:rsid w:val="006F411B"/>
    <w:rsid w:val="00701319"/>
    <w:rsid w:val="0070758F"/>
    <w:rsid w:val="0071279C"/>
    <w:rsid w:val="00716724"/>
    <w:rsid w:val="0071735C"/>
    <w:rsid w:val="0072422D"/>
    <w:rsid w:val="00724349"/>
    <w:rsid w:val="00726DF4"/>
    <w:rsid w:val="00734B5A"/>
    <w:rsid w:val="00735330"/>
    <w:rsid w:val="007369CA"/>
    <w:rsid w:val="0073724B"/>
    <w:rsid w:val="0073770B"/>
    <w:rsid w:val="00740ED6"/>
    <w:rsid w:val="00743F9F"/>
    <w:rsid w:val="007471C0"/>
    <w:rsid w:val="0075336C"/>
    <w:rsid w:val="00753BA2"/>
    <w:rsid w:val="0076422B"/>
    <w:rsid w:val="00765ABD"/>
    <w:rsid w:val="00775F31"/>
    <w:rsid w:val="00777CC8"/>
    <w:rsid w:val="00791348"/>
    <w:rsid w:val="007934E7"/>
    <w:rsid w:val="007A75F5"/>
    <w:rsid w:val="007C26FF"/>
    <w:rsid w:val="007D32B5"/>
    <w:rsid w:val="007D3965"/>
    <w:rsid w:val="007E11AB"/>
    <w:rsid w:val="007E64DB"/>
    <w:rsid w:val="007F0A80"/>
    <w:rsid w:val="007F2022"/>
    <w:rsid w:val="007F2C8D"/>
    <w:rsid w:val="007F469B"/>
    <w:rsid w:val="008104E2"/>
    <w:rsid w:val="008145EB"/>
    <w:rsid w:val="00815841"/>
    <w:rsid w:val="008178D8"/>
    <w:rsid w:val="00821520"/>
    <w:rsid w:val="00822279"/>
    <w:rsid w:val="00831688"/>
    <w:rsid w:val="0083181D"/>
    <w:rsid w:val="008321B7"/>
    <w:rsid w:val="008416C5"/>
    <w:rsid w:val="00844172"/>
    <w:rsid w:val="0086083F"/>
    <w:rsid w:val="00860997"/>
    <w:rsid w:val="00862D5E"/>
    <w:rsid w:val="00864203"/>
    <w:rsid w:val="00864FA1"/>
    <w:rsid w:val="00877908"/>
    <w:rsid w:val="00894121"/>
    <w:rsid w:val="008957C3"/>
    <w:rsid w:val="008A55C0"/>
    <w:rsid w:val="008A7291"/>
    <w:rsid w:val="008A783B"/>
    <w:rsid w:val="008B1606"/>
    <w:rsid w:val="008C0476"/>
    <w:rsid w:val="008C3B06"/>
    <w:rsid w:val="008D4AA5"/>
    <w:rsid w:val="008E2841"/>
    <w:rsid w:val="008F01C5"/>
    <w:rsid w:val="008F02BA"/>
    <w:rsid w:val="008F0585"/>
    <w:rsid w:val="008F5B52"/>
    <w:rsid w:val="008F7D27"/>
    <w:rsid w:val="00900832"/>
    <w:rsid w:val="00902168"/>
    <w:rsid w:val="00911ABB"/>
    <w:rsid w:val="00917881"/>
    <w:rsid w:val="00925716"/>
    <w:rsid w:val="0092678D"/>
    <w:rsid w:val="009401F5"/>
    <w:rsid w:val="009464B8"/>
    <w:rsid w:val="0095028B"/>
    <w:rsid w:val="0095132F"/>
    <w:rsid w:val="00951C24"/>
    <w:rsid w:val="00956886"/>
    <w:rsid w:val="009635C1"/>
    <w:rsid w:val="00964EA2"/>
    <w:rsid w:val="00972776"/>
    <w:rsid w:val="00972B46"/>
    <w:rsid w:val="00974065"/>
    <w:rsid w:val="009750AF"/>
    <w:rsid w:val="009827ED"/>
    <w:rsid w:val="009849C1"/>
    <w:rsid w:val="009909B9"/>
    <w:rsid w:val="00990DEC"/>
    <w:rsid w:val="00991057"/>
    <w:rsid w:val="00992CA6"/>
    <w:rsid w:val="0099650D"/>
    <w:rsid w:val="00996590"/>
    <w:rsid w:val="00997186"/>
    <w:rsid w:val="009A42AE"/>
    <w:rsid w:val="009A495B"/>
    <w:rsid w:val="009A51EB"/>
    <w:rsid w:val="009A52D5"/>
    <w:rsid w:val="009A61EC"/>
    <w:rsid w:val="009A7BD4"/>
    <w:rsid w:val="009B3815"/>
    <w:rsid w:val="009B41FC"/>
    <w:rsid w:val="009C3559"/>
    <w:rsid w:val="009C55C2"/>
    <w:rsid w:val="009C5AF7"/>
    <w:rsid w:val="009C7B66"/>
    <w:rsid w:val="009C7F6E"/>
    <w:rsid w:val="009D276D"/>
    <w:rsid w:val="009E1CA4"/>
    <w:rsid w:val="009E7212"/>
    <w:rsid w:val="009F5FD8"/>
    <w:rsid w:val="00A04F6F"/>
    <w:rsid w:val="00A10309"/>
    <w:rsid w:val="00A1151C"/>
    <w:rsid w:val="00A14A3A"/>
    <w:rsid w:val="00A2227A"/>
    <w:rsid w:val="00A27183"/>
    <w:rsid w:val="00A422B6"/>
    <w:rsid w:val="00A44E80"/>
    <w:rsid w:val="00A465A8"/>
    <w:rsid w:val="00A5028D"/>
    <w:rsid w:val="00A56E9E"/>
    <w:rsid w:val="00A67B95"/>
    <w:rsid w:val="00A74F1A"/>
    <w:rsid w:val="00A83349"/>
    <w:rsid w:val="00A8738D"/>
    <w:rsid w:val="00A92DA8"/>
    <w:rsid w:val="00A93129"/>
    <w:rsid w:val="00AA2EE2"/>
    <w:rsid w:val="00AA34B7"/>
    <w:rsid w:val="00AA5F74"/>
    <w:rsid w:val="00AA7D23"/>
    <w:rsid w:val="00AB1D1E"/>
    <w:rsid w:val="00AB1E95"/>
    <w:rsid w:val="00AB6FC0"/>
    <w:rsid w:val="00AC0971"/>
    <w:rsid w:val="00AC1A95"/>
    <w:rsid w:val="00AC5039"/>
    <w:rsid w:val="00AC6478"/>
    <w:rsid w:val="00AD0BD0"/>
    <w:rsid w:val="00AD69E7"/>
    <w:rsid w:val="00AD7A25"/>
    <w:rsid w:val="00AE1E59"/>
    <w:rsid w:val="00AE5B12"/>
    <w:rsid w:val="00AE62D3"/>
    <w:rsid w:val="00AE6DDD"/>
    <w:rsid w:val="00AF27C3"/>
    <w:rsid w:val="00AF4463"/>
    <w:rsid w:val="00AF54E0"/>
    <w:rsid w:val="00AF58C0"/>
    <w:rsid w:val="00AF7801"/>
    <w:rsid w:val="00B04EA4"/>
    <w:rsid w:val="00B0585E"/>
    <w:rsid w:val="00B06D94"/>
    <w:rsid w:val="00B073B9"/>
    <w:rsid w:val="00B12032"/>
    <w:rsid w:val="00B12C82"/>
    <w:rsid w:val="00B15ED8"/>
    <w:rsid w:val="00B272EA"/>
    <w:rsid w:val="00B2776A"/>
    <w:rsid w:val="00B33613"/>
    <w:rsid w:val="00B3400F"/>
    <w:rsid w:val="00B3686B"/>
    <w:rsid w:val="00B47D0B"/>
    <w:rsid w:val="00B508A1"/>
    <w:rsid w:val="00B50AB3"/>
    <w:rsid w:val="00B56AF8"/>
    <w:rsid w:val="00B6201F"/>
    <w:rsid w:val="00B629FE"/>
    <w:rsid w:val="00B65D2F"/>
    <w:rsid w:val="00B718EF"/>
    <w:rsid w:val="00B73F6A"/>
    <w:rsid w:val="00B7401E"/>
    <w:rsid w:val="00B8024D"/>
    <w:rsid w:val="00B8028E"/>
    <w:rsid w:val="00B81F96"/>
    <w:rsid w:val="00B830F9"/>
    <w:rsid w:val="00B842F0"/>
    <w:rsid w:val="00B849ED"/>
    <w:rsid w:val="00B861BA"/>
    <w:rsid w:val="00B86D6D"/>
    <w:rsid w:val="00BA028B"/>
    <w:rsid w:val="00BA1697"/>
    <w:rsid w:val="00BA3DE9"/>
    <w:rsid w:val="00BA5AA8"/>
    <w:rsid w:val="00BB1633"/>
    <w:rsid w:val="00BB4B2F"/>
    <w:rsid w:val="00BB542A"/>
    <w:rsid w:val="00BB7075"/>
    <w:rsid w:val="00BB7311"/>
    <w:rsid w:val="00BC137A"/>
    <w:rsid w:val="00BD0EB7"/>
    <w:rsid w:val="00BD7116"/>
    <w:rsid w:val="00BE1496"/>
    <w:rsid w:val="00BE7537"/>
    <w:rsid w:val="00BF041E"/>
    <w:rsid w:val="00BF3D03"/>
    <w:rsid w:val="00BF51F0"/>
    <w:rsid w:val="00C004CD"/>
    <w:rsid w:val="00C00615"/>
    <w:rsid w:val="00C07DE5"/>
    <w:rsid w:val="00C22B91"/>
    <w:rsid w:val="00C230E8"/>
    <w:rsid w:val="00C235FA"/>
    <w:rsid w:val="00C26D7B"/>
    <w:rsid w:val="00C27396"/>
    <w:rsid w:val="00C31613"/>
    <w:rsid w:val="00C317E2"/>
    <w:rsid w:val="00C34C4B"/>
    <w:rsid w:val="00C34CF2"/>
    <w:rsid w:val="00C37AC8"/>
    <w:rsid w:val="00C40B88"/>
    <w:rsid w:val="00C40EC3"/>
    <w:rsid w:val="00C410FE"/>
    <w:rsid w:val="00C419A9"/>
    <w:rsid w:val="00C45C77"/>
    <w:rsid w:val="00C4762E"/>
    <w:rsid w:val="00C47CEF"/>
    <w:rsid w:val="00C5062A"/>
    <w:rsid w:val="00C542BB"/>
    <w:rsid w:val="00C56045"/>
    <w:rsid w:val="00C63C1F"/>
    <w:rsid w:val="00C67CA7"/>
    <w:rsid w:val="00C750EE"/>
    <w:rsid w:val="00C82B8F"/>
    <w:rsid w:val="00C93E3A"/>
    <w:rsid w:val="00C93F56"/>
    <w:rsid w:val="00C94E3F"/>
    <w:rsid w:val="00C9580D"/>
    <w:rsid w:val="00C96CBD"/>
    <w:rsid w:val="00CA78D4"/>
    <w:rsid w:val="00CB05B2"/>
    <w:rsid w:val="00CB52C5"/>
    <w:rsid w:val="00CB693E"/>
    <w:rsid w:val="00CB7DF5"/>
    <w:rsid w:val="00CC1EC9"/>
    <w:rsid w:val="00CC22B7"/>
    <w:rsid w:val="00CC7874"/>
    <w:rsid w:val="00CD2AC4"/>
    <w:rsid w:val="00CD3EB6"/>
    <w:rsid w:val="00CD59E5"/>
    <w:rsid w:val="00CD624E"/>
    <w:rsid w:val="00CE2BF2"/>
    <w:rsid w:val="00CE2E87"/>
    <w:rsid w:val="00CE44C7"/>
    <w:rsid w:val="00D00443"/>
    <w:rsid w:val="00D0223F"/>
    <w:rsid w:val="00D11A76"/>
    <w:rsid w:val="00D12DC1"/>
    <w:rsid w:val="00D16167"/>
    <w:rsid w:val="00D307BF"/>
    <w:rsid w:val="00D31D07"/>
    <w:rsid w:val="00D3573A"/>
    <w:rsid w:val="00D43CF6"/>
    <w:rsid w:val="00D4618C"/>
    <w:rsid w:val="00D47DB5"/>
    <w:rsid w:val="00D5289A"/>
    <w:rsid w:val="00D635F5"/>
    <w:rsid w:val="00D6412A"/>
    <w:rsid w:val="00D75C0D"/>
    <w:rsid w:val="00D844AF"/>
    <w:rsid w:val="00D93734"/>
    <w:rsid w:val="00DA3571"/>
    <w:rsid w:val="00DA51FF"/>
    <w:rsid w:val="00DA673B"/>
    <w:rsid w:val="00DA6B99"/>
    <w:rsid w:val="00DB18EC"/>
    <w:rsid w:val="00DB196A"/>
    <w:rsid w:val="00DB4D1A"/>
    <w:rsid w:val="00DB5211"/>
    <w:rsid w:val="00DB784D"/>
    <w:rsid w:val="00DC07EF"/>
    <w:rsid w:val="00DC5B9C"/>
    <w:rsid w:val="00DD01AD"/>
    <w:rsid w:val="00DD04E3"/>
    <w:rsid w:val="00DD1844"/>
    <w:rsid w:val="00DD1F4C"/>
    <w:rsid w:val="00DD1F68"/>
    <w:rsid w:val="00DD2645"/>
    <w:rsid w:val="00DD2774"/>
    <w:rsid w:val="00DD73B5"/>
    <w:rsid w:val="00DE028E"/>
    <w:rsid w:val="00DE1D5C"/>
    <w:rsid w:val="00DE30B8"/>
    <w:rsid w:val="00DE32AE"/>
    <w:rsid w:val="00DE567B"/>
    <w:rsid w:val="00DE653F"/>
    <w:rsid w:val="00DE7E20"/>
    <w:rsid w:val="00DF02D1"/>
    <w:rsid w:val="00DF33A2"/>
    <w:rsid w:val="00E13EAF"/>
    <w:rsid w:val="00E154FC"/>
    <w:rsid w:val="00E15904"/>
    <w:rsid w:val="00E2092F"/>
    <w:rsid w:val="00E256E7"/>
    <w:rsid w:val="00E25766"/>
    <w:rsid w:val="00E26067"/>
    <w:rsid w:val="00E32D23"/>
    <w:rsid w:val="00E37E75"/>
    <w:rsid w:val="00E446F0"/>
    <w:rsid w:val="00E47D90"/>
    <w:rsid w:val="00E508FF"/>
    <w:rsid w:val="00E51B4A"/>
    <w:rsid w:val="00E56A46"/>
    <w:rsid w:val="00E60C62"/>
    <w:rsid w:val="00E651E7"/>
    <w:rsid w:val="00E7093D"/>
    <w:rsid w:val="00E778C3"/>
    <w:rsid w:val="00E922EB"/>
    <w:rsid w:val="00E96C35"/>
    <w:rsid w:val="00E97A21"/>
    <w:rsid w:val="00EA1077"/>
    <w:rsid w:val="00EA1354"/>
    <w:rsid w:val="00EA43F9"/>
    <w:rsid w:val="00EA4DD4"/>
    <w:rsid w:val="00EB02A3"/>
    <w:rsid w:val="00EB3228"/>
    <w:rsid w:val="00EB6233"/>
    <w:rsid w:val="00EB64E6"/>
    <w:rsid w:val="00EC12AA"/>
    <w:rsid w:val="00EC19E0"/>
    <w:rsid w:val="00EC30F1"/>
    <w:rsid w:val="00EC6165"/>
    <w:rsid w:val="00EC723E"/>
    <w:rsid w:val="00ED40C1"/>
    <w:rsid w:val="00ED5EC2"/>
    <w:rsid w:val="00ED7745"/>
    <w:rsid w:val="00EF2944"/>
    <w:rsid w:val="00EF4B82"/>
    <w:rsid w:val="00EF6464"/>
    <w:rsid w:val="00F03F5A"/>
    <w:rsid w:val="00F0469C"/>
    <w:rsid w:val="00F12FF4"/>
    <w:rsid w:val="00F13619"/>
    <w:rsid w:val="00F1379B"/>
    <w:rsid w:val="00F16E73"/>
    <w:rsid w:val="00F16E85"/>
    <w:rsid w:val="00F24833"/>
    <w:rsid w:val="00F25963"/>
    <w:rsid w:val="00F32A59"/>
    <w:rsid w:val="00F3725E"/>
    <w:rsid w:val="00F41273"/>
    <w:rsid w:val="00F426F6"/>
    <w:rsid w:val="00F4281B"/>
    <w:rsid w:val="00F445A1"/>
    <w:rsid w:val="00F4551F"/>
    <w:rsid w:val="00F65C06"/>
    <w:rsid w:val="00F75BD2"/>
    <w:rsid w:val="00F94DBE"/>
    <w:rsid w:val="00F95474"/>
    <w:rsid w:val="00F97B34"/>
    <w:rsid w:val="00FA17A9"/>
    <w:rsid w:val="00FA4E35"/>
    <w:rsid w:val="00FA6310"/>
    <w:rsid w:val="00FB7585"/>
    <w:rsid w:val="00FB799D"/>
    <w:rsid w:val="00FC0E95"/>
    <w:rsid w:val="00FC371F"/>
    <w:rsid w:val="00FC3ABE"/>
    <w:rsid w:val="00FC3B2B"/>
    <w:rsid w:val="00FC7160"/>
    <w:rsid w:val="00FD3DB4"/>
    <w:rsid w:val="00FD7C87"/>
    <w:rsid w:val="00FE0CF7"/>
    <w:rsid w:val="00FE2260"/>
    <w:rsid w:val="00FE30EB"/>
    <w:rsid w:val="00FE346F"/>
    <w:rsid w:val="1B535E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072FB9"/>
  <w15:chartTrackingRefBased/>
  <w15:docId w15:val="{605CAD1F-4416-480A-9EF3-DB219BD1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BA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753BA2"/>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53BA2"/>
    <w:pPr>
      <w:keepNext/>
      <w:numPr>
        <w:ilvl w:val="1"/>
        <w:numId w:val="7"/>
      </w:numPr>
      <w:spacing w:after="120"/>
      <w:outlineLvl w:val="1"/>
    </w:pPr>
    <w:rPr>
      <w:b/>
    </w:rPr>
  </w:style>
  <w:style w:type="paragraph" w:styleId="Heading3">
    <w:name w:val="heading 3"/>
    <w:aliases w:val="Heading 3 Char Char"/>
    <w:basedOn w:val="Normal"/>
    <w:next w:val="ParaNum"/>
    <w:link w:val="Heading3Char"/>
    <w:qFormat/>
    <w:rsid w:val="00753BA2"/>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753BA2"/>
    <w:pPr>
      <w:keepNext/>
      <w:numPr>
        <w:ilvl w:val="3"/>
        <w:numId w:val="7"/>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753BA2"/>
    <w:pPr>
      <w:keepNext/>
      <w:numPr>
        <w:ilvl w:val="4"/>
        <w:numId w:val="7"/>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753BA2"/>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753BA2"/>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753BA2"/>
    <w:pPr>
      <w:numPr>
        <w:ilvl w:val="7"/>
        <w:numId w:val="7"/>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753BA2"/>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53B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3BA2"/>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link w:val="FootnoteTextChar"/>
    <w:rsid w:val="00753BA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rFonts w:ascii="Times New Roman" w:eastAsia="Times New Roman" w:hAnsi="Times New Roman" w:cs="Times New Roman"/>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rsid w:val="00753BA2"/>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E44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rsid w:val="00753BA2"/>
    <w:rPr>
      <w:color w:val="0000FF"/>
      <w:u w:val="single"/>
    </w:rPr>
  </w:style>
  <w:style w:type="paragraph" w:styleId="Header">
    <w:name w:val="header"/>
    <w:basedOn w:val="Normal"/>
    <w:link w:val="HeaderChar"/>
    <w:autoRedefine/>
    <w:rsid w:val="00753BA2"/>
    <w:pPr>
      <w:tabs>
        <w:tab w:val="center" w:pos="4680"/>
        <w:tab w:val="right" w:pos="9360"/>
      </w:tabs>
    </w:pPr>
    <w:rPr>
      <w:b/>
    </w:rPr>
  </w:style>
  <w:style w:type="character" w:customStyle="1" w:styleId="HeaderChar">
    <w:name w:val="Header Char"/>
    <w:basedOn w:val="DefaultParagraphFont"/>
    <w:link w:val="Header"/>
    <w:rsid w:val="00121A4A"/>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753BA2"/>
    <w:pPr>
      <w:tabs>
        <w:tab w:val="center" w:pos="4320"/>
        <w:tab w:val="right" w:pos="8640"/>
      </w:tabs>
    </w:pPr>
  </w:style>
  <w:style w:type="character" w:customStyle="1" w:styleId="FooterChar">
    <w:name w:val="Footer Char"/>
    <w:link w:val="Footer"/>
    <w:uiPriority w:val="99"/>
    <w:rsid w:val="00753BA2"/>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753BA2"/>
    <w:pPr>
      <w:numPr>
        <w:numId w:val="8"/>
      </w:numPr>
      <w:tabs>
        <w:tab w:val="clear" w:pos="1080"/>
        <w:tab w:val="num" w:pos="1440"/>
      </w:tabs>
      <w:spacing w:after="120"/>
    </w:p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unhideWhenUsed/>
    <w:rsid w:val="003D226E"/>
    <w:rPr>
      <w:snapToGrid/>
      <w:sz w:val="20"/>
    </w:rPr>
  </w:style>
  <w:style w:type="character" w:customStyle="1" w:styleId="CommentTextChar">
    <w:name w:val="Comment Text Char"/>
    <w:basedOn w:val="DefaultParagraphFont"/>
    <w:link w:val="CommentText"/>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val="0"/>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tabs>
        <w:tab w:val="num" w:pos="1080"/>
        <w:tab w:val="left" w:pos="1440"/>
      </w:tabs>
      <w:spacing w:after="220"/>
      <w:ind w:firstLine="720"/>
      <w:jc w:val="both"/>
    </w:pPr>
    <w:rPr>
      <w:snapToGrid/>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rsid w:val="00753BA2"/>
    <w:pPr>
      <w:tabs>
        <w:tab w:val="left" w:pos="720"/>
        <w:tab w:val="right" w:leader="dot" w:pos="9360"/>
      </w:tabs>
      <w:suppressAutoHyphens/>
      <w:ind w:left="720" w:right="720" w:hanging="360"/>
    </w:pPr>
    <w:rPr>
      <w:noProof/>
    </w:rPr>
  </w:style>
  <w:style w:type="paragraph" w:styleId="TOC1">
    <w:name w:val="toc 1"/>
    <w:basedOn w:val="Normal"/>
    <w:next w:val="Normal"/>
    <w:rsid w:val="00753BA2"/>
    <w:pPr>
      <w:tabs>
        <w:tab w:val="left" w:pos="360"/>
        <w:tab w:val="right" w:leader="dot" w:pos="9360"/>
      </w:tabs>
      <w:suppressAutoHyphens/>
      <w:ind w:left="360" w:right="720" w:hanging="360"/>
    </w:pPr>
    <w:rPr>
      <w:caps/>
      <w:noProof/>
    </w:rPr>
  </w:style>
  <w:style w:type="paragraph" w:styleId="TOC3">
    <w:name w:val="toc 3"/>
    <w:basedOn w:val="Normal"/>
    <w:next w:val="Normal"/>
    <w:rsid w:val="00753BA2"/>
    <w:pPr>
      <w:tabs>
        <w:tab w:val="left" w:pos="1080"/>
        <w:tab w:val="right" w:leader="dot" w:pos="9360"/>
      </w:tabs>
      <w:suppressAutoHyphens/>
      <w:ind w:left="1080" w:right="720" w:hanging="360"/>
    </w:pPr>
    <w:rPr>
      <w:noProof/>
    </w:rPr>
  </w:style>
  <w:style w:type="character" w:styleId="UnresolvedMention">
    <w:name w:val="Unresolved Mention"/>
    <w:basedOn w:val="DefaultParagraphFont"/>
    <w:uiPriority w:val="99"/>
    <w:semiHidden/>
    <w:unhideWhenUsed/>
    <w:rsid w:val="00A27183"/>
    <w:rPr>
      <w:color w:val="605E5C"/>
      <w:shd w:val="clear" w:color="auto" w:fill="E1DFDD"/>
    </w:rPr>
  </w:style>
  <w:style w:type="paragraph" w:styleId="Revision">
    <w:name w:val="Revision"/>
    <w:hidden/>
    <w:uiPriority w:val="99"/>
    <w:semiHidden/>
    <w:rsid w:val="00B272EA"/>
    <w:pPr>
      <w:spacing w:after="0" w:line="240" w:lineRule="auto"/>
    </w:pPr>
  </w:style>
  <w:style w:type="character" w:styleId="FollowedHyperlink">
    <w:name w:val="FollowedHyperlink"/>
    <w:basedOn w:val="DefaultParagraphFont"/>
    <w:uiPriority w:val="99"/>
    <w:semiHidden/>
    <w:unhideWhenUsed/>
    <w:rsid w:val="00241E18"/>
    <w:rPr>
      <w:color w:val="954F72" w:themeColor="followedHyperlink"/>
      <w:u w:val="single"/>
    </w:rPr>
  </w:style>
  <w:style w:type="paragraph" w:styleId="EndnoteText">
    <w:name w:val="endnote text"/>
    <w:basedOn w:val="Normal"/>
    <w:link w:val="EndnoteTextChar"/>
    <w:semiHidden/>
    <w:rsid w:val="00753BA2"/>
    <w:rPr>
      <w:sz w:val="20"/>
    </w:rPr>
  </w:style>
  <w:style w:type="character" w:customStyle="1" w:styleId="EndnoteTextChar">
    <w:name w:val="Endnote Text Char"/>
    <w:basedOn w:val="DefaultParagraphFont"/>
    <w:link w:val="EndnoteText"/>
    <w:semiHidden/>
    <w:rsid w:val="00EC12AA"/>
    <w:rPr>
      <w:rFonts w:ascii="Times New Roman" w:eastAsia="Times New Roman" w:hAnsi="Times New Roman" w:cs="Times New Roman"/>
      <w:snapToGrid w:val="0"/>
      <w:kern w:val="28"/>
      <w:sz w:val="20"/>
      <w:szCs w:val="20"/>
    </w:rPr>
  </w:style>
  <w:style w:type="character" w:styleId="EndnoteReference">
    <w:name w:val="endnote reference"/>
    <w:semiHidden/>
    <w:rsid w:val="00753BA2"/>
    <w:rPr>
      <w:vertAlign w:val="superscript"/>
    </w:rPr>
  </w:style>
  <w:style w:type="paragraph" w:styleId="TOC4">
    <w:name w:val="toc 4"/>
    <w:basedOn w:val="Normal"/>
    <w:next w:val="Normal"/>
    <w:autoRedefine/>
    <w:semiHidden/>
    <w:rsid w:val="00753B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3B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3B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3B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3B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3B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3BA2"/>
    <w:pPr>
      <w:tabs>
        <w:tab w:val="right" w:pos="9360"/>
      </w:tabs>
      <w:suppressAutoHyphens/>
    </w:pPr>
  </w:style>
  <w:style w:type="character" w:customStyle="1" w:styleId="EquationCaption">
    <w:name w:val="_Equation Caption"/>
    <w:rsid w:val="00753BA2"/>
  </w:style>
  <w:style w:type="character" w:styleId="PageNumber">
    <w:name w:val="page number"/>
    <w:basedOn w:val="DefaultParagraphFont"/>
    <w:rsid w:val="00753BA2"/>
  </w:style>
  <w:style w:type="paragraph" w:styleId="BlockText">
    <w:name w:val="Block Text"/>
    <w:basedOn w:val="Normal"/>
    <w:rsid w:val="00753BA2"/>
    <w:pPr>
      <w:spacing w:after="240"/>
      <w:ind w:left="1440" w:right="1440"/>
    </w:pPr>
  </w:style>
  <w:style w:type="paragraph" w:customStyle="1" w:styleId="Paratitle">
    <w:name w:val="Para title"/>
    <w:basedOn w:val="Normal"/>
    <w:rsid w:val="00753BA2"/>
    <w:pPr>
      <w:tabs>
        <w:tab w:val="center" w:pos="9270"/>
      </w:tabs>
      <w:spacing w:after="240"/>
    </w:pPr>
    <w:rPr>
      <w:spacing w:val="-2"/>
    </w:rPr>
  </w:style>
  <w:style w:type="paragraph" w:customStyle="1" w:styleId="Bullet">
    <w:name w:val="Bullet"/>
    <w:basedOn w:val="Normal"/>
    <w:rsid w:val="00753BA2"/>
    <w:pPr>
      <w:tabs>
        <w:tab w:val="left" w:pos="2160"/>
      </w:tabs>
      <w:spacing w:after="220"/>
      <w:ind w:left="2160" w:hanging="720"/>
    </w:pPr>
  </w:style>
  <w:style w:type="paragraph" w:customStyle="1" w:styleId="TableFormat">
    <w:name w:val="TableFormat"/>
    <w:basedOn w:val="Bullet"/>
    <w:rsid w:val="00753BA2"/>
    <w:pPr>
      <w:tabs>
        <w:tab w:val="clear" w:pos="2160"/>
        <w:tab w:val="left" w:pos="5040"/>
      </w:tabs>
      <w:ind w:left="5040" w:hanging="3600"/>
    </w:pPr>
  </w:style>
  <w:style w:type="paragraph" w:customStyle="1" w:styleId="TOCTitle">
    <w:name w:val="TOC Title"/>
    <w:basedOn w:val="Normal"/>
    <w:rsid w:val="00753B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3BA2"/>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hyperlink" Target="https://docs.fcc.gov/public/attachments/FCC-23-24A1.pdf" TargetMode="External" /><Relationship Id="rId9" Type="http://schemas.openxmlformats.org/officeDocument/2006/relationships/hyperlink" Target="https://www.govinfo.gov/content/pkg/FR-2023-05-22/pdf/2023-10166.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