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1713B" w:rsidRPr="00625ADA" w:rsidP="0091713B" w14:paraId="68919B8B" w14:textId="77777777">
      <w:pPr>
        <w:tabs>
          <w:tab w:val="left" w:pos="7920"/>
          <w:tab w:val="right" w:pos="9360"/>
        </w:tabs>
        <w:rPr>
          <w:b/>
          <w:color w:val="000000" w:themeColor="text1"/>
          <w:szCs w:val="22"/>
        </w:rPr>
      </w:pPr>
      <w:r w:rsidRPr="00625ADA">
        <w:rPr>
          <w:b/>
          <w:color w:val="000000" w:themeColor="text1"/>
          <w:szCs w:val="22"/>
        </w:rPr>
        <w:tab/>
      </w:r>
      <w:r w:rsidRPr="00625ADA">
        <w:rPr>
          <w:b/>
          <w:color w:val="000000" w:themeColor="text1"/>
          <w:szCs w:val="22"/>
        </w:rPr>
        <w:tab/>
      </w:r>
    </w:p>
    <w:p w:rsidR="0091713B" w:rsidRPr="00625ADA" w:rsidP="0091713B" w14:paraId="35090AAC" w14:textId="3E6ABA69">
      <w:pPr>
        <w:tabs>
          <w:tab w:val="left" w:pos="7920"/>
          <w:tab w:val="right" w:pos="9360"/>
        </w:tabs>
        <w:rPr>
          <w:b/>
          <w:color w:val="000000" w:themeColor="text1"/>
          <w:szCs w:val="22"/>
        </w:rPr>
      </w:pPr>
      <w:r w:rsidRPr="00625ADA">
        <w:rPr>
          <w:b/>
          <w:color w:val="000000" w:themeColor="text1"/>
          <w:szCs w:val="22"/>
        </w:rPr>
        <w:tab/>
      </w:r>
      <w:r w:rsidRPr="00625ADA">
        <w:rPr>
          <w:b/>
          <w:color w:val="000000" w:themeColor="text1"/>
          <w:szCs w:val="22"/>
        </w:rPr>
        <w:tab/>
        <w:t>DA 2</w:t>
      </w:r>
      <w:r>
        <w:rPr>
          <w:b/>
          <w:color w:val="000000" w:themeColor="text1"/>
          <w:szCs w:val="22"/>
        </w:rPr>
        <w:t>3</w:t>
      </w:r>
      <w:r w:rsidRPr="00625ADA">
        <w:rPr>
          <w:b/>
          <w:color w:val="000000" w:themeColor="text1"/>
          <w:szCs w:val="22"/>
        </w:rPr>
        <w:t>-</w:t>
      </w:r>
      <w:r w:rsidR="00FE2C9E">
        <w:rPr>
          <w:b/>
          <w:color w:val="000000" w:themeColor="text1"/>
          <w:szCs w:val="22"/>
        </w:rPr>
        <w:t>624</w:t>
      </w:r>
    </w:p>
    <w:p w:rsidR="0091713B" w:rsidRPr="00625ADA" w:rsidP="0091713B" w14:paraId="36EB46E5" w14:textId="1F7E3446">
      <w:pPr>
        <w:jc w:val="right"/>
        <w:rPr>
          <w:b/>
          <w:color w:val="000000" w:themeColor="text1"/>
          <w:szCs w:val="22"/>
        </w:rPr>
      </w:pPr>
      <w:r w:rsidRPr="00625ADA">
        <w:rPr>
          <w:b/>
          <w:color w:val="000000" w:themeColor="text1"/>
          <w:szCs w:val="22"/>
        </w:rPr>
        <w:t xml:space="preserve">Released:  </w:t>
      </w:r>
      <w:r w:rsidR="00FE2C9E">
        <w:rPr>
          <w:b/>
          <w:color w:val="000000" w:themeColor="text1"/>
          <w:szCs w:val="22"/>
        </w:rPr>
        <w:t>July 20, 2023</w:t>
      </w:r>
    </w:p>
    <w:p w:rsidR="0091713B" w:rsidRPr="00625ADA" w:rsidP="0091713B" w14:paraId="7B0B93EF" w14:textId="77777777">
      <w:pPr>
        <w:jc w:val="right"/>
        <w:rPr>
          <w:color w:val="000000" w:themeColor="text1"/>
          <w:szCs w:val="22"/>
        </w:rPr>
      </w:pPr>
    </w:p>
    <w:p w:rsidR="0091713B" w:rsidRPr="00707CDD" w:rsidP="0091713B" w14:paraId="06372260" w14:textId="19C1E494">
      <w:pPr>
        <w:pStyle w:val="Default"/>
        <w:jc w:val="center"/>
        <w:rPr>
          <w:color w:val="000000" w:themeColor="text1"/>
          <w:sz w:val="22"/>
          <w:szCs w:val="22"/>
        </w:rPr>
      </w:pPr>
      <w:r w:rsidRPr="00625ADA">
        <w:rPr>
          <w:b/>
          <w:color w:val="000000" w:themeColor="text1"/>
          <w:sz w:val="22"/>
          <w:szCs w:val="22"/>
        </w:rPr>
        <w:t>OFFICE OF ENGINEERING AND TECHNOLOGY SEEKS COMMENT ON</w:t>
      </w:r>
      <w:r>
        <w:rPr>
          <w:b/>
          <w:color w:val="000000" w:themeColor="text1"/>
          <w:sz w:val="22"/>
          <w:szCs w:val="22"/>
        </w:rPr>
        <w:t xml:space="preserve"> LIBERTY  HOLDINGS, LTD.</w:t>
      </w:r>
      <w:r>
        <w:rPr>
          <w:b/>
          <w:color w:val="000000" w:themeColor="text1"/>
          <w:szCs w:val="22"/>
        </w:rPr>
        <w:t xml:space="preserve"> </w:t>
      </w:r>
      <w:r w:rsidRPr="00625ADA">
        <w:rPr>
          <w:b/>
          <w:color w:val="000000" w:themeColor="text1"/>
          <w:szCs w:val="22"/>
        </w:rPr>
        <w:t xml:space="preserve">REQUEST FOR WAIVER </w:t>
      </w:r>
      <w:r>
        <w:rPr>
          <w:b/>
          <w:color w:val="000000" w:themeColor="text1"/>
          <w:szCs w:val="22"/>
        </w:rPr>
        <w:t xml:space="preserve">OF </w:t>
      </w:r>
      <w:r w:rsidRPr="00625ADA">
        <w:rPr>
          <w:b/>
          <w:color w:val="000000" w:themeColor="text1"/>
          <w:szCs w:val="22"/>
        </w:rPr>
        <w:t>SECTION</w:t>
      </w:r>
      <w:r>
        <w:rPr>
          <w:b/>
          <w:color w:val="000000" w:themeColor="text1"/>
          <w:szCs w:val="22"/>
        </w:rPr>
        <w:t>S</w:t>
      </w:r>
      <w:r w:rsidRPr="00625ADA">
        <w:rPr>
          <w:b/>
          <w:color w:val="000000" w:themeColor="text1"/>
          <w:szCs w:val="22"/>
        </w:rPr>
        <w:t xml:space="preserve"> 15.</w:t>
      </w:r>
      <w:r>
        <w:rPr>
          <w:b/>
          <w:color w:val="000000" w:themeColor="text1"/>
          <w:szCs w:val="22"/>
        </w:rPr>
        <w:t>31</w:t>
      </w:r>
      <w:r w:rsidRPr="00625ADA">
        <w:rPr>
          <w:b/>
          <w:color w:val="000000" w:themeColor="text1"/>
          <w:szCs w:val="22"/>
        </w:rPr>
        <w:t>(</w:t>
      </w:r>
      <w:r>
        <w:rPr>
          <w:b/>
          <w:color w:val="000000" w:themeColor="text1"/>
          <w:szCs w:val="22"/>
        </w:rPr>
        <w:t>C</w:t>
      </w:r>
      <w:r w:rsidRPr="00625ADA">
        <w:rPr>
          <w:b/>
          <w:color w:val="000000" w:themeColor="text1"/>
          <w:szCs w:val="22"/>
        </w:rPr>
        <w:t>)</w:t>
      </w:r>
      <w:r>
        <w:rPr>
          <w:b/>
          <w:color w:val="000000" w:themeColor="text1"/>
          <w:szCs w:val="22"/>
        </w:rPr>
        <w:t>, 15.35(B), AND 15.205(A)</w:t>
      </w:r>
      <w:r w:rsidRPr="00625ADA">
        <w:rPr>
          <w:b/>
          <w:color w:val="000000" w:themeColor="text1"/>
          <w:szCs w:val="22"/>
        </w:rPr>
        <w:t xml:space="preserve"> OF THE COMMISSION’S RULES</w:t>
      </w:r>
      <w:r>
        <w:rPr>
          <w:b/>
          <w:color w:val="000000" w:themeColor="text1"/>
          <w:szCs w:val="22"/>
        </w:rPr>
        <w:t xml:space="preserve"> </w:t>
      </w:r>
    </w:p>
    <w:p w:rsidR="0091713B" w:rsidRPr="00625ADA" w:rsidP="0091713B" w14:paraId="0C2E7BBE" w14:textId="47A82B02">
      <w:pPr>
        <w:jc w:val="center"/>
        <w:rPr>
          <w:b/>
          <w:color w:val="000000" w:themeColor="text1"/>
          <w:szCs w:val="22"/>
        </w:rPr>
      </w:pPr>
      <w:r w:rsidRPr="00625ADA">
        <w:rPr>
          <w:b/>
          <w:color w:val="000000" w:themeColor="text1"/>
          <w:szCs w:val="22"/>
        </w:rPr>
        <w:t>ET Docket No. 2</w:t>
      </w:r>
      <w:r>
        <w:rPr>
          <w:b/>
          <w:color w:val="000000" w:themeColor="text1"/>
          <w:szCs w:val="22"/>
        </w:rPr>
        <w:t>3</w:t>
      </w:r>
      <w:r w:rsidRPr="00625ADA">
        <w:rPr>
          <w:b/>
          <w:color w:val="000000" w:themeColor="text1"/>
          <w:szCs w:val="22"/>
        </w:rPr>
        <w:t>-</w:t>
      </w:r>
      <w:r w:rsidR="00FE2C9E">
        <w:rPr>
          <w:b/>
          <w:color w:val="000000" w:themeColor="text1"/>
          <w:szCs w:val="22"/>
        </w:rPr>
        <w:t>245</w:t>
      </w:r>
    </w:p>
    <w:p w:rsidR="0091713B" w:rsidRPr="00625ADA" w:rsidP="0091713B" w14:paraId="6E4DEAB5" w14:textId="77777777">
      <w:pPr>
        <w:jc w:val="center"/>
        <w:rPr>
          <w:b/>
          <w:color w:val="000000" w:themeColor="text1"/>
          <w:szCs w:val="22"/>
        </w:rPr>
      </w:pPr>
    </w:p>
    <w:p w:rsidR="0091713B" w:rsidRPr="00625ADA" w:rsidP="0091713B" w14:paraId="3E3214EB" w14:textId="045BB4C2">
      <w:pPr>
        <w:rPr>
          <w:b/>
          <w:color w:val="000000" w:themeColor="text1"/>
          <w:szCs w:val="22"/>
        </w:rPr>
      </w:pPr>
      <w:bookmarkStart w:id="0" w:name="TOChere"/>
      <w:r w:rsidRPr="00625ADA">
        <w:rPr>
          <w:b/>
          <w:color w:val="000000" w:themeColor="text1"/>
          <w:szCs w:val="22"/>
        </w:rPr>
        <w:t xml:space="preserve">Comment Date:  </w:t>
      </w:r>
      <w:r w:rsidR="00FE2C9E">
        <w:rPr>
          <w:b/>
          <w:color w:val="000000" w:themeColor="text1"/>
          <w:szCs w:val="22"/>
        </w:rPr>
        <w:t>August 21</w:t>
      </w:r>
      <w:r w:rsidRPr="00625ADA">
        <w:rPr>
          <w:b/>
          <w:color w:val="000000" w:themeColor="text1"/>
          <w:szCs w:val="22"/>
        </w:rPr>
        <w:t>, 202</w:t>
      </w:r>
      <w:r>
        <w:rPr>
          <w:b/>
          <w:color w:val="000000" w:themeColor="text1"/>
          <w:szCs w:val="22"/>
        </w:rPr>
        <w:t>3</w:t>
      </w:r>
    </w:p>
    <w:p w:rsidR="0091713B" w:rsidRPr="00625ADA" w:rsidP="0091713B" w14:paraId="22595C41" w14:textId="15C2E6DF">
      <w:pPr>
        <w:rPr>
          <w:b/>
          <w:color w:val="000000" w:themeColor="text1"/>
          <w:szCs w:val="22"/>
        </w:rPr>
      </w:pPr>
      <w:r w:rsidRPr="00625ADA">
        <w:rPr>
          <w:b/>
          <w:color w:val="000000" w:themeColor="text1"/>
          <w:szCs w:val="22"/>
        </w:rPr>
        <w:t xml:space="preserve">Reply Comment Date: </w:t>
      </w:r>
      <w:r>
        <w:rPr>
          <w:b/>
          <w:color w:val="000000" w:themeColor="text1"/>
          <w:szCs w:val="22"/>
        </w:rPr>
        <w:t xml:space="preserve"> </w:t>
      </w:r>
      <w:r w:rsidR="00FE2C9E">
        <w:rPr>
          <w:b/>
          <w:color w:val="000000" w:themeColor="text1"/>
          <w:szCs w:val="22"/>
        </w:rPr>
        <w:t>September 20</w:t>
      </w:r>
      <w:r w:rsidRPr="00625ADA">
        <w:rPr>
          <w:b/>
          <w:color w:val="000000" w:themeColor="text1"/>
          <w:szCs w:val="22"/>
        </w:rPr>
        <w:t>, 202</w:t>
      </w:r>
      <w:r>
        <w:rPr>
          <w:b/>
          <w:color w:val="000000" w:themeColor="text1"/>
          <w:szCs w:val="22"/>
        </w:rPr>
        <w:t>3</w:t>
      </w:r>
    </w:p>
    <w:p w:rsidR="0091713B" w:rsidRPr="00625ADA" w:rsidP="0091713B" w14:paraId="5934FE22" w14:textId="77777777">
      <w:pPr>
        <w:rPr>
          <w:color w:val="000000" w:themeColor="text1"/>
          <w:szCs w:val="22"/>
        </w:rPr>
      </w:pPr>
    </w:p>
    <w:p w:rsidR="0091713B" w:rsidP="0091713B" w14:paraId="610633FE" w14:textId="24A16392">
      <w:pPr>
        <w:ind w:firstLine="720"/>
      </w:pPr>
      <w:r>
        <w:t>On April 10, 2023, Liberty Defense Holdings, LTD (Liberty) filed a request for waiver of three Part 15 Commission rules so it can obtain FCC equipment authorization to upgrade the current generation of full-body screening scanners deployed in U.S. airports (legacy system) by the Transportation Security Administration (TSA).</w:t>
      </w:r>
      <w:r>
        <w:rPr>
          <w:rStyle w:val="FootnoteReference"/>
        </w:rPr>
        <w:footnoteReference w:id="2"/>
      </w:r>
      <w:r>
        <w:t xml:space="preserve">  The current legacy system operates pursuant to a waiver granted by the Office of Engineering and Technology (OET) in 2006.</w:t>
      </w:r>
      <w:r>
        <w:rPr>
          <w:rStyle w:val="FootnoteReference"/>
        </w:rPr>
        <w:footnoteReference w:id="3"/>
      </w:r>
      <w:r>
        <w:t xml:space="preserve">  The new High-Definition Advanced Imaging Technology (HD-AIT) by Liberty will be deployed via upgrade kits to these legacy systems and is designed to transmit across spectrum bands ranging from 10 – 40 GHz.</w:t>
      </w:r>
      <w:r>
        <w:rPr>
          <w:rStyle w:val="FootnoteReference"/>
        </w:rPr>
        <w:footnoteReference w:id="4"/>
      </w:r>
      <w:r>
        <w:t xml:space="preserve">  Liberty states that this upgrade will improve transportation security by enhancing threat detection capability and improving the speed at which airline passengers are screened.</w:t>
      </w:r>
      <w:r>
        <w:rPr>
          <w:rStyle w:val="FootnoteReference"/>
        </w:rPr>
        <w:footnoteReference w:id="5"/>
      </w:r>
      <w:r>
        <w:t xml:space="preserve">  Liberty suggests that because this waiver request is so substantially similar to two previous waiver requests granted by OET, it merits approval.</w:t>
      </w:r>
      <w:r>
        <w:rPr>
          <w:rStyle w:val="FootnoteReference"/>
        </w:rPr>
        <w:footnoteReference w:id="6"/>
      </w:r>
      <w:r>
        <w:t xml:space="preserve">  Because of these design features, Liberty seeks a waiver of Sections 15.31(c), 15.35(b), and 15.205(a) of the Commission’s rules.</w:t>
      </w:r>
      <w:r>
        <w:rPr>
          <w:rStyle w:val="FootnoteReference"/>
        </w:rPr>
        <w:footnoteReference w:id="7"/>
      </w:r>
      <w:r>
        <w:t xml:space="preserve">  </w:t>
      </w:r>
    </w:p>
    <w:p w:rsidR="0091713B" w:rsidP="0091713B" w14:paraId="460588B7" w14:textId="77777777">
      <w:pPr>
        <w:ind w:firstLine="720"/>
      </w:pPr>
    </w:p>
    <w:p w:rsidR="0091713B" w:rsidP="0091713B" w14:paraId="5D5AAE78" w14:textId="77777777">
      <w:pPr>
        <w:ind w:firstLine="720"/>
      </w:pPr>
      <w:r w:rsidRPr="00752041">
        <w:t>Liberty</w:t>
      </w:r>
      <w:r>
        <w:t xml:space="preserve"> </w:t>
      </w:r>
      <w:r w:rsidRPr="00752041">
        <w:t xml:space="preserve">requests </w:t>
      </w:r>
      <w:r>
        <w:t xml:space="preserve">a </w:t>
      </w:r>
      <w:r w:rsidRPr="00752041">
        <w:t>waive</w:t>
      </w:r>
      <w:r>
        <w:t>r</w:t>
      </w:r>
      <w:r w:rsidRPr="00752041">
        <w:t xml:space="preserve"> </w:t>
      </w:r>
      <w:r>
        <w:t xml:space="preserve">of </w:t>
      </w:r>
      <w:r w:rsidRPr="00752041">
        <w:t xml:space="preserve">Section 15.31(c) of </w:t>
      </w:r>
      <w:r>
        <w:t xml:space="preserve">Commission </w:t>
      </w:r>
      <w:r w:rsidRPr="00752041">
        <w:t>rules to allow radiated measurements to be performed with the device’s frequency sweep active during testing.</w:t>
      </w:r>
      <w:r>
        <w:rPr>
          <w:rStyle w:val="FootnoteReference"/>
        </w:rPr>
        <w:footnoteReference w:id="8"/>
      </w:r>
      <w:r w:rsidRPr="00752041">
        <w:t xml:space="preserve">  </w:t>
      </w:r>
      <w:r>
        <w:t>Section 15.31(c)</w:t>
      </w:r>
      <w:r w:rsidRPr="00752041">
        <w:t xml:space="preserve"> requires that swept frequency devices be tested with the swept frequency stopped at the frequencies </w:t>
      </w:r>
      <w:r w:rsidRPr="00752041">
        <w:t>chosen for measurement.</w:t>
      </w:r>
      <w:r>
        <w:rPr>
          <w:rStyle w:val="FootnoteReference"/>
        </w:rPr>
        <w:footnoteReference w:id="9"/>
      </w:r>
      <w:r>
        <w:t xml:space="preserve">  Multiple other systems, including the legacy system, operate subject to a waiver of this rule.</w:t>
      </w:r>
      <w:r>
        <w:rPr>
          <w:rStyle w:val="FootnoteReference"/>
        </w:rPr>
        <w:footnoteReference w:id="10"/>
      </w:r>
      <w:r>
        <w:t xml:space="preserve">  Liberty comments that because its HD-AIT scanner will sweep over the entire authorized frequency range of operations in a similar manner as the existing legacy system, a waiver of 15.31(c) is required.</w:t>
      </w:r>
      <w:r>
        <w:rPr>
          <w:rStyle w:val="FootnoteReference"/>
        </w:rPr>
        <w:footnoteReference w:id="11"/>
      </w:r>
      <w:r>
        <w:t xml:space="preserve">      </w:t>
      </w:r>
    </w:p>
    <w:p w:rsidR="0091713B" w:rsidP="0091713B" w14:paraId="7AE41133" w14:textId="77777777">
      <w:pPr>
        <w:ind w:firstLine="720"/>
      </w:pPr>
    </w:p>
    <w:p w:rsidR="0091713B" w:rsidP="0091713B" w14:paraId="1A74C90A" w14:textId="54A897F4">
      <w:pPr>
        <w:ind w:firstLine="720"/>
      </w:pPr>
      <w:r w:rsidRPr="00752041">
        <w:t xml:space="preserve">Liberty </w:t>
      </w:r>
      <w:r>
        <w:t xml:space="preserve">also </w:t>
      </w:r>
      <w:r w:rsidRPr="00752041">
        <w:rPr>
          <w:rFonts w:eastAsiaTheme="minorEastAsia"/>
          <w:snapToGrid/>
          <w:color w:val="010101"/>
          <w:kern w:val="0"/>
        </w:rPr>
        <w:t xml:space="preserve">requests </w:t>
      </w:r>
      <w:r>
        <w:rPr>
          <w:rFonts w:eastAsiaTheme="minorEastAsia"/>
          <w:snapToGrid/>
          <w:color w:val="010101"/>
          <w:kern w:val="0"/>
        </w:rPr>
        <w:t>a</w:t>
      </w:r>
      <w:r w:rsidRPr="00752041">
        <w:rPr>
          <w:rFonts w:eastAsiaTheme="minorEastAsia"/>
          <w:snapToGrid/>
          <w:color w:val="010101"/>
          <w:kern w:val="0"/>
        </w:rPr>
        <w:t xml:space="preserve"> waive</w:t>
      </w:r>
      <w:r>
        <w:rPr>
          <w:rFonts w:eastAsiaTheme="minorEastAsia"/>
          <w:snapToGrid/>
          <w:color w:val="010101"/>
          <w:kern w:val="0"/>
        </w:rPr>
        <w:t>r</w:t>
      </w:r>
      <w:r w:rsidRPr="00752041">
        <w:rPr>
          <w:rFonts w:eastAsiaTheme="minorEastAsia"/>
          <w:snapToGrid/>
          <w:color w:val="010101"/>
          <w:kern w:val="0"/>
        </w:rPr>
        <w:t xml:space="preserve"> </w:t>
      </w:r>
      <w:r>
        <w:rPr>
          <w:rFonts w:eastAsiaTheme="minorEastAsia"/>
          <w:snapToGrid/>
          <w:color w:val="010101"/>
          <w:kern w:val="0"/>
        </w:rPr>
        <w:t xml:space="preserve">of </w:t>
      </w:r>
      <w:r w:rsidRPr="00752041">
        <w:rPr>
          <w:rFonts w:eastAsiaTheme="minorEastAsia"/>
          <w:snapToGrid/>
          <w:color w:val="010101"/>
          <w:kern w:val="0"/>
        </w:rPr>
        <w:t xml:space="preserve">Section 15.35(b) of </w:t>
      </w:r>
      <w:r>
        <w:rPr>
          <w:rFonts w:eastAsiaTheme="minorEastAsia"/>
          <w:snapToGrid/>
          <w:color w:val="010101"/>
          <w:kern w:val="0"/>
        </w:rPr>
        <w:t>the Commission’s</w:t>
      </w:r>
      <w:r w:rsidRPr="00752041">
        <w:rPr>
          <w:rFonts w:eastAsiaTheme="minorEastAsia"/>
          <w:snapToGrid/>
          <w:color w:val="010101"/>
          <w:kern w:val="0"/>
        </w:rPr>
        <w:t xml:space="preserve"> rules </w:t>
      </w:r>
      <w:r w:rsidR="00D654E7">
        <w:rPr>
          <w:rFonts w:eastAsiaTheme="minorEastAsia"/>
          <w:snapToGrid/>
          <w:color w:val="010101"/>
          <w:kern w:val="0"/>
        </w:rPr>
        <w:t>consistent with the other waivers we have granted.</w:t>
      </w:r>
      <w:r>
        <w:rPr>
          <w:rStyle w:val="FootnoteReference"/>
          <w:rFonts w:eastAsiaTheme="minorEastAsia" w:cs="TimesNewRoman"/>
          <w:snapToGrid/>
          <w:kern w:val="0"/>
        </w:rPr>
        <w:footnoteReference w:id="12"/>
      </w:r>
      <w:r w:rsidRPr="00752041">
        <w:rPr>
          <w:rFonts w:eastAsiaTheme="minorEastAsia"/>
          <w:snapToGrid/>
          <w:color w:val="010101"/>
          <w:kern w:val="0"/>
        </w:rPr>
        <w:t xml:space="preserve">  </w:t>
      </w:r>
      <w:r>
        <w:rPr>
          <w:rFonts w:eastAsiaTheme="minorEastAsia"/>
          <w:snapToGrid/>
          <w:color w:val="010101"/>
          <w:kern w:val="0"/>
        </w:rPr>
        <w:t>Section 15.35(b)</w:t>
      </w:r>
      <w:r w:rsidRPr="00752041">
        <w:rPr>
          <w:rFonts w:eastAsiaTheme="minorEastAsia"/>
          <w:snapToGrid/>
          <w:color w:val="010101"/>
          <w:kern w:val="0"/>
        </w:rPr>
        <w:t xml:space="preserve"> requires that when average radiated emissions limits are specified for a device, the peak emission level may not exceed the average emission limit by more than 20 dB.</w:t>
      </w:r>
      <w:r>
        <w:rPr>
          <w:rStyle w:val="FootnoteReference"/>
          <w:rFonts w:eastAsiaTheme="minorEastAsia" w:cs="TimesNewRoman"/>
          <w:snapToGrid/>
          <w:kern w:val="0"/>
        </w:rPr>
        <w:footnoteReference w:id="13"/>
      </w:r>
      <w:r w:rsidRPr="00752041">
        <w:rPr>
          <w:rFonts w:eastAsiaTheme="minorEastAsia"/>
          <w:snapToGrid/>
          <w:color w:val="010101"/>
          <w:kern w:val="0"/>
        </w:rPr>
        <w:t xml:space="preserve">  Liberty states that the</w:t>
      </w:r>
      <w:r w:rsidRPr="00752041">
        <w:t xml:space="preserve"> higher peak power limit </w:t>
      </w:r>
      <w:r w:rsidR="002E182E">
        <w:t xml:space="preserve">it seeks to employ </w:t>
      </w:r>
      <w:r w:rsidRPr="00752041">
        <w:t>will enable HD-AIT scanners to adequately resolve very low levels of reflections from the scanned subject, and</w:t>
      </w:r>
      <w:r>
        <w:t xml:space="preserve"> will</w:t>
      </w:r>
      <w:r w:rsidRPr="00752041">
        <w:t xml:space="preserve"> improve detection accuracy.</w:t>
      </w:r>
      <w:r>
        <w:rPr>
          <w:rStyle w:val="FootnoteReference"/>
        </w:rPr>
        <w:footnoteReference w:id="14"/>
      </w:r>
      <w:r>
        <w:t xml:space="preserve">  The legacy system also operates subject to a waiver of this rule section.</w:t>
      </w:r>
      <w:r>
        <w:rPr>
          <w:rStyle w:val="FootnoteReference"/>
        </w:rPr>
        <w:footnoteReference w:id="15"/>
      </w:r>
      <w:r>
        <w:t xml:space="preserve">  Additionally, Liberty notes that in 2016 OET granted a waiver </w:t>
      </w:r>
      <w:r w:rsidR="004F013B">
        <w:t xml:space="preserve">section 15.35(b) </w:t>
      </w:r>
      <w:r>
        <w:t xml:space="preserve">to permit a similar scanning system to </w:t>
      </w:r>
      <w:r w:rsidR="004F013B">
        <w:t>operate</w:t>
      </w:r>
      <w:r>
        <w:t xml:space="preserve">, and seeks to have that same limit </w:t>
      </w:r>
      <w:r w:rsidR="004F013B">
        <w:t xml:space="preserve">allowed in that order </w:t>
      </w:r>
      <w:r>
        <w:t>applied now.</w:t>
      </w:r>
      <w:r>
        <w:rPr>
          <w:rStyle w:val="FootnoteReference"/>
        </w:rPr>
        <w:footnoteReference w:id="16"/>
      </w:r>
      <w:r>
        <w:t xml:space="preserve">  Thus,  the HD-AIT operations would exceed the requirements of Section 15.35(b) similar to those that OET permits subject to the 2006 and 2016 waivers, Liberty seeks a waiver for this upgraded scanning system.</w:t>
      </w:r>
      <w:r>
        <w:rPr>
          <w:rStyle w:val="FootnoteReference"/>
        </w:rPr>
        <w:footnoteReference w:id="17"/>
      </w:r>
      <w:r>
        <w:t xml:space="preserve"> </w:t>
      </w:r>
    </w:p>
    <w:p w:rsidR="0091713B" w:rsidP="0091713B" w14:paraId="0D5153B0" w14:textId="77777777">
      <w:pPr>
        <w:ind w:firstLine="720"/>
      </w:pPr>
    </w:p>
    <w:p w:rsidR="0091713B" w:rsidP="00FE2C9E" w14:paraId="2F227EA0" w14:textId="2674A9E1">
      <w:pPr>
        <w:widowControl/>
        <w:ind w:firstLine="720"/>
      </w:pPr>
      <w:r>
        <w:t>The frequency range over which Liberty’s HD-AIT system intends to operate would cause it to transmit in the restricted bands between 10 – 40 GHz.</w:t>
      </w:r>
      <w:r>
        <w:rPr>
          <w:rStyle w:val="FootnoteReference"/>
        </w:rPr>
        <w:footnoteReference w:id="18"/>
      </w:r>
      <w:r>
        <w:t xml:space="preserve">  Section 15.205(a) of the Commission’s rules only permits spurious emissions in those restricted bands.</w:t>
      </w:r>
      <w:r>
        <w:rPr>
          <w:rStyle w:val="FootnoteReference"/>
        </w:rPr>
        <w:footnoteReference w:id="19"/>
      </w:r>
      <w:r>
        <w:t xml:space="preserve">  As Liberty notes, while Part 15 devices typically are not permitted to intentionally transmit radio frequency energy within these bands, OET has granted a waiver to a similar screening system to operate in the 20 – 40 GHz range, and is not aware of any cases of reported interference.</w:t>
      </w:r>
      <w:r>
        <w:rPr>
          <w:rStyle w:val="FootnoteReference"/>
        </w:rPr>
        <w:footnoteReference w:id="20"/>
      </w:r>
      <w:r>
        <w:t xml:space="preserve">  Liberty asserts that since its HD-AIT technology would operate in a similar manner, OET should grant it a waiver to operate in the restricted bands in the 20 – 40 GHz band with similar conditions imposed.</w:t>
      </w:r>
      <w:r>
        <w:rPr>
          <w:rStyle w:val="FootnoteReference"/>
        </w:rPr>
        <w:footnoteReference w:id="21"/>
      </w:r>
      <w:r>
        <w:t xml:space="preserve">  The primary difference between Liberty’s waiver request and the two security screening system waivers previously granted by the Commission is that the Liberty’s HD-AIT system operates over a wider operating bandwidth (10 – 40 GHz) than either the legacy system (24.25 – 30 GHz) or the L-3 system (20 – 40 GHz).</w:t>
      </w:r>
      <w:r>
        <w:rPr>
          <w:rStyle w:val="FootnoteReference"/>
        </w:rPr>
        <w:footnoteReference w:id="22"/>
      </w:r>
      <w:r>
        <w:t xml:space="preserve">  Consequently, Liberty requests the instant waiver further extend this allowance to include operations in the 10 – 20 GHz frequency range as well.</w:t>
      </w:r>
      <w:r>
        <w:rPr>
          <w:rStyle w:val="FootnoteReference"/>
        </w:rPr>
        <w:footnoteReference w:id="23"/>
      </w:r>
      <w:r>
        <w:t xml:space="preserve">  Liberty states </w:t>
      </w:r>
      <w:r>
        <w:t xml:space="preserve">that its operation in the 10 – 40 GHz range will not cause </w:t>
      </w:r>
      <w:r w:rsidR="00267201">
        <w:t xml:space="preserve">harmful </w:t>
      </w:r>
      <w:r>
        <w:t>interference to systems operating in the 10 – 20 GHz band.</w:t>
      </w:r>
      <w:r>
        <w:rPr>
          <w:rStyle w:val="FootnoteReference"/>
        </w:rPr>
        <w:footnoteReference w:id="24"/>
      </w:r>
    </w:p>
    <w:p w:rsidR="0091713B" w:rsidP="00756705" w14:paraId="59607EC4" w14:textId="6C85B6A2">
      <w:pPr>
        <w:widowControl/>
        <w:autoSpaceDE w:val="0"/>
        <w:autoSpaceDN w:val="0"/>
        <w:adjustRightInd w:val="0"/>
      </w:pPr>
    </w:p>
    <w:p w:rsidR="0091713B" w:rsidRPr="00625ADA" w:rsidP="0091713B" w14:paraId="65EBF958" w14:textId="370927BC">
      <w:pPr>
        <w:pStyle w:val="Default"/>
        <w:rPr>
          <w:color w:val="000000" w:themeColor="text1"/>
          <w:sz w:val="22"/>
          <w:szCs w:val="22"/>
        </w:rPr>
      </w:pPr>
      <w:r w:rsidRPr="00625ADA">
        <w:rPr>
          <w:color w:val="000000" w:themeColor="text1"/>
          <w:sz w:val="22"/>
          <w:szCs w:val="22"/>
        </w:rPr>
        <w:tab/>
      </w:r>
      <w:r>
        <w:rPr>
          <w:color w:val="000000" w:themeColor="text1"/>
          <w:sz w:val="22"/>
          <w:szCs w:val="22"/>
        </w:rPr>
        <w:t>We seek comment on Liberty’s request.  T</w:t>
      </w:r>
      <w:r w:rsidRPr="00625ADA">
        <w:rPr>
          <w:color w:val="000000" w:themeColor="text1"/>
          <w:sz w:val="22"/>
          <w:szCs w:val="22"/>
        </w:rPr>
        <w:t xml:space="preserve">o develop a complete record on the issues presented by this request, the proceeding will be treated, for </w:t>
      </w:r>
      <w:r w:rsidRPr="00625ADA">
        <w:rPr>
          <w:i/>
          <w:color w:val="000000" w:themeColor="text1"/>
          <w:sz w:val="22"/>
          <w:szCs w:val="22"/>
        </w:rPr>
        <w:t>ex parte</w:t>
      </w:r>
      <w:r w:rsidRPr="00625ADA">
        <w:rPr>
          <w:color w:val="000000" w:themeColor="text1"/>
          <w:sz w:val="22"/>
          <w:szCs w:val="22"/>
        </w:rPr>
        <w:t xml:space="preserve"> purposes, as a “permit-but-disclose” proceeding in accordance with Section 1.1200(a) of the Commission’s rules, subject to the requirements under Section 1.1206(b).  </w:t>
      </w:r>
      <w:r>
        <w:rPr>
          <w:color w:val="000000" w:themeColor="text1"/>
          <w:sz w:val="22"/>
          <w:szCs w:val="22"/>
        </w:rPr>
        <w:t>Liberty</w:t>
      </w:r>
      <w:r w:rsidRPr="00625ADA">
        <w:rPr>
          <w:color w:val="000000" w:themeColor="text1"/>
          <w:sz w:val="22"/>
          <w:szCs w:val="22"/>
        </w:rPr>
        <w:t xml:space="preserve"> filed its petition electronically as a non-docketed proceeding in the Commission’s Electronic Comment Filing System</w:t>
      </w:r>
      <w:r>
        <w:rPr>
          <w:color w:val="000000" w:themeColor="text1"/>
          <w:sz w:val="22"/>
          <w:szCs w:val="22"/>
        </w:rPr>
        <w:t>.</w:t>
      </w:r>
      <w:r>
        <w:rPr>
          <w:rStyle w:val="FootnoteReference"/>
          <w:color w:val="000000" w:themeColor="text1"/>
          <w:szCs w:val="22"/>
        </w:rPr>
        <w:footnoteReference w:id="25"/>
      </w:r>
      <w:r w:rsidRPr="00625ADA">
        <w:rPr>
          <w:color w:val="000000" w:themeColor="text1"/>
          <w:sz w:val="22"/>
          <w:szCs w:val="22"/>
        </w:rPr>
        <w:t xml:space="preserve"> </w:t>
      </w:r>
      <w:r>
        <w:rPr>
          <w:color w:val="000000" w:themeColor="text1"/>
          <w:sz w:val="22"/>
          <w:szCs w:val="22"/>
        </w:rPr>
        <w:t xml:space="preserve"> </w:t>
      </w:r>
      <w:r w:rsidRPr="00625ADA">
        <w:rPr>
          <w:color w:val="000000" w:themeColor="text1"/>
          <w:sz w:val="22"/>
          <w:szCs w:val="22"/>
        </w:rPr>
        <w:t xml:space="preserve">We have opened a new docket, </w:t>
      </w:r>
      <w:r w:rsidRPr="00625ADA">
        <w:rPr>
          <w:b/>
          <w:bCs/>
          <w:color w:val="000000" w:themeColor="text1"/>
          <w:sz w:val="22"/>
          <w:szCs w:val="22"/>
        </w:rPr>
        <w:t>ET Docket 2</w:t>
      </w:r>
      <w:r>
        <w:rPr>
          <w:b/>
          <w:bCs/>
          <w:color w:val="000000" w:themeColor="text1"/>
          <w:sz w:val="22"/>
          <w:szCs w:val="22"/>
        </w:rPr>
        <w:t>3</w:t>
      </w:r>
      <w:r w:rsidRPr="00625ADA">
        <w:rPr>
          <w:b/>
          <w:bCs/>
          <w:color w:val="000000" w:themeColor="text1"/>
          <w:sz w:val="22"/>
          <w:szCs w:val="22"/>
        </w:rPr>
        <w:t>-</w:t>
      </w:r>
      <w:r w:rsidR="00FE2C9E">
        <w:rPr>
          <w:b/>
          <w:bCs/>
          <w:color w:val="000000" w:themeColor="text1"/>
          <w:sz w:val="22"/>
          <w:szCs w:val="22"/>
        </w:rPr>
        <w:t xml:space="preserve">245 </w:t>
      </w:r>
      <w:r w:rsidRPr="00625ADA">
        <w:rPr>
          <w:color w:val="000000" w:themeColor="text1"/>
          <w:sz w:val="22"/>
          <w:szCs w:val="22"/>
        </w:rPr>
        <w:t xml:space="preserve">to facilitate consideration of this request and have moved </w:t>
      </w:r>
      <w:r>
        <w:rPr>
          <w:color w:val="000000" w:themeColor="text1"/>
          <w:sz w:val="22"/>
          <w:szCs w:val="22"/>
        </w:rPr>
        <w:t xml:space="preserve">Liberty’s </w:t>
      </w:r>
      <w:r w:rsidRPr="00625ADA">
        <w:rPr>
          <w:color w:val="000000" w:themeColor="text1"/>
          <w:sz w:val="22"/>
          <w:szCs w:val="22"/>
        </w:rPr>
        <w:t xml:space="preserve">submission into this docket.  Parties should file all comments and reply comments in </w:t>
      </w:r>
      <w:r w:rsidRPr="00625ADA">
        <w:rPr>
          <w:b/>
          <w:bCs/>
          <w:color w:val="000000" w:themeColor="text1"/>
          <w:sz w:val="22"/>
          <w:szCs w:val="22"/>
        </w:rPr>
        <w:t>ET Docket 2</w:t>
      </w:r>
      <w:r>
        <w:rPr>
          <w:b/>
          <w:bCs/>
          <w:color w:val="000000" w:themeColor="text1"/>
          <w:sz w:val="22"/>
          <w:szCs w:val="22"/>
        </w:rPr>
        <w:t>3-</w:t>
      </w:r>
      <w:r w:rsidR="00FE2C9E">
        <w:rPr>
          <w:b/>
          <w:bCs/>
          <w:color w:val="000000" w:themeColor="text1"/>
          <w:sz w:val="22"/>
          <w:szCs w:val="22"/>
        </w:rPr>
        <w:t>245</w:t>
      </w:r>
    </w:p>
    <w:p w:rsidR="0091713B" w:rsidRPr="00625ADA" w:rsidP="0091713B" w14:paraId="28C9A480" w14:textId="77777777">
      <w:pPr>
        <w:tabs>
          <w:tab w:val="left" w:pos="-720"/>
        </w:tabs>
        <w:suppressAutoHyphens/>
        <w:spacing w:line="227" w:lineRule="atLeast"/>
        <w:jc w:val="both"/>
        <w:rPr>
          <w:color w:val="000000" w:themeColor="text1"/>
          <w:spacing w:val="-3"/>
          <w:szCs w:val="22"/>
        </w:rPr>
      </w:pPr>
    </w:p>
    <w:p w:rsidR="0091713B" w:rsidRPr="00625ADA" w:rsidP="0091713B" w14:paraId="5AB87BD2" w14:textId="77777777">
      <w:pPr>
        <w:ind w:firstLine="720"/>
        <w:rPr>
          <w:color w:val="000000" w:themeColor="text1"/>
          <w:szCs w:val="22"/>
        </w:rPr>
      </w:pPr>
      <w:r w:rsidRPr="00625ADA">
        <w:rPr>
          <w:color w:val="000000" w:themeColor="text1"/>
          <w:szCs w:val="22"/>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625ADA">
        <w:rPr>
          <w:i/>
          <w:color w:val="000000" w:themeColor="text1"/>
          <w:szCs w:val="22"/>
        </w:rPr>
        <w:t>See Electronic Filing of Documents in Rulemaking Proceedings</w:t>
      </w:r>
      <w:r w:rsidRPr="00625ADA">
        <w:rPr>
          <w:color w:val="000000" w:themeColor="text1"/>
          <w:szCs w:val="22"/>
        </w:rPr>
        <w:t>, 63 FR 24121 (1998).</w:t>
      </w:r>
    </w:p>
    <w:p w:rsidR="0091713B" w:rsidRPr="00625ADA" w:rsidP="0091713B" w14:paraId="7272FF67" w14:textId="77777777">
      <w:pPr>
        <w:rPr>
          <w:color w:val="000000" w:themeColor="text1"/>
          <w:szCs w:val="22"/>
        </w:rPr>
      </w:pPr>
    </w:p>
    <w:p w:rsidR="0091713B" w:rsidRPr="00625ADA" w:rsidP="0091713B" w14:paraId="40BD03A3" w14:textId="77777777">
      <w:pPr>
        <w:widowControl/>
        <w:numPr>
          <w:ilvl w:val="0"/>
          <w:numId w:val="3"/>
        </w:numPr>
        <w:rPr>
          <w:color w:val="000000" w:themeColor="text1"/>
          <w:szCs w:val="22"/>
        </w:rPr>
      </w:pPr>
      <w:r w:rsidRPr="00625ADA">
        <w:rPr>
          <w:color w:val="000000" w:themeColor="text1"/>
          <w:szCs w:val="22"/>
        </w:rPr>
        <w:t xml:space="preserve">Electronic Filers:  Comments may be filed electronically using the Internet by accessing the ECFS:  </w:t>
      </w:r>
      <w:hyperlink r:id="rId5" w:history="1">
        <w:r w:rsidRPr="00625ADA">
          <w:rPr>
            <w:color w:val="000000" w:themeColor="text1"/>
            <w:szCs w:val="22"/>
            <w:u w:val="single"/>
          </w:rPr>
          <w:t>http://apps.fcc.gov/ecfs/</w:t>
        </w:r>
      </w:hyperlink>
      <w:r w:rsidRPr="00625ADA">
        <w:rPr>
          <w:color w:val="000000" w:themeColor="text1"/>
          <w:szCs w:val="22"/>
        </w:rPr>
        <w:t xml:space="preserve">.  </w:t>
      </w:r>
    </w:p>
    <w:p w:rsidR="0091713B" w:rsidRPr="00625ADA" w:rsidP="0091713B" w14:paraId="2E414960" w14:textId="77777777">
      <w:pPr>
        <w:rPr>
          <w:color w:val="000000" w:themeColor="text1"/>
          <w:szCs w:val="22"/>
        </w:rPr>
      </w:pPr>
    </w:p>
    <w:p w:rsidR="0091713B" w:rsidRPr="00625ADA" w:rsidP="0091713B" w14:paraId="19A8B474" w14:textId="77777777">
      <w:pPr>
        <w:widowControl/>
        <w:numPr>
          <w:ilvl w:val="0"/>
          <w:numId w:val="2"/>
        </w:numPr>
        <w:rPr>
          <w:color w:val="000000" w:themeColor="text1"/>
          <w:szCs w:val="22"/>
        </w:rPr>
      </w:pPr>
      <w:r w:rsidRPr="00625ADA">
        <w:rPr>
          <w:color w:val="000000" w:themeColor="text1"/>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91713B" w:rsidRPr="00625ADA" w:rsidP="0091713B" w14:paraId="781F920A" w14:textId="77777777">
      <w:pPr>
        <w:rPr>
          <w:color w:val="000000" w:themeColor="text1"/>
          <w:szCs w:val="22"/>
        </w:rPr>
      </w:pPr>
    </w:p>
    <w:p w:rsidR="0091713B" w:rsidRPr="00625ADA" w:rsidP="0091713B" w14:paraId="6E3289E8" w14:textId="77777777">
      <w:pPr>
        <w:ind w:left="720"/>
        <w:rPr>
          <w:color w:val="000000" w:themeColor="text1"/>
          <w:szCs w:val="22"/>
        </w:rPr>
      </w:pPr>
      <w:r w:rsidRPr="00625ADA">
        <w:rPr>
          <w:color w:val="000000" w:themeColor="text1"/>
          <w:szCs w:val="22"/>
        </w:rPr>
        <w:t>Filings can be sent by commercial overnight courier, or by first-class or overnight U.S. Postal Service mail.  All filings must be addressed to the Commission’s Secretary, Office of the Secretary, Federal Communications Commission.</w:t>
      </w:r>
    </w:p>
    <w:p w:rsidR="0091713B" w:rsidRPr="00625ADA" w:rsidP="0091713B" w14:paraId="23E18849" w14:textId="77777777">
      <w:pPr>
        <w:ind w:left="1080"/>
        <w:rPr>
          <w:color w:val="000000" w:themeColor="text1"/>
          <w:szCs w:val="22"/>
        </w:rPr>
      </w:pPr>
    </w:p>
    <w:p w:rsidR="0091713B" w:rsidRPr="00625ADA" w:rsidP="0091713B" w14:paraId="1E362DDE" w14:textId="77777777">
      <w:pPr>
        <w:pStyle w:val="ListParagraph"/>
        <w:widowControl/>
        <w:numPr>
          <w:ilvl w:val="0"/>
          <w:numId w:val="1"/>
        </w:numPr>
        <w:spacing w:after="120"/>
        <w:contextualSpacing w:val="0"/>
        <w:rPr>
          <w:color w:val="000000" w:themeColor="text1"/>
          <w:szCs w:val="22"/>
        </w:rPr>
      </w:pPr>
      <w:r w:rsidRPr="00625ADA">
        <w:rPr>
          <w:color w:val="000000" w:themeColor="text1"/>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color w:val="000000" w:themeColor="text1"/>
          <w:szCs w:val="22"/>
        </w:rPr>
        <w:footnoteReference w:id="26"/>
      </w:r>
      <w:r w:rsidRPr="00625ADA">
        <w:rPr>
          <w:color w:val="000000" w:themeColor="text1"/>
          <w:szCs w:val="22"/>
        </w:rPr>
        <w:t xml:space="preserve">  </w:t>
      </w:r>
    </w:p>
    <w:p w:rsidR="0091713B" w:rsidRPr="00625ADA" w:rsidP="0091713B" w14:paraId="1F8A4CDB" w14:textId="77777777">
      <w:pPr>
        <w:pStyle w:val="ListParagraph"/>
        <w:rPr>
          <w:color w:val="000000" w:themeColor="text1"/>
          <w:szCs w:val="22"/>
        </w:rPr>
      </w:pPr>
    </w:p>
    <w:p w:rsidR="0091713B" w:rsidRPr="00625ADA" w:rsidP="0091713B" w14:paraId="17B331AC" w14:textId="77777777">
      <w:pPr>
        <w:widowControl/>
        <w:numPr>
          <w:ilvl w:val="0"/>
          <w:numId w:val="1"/>
        </w:numPr>
        <w:tabs>
          <w:tab w:val="clear" w:pos="1350"/>
          <w:tab w:val="num" w:pos="1440"/>
        </w:tabs>
        <w:ind w:left="1440"/>
        <w:rPr>
          <w:color w:val="000000" w:themeColor="text1"/>
          <w:szCs w:val="22"/>
        </w:rPr>
      </w:pPr>
      <w:r w:rsidRPr="00625ADA">
        <w:rPr>
          <w:color w:val="000000" w:themeColor="text1"/>
          <w:szCs w:val="22"/>
        </w:rPr>
        <w:t>Commercial overnight mail (other than U.S. Postal Service Express Mail and Priority Mail) must be sent to 9050 Junction Drive, Annapolis Junction, MD 20701.</w:t>
      </w:r>
    </w:p>
    <w:p w:rsidR="0091713B" w:rsidRPr="00625ADA" w:rsidP="0091713B" w14:paraId="50854B3B" w14:textId="77777777">
      <w:pPr>
        <w:rPr>
          <w:color w:val="000000" w:themeColor="text1"/>
          <w:szCs w:val="22"/>
        </w:rPr>
      </w:pPr>
    </w:p>
    <w:p w:rsidR="0091713B" w:rsidRPr="00625ADA" w:rsidP="0091713B" w14:paraId="24A3F5AB" w14:textId="77777777">
      <w:pPr>
        <w:widowControl/>
        <w:numPr>
          <w:ilvl w:val="0"/>
          <w:numId w:val="1"/>
        </w:numPr>
        <w:tabs>
          <w:tab w:val="clear" w:pos="1350"/>
          <w:tab w:val="num" w:pos="1440"/>
        </w:tabs>
        <w:ind w:left="1440"/>
        <w:rPr>
          <w:color w:val="000000" w:themeColor="text1"/>
          <w:szCs w:val="22"/>
        </w:rPr>
      </w:pPr>
      <w:r w:rsidRPr="00625ADA">
        <w:rPr>
          <w:color w:val="000000" w:themeColor="text1"/>
          <w:szCs w:val="22"/>
        </w:rPr>
        <w:t>U.S. Postal Service first-class, Express, and Priority mail must be addressed to 45 L Street, NE, Washington DC 20554.</w:t>
      </w:r>
    </w:p>
    <w:p w:rsidR="0091713B" w:rsidRPr="00625ADA" w:rsidP="0091713B" w14:paraId="411475CA" w14:textId="77777777">
      <w:pPr>
        <w:rPr>
          <w:color w:val="000000" w:themeColor="text1"/>
          <w:szCs w:val="22"/>
        </w:rPr>
      </w:pPr>
    </w:p>
    <w:p w:rsidR="0091713B" w:rsidRPr="00625ADA" w:rsidP="0091713B" w14:paraId="48F7A9F6" w14:textId="77777777">
      <w:pPr>
        <w:ind w:firstLine="720"/>
        <w:rPr>
          <w:color w:val="000000" w:themeColor="text1"/>
          <w:szCs w:val="22"/>
        </w:rPr>
      </w:pPr>
      <w:r w:rsidRPr="00625ADA">
        <w:rPr>
          <w:color w:val="000000" w:themeColor="text1"/>
          <w:szCs w:val="22"/>
        </w:rPr>
        <w:t xml:space="preserve">People with Disabilities:  To request materials in accessible formats for people with disabilities (braille, large print, electronic files, audio format), send an e-mail to </w:t>
      </w:r>
      <w:hyperlink r:id="rId6" w:history="1">
        <w:r w:rsidRPr="00625ADA">
          <w:rPr>
            <w:color w:val="000000" w:themeColor="text1"/>
            <w:szCs w:val="22"/>
            <w:u w:val="single"/>
          </w:rPr>
          <w:t>fcc504@fcc.gov</w:t>
        </w:r>
      </w:hyperlink>
      <w:r w:rsidRPr="00625ADA">
        <w:rPr>
          <w:color w:val="000000" w:themeColor="text1"/>
          <w:szCs w:val="22"/>
        </w:rPr>
        <w:t xml:space="preserve"> or call the Consumer &amp; Governmental Affairs Bureau at 202-418-0530 (voice), 202-418-0432 (tty).</w:t>
      </w:r>
    </w:p>
    <w:p w:rsidR="0091713B" w:rsidRPr="00625ADA" w:rsidP="0091713B" w14:paraId="60402B91" w14:textId="77777777">
      <w:pPr>
        <w:rPr>
          <w:color w:val="000000" w:themeColor="text1"/>
          <w:szCs w:val="22"/>
        </w:rPr>
      </w:pPr>
    </w:p>
    <w:p w:rsidR="0091713B" w:rsidRPr="00625ADA" w:rsidP="0091713B" w14:paraId="18D4346B" w14:textId="77777777">
      <w:pPr>
        <w:widowControl/>
        <w:ind w:firstLine="720"/>
        <w:rPr>
          <w:color w:val="000000" w:themeColor="text1"/>
          <w:szCs w:val="22"/>
        </w:rPr>
      </w:pPr>
      <w:r w:rsidRPr="00625ADA">
        <w:rPr>
          <w:color w:val="000000" w:themeColor="text1"/>
          <w:szCs w:val="22"/>
        </w:rPr>
        <w:t xml:space="preserve">Parties should also send a copy of their filings to </w:t>
      </w:r>
      <w:r>
        <w:rPr>
          <w:color w:val="000000" w:themeColor="text1"/>
          <w:szCs w:val="22"/>
        </w:rPr>
        <w:t>Syed S. Hasan</w:t>
      </w:r>
      <w:r w:rsidRPr="00625ADA">
        <w:rPr>
          <w:color w:val="000000" w:themeColor="text1"/>
          <w:szCs w:val="22"/>
        </w:rPr>
        <w:t xml:space="preserve">, Office of Engineering and Technology, Federal Communications Commission, 45 L Street, NE, Washington DC 20554, or by e-mail to </w:t>
      </w:r>
      <w:r>
        <w:rPr>
          <w:color w:val="000000" w:themeColor="text1"/>
          <w:szCs w:val="22"/>
        </w:rPr>
        <w:t>syed.hasan</w:t>
      </w:r>
      <w:r w:rsidRPr="00625ADA">
        <w:rPr>
          <w:color w:val="000000" w:themeColor="text1"/>
          <w:szCs w:val="22"/>
        </w:rPr>
        <w:t>@fcc.gov.</w:t>
      </w:r>
    </w:p>
    <w:p w:rsidR="0091713B" w:rsidRPr="00625ADA" w:rsidP="0091713B" w14:paraId="1FEB9F13" w14:textId="77777777">
      <w:pPr>
        <w:ind w:firstLine="720"/>
        <w:rPr>
          <w:color w:val="000000" w:themeColor="text1"/>
          <w:szCs w:val="22"/>
        </w:rPr>
      </w:pPr>
    </w:p>
    <w:p w:rsidR="0091713B" w:rsidP="0091713B" w14:paraId="2D426A34" w14:textId="77777777">
      <w:pPr>
        <w:ind w:firstLine="720"/>
        <w:rPr>
          <w:snapToGrid/>
          <w:color w:val="000000" w:themeColor="text1"/>
          <w:szCs w:val="22"/>
        </w:rPr>
      </w:pPr>
      <w:bookmarkStart w:id="1" w:name="_Hlk59097013"/>
      <w:r>
        <w:rPr>
          <w:color w:val="000000" w:themeColor="text1"/>
          <w:szCs w:val="22"/>
        </w:rPr>
        <w:t>Documents associated with this docket will be available for public inspection through the Commission’s ECFS.</w:t>
      </w:r>
      <w:bookmarkEnd w:id="1"/>
    </w:p>
    <w:p w:rsidR="0091713B" w:rsidRPr="00625ADA" w:rsidP="0091713B" w14:paraId="67F11F9C" w14:textId="77777777">
      <w:pPr>
        <w:rPr>
          <w:color w:val="000000" w:themeColor="text1"/>
          <w:szCs w:val="22"/>
        </w:rPr>
      </w:pPr>
    </w:p>
    <w:p w:rsidR="0091713B" w:rsidRPr="00625ADA" w:rsidP="0091713B" w14:paraId="285691E5" w14:textId="77777777">
      <w:pPr>
        <w:rPr>
          <w:color w:val="000000" w:themeColor="text1"/>
          <w:spacing w:val="-3"/>
          <w:szCs w:val="22"/>
        </w:rPr>
      </w:pPr>
      <w:r w:rsidRPr="00625ADA">
        <w:rPr>
          <w:color w:val="000000" w:themeColor="text1"/>
          <w:spacing w:val="-3"/>
          <w:szCs w:val="22"/>
        </w:rPr>
        <w:t>By the Chief, Office of Engineering and Technology</w:t>
      </w:r>
    </w:p>
    <w:p w:rsidR="0091713B" w:rsidRPr="00625ADA" w:rsidP="0091713B" w14:paraId="1C27B916" w14:textId="77777777">
      <w:pPr>
        <w:rPr>
          <w:color w:val="000000" w:themeColor="text1"/>
          <w:spacing w:val="-3"/>
          <w:szCs w:val="22"/>
        </w:rPr>
      </w:pPr>
    </w:p>
    <w:p w:rsidR="0091713B" w:rsidRPr="00625ADA" w:rsidP="0091713B" w14:paraId="3AF451FE" w14:textId="77777777">
      <w:pPr>
        <w:jc w:val="center"/>
        <w:rPr>
          <w:color w:val="000000" w:themeColor="text1"/>
          <w:spacing w:val="-3"/>
          <w:szCs w:val="22"/>
        </w:rPr>
      </w:pPr>
      <w:r w:rsidRPr="00625ADA">
        <w:rPr>
          <w:color w:val="000000" w:themeColor="text1"/>
          <w:spacing w:val="-3"/>
          <w:szCs w:val="22"/>
        </w:rPr>
        <w:t>-FCC-</w:t>
      </w:r>
    </w:p>
    <w:bookmarkEnd w:id="0"/>
    <w:p w:rsidR="0091713B" w:rsidRPr="00625ADA" w:rsidP="0091713B" w14:paraId="49FA3E50" w14:textId="77777777">
      <w:pPr>
        <w:autoSpaceDE w:val="0"/>
        <w:autoSpaceDN w:val="0"/>
        <w:adjustRightInd w:val="0"/>
        <w:rPr>
          <w:color w:val="000000" w:themeColor="text1"/>
          <w:szCs w:val="22"/>
        </w:rPr>
      </w:pPr>
    </w:p>
    <w:p w:rsidR="0091713B" w:rsidP="0091713B" w14:paraId="20355004" w14:textId="77777777"/>
    <w:p w:rsidR="0091713B" w:rsidP="0091713B" w14:paraId="384B71D6" w14:textId="77777777"/>
    <w:p w:rsidR="0091713B" w:rsidRPr="004067FB" w:rsidP="0091713B" w14:paraId="415AE40D" w14:textId="77777777"/>
    <w:p w:rsidR="002E1CB9" w14:paraId="7C5FD4CC" w14:textId="77777777"/>
    <w:sectPr w:rsidSect="000E5884">
      <w:headerReference w:type="default" r:id="rId7"/>
      <w:footerReference w:type="even" r:id="rId8"/>
      <w:footerReference w:type="default" r:id="rId9"/>
      <w:headerReference w:type="first" r:id="rId10"/>
      <w:footerReference w:type="first" r:id="rId11"/>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altName w:val="MS Mincho"/>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E9C320C"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938D9A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20DACA25" w14:textId="77777777">
    <w:pPr>
      <w:pStyle w:val="Footer"/>
      <w:jc w:val="center"/>
    </w:pPr>
    <w:r>
      <w:fldChar w:fldCharType="begin"/>
    </w:r>
    <w:r>
      <w:instrText xml:space="preserve"> PAGE   \* MERGEFORMAT </w:instrText>
    </w:r>
    <w:r>
      <w:fldChar w:fldCharType="separate"/>
    </w:r>
    <w:r>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5A101AE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32301" w:rsidP="0091713B" w14:paraId="1FD1999B" w14:textId="77777777">
      <w:r>
        <w:separator/>
      </w:r>
    </w:p>
  </w:footnote>
  <w:footnote w:type="continuationSeparator" w:id="1">
    <w:p w:rsidR="00632301" w:rsidP="0091713B" w14:paraId="2FDD48CF" w14:textId="77777777">
      <w:r>
        <w:continuationSeparator/>
      </w:r>
    </w:p>
  </w:footnote>
  <w:footnote w:id="2">
    <w:p w:rsidR="0091713B" w:rsidP="0091713B" w14:paraId="56EBA13C" w14:textId="77777777">
      <w:pPr>
        <w:pStyle w:val="FootnoteText"/>
      </w:pPr>
      <w:r>
        <w:rPr>
          <w:rStyle w:val="FootnoteReference"/>
        </w:rPr>
        <w:footnoteRef/>
      </w:r>
      <w:r>
        <w:t xml:space="preserve"> Liberty Defense Holdings, Ltd d/b/a Liberty Defense Technologies Request for Waiver of Sections 15.31(c), 15.35(b), and 15.205(a) of the Commission’s Rule, filed Apr 10, 2023 (Liberty Waiver Request).</w:t>
      </w:r>
    </w:p>
  </w:footnote>
  <w:footnote w:id="3">
    <w:p w:rsidR="0091713B" w:rsidP="0091713B" w14:paraId="289564D2" w14:textId="77777777">
      <w:pPr>
        <w:pStyle w:val="FootnoteText"/>
      </w:pPr>
      <w:r>
        <w:rPr>
          <w:rStyle w:val="FootnoteReference"/>
        </w:rPr>
        <w:footnoteRef/>
      </w:r>
      <w:r>
        <w:t xml:space="preserve"> </w:t>
      </w:r>
      <w:r w:rsidRPr="00B4607D">
        <w:rPr>
          <w:i/>
          <w:iCs/>
        </w:rPr>
        <w:t>SafeView, Inc.; Request for Waiver of Sections 15.31 and 15.35 of the Commission’s Rules to Permit the Deployment of Security Screening Portal Devices that Operate in the 24.25-30 GHz Range</w:t>
      </w:r>
      <w:r>
        <w:t xml:space="preserve">, ET Docket No. 04-373, Order, 21 FCC Rcd 8814 (OET 2006); </w:t>
      </w:r>
      <w:r w:rsidRPr="00B4607D">
        <w:rPr>
          <w:i/>
          <w:iCs/>
        </w:rPr>
        <w:t>aff’d</w:t>
      </w:r>
      <w:r>
        <w:t xml:space="preserve">, Memorandum Opinion and Order, 25 FCC Rcd 592 (2010) (2006 Legacy Waiver Order). </w:t>
      </w:r>
    </w:p>
  </w:footnote>
  <w:footnote w:id="4">
    <w:p w:rsidR="0091713B" w:rsidP="0091713B" w14:paraId="0649A6F5" w14:textId="77777777">
      <w:pPr>
        <w:pStyle w:val="FootnoteText"/>
      </w:pPr>
      <w:r>
        <w:rPr>
          <w:rStyle w:val="FootnoteReference"/>
        </w:rPr>
        <w:footnoteRef/>
      </w:r>
      <w:r>
        <w:t xml:space="preserve"> Liberty Waiver Request at 1-3. </w:t>
      </w:r>
    </w:p>
  </w:footnote>
  <w:footnote w:id="5">
    <w:p w:rsidR="0091713B" w:rsidP="0091713B" w14:paraId="5296B03D" w14:textId="67981A54">
      <w:pPr>
        <w:pStyle w:val="FootnoteText"/>
      </w:pPr>
      <w:r>
        <w:rPr>
          <w:rStyle w:val="FootnoteReference"/>
        </w:rPr>
        <w:footnoteRef/>
      </w:r>
      <w:r>
        <w:t xml:space="preserve"> </w:t>
      </w:r>
      <w:r w:rsidRPr="00957D85">
        <w:rPr>
          <w:i/>
          <w:iCs/>
        </w:rPr>
        <w:t>Id</w:t>
      </w:r>
      <w:r w:rsidR="00514867">
        <w:rPr>
          <w:i/>
          <w:iCs/>
        </w:rPr>
        <w:t>.</w:t>
      </w:r>
      <w:r>
        <w:t xml:space="preserve"> at 2. </w:t>
      </w:r>
    </w:p>
  </w:footnote>
  <w:footnote w:id="6">
    <w:p w:rsidR="0091713B" w:rsidP="0091713B" w14:paraId="79F3E694" w14:textId="5E75A703">
      <w:pPr>
        <w:pStyle w:val="FootnoteText"/>
      </w:pPr>
      <w:r>
        <w:rPr>
          <w:rStyle w:val="FootnoteReference"/>
        </w:rPr>
        <w:footnoteRef/>
      </w:r>
      <w:r>
        <w:t xml:space="preserve"> Liberty Waiver Request at 2 (</w:t>
      </w:r>
      <w:r w:rsidR="00923FDE">
        <w:t xml:space="preserve">referencing </w:t>
      </w:r>
      <w:r>
        <w:t xml:space="preserve">the 2006 Legacy Waiver Order and </w:t>
      </w:r>
      <w:r w:rsidRPr="00682F15">
        <w:rPr>
          <w:i/>
          <w:iCs/>
        </w:rPr>
        <w:t>L-3 Communications Security and Detection Systems, Inc.; Request for Waiver of Sections 15.31(c), 15.35(b) and 15.205(a) of the Commission’s Rules to Permit the Deployment of Security Screening Portal Devices that Operate in the 20-40 GHz Range</w:t>
      </w:r>
      <w:r>
        <w:t>, ET Docket No. 16-45, Order, 31 FCC Rcd 12310 (OET 2016) (2016 Waiver Order)).</w:t>
      </w:r>
    </w:p>
  </w:footnote>
  <w:footnote w:id="7">
    <w:p w:rsidR="0091713B" w:rsidP="0091713B" w14:paraId="1CE1B47A" w14:textId="69113A42">
      <w:pPr>
        <w:pStyle w:val="FootnoteText"/>
      </w:pPr>
      <w:r>
        <w:rPr>
          <w:rStyle w:val="FootnoteReference"/>
        </w:rPr>
        <w:footnoteRef/>
      </w:r>
      <w:r>
        <w:t xml:space="preserve"> </w:t>
      </w:r>
      <w:r w:rsidRPr="00EB5B5B">
        <w:rPr>
          <w:i/>
          <w:iCs/>
        </w:rPr>
        <w:t>Id</w:t>
      </w:r>
      <w:r w:rsidR="00514867">
        <w:rPr>
          <w:i/>
          <w:iCs/>
        </w:rPr>
        <w:t>.</w:t>
      </w:r>
      <w:r>
        <w:t xml:space="preserve"> at 1-3. </w:t>
      </w:r>
    </w:p>
  </w:footnote>
  <w:footnote w:id="8">
    <w:p w:rsidR="0091713B" w:rsidP="0091713B" w14:paraId="19D577C7" w14:textId="657453D8">
      <w:pPr>
        <w:pStyle w:val="FootnoteText"/>
      </w:pPr>
      <w:r>
        <w:rPr>
          <w:rStyle w:val="FootnoteReference"/>
        </w:rPr>
        <w:footnoteRef/>
      </w:r>
      <w:r>
        <w:t xml:space="preserve"> </w:t>
      </w:r>
      <w:r w:rsidRPr="00EB5B5B" w:rsidR="00795149">
        <w:rPr>
          <w:i/>
          <w:iCs/>
        </w:rPr>
        <w:t>Id</w:t>
      </w:r>
      <w:r w:rsidR="00514867">
        <w:rPr>
          <w:i/>
          <w:iCs/>
        </w:rPr>
        <w:t>.</w:t>
      </w:r>
      <w:r w:rsidR="00795149">
        <w:t xml:space="preserve"> </w:t>
      </w:r>
      <w:r>
        <w:t xml:space="preserve">at 10–11. </w:t>
      </w:r>
    </w:p>
  </w:footnote>
  <w:footnote w:id="9">
    <w:p w:rsidR="0091713B" w:rsidP="0091713B" w14:paraId="2D60BD66" w14:textId="77777777">
      <w:pPr>
        <w:pStyle w:val="FootnoteText"/>
      </w:pPr>
      <w:r>
        <w:rPr>
          <w:rStyle w:val="FootnoteReference"/>
        </w:rPr>
        <w:footnoteRef/>
      </w:r>
      <w:r>
        <w:t xml:space="preserve"> 47 C.F.R. § 15.31(c).</w:t>
      </w:r>
    </w:p>
  </w:footnote>
  <w:footnote w:id="10">
    <w:p w:rsidR="0091713B" w:rsidP="0091713B" w14:paraId="734EBD0E" w14:textId="77777777">
      <w:pPr>
        <w:pStyle w:val="FootnoteText"/>
      </w:pPr>
      <w:r>
        <w:rPr>
          <w:rStyle w:val="FootnoteReference"/>
        </w:rPr>
        <w:footnoteRef/>
      </w:r>
      <w:r>
        <w:t xml:space="preserve"> </w:t>
      </w:r>
      <w:r w:rsidRPr="00B4607D">
        <w:rPr>
          <w:i/>
          <w:iCs/>
        </w:rPr>
        <w:t>See</w:t>
      </w:r>
      <w:r>
        <w:t xml:space="preserve"> Liberty Waiver Request at n.15 (citing previously granted waivers of Section 15.31(c)). </w:t>
      </w:r>
    </w:p>
  </w:footnote>
  <w:footnote w:id="11">
    <w:p w:rsidR="0091713B" w:rsidRPr="00B85D86" w:rsidP="0091713B" w14:paraId="2EB7BB79" w14:textId="04817B04">
      <w:pPr>
        <w:pStyle w:val="FootnoteText"/>
      </w:pPr>
      <w:r>
        <w:rPr>
          <w:rStyle w:val="FootnoteReference"/>
        </w:rPr>
        <w:footnoteRef/>
      </w:r>
      <w:r>
        <w:t xml:space="preserve"> </w:t>
      </w:r>
      <w:r w:rsidRPr="00EB5B5B" w:rsidR="00795149">
        <w:rPr>
          <w:i/>
          <w:iCs/>
        </w:rPr>
        <w:t>Id</w:t>
      </w:r>
      <w:r w:rsidR="00514867">
        <w:rPr>
          <w:i/>
          <w:iCs/>
        </w:rPr>
        <w:t>.</w:t>
      </w:r>
      <w:r w:rsidR="00795149">
        <w:t xml:space="preserve"> </w:t>
      </w:r>
      <w:r>
        <w:t>at 10-11.</w:t>
      </w:r>
    </w:p>
  </w:footnote>
  <w:footnote w:id="12">
    <w:p w:rsidR="0091713B" w:rsidP="0091713B" w14:paraId="599FCE52" w14:textId="43799102">
      <w:pPr>
        <w:pStyle w:val="FootnoteText"/>
      </w:pPr>
      <w:r>
        <w:rPr>
          <w:rStyle w:val="FootnoteReference"/>
        </w:rPr>
        <w:footnoteRef/>
      </w:r>
      <w:r>
        <w:t xml:space="preserve"> </w:t>
      </w:r>
      <w:r w:rsidRPr="00EB5B5B" w:rsidR="00795149">
        <w:rPr>
          <w:i/>
          <w:iCs/>
        </w:rPr>
        <w:t>Id</w:t>
      </w:r>
      <w:r w:rsidR="00514867">
        <w:rPr>
          <w:i/>
          <w:iCs/>
        </w:rPr>
        <w:t>.</w:t>
      </w:r>
      <w:r w:rsidR="00795149">
        <w:t xml:space="preserve"> </w:t>
      </w:r>
      <w:r>
        <w:t xml:space="preserve">at 11-12.  </w:t>
      </w:r>
      <w:r w:rsidR="002C6951">
        <w:rPr>
          <w:i/>
          <w:iCs/>
        </w:rPr>
        <w:t xml:space="preserve">See </w:t>
      </w:r>
      <w:r w:rsidR="002C6951">
        <w:t xml:space="preserve">2006 Legacy Waiver Order and 2016 Waiver Order. </w:t>
      </w:r>
      <w:r>
        <w:t xml:space="preserve">  </w:t>
      </w:r>
    </w:p>
  </w:footnote>
  <w:footnote w:id="13">
    <w:p w:rsidR="0091713B" w:rsidP="0091713B" w14:paraId="62BB16EC" w14:textId="77777777">
      <w:pPr>
        <w:pStyle w:val="FootnoteText"/>
      </w:pPr>
      <w:r>
        <w:rPr>
          <w:rStyle w:val="FootnoteReference"/>
        </w:rPr>
        <w:footnoteRef/>
      </w:r>
      <w:r>
        <w:t xml:space="preserve"> 47 C.F.R. § 15.35(b).</w:t>
      </w:r>
    </w:p>
  </w:footnote>
  <w:footnote w:id="14">
    <w:p w:rsidR="0091713B" w:rsidP="0091713B" w14:paraId="3E6B5498" w14:textId="77777777">
      <w:pPr>
        <w:pStyle w:val="FootnoteText"/>
      </w:pPr>
      <w:r>
        <w:rPr>
          <w:rStyle w:val="FootnoteReference"/>
        </w:rPr>
        <w:footnoteRef/>
      </w:r>
      <w:r>
        <w:t xml:space="preserve"> Liberty Waiver Request at 11-12. </w:t>
      </w:r>
    </w:p>
  </w:footnote>
  <w:footnote w:id="15">
    <w:p w:rsidR="0091713B" w:rsidP="0091713B" w14:paraId="36992489" w14:textId="77777777">
      <w:pPr>
        <w:pStyle w:val="FootnoteText"/>
      </w:pPr>
      <w:r>
        <w:rPr>
          <w:rStyle w:val="FootnoteReference"/>
        </w:rPr>
        <w:footnoteRef/>
      </w:r>
      <w:r>
        <w:t xml:space="preserve"> </w:t>
      </w:r>
      <w:r w:rsidRPr="00B4607D">
        <w:rPr>
          <w:i/>
          <w:iCs/>
        </w:rPr>
        <w:t>See</w:t>
      </w:r>
      <w:r>
        <w:t xml:space="preserve"> 2006 Legacy Waiver Order.</w:t>
      </w:r>
    </w:p>
  </w:footnote>
  <w:footnote w:id="16">
    <w:p w:rsidR="0091713B" w:rsidP="0091713B" w14:paraId="2C1B6307" w14:textId="2C70346E">
      <w:pPr>
        <w:pStyle w:val="FootnoteText"/>
      </w:pPr>
      <w:r>
        <w:rPr>
          <w:rStyle w:val="FootnoteReference"/>
        </w:rPr>
        <w:footnoteRef/>
      </w:r>
      <w:r>
        <w:t xml:space="preserve"> Liberty Waiver Request at 11-12 (referencing</w:t>
      </w:r>
      <w:r w:rsidR="00302A03">
        <w:t xml:space="preserve"> 2016 Waiver Order)</w:t>
      </w:r>
      <w:r w:rsidR="00525A3E">
        <w:t>.</w:t>
      </w:r>
    </w:p>
  </w:footnote>
  <w:footnote w:id="17">
    <w:p w:rsidR="0091713B" w:rsidP="0091713B" w14:paraId="31B2D36B" w14:textId="6AC36AC0">
      <w:pPr>
        <w:pStyle w:val="FootnoteText"/>
      </w:pPr>
      <w:r>
        <w:rPr>
          <w:rStyle w:val="FootnoteReference"/>
        </w:rPr>
        <w:footnoteRef/>
      </w:r>
      <w:r>
        <w:t xml:space="preserve"> </w:t>
      </w:r>
      <w:r w:rsidRPr="00EB5B5B" w:rsidR="00795149">
        <w:rPr>
          <w:i/>
          <w:iCs/>
        </w:rPr>
        <w:t>Id</w:t>
      </w:r>
      <w:r w:rsidR="00514867">
        <w:rPr>
          <w:i/>
          <w:iCs/>
        </w:rPr>
        <w:t>.</w:t>
      </w:r>
      <w:r w:rsidR="00795149">
        <w:t xml:space="preserve"> </w:t>
      </w:r>
      <w:r>
        <w:t>at 11-12.</w:t>
      </w:r>
    </w:p>
  </w:footnote>
  <w:footnote w:id="18">
    <w:p w:rsidR="0091713B" w:rsidRPr="00DF1665" w:rsidP="0091713B" w14:paraId="34657B7A" w14:textId="62950929">
      <w:pPr>
        <w:pStyle w:val="FootnoteText"/>
      </w:pPr>
      <w:r>
        <w:rPr>
          <w:rStyle w:val="FootnoteReference"/>
        </w:rPr>
        <w:footnoteRef/>
      </w:r>
      <w:r>
        <w:t xml:space="preserve"> </w:t>
      </w:r>
      <w:r w:rsidRPr="00EB5B5B" w:rsidR="00795149">
        <w:rPr>
          <w:i/>
          <w:iCs/>
        </w:rPr>
        <w:t>Id</w:t>
      </w:r>
      <w:r w:rsidR="00514867">
        <w:rPr>
          <w:i/>
          <w:iCs/>
        </w:rPr>
        <w:t>.</w:t>
      </w:r>
      <w:r w:rsidR="00795149">
        <w:t xml:space="preserve"> </w:t>
      </w:r>
      <w:r>
        <w:t>at 2-3,</w:t>
      </w:r>
      <w:r>
        <w:rPr>
          <w:i/>
          <w:iCs/>
        </w:rPr>
        <w:t xml:space="preserve"> </w:t>
      </w:r>
      <w:r>
        <w:t xml:space="preserve">8, and </w:t>
      </w:r>
      <w:r w:rsidR="00923FDE">
        <w:t xml:space="preserve">Liberty Waiver Request Appendix A at </w:t>
      </w:r>
      <w:r>
        <w:t>3.</w:t>
      </w:r>
    </w:p>
  </w:footnote>
  <w:footnote w:id="19">
    <w:p w:rsidR="0091713B" w:rsidP="0091713B" w14:paraId="343EB55D" w14:textId="144792D9">
      <w:pPr>
        <w:pStyle w:val="FootnoteText"/>
      </w:pPr>
      <w:r>
        <w:rPr>
          <w:rStyle w:val="FootnoteReference"/>
        </w:rPr>
        <w:footnoteRef/>
      </w:r>
      <w:r>
        <w:t xml:space="preserve"> 47 C.F.R. § 15.205(a). (Restricted bands in the 10–20 GHz range are: 10.6–12.7 GHz, 13.25–13.4 GHz, 14.47–14.5 GHz, 15.35–16.2 GHz, and 17.7–21.4 GHz).</w:t>
      </w:r>
    </w:p>
  </w:footnote>
  <w:footnote w:id="20">
    <w:p w:rsidR="0091713B" w:rsidP="0091713B" w14:paraId="64C0738B" w14:textId="0A8D5964">
      <w:pPr>
        <w:pStyle w:val="FootnoteText"/>
      </w:pPr>
      <w:r>
        <w:rPr>
          <w:rStyle w:val="FootnoteReference"/>
        </w:rPr>
        <w:footnoteRef/>
      </w:r>
      <w:r>
        <w:t xml:space="preserve"> Liberty Waiver at 12, </w:t>
      </w:r>
      <w:r w:rsidR="00923FDE">
        <w:t xml:space="preserve">Liberty Waiver Request Appendix A at </w:t>
      </w:r>
      <w:r>
        <w:t>5.</w:t>
      </w:r>
    </w:p>
  </w:footnote>
  <w:footnote w:id="21">
    <w:p w:rsidR="0091713B" w:rsidP="0091713B" w14:paraId="461D95A1" w14:textId="1C8211E3">
      <w:pPr>
        <w:pStyle w:val="FootnoteText"/>
      </w:pPr>
      <w:r>
        <w:rPr>
          <w:rStyle w:val="FootnoteReference"/>
        </w:rPr>
        <w:footnoteRef/>
      </w:r>
      <w:r>
        <w:t xml:space="preserve"> </w:t>
      </w:r>
      <w:r w:rsidR="00923FDE">
        <w:t>Liberty Waiver</w:t>
      </w:r>
      <w:r w:rsidR="00795149">
        <w:t xml:space="preserve"> </w:t>
      </w:r>
      <w:r>
        <w:t>at 13.</w:t>
      </w:r>
    </w:p>
  </w:footnote>
  <w:footnote w:id="22">
    <w:p w:rsidR="0091713B" w:rsidP="0091713B" w14:paraId="78021E2C" w14:textId="498701DF">
      <w:pPr>
        <w:pStyle w:val="FootnoteText"/>
      </w:pPr>
      <w:r>
        <w:rPr>
          <w:rStyle w:val="FootnoteReference"/>
        </w:rPr>
        <w:footnoteRef/>
      </w:r>
      <w:r>
        <w:t xml:space="preserve"> </w:t>
      </w:r>
      <w:r w:rsidRPr="00EB5B5B" w:rsidR="00795149">
        <w:rPr>
          <w:i/>
          <w:iCs/>
        </w:rPr>
        <w:t>Id</w:t>
      </w:r>
      <w:r w:rsidR="00514867">
        <w:rPr>
          <w:i/>
          <w:iCs/>
        </w:rPr>
        <w:t>.</w:t>
      </w:r>
      <w:r w:rsidR="00795149">
        <w:t xml:space="preserve"> </w:t>
      </w:r>
      <w:r>
        <w:t>at 2-3.</w:t>
      </w:r>
    </w:p>
  </w:footnote>
  <w:footnote w:id="23">
    <w:p w:rsidR="0091713B" w:rsidP="0091713B" w14:paraId="044C7247" w14:textId="3C773978">
      <w:pPr>
        <w:pStyle w:val="FootnoteText"/>
      </w:pPr>
      <w:r>
        <w:rPr>
          <w:rStyle w:val="FootnoteReference"/>
        </w:rPr>
        <w:footnoteRef/>
      </w:r>
      <w:r>
        <w:t xml:space="preserve"> </w:t>
      </w:r>
      <w:r w:rsidRPr="00EB5B5B" w:rsidR="00795149">
        <w:rPr>
          <w:i/>
          <w:iCs/>
        </w:rPr>
        <w:t>Id</w:t>
      </w:r>
      <w:r w:rsidR="00514867">
        <w:rPr>
          <w:i/>
          <w:iCs/>
        </w:rPr>
        <w:t>.</w:t>
      </w:r>
      <w:r w:rsidR="00795149">
        <w:rPr>
          <w:i/>
          <w:iCs/>
        </w:rPr>
        <w:t xml:space="preserve"> </w:t>
      </w:r>
      <w:r>
        <w:t>at 12–13.</w:t>
      </w:r>
    </w:p>
  </w:footnote>
  <w:footnote w:id="24">
    <w:p w:rsidR="0091713B" w:rsidP="0091713B" w14:paraId="03C8BDAD" w14:textId="44F4F905">
      <w:pPr>
        <w:pStyle w:val="FootnoteText"/>
      </w:pPr>
      <w:r>
        <w:rPr>
          <w:rStyle w:val="FootnoteReference"/>
        </w:rPr>
        <w:footnoteRef/>
      </w:r>
      <w:r>
        <w:t xml:space="preserve"> </w:t>
      </w:r>
      <w:r w:rsidRPr="00EB5B5B" w:rsidR="000A68A2">
        <w:rPr>
          <w:i/>
          <w:iCs/>
        </w:rPr>
        <w:t>Id</w:t>
      </w:r>
      <w:r w:rsidR="00514867">
        <w:rPr>
          <w:i/>
          <w:iCs/>
        </w:rPr>
        <w:t>.</w:t>
      </w:r>
      <w:r w:rsidRPr="008B0011" w:rsidR="000A68A2">
        <w:rPr>
          <w:i/>
          <w:iCs/>
        </w:rPr>
        <w:t xml:space="preserve"> </w:t>
      </w:r>
      <w:r>
        <w:t>at 13</w:t>
      </w:r>
      <w:r w:rsidR="00267201">
        <w:t xml:space="preserve">; </w:t>
      </w:r>
      <w:r w:rsidRPr="00326BE6" w:rsidR="00267201">
        <w:rPr>
          <w:i/>
          <w:iCs/>
        </w:rPr>
        <w:t>see also</w:t>
      </w:r>
      <w:r w:rsidR="00267201">
        <w:t xml:space="preserve"> </w:t>
      </w:r>
      <w:r w:rsidR="00D916C5">
        <w:t xml:space="preserve">Liberty Waiver Request </w:t>
      </w:r>
      <w:r>
        <w:t>Appendix A</w:t>
      </w:r>
      <w:r w:rsidR="00D916C5">
        <w:t xml:space="preserve"> at</w:t>
      </w:r>
      <w:r w:rsidR="00437EFF">
        <w:t xml:space="preserve"> 7-15</w:t>
      </w:r>
      <w:r w:rsidR="00267201">
        <w:t xml:space="preserve"> (discussing technical parameters</w:t>
      </w:r>
      <w:r w:rsidR="00D916C5">
        <w:t xml:space="preserve"> </w:t>
      </w:r>
      <w:r w:rsidR="0086386F">
        <w:t xml:space="preserve">of Liberty’s planned system </w:t>
      </w:r>
      <w:r w:rsidR="00AF2828">
        <w:t xml:space="preserve">meant to </w:t>
      </w:r>
      <w:r w:rsidR="00D916C5">
        <w:t xml:space="preserve">minimize </w:t>
      </w:r>
      <w:r w:rsidR="00950E38">
        <w:t xml:space="preserve">the </w:t>
      </w:r>
      <w:r w:rsidR="00D916C5">
        <w:t>potential for harmful interference to sensitive services operating in restricted bands</w:t>
      </w:r>
      <w:r w:rsidR="00950E38">
        <w:t xml:space="preserve"> (</w:t>
      </w:r>
      <w:r w:rsidRPr="00326BE6" w:rsidR="00950E38">
        <w:rPr>
          <w:i/>
          <w:iCs/>
        </w:rPr>
        <w:t>e.g.</w:t>
      </w:r>
      <w:r w:rsidR="00950E38">
        <w:t>,</w:t>
      </w:r>
      <w:r w:rsidR="0086386F">
        <w:t xml:space="preserve"> deployment in limited, indoor locations</w:t>
      </w:r>
      <w:r w:rsidR="00950E38">
        <w:t>;</w:t>
      </w:r>
      <w:r w:rsidR="0086386F">
        <w:t xml:space="preserve"> using spectrum that does not easily penetrate building walls and rooftops</w:t>
      </w:r>
      <w:r w:rsidR="00950E38">
        <w:t>;</w:t>
      </w:r>
      <w:r w:rsidR="0086386F">
        <w:t xml:space="preserve"> emissions not directed upwards</w:t>
      </w:r>
      <w:r w:rsidR="00950E38">
        <w:t>;</w:t>
      </w:r>
      <w:r w:rsidR="0086386F">
        <w:t xml:space="preserve"> and the imposition of</w:t>
      </w:r>
      <w:r w:rsidR="00D916C5">
        <w:t xml:space="preserve"> waiver conditions requiring coordination </w:t>
      </w:r>
      <w:r w:rsidR="0086386F">
        <w:t xml:space="preserve">if the device is deployed </w:t>
      </w:r>
      <w:r w:rsidR="00D916C5">
        <w:t xml:space="preserve">in </w:t>
      </w:r>
      <w:r w:rsidR="0086386F">
        <w:t>certain</w:t>
      </w:r>
      <w:r w:rsidR="00D916C5">
        <w:t xml:space="preserve"> </w:t>
      </w:r>
      <w:r w:rsidR="00CB0742">
        <w:t>geographic areas</w:t>
      </w:r>
      <w:r w:rsidR="00950E38">
        <w:t>)</w:t>
      </w:r>
      <w:r w:rsidR="00D916C5">
        <w:t>)</w:t>
      </w:r>
      <w:r w:rsidR="00404072">
        <w:t>.</w:t>
      </w:r>
      <w:r w:rsidR="00D916C5">
        <w:t xml:space="preserve">  </w:t>
      </w:r>
      <w:r w:rsidR="00267201">
        <w:t xml:space="preserve"> </w:t>
      </w:r>
    </w:p>
  </w:footnote>
  <w:footnote w:id="25">
    <w:p w:rsidR="0091713B" w:rsidRPr="00CF4F5E" w:rsidP="0091713B" w14:paraId="47214BF2" w14:textId="77777777">
      <w:pPr>
        <w:pStyle w:val="FootnoteText"/>
        <w:rPr>
          <w:color w:val="000000" w:themeColor="text1"/>
        </w:rPr>
      </w:pPr>
      <w:r w:rsidRPr="00625ADA">
        <w:rPr>
          <w:rStyle w:val="FootnoteReference"/>
          <w:color w:val="000000" w:themeColor="text1"/>
        </w:rPr>
        <w:footnoteRef/>
      </w:r>
      <w:r w:rsidRPr="00625ADA">
        <w:rPr>
          <w:color w:val="000000" w:themeColor="text1"/>
        </w:rPr>
        <w:t xml:space="preserve"> </w:t>
      </w:r>
      <w:r>
        <w:rPr>
          <w:color w:val="000000" w:themeColor="text1"/>
        </w:rPr>
        <w:t>Liberty</w:t>
      </w:r>
      <w:r w:rsidRPr="00625ADA">
        <w:rPr>
          <w:color w:val="000000" w:themeColor="text1"/>
        </w:rPr>
        <w:t xml:space="preserve"> filed in INBOX-PART15 (Petition for Waiver of Part 15), which is our preferred intake for waivers of the Part 15 rules.</w:t>
      </w:r>
      <w:r>
        <w:rPr>
          <w:color w:val="000000" w:themeColor="text1"/>
        </w:rPr>
        <w:t xml:space="preserve">  </w:t>
      </w:r>
      <w:r w:rsidRPr="00CF4F5E">
        <w:rPr>
          <w:i/>
          <w:iCs/>
          <w:color w:val="000000" w:themeColor="text1"/>
        </w:rPr>
        <w:t>See</w:t>
      </w:r>
      <w:r>
        <w:rPr>
          <w:i/>
          <w:iCs/>
          <w:color w:val="000000" w:themeColor="text1"/>
        </w:rPr>
        <w:t xml:space="preserve"> </w:t>
      </w:r>
      <w:hyperlink r:id="rId1" w:history="1">
        <w:r>
          <w:rPr>
            <w:rStyle w:val="Hyperlink"/>
          </w:rPr>
          <w:t>https://www.fcc.gov/ecfs/document/104102607228186/1</w:t>
        </w:r>
      </w:hyperlink>
    </w:p>
  </w:footnote>
  <w:footnote w:id="26">
    <w:p w:rsidR="0091713B" w:rsidRPr="00625ADA" w:rsidP="0091713B" w14:paraId="636B624C" w14:textId="77777777">
      <w:pPr>
        <w:pStyle w:val="FootnoteText"/>
        <w:rPr>
          <w:i/>
          <w:iCs/>
          <w:color w:val="000000" w:themeColor="text1"/>
        </w:rPr>
      </w:pPr>
      <w:r w:rsidRPr="00625ADA">
        <w:rPr>
          <w:rStyle w:val="FootnoteReference"/>
          <w:color w:val="000000" w:themeColor="text1"/>
        </w:rPr>
        <w:footnoteRef/>
      </w:r>
      <w:r w:rsidRPr="00625ADA">
        <w:rPr>
          <w:color w:val="000000" w:themeColor="text1"/>
        </w:rPr>
        <w:t xml:space="preserve"> </w:t>
      </w:r>
      <w:r w:rsidRPr="00625ADA">
        <w:rPr>
          <w:i/>
          <w:iCs/>
          <w:color w:val="000000" w:themeColor="text1"/>
        </w:rPr>
        <w:t>See FCC Announces Closure of FCC Headquarters Open Window and Change in Hand-Delivery Policy</w:t>
      </w:r>
      <w:r w:rsidRPr="00625ADA">
        <w:rPr>
          <w:color w:val="000000" w:themeColor="text1"/>
        </w:rPr>
        <w:t xml:space="preserve">, Public Notice, </w:t>
      </w:r>
      <w:r>
        <w:rPr>
          <w:color w:val="000000" w:themeColor="text1"/>
        </w:rPr>
        <w:t>35 FCC Rcd 2788</w:t>
      </w:r>
      <w:r w:rsidRPr="00625ADA">
        <w:rPr>
          <w:color w:val="000000" w:themeColor="text1"/>
        </w:rPr>
        <w:t xml:space="preserve"> (</w:t>
      </w:r>
      <w:r>
        <w:rPr>
          <w:color w:val="000000" w:themeColor="text1"/>
        </w:rPr>
        <w:t>OMD</w:t>
      </w:r>
      <w:r w:rsidRPr="00625ADA">
        <w:rPr>
          <w:color w:val="000000" w:themeColor="text1"/>
        </w:rPr>
        <w:t xml:space="preserve"> 2020)</w:t>
      </w:r>
      <w:r w:rsidRPr="00625ADA">
        <w:rPr>
          <w:rFonts w:eastAsia="Calibri"/>
          <w:color w:val="000000" w:themeColor="text1"/>
        </w:rPr>
        <w:t>.</w:t>
      </w:r>
      <w:r w:rsidRPr="00625ADA">
        <w:rPr>
          <w:color w:val="000000" w:themeColor="text1"/>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800451" w14:paraId="525FE894" w14:textId="77777777">
    <w:pPr>
      <w:tabs>
        <w:tab w:val="center" w:pos="4680"/>
        <w:tab w:val="right" w:pos="9360"/>
      </w:tabs>
      <w:rPr>
        <w:rFonts w:ascii="Arial" w:hAnsi="Arial" w:cs="Arial"/>
        <w:b/>
        <w:sz w:val="20"/>
      </w:rPr>
    </w:pPr>
    <w:r w:rsidRPr="009838BC">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2E84CDD4"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45 L St., N.E.</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29A6E037" w14:textId="77777777">
                    <w:pPr>
                      <w:rPr>
                        <w:rFonts w:ascii="Arial" w:hAnsi="Arial"/>
                        <w:b/>
                      </w:rPr>
                    </w:pPr>
                    <w:r>
                      <w:rPr>
                        <w:rFonts w:ascii="Arial" w:hAnsi="Arial"/>
                        <w:b/>
                      </w:rPr>
                      <w:t>Federal Communications Commission</w:t>
                    </w:r>
                  </w:p>
                  <w:p w:rsidR="009838BC" w:rsidP="009838BC" w14:paraId="01F47952" w14:textId="77777777">
                    <w:pPr>
                      <w:rPr>
                        <w:rFonts w:ascii="Arial" w:hAnsi="Arial"/>
                        <w:b/>
                      </w:rPr>
                    </w:pPr>
                    <w:r>
                      <w:rPr>
                        <w:rFonts w:ascii="Arial" w:hAnsi="Arial"/>
                        <w:b/>
                      </w:rPr>
                      <w:t>45 L St., N.E.</w:t>
                    </w:r>
                  </w:p>
                  <w:p w:rsidR="009838BC" w:rsidP="009838BC" w14:paraId="1ADF0261"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37D9166F"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399BFDC3" w14:textId="77777777">
                    <w:pPr>
                      <w:spacing w:before="40"/>
                      <w:jc w:val="right"/>
                      <w:rPr>
                        <w:rFonts w:ascii="Arial" w:hAnsi="Arial"/>
                        <w:b/>
                        <w:sz w:val="16"/>
                      </w:rPr>
                    </w:pPr>
                    <w:r>
                      <w:rPr>
                        <w:rFonts w:ascii="Arial" w:hAnsi="Arial"/>
                        <w:b/>
                        <w:sz w:val="16"/>
                      </w:rPr>
                      <w:t>News Media Information 202 / 418-0500</w:t>
                    </w:r>
                  </w:p>
                  <w:p w:rsidR="009838BC" w:rsidP="009838BC" w14:paraId="3062EAE5"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5DDA30DA"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7F0406EE"/>
    <w:multiLevelType w:val="hybridMultilevel"/>
    <w:tmpl w:val="749E4CE6"/>
    <w:lvl w:ilvl="0">
      <w:start w:val="1"/>
      <w:numFmt w:val="bullet"/>
      <w:lvlText w:val=""/>
      <w:lvlJc w:val="left"/>
      <w:pPr>
        <w:tabs>
          <w:tab w:val="num" w:pos="1350"/>
        </w:tabs>
        <w:ind w:left="1350" w:hanging="360"/>
      </w:pPr>
      <w:rPr>
        <w:rFonts w:ascii="Wingdings" w:hAnsi="Wingdings" w:hint="default"/>
      </w:rPr>
    </w:lvl>
    <w:lvl w:ilvl="1">
      <w:start w:val="1"/>
      <w:numFmt w:val="decimal"/>
      <w:lvlText w:val="(%2)"/>
      <w:lvlJc w:val="left"/>
      <w:pPr>
        <w:tabs>
          <w:tab w:val="num" w:pos="2070"/>
        </w:tabs>
        <w:ind w:left="2070" w:hanging="360"/>
      </w:pPr>
      <w:rPr>
        <w:rFonts w:hint="default"/>
      </w:rPr>
    </w:lvl>
    <w:lvl w:ilvl="2">
      <w:start w:val="1"/>
      <w:numFmt w:val="lowerRoman"/>
      <w:lvlText w:val="%3."/>
      <w:lvlJc w:val="right"/>
      <w:pPr>
        <w:tabs>
          <w:tab w:val="num" w:pos="2790"/>
        </w:tabs>
        <w:ind w:left="2790" w:hanging="180"/>
      </w:pPr>
    </w:lvl>
    <w:lvl w:ilvl="3">
      <w:start w:val="0"/>
      <w:numFmt w:val="bullet"/>
      <w:lvlText w:val="-"/>
      <w:lvlJc w:val="left"/>
      <w:pPr>
        <w:tabs>
          <w:tab w:val="num" w:pos="1350"/>
        </w:tabs>
        <w:ind w:left="1350" w:hanging="360"/>
      </w:pPr>
      <w:rPr>
        <w:rFonts w:ascii="Times New Roman" w:eastAsia="Times New Roman" w:hAnsi="Times New Roman" w:cs="Times New Roman" w:hint="default"/>
      </w:rPr>
    </w:lvl>
    <w:lvl w:ilvl="4">
      <w:start w:val="1"/>
      <w:numFmt w:val="lowerLetter"/>
      <w:lvlText w:val="%5."/>
      <w:lvlJc w:val="left"/>
      <w:pPr>
        <w:tabs>
          <w:tab w:val="num" w:pos="4230"/>
        </w:tabs>
        <w:ind w:left="4230" w:hanging="360"/>
      </w:pPr>
    </w:lvl>
    <w:lvl w:ilvl="5" w:tentative="1">
      <w:start w:val="1"/>
      <w:numFmt w:val="lowerRoman"/>
      <w:lvlText w:val="%6."/>
      <w:lvlJc w:val="right"/>
      <w:pPr>
        <w:tabs>
          <w:tab w:val="num" w:pos="4950"/>
        </w:tabs>
        <w:ind w:left="4950" w:hanging="180"/>
      </w:pPr>
    </w:lvl>
    <w:lvl w:ilvl="6" w:tentative="1">
      <w:start w:val="1"/>
      <w:numFmt w:val="decimal"/>
      <w:lvlText w:val="%7."/>
      <w:lvlJc w:val="left"/>
      <w:pPr>
        <w:tabs>
          <w:tab w:val="num" w:pos="5670"/>
        </w:tabs>
        <w:ind w:left="5670" w:hanging="360"/>
      </w:pPr>
    </w:lvl>
    <w:lvl w:ilvl="7" w:tentative="1">
      <w:start w:val="1"/>
      <w:numFmt w:val="lowerLetter"/>
      <w:lvlText w:val="%8."/>
      <w:lvlJc w:val="left"/>
      <w:pPr>
        <w:tabs>
          <w:tab w:val="num" w:pos="6390"/>
        </w:tabs>
        <w:ind w:left="6390" w:hanging="360"/>
      </w:pPr>
    </w:lvl>
    <w:lvl w:ilvl="8" w:tentative="1">
      <w:start w:val="1"/>
      <w:numFmt w:val="lowerRoman"/>
      <w:lvlText w:val="%9."/>
      <w:lvlJc w:val="right"/>
      <w:pPr>
        <w:tabs>
          <w:tab w:val="num" w:pos="7110"/>
        </w:tabs>
        <w:ind w:left="711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13B"/>
    <w:rsid w:val="000A68A2"/>
    <w:rsid w:val="001C4CD0"/>
    <w:rsid w:val="00267201"/>
    <w:rsid w:val="00277EB0"/>
    <w:rsid w:val="002C6951"/>
    <w:rsid w:val="002E182E"/>
    <w:rsid w:val="002E1CB9"/>
    <w:rsid w:val="00302A03"/>
    <w:rsid w:val="00316EB9"/>
    <w:rsid w:val="00326BE6"/>
    <w:rsid w:val="00357D50"/>
    <w:rsid w:val="004028A3"/>
    <w:rsid w:val="00404072"/>
    <w:rsid w:val="004067FB"/>
    <w:rsid w:val="00437EFF"/>
    <w:rsid w:val="004A53ED"/>
    <w:rsid w:val="004F013B"/>
    <w:rsid w:val="004F4FBA"/>
    <w:rsid w:val="00514867"/>
    <w:rsid w:val="00525A3E"/>
    <w:rsid w:val="0055614C"/>
    <w:rsid w:val="00625ADA"/>
    <w:rsid w:val="00631BDD"/>
    <w:rsid w:val="00632301"/>
    <w:rsid w:val="00682F15"/>
    <w:rsid w:val="006B4A30"/>
    <w:rsid w:val="006F7393"/>
    <w:rsid w:val="00707CDD"/>
    <w:rsid w:val="00752041"/>
    <w:rsid w:val="00753A6F"/>
    <w:rsid w:val="00756705"/>
    <w:rsid w:val="00795149"/>
    <w:rsid w:val="00800451"/>
    <w:rsid w:val="0086386F"/>
    <w:rsid w:val="008B0011"/>
    <w:rsid w:val="00910F12"/>
    <w:rsid w:val="0091713B"/>
    <w:rsid w:val="00923FDE"/>
    <w:rsid w:val="00950E38"/>
    <w:rsid w:val="00957D85"/>
    <w:rsid w:val="009838BC"/>
    <w:rsid w:val="00A866AC"/>
    <w:rsid w:val="00AF2828"/>
    <w:rsid w:val="00B4607D"/>
    <w:rsid w:val="00B85D86"/>
    <w:rsid w:val="00C22761"/>
    <w:rsid w:val="00C5636C"/>
    <w:rsid w:val="00C65A2C"/>
    <w:rsid w:val="00CB0742"/>
    <w:rsid w:val="00CD0FCB"/>
    <w:rsid w:val="00CF4F5E"/>
    <w:rsid w:val="00D216CD"/>
    <w:rsid w:val="00D654E7"/>
    <w:rsid w:val="00D916C5"/>
    <w:rsid w:val="00DF1665"/>
    <w:rsid w:val="00EB5B5B"/>
    <w:rsid w:val="00EC2AAB"/>
    <w:rsid w:val="00F66A23"/>
    <w:rsid w:val="00FE2C9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240C4EC"/>
  <w15:chartTrackingRefBased/>
  <w15:docId w15:val="{7AA45237-FB39-4BE4-BE9C-0FAA40544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713B"/>
    <w:pPr>
      <w:widowControl w:val="0"/>
      <w:spacing w:after="0" w:line="240" w:lineRule="auto"/>
    </w:pPr>
    <w:rPr>
      <w:rFonts w:ascii="Times New Roman" w:eastAsia="Times New Roman" w:hAnsi="Times New Roman" w:cs="Times New Roman"/>
      <w:snapToGrid w:val="0"/>
      <w:kern w:val="28"/>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ALTS FOOTNOTE,Footnote Text Char Char Char Char,Footnote Text Char1,Footnote Text Char1 Char Char,Footnote Text Char1 Char Char Char Char Char Char,Footnote Text Char1 Char2 Char Char Char,Footnote Text Char2 Char,Styl,f,fn"/>
    <w:link w:val="FootnoteTextChar"/>
    <w:uiPriority w:val="99"/>
    <w:qFormat/>
    <w:rsid w:val="0091713B"/>
    <w:pPr>
      <w:spacing w:after="120" w:line="240" w:lineRule="auto"/>
    </w:pPr>
    <w:rPr>
      <w:rFonts w:ascii="Times New Roman" w:eastAsia="Times New Roman" w:hAnsi="Times New Roman" w:cs="Times New Roman"/>
      <w:kern w:val="0"/>
      <w:sz w:val="20"/>
      <w:szCs w:val="20"/>
      <w14:ligatures w14:val="none"/>
    </w:rPr>
  </w:style>
  <w:style w:type="character" w:customStyle="1" w:styleId="FootnoteTextChar">
    <w:name w:val="Footnote Text Char"/>
    <w:aliases w:val="ALTS FOOTNOT Char,ALTS FOOTNOTE Char,Footnote Text Char Char Char Char Char,Footnote Text Char1 Char,Footnote Text Char1 Char Char Char,Footnote Text Char1 Char Char Char Char Char Char Char,Footnote Text Char2 Char Char,Styl Char"/>
    <w:basedOn w:val="DefaultParagraphFont"/>
    <w:link w:val="FootnoteText"/>
    <w:uiPriority w:val="99"/>
    <w:rsid w:val="0091713B"/>
    <w:rPr>
      <w:rFonts w:ascii="Times New Roman" w:eastAsia="Times New Roman" w:hAnsi="Times New Roman" w:cs="Times New Roman"/>
      <w:kern w:val="0"/>
      <w:sz w:val="20"/>
      <w:szCs w:val="20"/>
      <w14:ligatures w14:val="none"/>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qFormat/>
    <w:rsid w:val="0091713B"/>
    <w:rPr>
      <w:rFonts w:ascii="Times New Roman" w:hAnsi="Times New Roman"/>
      <w:dstrike w:val="0"/>
      <w:color w:val="auto"/>
      <w:sz w:val="22"/>
      <w:vertAlign w:val="superscript"/>
    </w:rPr>
  </w:style>
  <w:style w:type="paragraph" w:styleId="Footer">
    <w:name w:val="footer"/>
    <w:basedOn w:val="Normal"/>
    <w:link w:val="FooterChar"/>
    <w:uiPriority w:val="99"/>
    <w:rsid w:val="0091713B"/>
    <w:pPr>
      <w:tabs>
        <w:tab w:val="center" w:pos="4320"/>
        <w:tab w:val="right" w:pos="8640"/>
      </w:tabs>
    </w:pPr>
  </w:style>
  <w:style w:type="character" w:customStyle="1" w:styleId="FooterChar">
    <w:name w:val="Footer Char"/>
    <w:basedOn w:val="DefaultParagraphFont"/>
    <w:link w:val="Footer"/>
    <w:uiPriority w:val="99"/>
    <w:rsid w:val="0091713B"/>
    <w:rPr>
      <w:rFonts w:ascii="Times New Roman" w:eastAsia="Times New Roman" w:hAnsi="Times New Roman" w:cs="Times New Roman"/>
      <w:snapToGrid w:val="0"/>
      <w:kern w:val="28"/>
      <w:szCs w:val="20"/>
      <w14:ligatures w14:val="none"/>
    </w:rPr>
  </w:style>
  <w:style w:type="character" w:styleId="Hyperlink">
    <w:name w:val="Hyperlink"/>
    <w:rsid w:val="0091713B"/>
    <w:rPr>
      <w:color w:val="0000FF"/>
      <w:u w:val="single"/>
    </w:rPr>
  </w:style>
  <w:style w:type="paragraph" w:customStyle="1" w:styleId="Default">
    <w:name w:val="Default"/>
    <w:rsid w:val="0091713B"/>
    <w:pPr>
      <w:autoSpaceDE w:val="0"/>
      <w:autoSpaceDN w:val="0"/>
      <w:adjustRightInd w:val="0"/>
      <w:spacing w:after="0" w:line="240" w:lineRule="auto"/>
    </w:pPr>
    <w:rPr>
      <w:rFonts w:ascii="Times New Roman" w:eastAsia="Times New Roman" w:hAnsi="Times New Roman" w:cs="Times New Roman"/>
      <w:color w:val="000000"/>
      <w:kern w:val="0"/>
      <w:sz w:val="24"/>
      <w:szCs w:val="24"/>
      <w14:ligatures w14:val="none"/>
    </w:rPr>
  </w:style>
  <w:style w:type="paragraph" w:styleId="ListParagraph">
    <w:name w:val="List Paragraph"/>
    <w:basedOn w:val="Normal"/>
    <w:uiPriority w:val="34"/>
    <w:qFormat/>
    <w:rsid w:val="0091713B"/>
    <w:pPr>
      <w:ind w:left="720"/>
      <w:contextualSpacing/>
    </w:pPr>
  </w:style>
  <w:style w:type="paragraph" w:styleId="Revision">
    <w:name w:val="Revision"/>
    <w:hidden/>
    <w:uiPriority w:val="99"/>
    <w:semiHidden/>
    <w:rsid w:val="00302A03"/>
    <w:pPr>
      <w:spacing w:after="0" w:line="240" w:lineRule="auto"/>
    </w:pPr>
    <w:rPr>
      <w:rFonts w:ascii="Times New Roman" w:eastAsia="Times New Roman" w:hAnsi="Times New Roman" w:cs="Times New Roman"/>
      <w:snapToGrid w:val="0"/>
      <w:kern w:val="28"/>
      <w:szCs w:val="20"/>
      <w14:ligatures w14:val="none"/>
    </w:rPr>
  </w:style>
  <w:style w:type="character" w:styleId="FollowedHyperlink">
    <w:name w:val="FollowedHyperlink"/>
    <w:basedOn w:val="DefaultParagraphFont"/>
    <w:uiPriority w:val="99"/>
    <w:semiHidden/>
    <w:unhideWhenUsed/>
    <w:rsid w:val="00753A6F"/>
    <w:rPr>
      <w:color w:val="954F72" w:themeColor="followedHyperlink"/>
      <w:u w:val="single"/>
    </w:rPr>
  </w:style>
  <w:style w:type="character" w:styleId="CommentReference">
    <w:name w:val="annotation reference"/>
    <w:basedOn w:val="DefaultParagraphFont"/>
    <w:uiPriority w:val="99"/>
    <w:semiHidden/>
    <w:unhideWhenUsed/>
    <w:rsid w:val="00277EB0"/>
    <w:rPr>
      <w:sz w:val="16"/>
      <w:szCs w:val="16"/>
    </w:rPr>
  </w:style>
  <w:style w:type="paragraph" w:styleId="CommentText">
    <w:name w:val="annotation text"/>
    <w:basedOn w:val="Normal"/>
    <w:link w:val="CommentTextChar"/>
    <w:uiPriority w:val="99"/>
    <w:unhideWhenUsed/>
    <w:rsid w:val="00277EB0"/>
    <w:rPr>
      <w:sz w:val="20"/>
    </w:rPr>
  </w:style>
  <w:style w:type="character" w:customStyle="1" w:styleId="CommentTextChar">
    <w:name w:val="Comment Text Char"/>
    <w:basedOn w:val="DefaultParagraphFont"/>
    <w:link w:val="CommentText"/>
    <w:uiPriority w:val="99"/>
    <w:rsid w:val="00277EB0"/>
    <w:rPr>
      <w:rFonts w:ascii="Times New Roman" w:eastAsia="Times New Roman" w:hAnsi="Times New Roman" w:cs="Times New Roman"/>
      <w:snapToGrid w:val="0"/>
      <w:kern w:val="28"/>
      <w:sz w:val="20"/>
      <w:szCs w:val="20"/>
      <w14:ligatures w14:val="none"/>
    </w:rPr>
  </w:style>
  <w:style w:type="paragraph" w:styleId="CommentSubject">
    <w:name w:val="annotation subject"/>
    <w:basedOn w:val="CommentText"/>
    <w:next w:val="CommentText"/>
    <w:link w:val="CommentSubjectChar"/>
    <w:uiPriority w:val="99"/>
    <w:semiHidden/>
    <w:unhideWhenUsed/>
    <w:rsid w:val="00277EB0"/>
    <w:rPr>
      <w:b/>
      <w:bCs/>
    </w:rPr>
  </w:style>
  <w:style w:type="character" w:customStyle="1" w:styleId="CommentSubjectChar">
    <w:name w:val="Comment Subject Char"/>
    <w:basedOn w:val="CommentTextChar"/>
    <w:link w:val="CommentSubject"/>
    <w:uiPriority w:val="99"/>
    <w:semiHidden/>
    <w:rsid w:val="00277EB0"/>
    <w:rPr>
      <w:rFonts w:ascii="Times New Roman" w:eastAsia="Times New Roman" w:hAnsi="Times New Roman" w:cs="Times New Roman"/>
      <w:b/>
      <w:bCs/>
      <w:snapToGrid w:val="0"/>
      <w:kern w:val="28"/>
      <w:sz w:val="20"/>
      <w:szCs w:val="20"/>
      <w14:ligatures w14:val="none"/>
    </w:rPr>
  </w:style>
  <w:style w:type="paragraph" w:styleId="Header">
    <w:name w:val="header"/>
    <w:basedOn w:val="Normal"/>
    <w:link w:val="HeaderChar"/>
    <w:uiPriority w:val="99"/>
    <w:unhideWhenUsed/>
    <w:rsid w:val="00D916C5"/>
    <w:pPr>
      <w:tabs>
        <w:tab w:val="center" w:pos="4680"/>
        <w:tab w:val="right" w:pos="9360"/>
      </w:tabs>
    </w:pPr>
  </w:style>
  <w:style w:type="character" w:customStyle="1" w:styleId="HeaderChar">
    <w:name w:val="Header Char"/>
    <w:basedOn w:val="DefaultParagraphFont"/>
    <w:link w:val="Header"/>
    <w:uiPriority w:val="99"/>
    <w:rsid w:val="00D916C5"/>
    <w:rPr>
      <w:rFonts w:ascii="Times New Roman" w:eastAsia="Times New Roman" w:hAnsi="Times New Roman" w:cs="Times New Roman"/>
      <w:snapToGrid w:val="0"/>
      <w:kern w:val="28"/>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document/104102607228186/1"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