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62C88" w:rsidP="00E62C88" w14:paraId="7B378195" w14:textId="77777777">
      <w:pPr>
        <w:jc w:val="center"/>
        <w:rPr>
          <w:b/>
        </w:rPr>
      </w:pPr>
      <w:r w:rsidRPr="0070224F">
        <w:rPr>
          <w:rFonts w:ascii="Times New Roman Bold" w:hAnsi="Times New Roman Bold"/>
          <w:b/>
          <w:kern w:val="0"/>
          <w:szCs w:val="22"/>
        </w:rPr>
        <w:t>Before</w:t>
      </w:r>
      <w:r>
        <w:rPr>
          <w:b/>
        </w:rPr>
        <w:t xml:space="preserve"> the</w:t>
      </w:r>
    </w:p>
    <w:p w:rsidR="00E62C88" w:rsidP="00E62C88" w14:paraId="1B733036" w14:textId="77777777">
      <w:pPr>
        <w:pStyle w:val="StyleBoldCentered"/>
      </w:pPr>
      <w:r>
        <w:t>F</w:t>
      </w:r>
      <w:r>
        <w:rPr>
          <w:caps w:val="0"/>
        </w:rPr>
        <w:t>ederal Communications Commission</w:t>
      </w:r>
    </w:p>
    <w:p w:rsidR="00E62C88" w:rsidP="00E62C88" w14:paraId="2D0D3D7E" w14:textId="77777777">
      <w:pPr>
        <w:pStyle w:val="StyleBoldCentered"/>
      </w:pPr>
      <w:r>
        <w:rPr>
          <w:caps w:val="0"/>
        </w:rPr>
        <w:t>Washington, D.C. 20554</w:t>
      </w:r>
    </w:p>
    <w:p w:rsidR="00E62C88" w:rsidP="00E62C88" w14:paraId="6FFCD540" w14:textId="77777777"/>
    <w:tbl>
      <w:tblPr>
        <w:tblW w:w="0" w:type="auto"/>
        <w:tblLayout w:type="fixed"/>
        <w:tblLook w:val="0000"/>
      </w:tblPr>
      <w:tblGrid>
        <w:gridCol w:w="4698"/>
        <w:gridCol w:w="630"/>
        <w:gridCol w:w="4248"/>
      </w:tblGrid>
      <w:tr w14:paraId="7E544852" w14:textId="77777777" w:rsidTr="0091582D">
        <w:tblPrEx>
          <w:tblW w:w="0" w:type="auto"/>
          <w:tblLayout w:type="fixed"/>
          <w:tblLook w:val="0000"/>
        </w:tblPrEx>
        <w:tc>
          <w:tcPr>
            <w:tcW w:w="4698" w:type="dxa"/>
          </w:tcPr>
          <w:p w:rsidR="00E62C88" w:rsidRPr="00947B4D" w:rsidP="0091582D" w14:paraId="518DE738" w14:textId="77777777">
            <w:pPr>
              <w:ind w:right="-18"/>
              <w:rPr>
                <w:szCs w:val="22"/>
              </w:rPr>
            </w:pPr>
            <w:r w:rsidRPr="00947B4D">
              <w:rPr>
                <w:szCs w:val="22"/>
              </w:rPr>
              <w:t xml:space="preserve">In </w:t>
            </w:r>
            <w:r>
              <w:rPr>
                <w:szCs w:val="22"/>
              </w:rPr>
              <w:t>re Application of</w:t>
            </w:r>
            <w:r w:rsidRPr="00947B4D">
              <w:rPr>
                <w:szCs w:val="22"/>
              </w:rPr>
              <w:t xml:space="preserve">  </w:t>
            </w:r>
          </w:p>
          <w:p w:rsidR="00E62C88" w:rsidP="0091582D" w14:paraId="4BEC29A2" w14:textId="77777777">
            <w:pPr>
              <w:ind w:right="-18"/>
              <w:rPr>
                <w:szCs w:val="22"/>
              </w:rPr>
            </w:pPr>
          </w:p>
          <w:p w:rsidR="00E62C88" w:rsidP="0091582D" w14:paraId="3E0600F8" w14:textId="77777777">
            <w:pPr>
              <w:ind w:right="-18"/>
              <w:rPr>
                <w:b/>
                <w:szCs w:val="22"/>
              </w:rPr>
            </w:pPr>
            <w:r w:rsidRPr="006C1F9B">
              <w:rPr>
                <w:b/>
                <w:szCs w:val="22"/>
              </w:rPr>
              <w:t>H</w:t>
            </w:r>
            <w:r>
              <w:rPr>
                <w:b/>
                <w:szCs w:val="22"/>
              </w:rPr>
              <w:t xml:space="preserve">obbs Seventh–Day Adventist Church of the Texico </w:t>
            </w:r>
            <w:r w:rsidRPr="006C1F9B">
              <w:rPr>
                <w:b/>
                <w:szCs w:val="22"/>
              </w:rPr>
              <w:t>C</w:t>
            </w:r>
            <w:r>
              <w:rPr>
                <w:b/>
                <w:szCs w:val="22"/>
              </w:rPr>
              <w:t>onf</w:t>
            </w:r>
            <w:r w:rsidRPr="006C1F9B">
              <w:rPr>
                <w:b/>
                <w:szCs w:val="22"/>
              </w:rPr>
              <w:t xml:space="preserve"> A</w:t>
            </w:r>
            <w:r>
              <w:rPr>
                <w:b/>
                <w:szCs w:val="22"/>
              </w:rPr>
              <w:t>ssn</w:t>
            </w:r>
          </w:p>
          <w:p w:rsidR="00E62C88" w:rsidP="0091582D" w14:paraId="07601120" w14:textId="77777777">
            <w:pPr>
              <w:ind w:right="-18"/>
              <w:rPr>
                <w:szCs w:val="22"/>
              </w:rPr>
            </w:pPr>
          </w:p>
          <w:p w:rsidR="00E62C88" w:rsidP="0091582D" w14:paraId="0B7DA2BD" w14:textId="77777777">
            <w:pPr>
              <w:ind w:right="-18"/>
              <w:rPr>
                <w:szCs w:val="22"/>
              </w:rPr>
            </w:pPr>
            <w:r>
              <w:rPr>
                <w:szCs w:val="22"/>
              </w:rPr>
              <w:t>For Renewal of License for</w:t>
            </w:r>
          </w:p>
          <w:p w:rsidR="00E62C88" w:rsidRPr="00B94F4D" w:rsidP="0091582D" w14:paraId="6DD8E348" w14:textId="77777777">
            <w:pPr>
              <w:ind w:right="-18"/>
              <w:rPr>
                <w:szCs w:val="22"/>
                <w:lang w:val="de-DE"/>
              </w:rPr>
            </w:pPr>
            <w:r w:rsidRPr="00B94F4D">
              <w:rPr>
                <w:szCs w:val="22"/>
                <w:lang w:val="de-DE"/>
              </w:rPr>
              <w:t xml:space="preserve">Station K34KZ-D </w:t>
            </w:r>
          </w:p>
          <w:p w:rsidR="00E62C88" w:rsidRPr="00B94F4D" w:rsidP="0091582D" w14:paraId="34942AF5" w14:textId="77777777">
            <w:pPr>
              <w:ind w:right="-18"/>
              <w:rPr>
                <w:szCs w:val="22"/>
                <w:lang w:val="de-DE"/>
              </w:rPr>
            </w:pPr>
            <w:r w:rsidRPr="00B94F4D">
              <w:rPr>
                <w:szCs w:val="22"/>
                <w:lang w:val="de-DE"/>
              </w:rPr>
              <w:t xml:space="preserve">Hobbs, </w:t>
            </w:r>
            <w:r w:rsidRPr="009B279B">
              <w:rPr>
                <w:szCs w:val="22"/>
                <w:lang w:val="de-DE"/>
              </w:rPr>
              <w:t>New Mexico</w:t>
            </w:r>
          </w:p>
        </w:tc>
        <w:tc>
          <w:tcPr>
            <w:tcW w:w="630" w:type="dxa"/>
          </w:tcPr>
          <w:p w:rsidR="00E62C88" w:rsidRPr="00F43F3C" w:rsidP="0091582D" w14:paraId="3340BEC3" w14:textId="77777777">
            <w:pPr>
              <w:tabs>
                <w:tab w:val="center" w:pos="4680"/>
              </w:tabs>
              <w:suppressAutoHyphens/>
              <w:rPr>
                <w:b/>
                <w:spacing w:val="-2"/>
                <w:szCs w:val="22"/>
              </w:rPr>
            </w:pPr>
            <w:r w:rsidRPr="00F43F3C">
              <w:rPr>
                <w:b/>
                <w:spacing w:val="-2"/>
                <w:szCs w:val="22"/>
              </w:rPr>
              <w:t>)</w:t>
            </w:r>
          </w:p>
          <w:p w:rsidR="00E62C88" w:rsidRPr="00F43F3C" w:rsidP="0091582D" w14:paraId="55E31CCD" w14:textId="77777777">
            <w:pPr>
              <w:tabs>
                <w:tab w:val="center" w:pos="4680"/>
              </w:tabs>
              <w:suppressAutoHyphens/>
              <w:rPr>
                <w:b/>
                <w:spacing w:val="-2"/>
                <w:szCs w:val="22"/>
              </w:rPr>
            </w:pPr>
            <w:r w:rsidRPr="00F43F3C">
              <w:rPr>
                <w:b/>
                <w:spacing w:val="-2"/>
                <w:szCs w:val="22"/>
              </w:rPr>
              <w:t>)</w:t>
            </w:r>
          </w:p>
          <w:p w:rsidR="00E62C88" w:rsidRPr="00F43F3C" w:rsidP="0091582D" w14:paraId="04D4B5C6" w14:textId="77777777">
            <w:pPr>
              <w:tabs>
                <w:tab w:val="center" w:pos="4680"/>
              </w:tabs>
              <w:suppressAutoHyphens/>
              <w:rPr>
                <w:b/>
                <w:spacing w:val="-2"/>
                <w:szCs w:val="22"/>
              </w:rPr>
            </w:pPr>
            <w:r w:rsidRPr="00F43F3C">
              <w:rPr>
                <w:b/>
                <w:spacing w:val="-2"/>
                <w:szCs w:val="22"/>
              </w:rPr>
              <w:t>)</w:t>
            </w:r>
          </w:p>
          <w:p w:rsidR="00E62C88" w:rsidRPr="00F43F3C" w:rsidP="0091582D" w14:paraId="6F4E237A" w14:textId="77777777">
            <w:pPr>
              <w:tabs>
                <w:tab w:val="center" w:pos="4680"/>
              </w:tabs>
              <w:suppressAutoHyphens/>
              <w:rPr>
                <w:b/>
                <w:spacing w:val="-2"/>
                <w:szCs w:val="22"/>
              </w:rPr>
            </w:pPr>
            <w:r w:rsidRPr="00F43F3C">
              <w:rPr>
                <w:b/>
                <w:spacing w:val="-2"/>
                <w:szCs w:val="22"/>
              </w:rPr>
              <w:t>)</w:t>
            </w:r>
          </w:p>
          <w:p w:rsidR="00E62C88" w:rsidRPr="00F43F3C" w:rsidP="0091582D" w14:paraId="23B3E227" w14:textId="77777777">
            <w:pPr>
              <w:tabs>
                <w:tab w:val="center" w:pos="4680"/>
              </w:tabs>
              <w:suppressAutoHyphens/>
              <w:rPr>
                <w:b/>
                <w:spacing w:val="-2"/>
                <w:szCs w:val="22"/>
              </w:rPr>
            </w:pPr>
            <w:r w:rsidRPr="00F43F3C">
              <w:rPr>
                <w:b/>
                <w:spacing w:val="-2"/>
                <w:szCs w:val="22"/>
              </w:rPr>
              <w:t>)</w:t>
            </w:r>
          </w:p>
          <w:p w:rsidR="00E62C88" w:rsidP="0091582D" w14:paraId="46F7BC1F" w14:textId="77777777">
            <w:pPr>
              <w:tabs>
                <w:tab w:val="center" w:pos="4680"/>
              </w:tabs>
              <w:suppressAutoHyphens/>
              <w:rPr>
                <w:b/>
                <w:spacing w:val="-2"/>
                <w:szCs w:val="22"/>
              </w:rPr>
            </w:pPr>
            <w:r w:rsidRPr="00F43F3C">
              <w:rPr>
                <w:b/>
                <w:spacing w:val="-2"/>
                <w:szCs w:val="22"/>
              </w:rPr>
              <w:t>)</w:t>
            </w:r>
          </w:p>
          <w:p w:rsidR="00E62C88" w:rsidP="0091582D" w14:paraId="79F7AD41" w14:textId="77777777">
            <w:pPr>
              <w:tabs>
                <w:tab w:val="center" w:pos="4680"/>
              </w:tabs>
              <w:suppressAutoHyphens/>
              <w:rPr>
                <w:b/>
                <w:spacing w:val="-2"/>
                <w:szCs w:val="22"/>
              </w:rPr>
            </w:pPr>
            <w:r>
              <w:rPr>
                <w:b/>
                <w:spacing w:val="-2"/>
                <w:szCs w:val="22"/>
              </w:rPr>
              <w:t>)</w:t>
            </w:r>
          </w:p>
          <w:p w:rsidR="00A40532" w:rsidRPr="00534284" w:rsidP="0091582D" w14:paraId="28F8D5D1" w14:textId="56467738">
            <w:pPr>
              <w:tabs>
                <w:tab w:val="center" w:pos="4680"/>
              </w:tabs>
              <w:suppressAutoHyphens/>
              <w:rPr>
                <w:b/>
                <w:spacing w:val="-2"/>
                <w:szCs w:val="22"/>
              </w:rPr>
            </w:pPr>
            <w:r>
              <w:rPr>
                <w:b/>
                <w:spacing w:val="-2"/>
                <w:szCs w:val="22"/>
              </w:rPr>
              <w:t>)</w:t>
            </w:r>
          </w:p>
        </w:tc>
        <w:tc>
          <w:tcPr>
            <w:tcW w:w="4248" w:type="dxa"/>
          </w:tcPr>
          <w:p w:rsidR="00E62C88" w:rsidRPr="00F43F3C" w:rsidP="0091582D" w14:paraId="6D2F839F" w14:textId="77777777">
            <w:pPr>
              <w:tabs>
                <w:tab w:val="center" w:pos="4680"/>
              </w:tabs>
              <w:suppressAutoHyphens/>
              <w:rPr>
                <w:spacing w:val="-2"/>
                <w:szCs w:val="22"/>
              </w:rPr>
            </w:pPr>
          </w:p>
          <w:p w:rsidR="00E62C88" w:rsidRPr="00F43F3C" w:rsidP="0091582D" w14:paraId="52D95CA7" w14:textId="77777777">
            <w:pPr>
              <w:pStyle w:val="TOAHeading"/>
              <w:tabs>
                <w:tab w:val="center" w:pos="4680"/>
                <w:tab w:val="clear" w:pos="9360"/>
              </w:tabs>
              <w:rPr>
                <w:spacing w:val="-2"/>
                <w:szCs w:val="22"/>
              </w:rPr>
            </w:pPr>
          </w:p>
          <w:p w:rsidR="00E62C88" w:rsidRPr="00947B4D" w:rsidP="0091582D" w14:paraId="77C4501A" w14:textId="77777777">
            <w:pPr>
              <w:ind w:right="-18"/>
              <w:rPr>
                <w:b/>
                <w:szCs w:val="22"/>
              </w:rPr>
            </w:pPr>
            <w:r w:rsidRPr="00947B4D">
              <w:rPr>
                <w:szCs w:val="22"/>
              </w:rPr>
              <w:t>Facility ID N</w:t>
            </w:r>
            <w:r w:rsidRPr="00132193">
              <w:rPr>
                <w:szCs w:val="22"/>
              </w:rPr>
              <w:t>o.</w:t>
            </w:r>
            <w:r w:rsidRPr="00F04DE2">
              <w:rPr>
                <w:szCs w:val="22"/>
              </w:rPr>
              <w:t xml:space="preserve"> </w:t>
            </w:r>
            <w:r w:rsidRPr="00630250">
              <w:rPr>
                <w:szCs w:val="22"/>
              </w:rPr>
              <w:t>181386</w:t>
            </w:r>
          </w:p>
          <w:p w:rsidR="00E62C88" w:rsidRPr="00252B2F" w:rsidP="0091582D" w14:paraId="4141E2B1" w14:textId="78BC38E7">
            <w:pPr>
              <w:rPr>
                <w:szCs w:val="22"/>
              </w:rPr>
            </w:pPr>
            <w:r w:rsidRPr="00124FB3">
              <w:rPr>
                <w:szCs w:val="22"/>
              </w:rPr>
              <w:t xml:space="preserve">NAL/Acct. No. </w:t>
            </w:r>
            <w:r w:rsidRPr="0033774E">
              <w:t>202341420006</w:t>
            </w:r>
          </w:p>
          <w:p w:rsidR="00E62C88" w:rsidRPr="00124FB3" w:rsidP="0091582D" w14:paraId="17A273D9" w14:textId="77777777">
            <w:pPr>
              <w:rPr>
                <w:szCs w:val="22"/>
              </w:rPr>
            </w:pPr>
            <w:r w:rsidRPr="00124FB3">
              <w:rPr>
                <w:szCs w:val="22"/>
              </w:rPr>
              <w:t xml:space="preserve">FRN: </w:t>
            </w:r>
            <w:r w:rsidRPr="0033774E">
              <w:rPr>
                <w:szCs w:val="22"/>
              </w:rPr>
              <w:t>0017040080</w:t>
            </w:r>
          </w:p>
          <w:p w:rsidR="00E62C88" w:rsidRPr="00745283" w:rsidP="0091582D" w14:paraId="4E43139D" w14:textId="77777777">
            <w:pPr>
              <w:widowControl/>
              <w:autoSpaceDE w:val="0"/>
              <w:autoSpaceDN w:val="0"/>
              <w:adjustRightInd w:val="0"/>
              <w:rPr>
                <w:snapToGrid/>
                <w:kern w:val="0"/>
                <w:szCs w:val="22"/>
              </w:rPr>
            </w:pPr>
            <w:r>
              <w:rPr>
                <w:szCs w:val="22"/>
              </w:rPr>
              <w:t xml:space="preserve">File No. </w:t>
            </w:r>
            <w:r w:rsidRPr="00F007E1">
              <w:rPr>
                <w:szCs w:val="22"/>
              </w:rPr>
              <w:t>0000</w:t>
            </w:r>
            <w:r w:rsidRPr="00A116DA">
              <w:rPr>
                <w:szCs w:val="22"/>
              </w:rPr>
              <w:t>195194</w:t>
            </w:r>
          </w:p>
        </w:tc>
      </w:tr>
    </w:tbl>
    <w:p w:rsidR="00E62C88" w:rsidP="00E62C88" w14:paraId="02676D46" w14:textId="77777777"/>
    <w:p w:rsidR="00E62C88" w:rsidP="00E62C88" w14:paraId="54D7D718" w14:textId="77777777">
      <w:pPr>
        <w:pStyle w:val="StyleBoldCentered"/>
      </w:pPr>
      <w:r>
        <w:t>forfeiture order</w:t>
      </w:r>
    </w:p>
    <w:p w:rsidR="00E62C88" w:rsidP="00E62C88" w14:paraId="77638431" w14:textId="77777777">
      <w:pPr>
        <w:tabs>
          <w:tab w:val="left" w:pos="-720"/>
        </w:tabs>
        <w:suppressAutoHyphens/>
        <w:spacing w:line="227" w:lineRule="auto"/>
        <w:rPr>
          <w:spacing w:val="-2"/>
        </w:rPr>
      </w:pPr>
    </w:p>
    <w:p w:rsidR="00E62C88" w:rsidP="00E62C88" w14:paraId="3FD33FCA" w14:textId="783745BB">
      <w:pPr>
        <w:tabs>
          <w:tab w:val="left" w:pos="720"/>
          <w:tab w:val="right" w:pos="9360"/>
        </w:tabs>
        <w:suppressAutoHyphens/>
        <w:spacing w:line="227" w:lineRule="auto"/>
        <w:rPr>
          <w:spacing w:val="-2"/>
        </w:rPr>
      </w:pPr>
      <w:r>
        <w:rPr>
          <w:b/>
          <w:spacing w:val="-2"/>
        </w:rPr>
        <w:t xml:space="preserve">Adopted:  </w:t>
      </w:r>
      <w:r w:rsidR="009D715A">
        <w:rPr>
          <w:b/>
          <w:spacing w:val="-2"/>
        </w:rPr>
        <w:t>July</w:t>
      </w:r>
      <w:r w:rsidRPr="00A116DA" w:rsidR="009D715A">
        <w:rPr>
          <w:b/>
          <w:spacing w:val="-2"/>
        </w:rPr>
        <w:t xml:space="preserve"> </w:t>
      </w:r>
      <w:r w:rsidR="0061256E">
        <w:rPr>
          <w:b/>
          <w:spacing w:val="-2"/>
        </w:rPr>
        <w:t>21</w:t>
      </w:r>
      <w:r w:rsidRPr="00A116DA">
        <w:rPr>
          <w:b/>
          <w:spacing w:val="-2"/>
        </w:rPr>
        <w:t>, 2023</w:t>
      </w:r>
      <w:r>
        <w:rPr>
          <w:b/>
          <w:spacing w:val="-2"/>
        </w:rPr>
        <w:tab/>
        <w:t xml:space="preserve">Released:  </w:t>
      </w:r>
      <w:r w:rsidR="009D715A">
        <w:rPr>
          <w:b/>
          <w:spacing w:val="-2"/>
        </w:rPr>
        <w:t xml:space="preserve">July </w:t>
      </w:r>
      <w:r w:rsidR="0061256E">
        <w:rPr>
          <w:b/>
          <w:spacing w:val="-2"/>
        </w:rPr>
        <w:t>21</w:t>
      </w:r>
      <w:r>
        <w:rPr>
          <w:b/>
          <w:spacing w:val="-2"/>
        </w:rPr>
        <w:t>, 2023</w:t>
      </w:r>
    </w:p>
    <w:p w:rsidR="00E62C88" w:rsidP="00E62C88" w14:paraId="2643091E" w14:textId="77777777"/>
    <w:p w:rsidR="00E62C88" w:rsidP="00E62C88" w14:paraId="74C18A7A" w14:textId="77777777">
      <w:pPr>
        <w:rPr>
          <w:spacing w:val="-2"/>
        </w:rPr>
      </w:pPr>
      <w:r>
        <w:t>By the Chief, Video Division, Media Bureau</w:t>
      </w:r>
      <w:r>
        <w:rPr>
          <w:spacing w:val="-2"/>
        </w:rPr>
        <w:t>:</w:t>
      </w:r>
    </w:p>
    <w:p w:rsidR="00E62C88" w:rsidP="00E62C88" w14:paraId="3FEA6E92" w14:textId="77777777"/>
    <w:p w:rsidR="00E62C88" w:rsidP="00E62C88" w14:paraId="1FA0A172" w14:textId="77777777">
      <w:pPr>
        <w:pStyle w:val="Heading1"/>
      </w:pPr>
      <w:r>
        <w:t>introduction</w:t>
      </w:r>
    </w:p>
    <w:p w:rsidR="00E62C88" w:rsidP="00E62C88" w14:paraId="705E540C" w14:textId="787989A8">
      <w:pPr>
        <w:pStyle w:val="ParaNum"/>
        <w:numPr>
          <w:ilvl w:val="0"/>
          <w:numId w:val="7"/>
        </w:numPr>
        <w:tabs>
          <w:tab w:val="left" w:pos="1440"/>
        </w:tabs>
        <w:spacing w:after="220"/>
      </w:pPr>
      <w:r>
        <w:t xml:space="preserve">In this </w:t>
      </w:r>
      <w:r w:rsidRPr="00476EEB">
        <w:rPr>
          <w:i/>
          <w:iCs/>
        </w:rPr>
        <w:t>Forfeiture Order</w:t>
      </w:r>
      <w:r>
        <w:t xml:space="preserve">, we issue a monetary forfeiture in the amount </w:t>
      </w:r>
      <w:r w:rsidRPr="0036280D">
        <w:t xml:space="preserve">of </w:t>
      </w:r>
      <w:r w:rsidR="00FD6CD3">
        <w:t>one</w:t>
      </w:r>
      <w:r w:rsidRPr="0036280D" w:rsidR="00FD6CD3">
        <w:t xml:space="preserve"> </w:t>
      </w:r>
      <w:r w:rsidRPr="0036280D">
        <w:t xml:space="preserve">thousand </w:t>
      </w:r>
      <w:r w:rsidR="00FD6CD3">
        <w:t xml:space="preserve">five hundred </w:t>
      </w:r>
      <w:r w:rsidRPr="0036280D">
        <w:t>dollars ($</w:t>
      </w:r>
      <w:r w:rsidR="00FD6CD3">
        <w:t>1</w:t>
      </w:r>
      <w:r>
        <w:t>,</w:t>
      </w:r>
      <w:r w:rsidR="00FD6CD3">
        <w:t>5</w:t>
      </w:r>
      <w:r>
        <w:t>00</w:t>
      </w:r>
      <w:r w:rsidRPr="0036280D">
        <w:t>) to</w:t>
      </w:r>
      <w:r>
        <w:rPr>
          <w:szCs w:val="22"/>
        </w:rPr>
        <w:t xml:space="preserve"> </w:t>
      </w:r>
      <w:r w:rsidRPr="00A521EB">
        <w:rPr>
          <w:bCs/>
          <w:szCs w:val="22"/>
        </w:rPr>
        <w:t xml:space="preserve">Hobbs Seventh–Day Adventist Church of the Texico Conf Assn </w:t>
      </w:r>
      <w:r>
        <w:rPr>
          <w:szCs w:val="22"/>
        </w:rPr>
        <w:t>(Licensee)</w:t>
      </w:r>
      <w:r w:rsidRPr="0036280D">
        <w:rPr>
          <w:szCs w:val="22"/>
        </w:rPr>
        <w:t xml:space="preserve">, licensee of </w:t>
      </w:r>
      <w:r w:rsidRPr="00A521EB">
        <w:rPr>
          <w:szCs w:val="22"/>
        </w:rPr>
        <w:t>K34KZ-D</w:t>
      </w:r>
      <w:r>
        <w:rPr>
          <w:szCs w:val="22"/>
        </w:rPr>
        <w:t>,</w:t>
      </w:r>
      <w:r w:rsidRPr="00A521EB">
        <w:rPr>
          <w:color w:val="FF0000"/>
        </w:rPr>
        <w:t xml:space="preserve"> </w:t>
      </w:r>
      <w:r w:rsidRPr="00A521EB">
        <w:t>Hobbs, N</w:t>
      </w:r>
      <w:r>
        <w:t xml:space="preserve">ew </w:t>
      </w:r>
      <w:r w:rsidRPr="00A521EB">
        <w:t>M</w:t>
      </w:r>
      <w:r>
        <w:t>exico</w:t>
      </w:r>
      <w:r w:rsidRPr="00A521EB">
        <w:t xml:space="preserve"> </w:t>
      </w:r>
      <w:r>
        <w:rPr>
          <w:szCs w:val="22"/>
        </w:rPr>
        <w:t>(Station</w:t>
      </w:r>
      <w:r w:rsidRPr="0036280D">
        <w:t>)</w:t>
      </w:r>
      <w:r w:rsidR="00FD6CD3">
        <w:t>.  We find that the Licensee</w:t>
      </w:r>
      <w:r w:rsidRPr="0036280D">
        <w:t xml:space="preserve"> </w:t>
      </w:r>
      <w:r>
        <w:t>willfully violat</w:t>
      </w:r>
      <w:r w:rsidR="00FD6CD3">
        <w:t>ed</w:t>
      </w:r>
      <w:r>
        <w:t xml:space="preserve"> section 73.3539 of the Commission’s rules (</w:t>
      </w:r>
      <w:r w:rsidRPr="000819D5">
        <w:t>Rules</w:t>
      </w:r>
      <w:r>
        <w:t>) by failing to timely file a license renewal application for the Station</w:t>
      </w:r>
      <w:r w:rsidR="004D0D19">
        <w:t xml:space="preserve"> (Application)</w:t>
      </w:r>
      <w:r w:rsidRPr="00AF05A7">
        <w:t>.</w:t>
      </w:r>
      <w:r>
        <w:rPr>
          <w:rStyle w:val="FootnoteReference"/>
          <w:szCs w:val="22"/>
        </w:rPr>
        <w:footnoteReference w:id="3"/>
      </w:r>
      <w:r w:rsidRPr="00AF05A7">
        <w:t xml:space="preserve">  </w:t>
      </w:r>
    </w:p>
    <w:p w:rsidR="00E62C88" w:rsidP="00E62C88" w14:paraId="6DCB550E" w14:textId="77777777">
      <w:pPr>
        <w:pStyle w:val="Heading1"/>
      </w:pPr>
      <w:r w:rsidRPr="00180C18">
        <w:t>Background</w:t>
      </w:r>
    </w:p>
    <w:p w:rsidR="00E62C88" w:rsidP="00E62C88" w14:paraId="2C8AEE4D" w14:textId="77777777">
      <w:pPr>
        <w:pStyle w:val="ParaNum"/>
        <w:numPr>
          <w:ilvl w:val="0"/>
          <w:numId w:val="7"/>
        </w:numPr>
        <w:tabs>
          <w:tab w:val="left" w:pos="1440"/>
        </w:tabs>
        <w:spacing w:after="220"/>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t xml:space="preserve">  An application for renewal of the Station’s license should have been filed by June 1</w:t>
      </w:r>
      <w:r w:rsidRPr="007B6596">
        <w:t>, 20</w:t>
      </w:r>
      <w:r>
        <w:t xml:space="preserve">22, the first day of the fourth full calendar month prior to the Station’s license expiration date of October </w:t>
      </w:r>
      <w:r w:rsidRPr="007B6596">
        <w:t>1, 202</w:t>
      </w:r>
      <w:r>
        <w:t>2.</w:t>
      </w:r>
      <w:r>
        <w:rPr>
          <w:rStyle w:val="FootnoteReference"/>
          <w:szCs w:val="22"/>
        </w:rPr>
        <w:footnoteReference w:id="5"/>
      </w:r>
      <w:r>
        <w:t xml:space="preserve">  The application was not filed until July 18</w:t>
      </w:r>
      <w:r w:rsidRPr="00640B56">
        <w:t>, 20</w:t>
      </w:r>
      <w:r>
        <w:t xml:space="preserve">22.  The Licensee provided no explanation for its untimely filing of the application. </w:t>
      </w:r>
    </w:p>
    <w:p w:rsidR="00E62C88" w:rsidRPr="00DF700A" w:rsidP="00E62C88" w14:paraId="68E4CF52" w14:textId="6200937D">
      <w:pPr>
        <w:pStyle w:val="ParaNum"/>
        <w:numPr>
          <w:ilvl w:val="0"/>
          <w:numId w:val="7"/>
        </w:numPr>
        <w:tabs>
          <w:tab w:val="left" w:pos="1440"/>
        </w:tabs>
        <w:spacing w:after="220"/>
      </w:pPr>
      <w:r>
        <w:t>O</w:t>
      </w:r>
      <w:r>
        <w:t>n March 1, 2023, we</w:t>
      </w:r>
      <w:r>
        <w:t xml:space="preserve"> issued</w:t>
      </w:r>
      <w:r>
        <w:t xml:space="preserve"> a </w:t>
      </w:r>
      <w:r w:rsidRPr="002E7B30">
        <w:rPr>
          <w:i/>
          <w:iCs/>
        </w:rPr>
        <w:t>Memorandum Opinion and Order and Notice of Apparent Liability for Forfeiture</w:t>
      </w:r>
      <w:r>
        <w:t xml:space="preserve"> (</w:t>
      </w:r>
      <w:r w:rsidRPr="008D6B8E">
        <w:rPr>
          <w:i/>
        </w:rPr>
        <w:t>NAL</w:t>
      </w:r>
      <w:r>
        <w:t xml:space="preserve">) </w:t>
      </w:r>
      <w:r>
        <w:t>proposing</w:t>
      </w:r>
      <w:r>
        <w:t xml:space="preserve"> a forfeiture </w:t>
      </w:r>
      <w:r>
        <w:t xml:space="preserve">in the amount </w:t>
      </w:r>
      <w:r>
        <w:t xml:space="preserve">of </w:t>
      </w:r>
      <w:r w:rsidRPr="00156697">
        <w:t>one thousand five hundred dollars ($1,500)</w:t>
      </w:r>
      <w:r>
        <w:t>.</w:t>
      </w:r>
      <w:r>
        <w:rPr>
          <w:rStyle w:val="FootnoteReference"/>
        </w:rPr>
        <w:footnoteReference w:id="6"/>
      </w:r>
      <w:r>
        <w:t xml:space="preserve">  The </w:t>
      </w:r>
      <w:r w:rsidRPr="008D6B8E">
        <w:rPr>
          <w:i/>
        </w:rPr>
        <w:t>NAL</w:t>
      </w:r>
      <w:r>
        <w:t xml:space="preserve"> gave the Licensee </w:t>
      </w:r>
      <w:r w:rsidRPr="000D07AD">
        <w:t xml:space="preserve">thirty days </w:t>
      </w:r>
      <w:r>
        <w:t xml:space="preserve">to pay </w:t>
      </w:r>
      <w:r w:rsidRPr="005D63BE">
        <w:t>the full amount of the proposed forfeiture</w:t>
      </w:r>
      <w:r>
        <w:t>,</w:t>
      </w:r>
      <w:r w:rsidRPr="005D63BE">
        <w:t xml:space="preserve"> or </w:t>
      </w:r>
      <w:r w:rsidRPr="00177AA7">
        <w:t>file</w:t>
      </w:r>
      <w:r w:rsidRPr="005D63BE">
        <w:t xml:space="preserve"> a written statement seeking reduction or cancellation of the proposed forfeiture</w:t>
      </w:r>
      <w:r>
        <w:t>.</w:t>
      </w:r>
      <w:r>
        <w:rPr>
          <w:rStyle w:val="FootnoteReference"/>
        </w:rPr>
        <w:footnoteReference w:id="7"/>
      </w:r>
      <w:r>
        <w:t xml:space="preserve">  To date, the Licensee has neither paid the proposed forfeiture nor filed a written statement in response to the </w:t>
      </w:r>
      <w:r w:rsidRPr="008D6B8E">
        <w:rPr>
          <w:i/>
        </w:rPr>
        <w:t>NAL</w:t>
      </w:r>
      <w:r>
        <w:t>.</w:t>
      </w:r>
      <w:r>
        <w:rPr>
          <w:rStyle w:val="FootnoteReference"/>
        </w:rPr>
        <w:footnoteReference w:id="8"/>
      </w:r>
    </w:p>
    <w:p w:rsidR="00E62C88" w:rsidRPr="002E7B30" w:rsidP="00E62C88" w14:paraId="2CF26457" w14:textId="77777777">
      <w:pPr>
        <w:pStyle w:val="Heading1"/>
        <w:rPr>
          <w:b w:val="0"/>
          <w:szCs w:val="22"/>
        </w:rPr>
      </w:pPr>
      <w:r w:rsidRPr="007040B9">
        <w:rPr>
          <w:b w:val="0"/>
          <w:szCs w:val="22"/>
        </w:rPr>
        <w:t>Discussion</w:t>
      </w:r>
    </w:p>
    <w:p w:rsidR="00FD6CD3" w:rsidP="00FD6CD3" w14:paraId="1B8F1AD0" w14:textId="77777777">
      <w:pPr>
        <w:pStyle w:val="ParaNum"/>
        <w:widowControl/>
        <w:numPr>
          <w:ilvl w:val="0"/>
          <w:numId w:val="7"/>
        </w:numPr>
        <w:tabs>
          <w:tab w:val="left" w:pos="1440"/>
        </w:tabs>
        <w:spacing w:after="220"/>
      </w:pPr>
      <w:r w:rsidRPr="00EB7937">
        <w:t>The forfeiture amount proposed in this case was assessed in accordance with section 503(b) of the Communications Act of 1934, as amended (the Act),</w:t>
      </w:r>
      <w:r>
        <w:rPr>
          <w:rStyle w:val="FootnoteReference"/>
          <w:szCs w:val="22"/>
        </w:rPr>
        <w:footnoteReference w:id="9"/>
      </w:r>
      <w:r w:rsidRPr="00EB7937">
        <w:t xml:space="preserve"> </w:t>
      </w:r>
      <w:r>
        <w:t>s</w:t>
      </w:r>
      <w:r w:rsidRPr="00EB7937">
        <w:t>ection 1.80 of the Rules,</w:t>
      </w:r>
      <w:r>
        <w:rPr>
          <w:rStyle w:val="FootnoteReference"/>
          <w:szCs w:val="22"/>
        </w:rPr>
        <w:footnoteReference w:id="10"/>
      </w:r>
      <w:r w:rsidRPr="00EB7937">
        <w:t xml:space="preserve"> and the Commission’s Forfeiture Policy Statement.</w:t>
      </w:r>
      <w:r>
        <w:rPr>
          <w:rStyle w:val="FootnoteReference"/>
          <w:szCs w:val="22"/>
        </w:rPr>
        <w:footnoteReference w:id="11"/>
      </w:r>
      <w:r w:rsidRPr="00EB7937">
        <w:t xml:space="preserve">  In assessing forfeitures, section 503(b)(2)(E) of the Act</w:t>
      </w:r>
      <w:r w:rsidRPr="00EB7937">
        <w:rPr>
          <w:rStyle w:val="ssleftalign"/>
        </w:rPr>
        <w:t xml:space="preserve"> requires that we take into account the nature, circumstances, extent, and gravity of the violation</w:t>
      </w:r>
      <w:r>
        <w:rPr>
          <w:rStyle w:val="ssleftalign"/>
        </w:rPr>
        <w:t>,</w:t>
      </w:r>
      <w:r w:rsidRPr="00EB7937">
        <w:rPr>
          <w:rStyle w:val="ssleftalign"/>
        </w:rPr>
        <w:t xml:space="preserve"> and, with respect to the violator, the degree of culpability, any history of prior offenses, ability to pay, and such other matters as justice may require</w:t>
      </w:r>
      <w:r w:rsidRPr="00EB7937">
        <w:t>.</w:t>
      </w:r>
      <w:r>
        <w:rPr>
          <w:vertAlign w:val="superscript"/>
        </w:rPr>
        <w:footnoteReference w:id="12"/>
      </w:r>
      <w:r w:rsidRPr="00EB7937">
        <w:t xml:space="preserve">  </w:t>
      </w:r>
    </w:p>
    <w:p w:rsidR="00E62C88" w:rsidP="00D3471D" w14:paraId="25842047" w14:textId="059D7D55">
      <w:pPr>
        <w:pStyle w:val="ParaNum"/>
        <w:widowControl/>
        <w:numPr>
          <w:ilvl w:val="0"/>
          <w:numId w:val="7"/>
        </w:numPr>
        <w:tabs>
          <w:tab w:val="left" w:pos="1440"/>
        </w:tabs>
        <w:spacing w:after="220"/>
      </w:pPr>
      <w:r>
        <w:t xml:space="preserve">The Licensee was afforded an opportunity to respond to the </w:t>
      </w:r>
      <w:r w:rsidRPr="00D3471D">
        <w:rPr>
          <w:i/>
          <w:iCs/>
        </w:rPr>
        <w:t>NAL</w:t>
      </w:r>
      <w:r w:rsidR="00EF3800">
        <w:rPr>
          <w:i/>
          <w:iCs/>
        </w:rPr>
        <w:t xml:space="preserve"> </w:t>
      </w:r>
      <w:r w:rsidR="00EF3800">
        <w:t>pursuant to section 1.80 of the Rules</w:t>
      </w:r>
      <w:r>
        <w:rPr>
          <w:rStyle w:val="FootnoteReference"/>
        </w:rPr>
        <w:footnoteReference w:id="13"/>
      </w:r>
      <w:r>
        <w:t xml:space="preserve">, but has failed to either pay the proposed forfeiture or seek reduction or cancellation of it within the time period set forth in the </w:t>
      </w:r>
      <w:r w:rsidRPr="00D3471D">
        <w:rPr>
          <w:i/>
          <w:iCs/>
        </w:rPr>
        <w:t>NAL</w:t>
      </w:r>
      <w:r>
        <w:t>.  Accordingly, w</w:t>
      </w:r>
      <w:r>
        <w:t>e conclude that the Licensee willfully violated section 73.3539 of the Rules</w:t>
      </w:r>
      <w:r>
        <w:t xml:space="preserve"> and we</w:t>
      </w:r>
      <w:r>
        <w:t xml:space="preserve"> issue a forfeiture in the amount of $1,500 as proposed in the </w:t>
      </w:r>
      <w:r w:rsidRPr="00FD6CD3">
        <w:rPr>
          <w:i/>
          <w:iCs/>
        </w:rPr>
        <w:t>NAL</w:t>
      </w:r>
      <w:r>
        <w:t>.</w:t>
      </w:r>
      <w:r>
        <w:rPr>
          <w:rStyle w:val="FootnoteReference"/>
        </w:rPr>
        <w:footnoteReference w:id="14"/>
      </w:r>
      <w:r>
        <w:t xml:space="preserve">  </w:t>
      </w:r>
    </w:p>
    <w:p w:rsidR="00E62C88" w:rsidP="00E62C88" w14:paraId="58D709DA" w14:textId="77777777">
      <w:pPr>
        <w:pStyle w:val="Heading1"/>
      </w:pPr>
      <w:r>
        <w:t>ordering clauses</w:t>
      </w:r>
    </w:p>
    <w:p w:rsidR="00E62C88" w:rsidP="00E62C88" w14:paraId="4CA1C3AA" w14:textId="05DDD28A">
      <w:pPr>
        <w:pStyle w:val="ParaNum"/>
        <w:numPr>
          <w:ilvl w:val="0"/>
          <w:numId w:val="7"/>
        </w:numPr>
        <w:tabs>
          <w:tab w:val="left" w:pos="1440"/>
        </w:tabs>
        <w:spacing w:after="220"/>
      </w:pPr>
      <w:r w:rsidRPr="004521EC">
        <w:rPr>
          <w:b/>
        </w:rPr>
        <w:t>IT IS ORDERED</w:t>
      </w:r>
      <w:r w:rsidRPr="000D07AD">
        <w:t xml:space="preserve">, pursuant to </w:t>
      </w:r>
      <w:r>
        <w:t>s</w:t>
      </w:r>
      <w:r w:rsidRPr="000D07AD">
        <w:t xml:space="preserve">ection 503(b) of the Communications Act of 1934, as amended, and </w:t>
      </w:r>
      <w:r>
        <w:t>s</w:t>
      </w:r>
      <w:r w:rsidRPr="000D07AD">
        <w:t xml:space="preserve">ections 0.283 and 1.80 of the Commission’s Rules, that </w:t>
      </w:r>
      <w:r w:rsidRPr="00275162">
        <w:rPr>
          <w:bCs/>
          <w:szCs w:val="22"/>
        </w:rPr>
        <w:t>Hobbs Seventh–Day Adventist Church of the Texico Conf Assn</w:t>
      </w:r>
      <w:r>
        <w:t xml:space="preserve">, </w:t>
      </w:r>
      <w:r w:rsidRPr="00564A34">
        <w:rPr>
          <w:b/>
        </w:rPr>
        <w:t>IS LIABLE FOR A MONETARY FORFEITURE</w:t>
      </w:r>
      <w:r w:rsidRPr="005D63BE">
        <w:t xml:space="preserve"> in the amount of $</w:t>
      </w:r>
      <w:r w:rsidR="00E54112">
        <w:t>1,500</w:t>
      </w:r>
      <w:r w:rsidRPr="005D63BE">
        <w:t xml:space="preserve"> for </w:t>
      </w:r>
      <w:r>
        <w:t>its</w:t>
      </w:r>
      <w:r w:rsidRPr="005D63BE">
        <w:t xml:space="preserve"> apparent willful</w:t>
      </w:r>
      <w:r>
        <w:t xml:space="preserve"> violation of section 73.3539 of the Commission’s rules</w:t>
      </w:r>
      <w:r w:rsidRPr="005D63BE">
        <w:t xml:space="preserve">. </w:t>
      </w:r>
    </w:p>
    <w:p w:rsidR="00E62C88" w:rsidRPr="00146D8A" w:rsidP="00E62C88" w14:paraId="74DC37EE" w14:textId="77777777">
      <w:pPr>
        <w:pStyle w:val="ParaNum"/>
        <w:numPr>
          <w:ilvl w:val="0"/>
          <w:numId w:val="7"/>
        </w:numPr>
        <w:tabs>
          <w:tab w:val="left" w:pos="1440"/>
        </w:tabs>
        <w:spacing w:after="220"/>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5"/>
      </w:r>
      <w:r w:rsidRPr="00264220">
        <w:t xml:space="preserve"> or by wire transfer.  The Commission no longer accepts forfeiture payments by check or money order.  </w:t>
      </w:r>
      <w:r>
        <w:t xml:space="preserve">Upon payment, it is requested that Licensee send notice that payment has been made to </w:t>
      </w:r>
      <w:hyperlink r:id="rId5" w:history="1">
        <w:r w:rsidRPr="00E502F0">
          <w:rPr>
            <w:rStyle w:val="Hyperlink"/>
          </w:rPr>
          <w:t>VideoRenewals@fcc.gov</w:t>
        </w:r>
      </w:hyperlink>
      <w:r>
        <w:t xml:space="preserve">.  </w:t>
      </w:r>
      <w:r w:rsidRPr="00264220">
        <w:t>Below are instructions that payors should follow based on the form of payment selected:</w:t>
      </w:r>
      <w:r>
        <w:rPr>
          <w:rStyle w:val="FootnoteReference"/>
        </w:rPr>
        <w:footnoteReference w:id="16"/>
      </w:r>
      <w:r w:rsidRPr="00264220">
        <w:t xml:space="preserve"> </w:t>
      </w:r>
    </w:p>
    <w:p w:rsidR="00E62C88" w:rsidRPr="00264B58" w:rsidP="00E62C88" w14:paraId="3F5AAA3C" w14:textId="77777777">
      <w:pPr>
        <w:widowControl/>
        <w:numPr>
          <w:ilvl w:val="0"/>
          <w:numId w:val="8"/>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w:t>
      </w:r>
      <w:r w:rsidRPr="00264B58">
        <w:rPr>
          <w:szCs w:val="22"/>
        </w:rPr>
        <w:t>type code), and enter in block number 11 the FRN(s) captioned above (Payor FRN).</w:t>
      </w:r>
      <w:r>
        <w:rPr>
          <w:rStyle w:val="FootnoteReference"/>
          <w:szCs w:val="22"/>
        </w:rPr>
        <w:footnoteReference w:id="17"/>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E62C88" w:rsidRPr="00264B58" w:rsidP="00E62C88" w14:paraId="1441948B" w14:textId="77777777">
      <w:pPr>
        <w:widowControl/>
        <w:numPr>
          <w:ilvl w:val="0"/>
          <w:numId w:val="8"/>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E62C88" w:rsidRPr="00146D8A" w:rsidP="00E62C88" w14:paraId="32EC5CAF" w14:textId="77777777">
      <w:pPr>
        <w:numPr>
          <w:ilvl w:val="0"/>
          <w:numId w:val="8"/>
        </w:numPr>
        <w:spacing w:after="120"/>
        <w:rPr>
          <w:spacing w:val="-2"/>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E62C88" w:rsidRPr="00F113FC" w:rsidP="00E62C88" w14:paraId="30AC644A" w14:textId="77777777">
      <w:pPr>
        <w:pStyle w:val="ParaNum"/>
        <w:widowControl/>
        <w:numPr>
          <w:ilvl w:val="0"/>
          <w:numId w:val="7"/>
        </w:numPr>
        <w:tabs>
          <w:tab w:val="left" w:pos="1440"/>
        </w:tabs>
        <w:spacing w:after="220"/>
      </w:pPr>
      <w:r w:rsidRPr="00264B58">
        <w:t>Requests</w:t>
      </w:r>
      <w:r w:rsidRPr="00264B58">
        <w:rPr>
          <w:szCs w:val="22"/>
        </w:rPr>
        <w:t xml:space="preserve"> for full payment of the forfeiture proposed in this </w:t>
      </w:r>
      <w:r w:rsidRPr="0040744F">
        <w:rPr>
          <w:i/>
          <w:szCs w:val="22"/>
        </w:rPr>
        <w:t>Order</w:t>
      </w:r>
      <w:r w:rsidRPr="00264B58">
        <w:rPr>
          <w:szCs w:val="22"/>
        </w:rPr>
        <w:t xml:space="preserve"> under </w:t>
      </w:r>
      <w:r>
        <w:rPr>
          <w:szCs w:val="22"/>
        </w:rPr>
        <w:t>an</w:t>
      </w:r>
      <w:r w:rsidRPr="00264B58">
        <w:rPr>
          <w:szCs w:val="22"/>
        </w:rPr>
        <w:t xml:space="preserve"> installment plan should be sent to:  Associate Managing Director-Financial Operations, 45 L Street, NE, Washington, DC 20554.</w:t>
      </w:r>
      <w:r>
        <w:rPr>
          <w:szCs w:val="22"/>
          <w:vertAlign w:val="superscript"/>
        </w:rPr>
        <w:footnoteReference w:id="18"/>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E62C88" w:rsidP="00E62C88" w14:paraId="609045FE" w14:textId="63E2675E">
      <w:pPr>
        <w:pStyle w:val="ParaNum"/>
        <w:widowControl/>
        <w:numPr>
          <w:ilvl w:val="0"/>
          <w:numId w:val="7"/>
        </w:numPr>
        <w:tabs>
          <w:tab w:val="left" w:pos="1440"/>
        </w:tabs>
        <w:spacing w:after="220"/>
      </w:pPr>
      <w:r w:rsidRPr="007C2875">
        <w:rPr>
          <w:b/>
        </w:rPr>
        <w:t>IT IS FURTHER ORDERED</w:t>
      </w:r>
      <w:r w:rsidRPr="005D63BE">
        <w:t xml:space="preserve"> that </w:t>
      </w:r>
      <w:r>
        <w:t>a copy</w:t>
      </w:r>
      <w:r w:rsidRPr="005D63BE">
        <w:t xml:space="preserve"> of this </w:t>
      </w:r>
      <w:r w:rsidRPr="00E529A3">
        <w:rPr>
          <w:i/>
        </w:rPr>
        <w:t>Forfeiture Order</w:t>
      </w:r>
      <w:r>
        <w:t xml:space="preserve"> </w:t>
      </w:r>
      <w:r w:rsidRPr="007C7A60">
        <w:t>shall be sent by First Class and Certified Mail, Return Receipt Requested, to</w:t>
      </w:r>
      <w:r>
        <w:t xml:space="preserve"> </w:t>
      </w:r>
      <w:r w:rsidRPr="003704FD">
        <w:t>Hobbs Seventh-</w:t>
      </w:r>
      <w:r>
        <w:t>D</w:t>
      </w:r>
      <w:r w:rsidRPr="003704FD">
        <w:t>ay Adventist Church of the Texico Conf Assn</w:t>
      </w:r>
      <w:r>
        <w:t xml:space="preserve">, c/o </w:t>
      </w:r>
      <w:r w:rsidRPr="005441FE">
        <w:t>P.O. Box 1469, Hobbs, NM 88241</w:t>
      </w:r>
      <w:r w:rsidR="004C21EE">
        <w:t xml:space="preserve"> and by electronic mail to </w:t>
      </w:r>
      <w:hyperlink r:id="rId11" w:history="1">
        <w:r w:rsidRPr="00444E6E" w:rsidR="004C21EE">
          <w:rPr>
            <w:rStyle w:val="Hyperlink"/>
          </w:rPr>
          <w:t>lennywagner@aol.com</w:t>
        </w:r>
      </w:hyperlink>
      <w:r w:rsidR="004C21EE">
        <w:t xml:space="preserve">.  A </w:t>
      </w:r>
      <w:r w:rsidR="00671A55">
        <w:t xml:space="preserve">copy shall also be sent to its </w:t>
      </w:r>
      <w:r>
        <w:t xml:space="preserve">counsel, </w:t>
      </w:r>
      <w:r w:rsidRPr="001F1F4F">
        <w:t>Don Martin, Esq.</w:t>
      </w:r>
      <w:r w:rsidR="00367B7D">
        <w:t xml:space="preserve"> by electronic mail to </w:t>
      </w:r>
      <w:hyperlink r:id="rId12" w:history="1">
        <w:r w:rsidRPr="00444E6E" w:rsidR="00367B7D">
          <w:rPr>
            <w:rStyle w:val="Hyperlink"/>
          </w:rPr>
          <w:t>DEMPC@PRODIGY.NET</w:t>
        </w:r>
      </w:hyperlink>
      <w:r>
        <w:t>.</w:t>
      </w:r>
      <w:r w:rsidR="00367B7D">
        <w:t xml:space="preserve"> </w:t>
      </w:r>
    </w:p>
    <w:p w:rsidR="00E62C88" w:rsidP="00E62C88" w14:paraId="19DA1CAF" w14:textId="77777777">
      <w:pPr>
        <w:ind w:left="3600" w:firstLine="720"/>
      </w:pPr>
      <w:r w:rsidRPr="00910512">
        <w:t>FEDERAL COMMUNICATIONS COMMISSION</w:t>
      </w:r>
    </w:p>
    <w:p w:rsidR="00E62C88" w:rsidRPr="00910512" w:rsidP="00E62C88" w14:paraId="5F8B1F44" w14:textId="77777777"/>
    <w:p w:rsidR="00E62C88" w:rsidRPr="00910512" w:rsidP="00E62C88" w14:paraId="773B6EA8" w14:textId="77777777"/>
    <w:p w:rsidR="00E62C88" w:rsidP="00E62C88" w14:paraId="3E112602" w14:textId="77777777">
      <w:r>
        <w:tab/>
      </w:r>
      <w:r>
        <w:tab/>
      </w:r>
      <w:r>
        <w:tab/>
      </w:r>
      <w:r>
        <w:tab/>
      </w:r>
      <w:r>
        <w:tab/>
      </w:r>
      <w:r>
        <w:tab/>
        <w:t xml:space="preserve">Barbara A. Kreisman </w:t>
      </w:r>
    </w:p>
    <w:p w:rsidR="00E62C88" w:rsidP="00E62C88" w14:paraId="32EBE1AF" w14:textId="77777777">
      <w:r>
        <w:tab/>
      </w:r>
      <w:r>
        <w:tab/>
      </w:r>
      <w:r>
        <w:tab/>
      </w:r>
      <w:r>
        <w:tab/>
      </w:r>
      <w:r>
        <w:tab/>
      </w:r>
      <w:r>
        <w:tab/>
        <w:t>Chief, Video Division</w:t>
      </w:r>
    </w:p>
    <w:p w:rsidR="00E62C88" w:rsidP="00E62C88" w14:paraId="1E3DD0F1" w14:textId="77777777">
      <w:r>
        <w:tab/>
      </w:r>
      <w:r>
        <w:tab/>
      </w:r>
      <w:r>
        <w:tab/>
      </w:r>
      <w:r>
        <w:tab/>
      </w:r>
      <w:r>
        <w:tab/>
      </w:r>
      <w:r>
        <w:tab/>
        <w:t>Media Bureau</w:t>
      </w:r>
    </w:p>
    <w:p w:rsidR="00E62C88" w:rsidRPr="002F58AE" w:rsidP="00E62C88" w14:paraId="44856346" w14:textId="77777777"/>
    <w:p w:rsidR="00412FC5" w:rsidRPr="00E62C88" w:rsidP="00E62C88" w14:paraId="4C3E5756" w14:textId="77777777"/>
    <w:sectPr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7221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D6F9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884F9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074B7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DA1F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4298" w14:paraId="7492EF50" w14:textId="77777777">
      <w:r>
        <w:separator/>
      </w:r>
    </w:p>
  </w:footnote>
  <w:footnote w:type="continuationSeparator" w:id="1">
    <w:p w:rsidR="00C34298" w:rsidP="00C721AC" w14:paraId="7C4469F7" w14:textId="77777777">
      <w:pPr>
        <w:spacing w:before="120"/>
        <w:rPr>
          <w:sz w:val="20"/>
        </w:rPr>
      </w:pPr>
      <w:r>
        <w:rPr>
          <w:sz w:val="20"/>
        </w:rPr>
        <w:t xml:space="preserve">(Continued from previous page)  </w:t>
      </w:r>
      <w:r>
        <w:rPr>
          <w:sz w:val="20"/>
        </w:rPr>
        <w:separator/>
      </w:r>
    </w:p>
  </w:footnote>
  <w:footnote w:type="continuationNotice" w:id="2">
    <w:p w:rsidR="00C34298" w:rsidP="00C721AC" w14:paraId="5311CA42" w14:textId="77777777">
      <w:pPr>
        <w:jc w:val="right"/>
        <w:rPr>
          <w:sz w:val="20"/>
        </w:rPr>
      </w:pPr>
      <w:r>
        <w:rPr>
          <w:sz w:val="20"/>
        </w:rPr>
        <w:t>(continued….)</w:t>
      </w:r>
    </w:p>
  </w:footnote>
  <w:footnote w:id="3">
    <w:p w:rsidR="00E62C88" w:rsidRPr="004D759B" w:rsidP="00E62C88" w14:paraId="1231BD4F" w14:textId="46D5ADED">
      <w:pPr>
        <w:pStyle w:val="FootnoteText"/>
      </w:pPr>
      <w:r w:rsidRPr="004D759B">
        <w:rPr>
          <w:rStyle w:val="FootnoteReference"/>
        </w:rPr>
        <w:footnoteRef/>
      </w:r>
      <w:r w:rsidRPr="004D759B">
        <w:t xml:space="preserve"> </w:t>
      </w:r>
      <w:r w:rsidRPr="004D759B">
        <w:rPr>
          <w:i/>
        </w:rPr>
        <w:t xml:space="preserve">See </w:t>
      </w:r>
      <w:r>
        <w:t>47 CFR § 73.3539</w:t>
      </w:r>
      <w:r w:rsidR="004D0D19">
        <w:t xml:space="preserve">; LMS File No. </w:t>
      </w:r>
      <w:r w:rsidRPr="004D0D19" w:rsidR="004D0D19">
        <w:t>0000195194</w:t>
      </w:r>
      <w:r>
        <w:t>.</w:t>
      </w:r>
    </w:p>
  </w:footnote>
  <w:footnote w:id="4">
    <w:p w:rsidR="00E62C88" w:rsidRPr="00E1189A" w:rsidP="00E62C88" w14:paraId="193847EF" w14:textId="77777777">
      <w:pPr>
        <w:pStyle w:val="FootnoteText"/>
      </w:pPr>
      <w:r w:rsidRPr="000725CB">
        <w:rPr>
          <w:rStyle w:val="FootnoteReference"/>
        </w:rPr>
        <w:footnoteRef/>
      </w:r>
      <w:r w:rsidRPr="000725CB">
        <w:t xml:space="preserve"> </w:t>
      </w:r>
      <w:r w:rsidRPr="00C9230A">
        <w:rPr>
          <w:i/>
          <w:iCs/>
        </w:rPr>
        <w:t>Id</w:t>
      </w:r>
      <w:r>
        <w:t>.</w:t>
      </w:r>
      <w:r w:rsidRPr="000725CB">
        <w:t xml:space="preserve"> § 73.3539(a).</w:t>
      </w:r>
      <w:r>
        <w:t xml:space="preserve">  </w:t>
      </w:r>
    </w:p>
  </w:footnote>
  <w:footnote w:id="5">
    <w:p w:rsidR="00E62C88" w:rsidRPr="00555D44" w:rsidP="00E62C88" w14:paraId="1F2C5333" w14:textId="77777777">
      <w:pPr>
        <w:pStyle w:val="FootnoteText"/>
        <w:rPr>
          <w:i/>
        </w:rPr>
      </w:pPr>
      <w:r w:rsidRPr="000725CB">
        <w:rPr>
          <w:rStyle w:val="FootnoteReference"/>
        </w:rPr>
        <w:footnoteRef/>
      </w:r>
      <w:r w:rsidRPr="000725CB">
        <w:t xml:space="preserve"> </w:t>
      </w:r>
      <w:r>
        <w:rPr>
          <w:i/>
        </w:rPr>
        <w:t>Id.</w:t>
      </w:r>
      <w:r w:rsidRPr="002546D1">
        <w:rPr>
          <w:i/>
        </w:rPr>
        <w:t xml:space="preserve"> </w:t>
      </w:r>
      <w:r w:rsidRPr="002546D1">
        <w:t>§§ 73.1020, 73</w:t>
      </w:r>
      <w:r w:rsidRPr="000725CB">
        <w:t>.3539(a).</w:t>
      </w:r>
      <w:r>
        <w:t xml:space="preserve"> </w:t>
      </w:r>
    </w:p>
  </w:footnote>
  <w:footnote w:id="6">
    <w:p w:rsidR="00E62C88" w:rsidP="00E62C88" w14:paraId="028087EC" w14:textId="60714000">
      <w:pPr>
        <w:pStyle w:val="FootnoteText"/>
      </w:pPr>
      <w:r>
        <w:rPr>
          <w:rStyle w:val="FootnoteReference"/>
        </w:rPr>
        <w:footnoteRef/>
      </w:r>
      <w:r w:rsidRPr="00275162">
        <w:rPr>
          <w:i/>
          <w:iCs/>
        </w:rPr>
        <w:t>Hobbs Seventh–Day Adventist Church of the Texico Conf Assn,</w:t>
      </w:r>
      <w:r w:rsidRPr="005847EA">
        <w:t xml:space="preserve"> Memorandum Opinion and Order and Notice of Apparent Liability for Forfeiture, DA </w:t>
      </w:r>
      <w:r>
        <w:t>23</w:t>
      </w:r>
      <w:r w:rsidRPr="005847EA">
        <w:t>-</w:t>
      </w:r>
      <w:r>
        <w:t>161</w:t>
      </w:r>
      <w:r w:rsidRPr="005847EA">
        <w:t xml:space="preserve"> (</w:t>
      </w:r>
      <w:r w:rsidR="00FD6CD3">
        <w:t>Vid. Div.</w:t>
      </w:r>
      <w:r w:rsidRPr="005847EA" w:rsidR="00FD6CD3">
        <w:t xml:space="preserve"> </w:t>
      </w:r>
      <w:r>
        <w:t>Mar</w:t>
      </w:r>
      <w:r w:rsidR="00FD6CD3">
        <w:t>.</w:t>
      </w:r>
      <w:r>
        <w:t xml:space="preserve"> 1</w:t>
      </w:r>
      <w:r w:rsidRPr="005847EA">
        <w:t>, 202</w:t>
      </w:r>
      <w:r>
        <w:t>3</w:t>
      </w:r>
      <w:r w:rsidRPr="005847EA">
        <w:t>)</w:t>
      </w:r>
      <w:r w:rsidR="004D0D19">
        <w:t xml:space="preserve"> (</w:t>
      </w:r>
      <w:r w:rsidRPr="00D3471D" w:rsidR="004D0D19">
        <w:rPr>
          <w:i/>
          <w:iCs/>
        </w:rPr>
        <w:t>NAL</w:t>
      </w:r>
      <w:r w:rsidR="004D0D19">
        <w:t>)</w:t>
      </w:r>
      <w:r w:rsidRPr="005847EA">
        <w:t>.</w:t>
      </w:r>
    </w:p>
  </w:footnote>
  <w:footnote w:id="7">
    <w:p w:rsidR="00E62C88" w:rsidP="00E62C88" w14:paraId="17EB2BA6" w14:textId="77777777">
      <w:pPr>
        <w:pStyle w:val="FootnoteText"/>
      </w:pPr>
      <w:r>
        <w:rPr>
          <w:rStyle w:val="FootnoteReference"/>
        </w:rPr>
        <w:footnoteRef/>
      </w:r>
      <w:r>
        <w:t xml:space="preserve"> </w:t>
      </w:r>
      <w:r>
        <w:rPr>
          <w:i/>
        </w:rPr>
        <w:t>Id.</w:t>
      </w:r>
      <w:r>
        <w:t xml:space="preserve"> at para. 9.</w:t>
      </w:r>
    </w:p>
  </w:footnote>
  <w:footnote w:id="8">
    <w:p w:rsidR="00FD6CD3" w:rsidRPr="00194F05" w14:paraId="74134DEC" w14:textId="6FF6B1F9">
      <w:pPr>
        <w:pStyle w:val="FootnoteText"/>
      </w:pPr>
      <w:r>
        <w:rPr>
          <w:rStyle w:val="FootnoteReference"/>
        </w:rPr>
        <w:footnoteRef/>
      </w:r>
      <w:r>
        <w:t xml:space="preserve"> </w:t>
      </w:r>
      <w:r w:rsidR="00194F05">
        <w:t xml:space="preserve">Licensee acknowledged receipt of the </w:t>
      </w:r>
      <w:r w:rsidR="00194F05">
        <w:rPr>
          <w:i/>
          <w:iCs/>
        </w:rPr>
        <w:t>NAL</w:t>
      </w:r>
      <w:r w:rsidR="00194F05">
        <w:t>.</w:t>
      </w:r>
    </w:p>
  </w:footnote>
  <w:footnote w:id="9">
    <w:p w:rsidR="00E62C88" w:rsidRPr="00A403D9" w:rsidP="00E62C88" w14:paraId="33F63AA7" w14:textId="77777777">
      <w:pPr>
        <w:pStyle w:val="FootnoteText"/>
      </w:pPr>
      <w:r w:rsidRPr="00A403D9">
        <w:rPr>
          <w:rStyle w:val="FootnoteReference"/>
        </w:rPr>
        <w:footnoteRef/>
      </w:r>
      <w:r w:rsidRPr="00A403D9">
        <w:t xml:space="preserve"> 47 U.S.C. § 503(b).</w:t>
      </w:r>
    </w:p>
  </w:footnote>
  <w:footnote w:id="10">
    <w:p w:rsidR="00E62C88" w:rsidRPr="00A403D9" w:rsidP="00E62C88" w14:paraId="0834DDC1" w14:textId="77777777">
      <w:pPr>
        <w:pStyle w:val="FootnoteText"/>
      </w:pPr>
      <w:r w:rsidRPr="00A403D9">
        <w:rPr>
          <w:rStyle w:val="FootnoteReference"/>
        </w:rPr>
        <w:footnoteRef/>
      </w:r>
      <w:r w:rsidRPr="00A403D9">
        <w:t xml:space="preserve"> 47 CFR § 1.80. </w:t>
      </w:r>
    </w:p>
  </w:footnote>
  <w:footnote w:id="11">
    <w:p w:rsidR="00E62C88" w:rsidRPr="00A403D9" w:rsidP="00E62C88" w14:paraId="6F2BFAB8" w14:textId="77777777">
      <w:pPr>
        <w:pStyle w:val="FootnoteText"/>
      </w:pPr>
      <w:r w:rsidRPr="00A403D9">
        <w:rPr>
          <w:rStyle w:val="FootnoteReference"/>
        </w:rPr>
        <w:footnoteRef/>
      </w:r>
      <w:r w:rsidRPr="00A403D9">
        <w:t xml:space="preserve"> </w:t>
      </w:r>
      <w:r w:rsidRPr="00A403D9">
        <w:rPr>
          <w:i/>
        </w:rPr>
        <w:t>Forfeiture Policy Statement and Amendment of Section 1.80 of the Rules to Incorporate the Forfeiture Guidelines</w:t>
      </w:r>
      <w:r w:rsidRPr="00A403D9">
        <w:t xml:space="preserve">, Report and Order, 12 FCC </w:t>
      </w:r>
      <w:r w:rsidRPr="00A403D9">
        <w:t>Rcd</w:t>
      </w:r>
      <w:r w:rsidRPr="00A403D9">
        <w:t xml:space="preserve"> 17087 (1997), </w:t>
      </w:r>
      <w:r w:rsidRPr="00A403D9">
        <w:rPr>
          <w:i/>
        </w:rPr>
        <w:t>recon. denied</w:t>
      </w:r>
      <w:r w:rsidRPr="00A403D9">
        <w:t xml:space="preserve">, 15 FCC </w:t>
      </w:r>
      <w:r w:rsidRPr="00A403D9">
        <w:t>Rcd</w:t>
      </w:r>
      <w:r w:rsidRPr="00A403D9">
        <w:t xml:space="preserve"> 303 (1999). </w:t>
      </w:r>
    </w:p>
  </w:footnote>
  <w:footnote w:id="12">
    <w:p w:rsidR="00E62C88" w:rsidRPr="00A403D9" w:rsidP="00E62C88" w14:paraId="053E5B3C" w14:textId="77777777">
      <w:pPr>
        <w:pStyle w:val="FootnoteText"/>
      </w:pPr>
      <w:r w:rsidRPr="00A403D9">
        <w:rPr>
          <w:rStyle w:val="FootnoteReference"/>
        </w:rPr>
        <w:footnoteRef/>
      </w:r>
      <w:r w:rsidRPr="00A403D9">
        <w:t xml:space="preserve"> 47 U.S.C. § 503(b)(2)(E).</w:t>
      </w:r>
    </w:p>
  </w:footnote>
  <w:footnote w:id="13">
    <w:p w:rsidR="006B0ED6" w14:paraId="2D82966C" w14:textId="1ED6FB7C">
      <w:pPr>
        <w:pStyle w:val="FootnoteText"/>
      </w:pPr>
      <w:r>
        <w:rPr>
          <w:rStyle w:val="FootnoteReference"/>
        </w:rPr>
        <w:footnoteRef/>
      </w:r>
      <w:r>
        <w:t xml:space="preserve"> 47 CFR § 1.80(g)(3).</w:t>
      </w:r>
    </w:p>
  </w:footnote>
  <w:footnote w:id="14">
    <w:p w:rsidR="00FD6CD3" w:rsidP="004D0D19" w14:paraId="11629B76" w14:textId="64216552">
      <w:pPr>
        <w:pStyle w:val="FootnoteText"/>
      </w:pPr>
      <w:r>
        <w:rPr>
          <w:rStyle w:val="FootnoteReference"/>
        </w:rPr>
        <w:footnoteRef/>
      </w:r>
      <w:r>
        <w:t xml:space="preserve"> </w:t>
      </w:r>
      <w:r w:rsidR="004D0D19">
        <w:t xml:space="preserve">We reaffirm our prior statements in the </w:t>
      </w:r>
      <w:r w:rsidRPr="00D3471D" w:rsidR="004D0D19">
        <w:rPr>
          <w:i/>
          <w:iCs/>
        </w:rPr>
        <w:t>NAL</w:t>
      </w:r>
      <w:r w:rsidR="004D0D19">
        <w:t xml:space="preserve"> relating to the Station’s Application, </w:t>
      </w:r>
      <w:r w:rsidRPr="00D3471D" w:rsidR="004D0D19">
        <w:rPr>
          <w:i/>
          <w:iCs/>
        </w:rPr>
        <w:t>NAL</w:t>
      </w:r>
      <w:r w:rsidR="004D0D19">
        <w:t xml:space="preserve"> at para. 8, and will proceed with grant by separate action upon the conclusion of this forfeiture proceeding if there are no issues other than those set forth in this Forfeiture Order that would preclude grant of the Application.</w:t>
      </w:r>
    </w:p>
  </w:footnote>
  <w:footnote w:id="15">
    <w:p w:rsidR="00E62C88" w:rsidRPr="00132193" w:rsidP="00E62C88" w14:paraId="443EBFF9"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16">
    <w:p w:rsidR="00E62C88" w:rsidRPr="00132193" w:rsidP="00E62C88" w14:paraId="36578F9F"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17">
    <w:p w:rsidR="00E62C88" w:rsidRPr="00514C8E" w:rsidP="00E62C88" w14:paraId="582D8A45"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18">
    <w:p w:rsidR="00E62C88" w:rsidRPr="004B33E9" w:rsidP="00E62C88" w14:paraId="661E6C27"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552" w14:paraId="4F467A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3E2344" w14:textId="14055C9B">
    <w:pPr>
      <w:pStyle w:val="Header"/>
      <w:rPr>
        <w:b w:val="0"/>
      </w:rPr>
    </w:pPr>
    <w:r>
      <w:tab/>
      <w:t>Federal Communications Commission</w:t>
    </w:r>
    <w:r>
      <w:tab/>
    </w:r>
    <w:r w:rsidR="00355552">
      <w:t xml:space="preserve">DA </w:t>
    </w:r>
    <w:r w:rsidR="00355552">
      <w:t>23-628</w:t>
    </w:r>
  </w:p>
  <w:p w:rsidR="00D25FB5" w14:paraId="75DBA63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83926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077BFD" w14:textId="71B3D70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23-628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054C89A8"/>
    <w:lvl w:ilvl="0">
      <w:start w:val="1"/>
      <w:numFmt w:val="decimal"/>
      <w:lvlText w:val="%1."/>
      <w:lvlJc w:val="left"/>
      <w:rPr>
        <w:rFonts w:ascii="Times New Roman" w:hAnsi="Times New Roman" w:hint="default"/>
        <w:b w:val="0"/>
        <w:i w:val="0"/>
        <w:caps w:val="0"/>
        <w:strike w:val="0"/>
        <w:dstrike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88"/>
    <w:rsid w:val="00036039"/>
    <w:rsid w:val="00036FD2"/>
    <w:rsid w:val="00037F90"/>
    <w:rsid w:val="000725CB"/>
    <w:rsid w:val="000819D5"/>
    <w:rsid w:val="000875BF"/>
    <w:rsid w:val="00096D8C"/>
    <w:rsid w:val="000C0B65"/>
    <w:rsid w:val="000D07AD"/>
    <w:rsid w:val="000E05FE"/>
    <w:rsid w:val="000E3D42"/>
    <w:rsid w:val="00122BD5"/>
    <w:rsid w:val="00124FB3"/>
    <w:rsid w:val="00132193"/>
    <w:rsid w:val="00133F79"/>
    <w:rsid w:val="00146D8A"/>
    <w:rsid w:val="00156697"/>
    <w:rsid w:val="00177AA7"/>
    <w:rsid w:val="00180C18"/>
    <w:rsid w:val="00194A66"/>
    <w:rsid w:val="00194F05"/>
    <w:rsid w:val="001D6BCF"/>
    <w:rsid w:val="001E01CA"/>
    <w:rsid w:val="001F1F4F"/>
    <w:rsid w:val="00252B2F"/>
    <w:rsid w:val="002546D1"/>
    <w:rsid w:val="00264220"/>
    <w:rsid w:val="00264B58"/>
    <w:rsid w:val="00275162"/>
    <w:rsid w:val="00275CF5"/>
    <w:rsid w:val="0028301F"/>
    <w:rsid w:val="00285017"/>
    <w:rsid w:val="002A2D2E"/>
    <w:rsid w:val="002C00E8"/>
    <w:rsid w:val="002E7B30"/>
    <w:rsid w:val="002F58AE"/>
    <w:rsid w:val="0033774E"/>
    <w:rsid w:val="00343749"/>
    <w:rsid w:val="00355552"/>
    <w:rsid w:val="0036280D"/>
    <w:rsid w:val="003660ED"/>
    <w:rsid w:val="00367B7D"/>
    <w:rsid w:val="003704FD"/>
    <w:rsid w:val="003B0550"/>
    <w:rsid w:val="003B694F"/>
    <w:rsid w:val="003F171C"/>
    <w:rsid w:val="0040744F"/>
    <w:rsid w:val="00412FC5"/>
    <w:rsid w:val="00422276"/>
    <w:rsid w:val="004242F1"/>
    <w:rsid w:val="00444E6E"/>
    <w:rsid w:val="00445A00"/>
    <w:rsid w:val="00451B0F"/>
    <w:rsid w:val="004521EC"/>
    <w:rsid w:val="00476EEB"/>
    <w:rsid w:val="004B33E9"/>
    <w:rsid w:val="004C21EE"/>
    <w:rsid w:val="004C2EE3"/>
    <w:rsid w:val="004D0D19"/>
    <w:rsid w:val="004D759B"/>
    <w:rsid w:val="004E4A22"/>
    <w:rsid w:val="004F01F0"/>
    <w:rsid w:val="00511968"/>
    <w:rsid w:val="00514C8E"/>
    <w:rsid w:val="00534284"/>
    <w:rsid w:val="005441FE"/>
    <w:rsid w:val="00555D44"/>
    <w:rsid w:val="0055614C"/>
    <w:rsid w:val="00564A34"/>
    <w:rsid w:val="00566D06"/>
    <w:rsid w:val="005847EA"/>
    <w:rsid w:val="005D63BE"/>
    <w:rsid w:val="005E14C2"/>
    <w:rsid w:val="00607BA5"/>
    <w:rsid w:val="0061180A"/>
    <w:rsid w:val="0061256E"/>
    <w:rsid w:val="00626D36"/>
    <w:rsid w:val="00626EB6"/>
    <w:rsid w:val="00630250"/>
    <w:rsid w:val="00640B56"/>
    <w:rsid w:val="00655D03"/>
    <w:rsid w:val="00671A55"/>
    <w:rsid w:val="00683388"/>
    <w:rsid w:val="00683F84"/>
    <w:rsid w:val="006A6A81"/>
    <w:rsid w:val="006B0ED6"/>
    <w:rsid w:val="006C1F9B"/>
    <w:rsid w:val="006F7393"/>
    <w:rsid w:val="0070224F"/>
    <w:rsid w:val="007040B9"/>
    <w:rsid w:val="007115F7"/>
    <w:rsid w:val="00745283"/>
    <w:rsid w:val="00785689"/>
    <w:rsid w:val="0079754B"/>
    <w:rsid w:val="007A1E6D"/>
    <w:rsid w:val="007B0EB2"/>
    <w:rsid w:val="007B6596"/>
    <w:rsid w:val="007C143B"/>
    <w:rsid w:val="007C2875"/>
    <w:rsid w:val="007C7A60"/>
    <w:rsid w:val="00810B6F"/>
    <w:rsid w:val="00822CE0"/>
    <w:rsid w:val="00841AB1"/>
    <w:rsid w:val="00897D5B"/>
    <w:rsid w:val="008C68F1"/>
    <w:rsid w:val="008D6B8E"/>
    <w:rsid w:val="00910512"/>
    <w:rsid w:val="0091582D"/>
    <w:rsid w:val="00921803"/>
    <w:rsid w:val="00926503"/>
    <w:rsid w:val="00947B4D"/>
    <w:rsid w:val="0096312D"/>
    <w:rsid w:val="009726D8"/>
    <w:rsid w:val="009B279B"/>
    <w:rsid w:val="009D0525"/>
    <w:rsid w:val="009D715A"/>
    <w:rsid w:val="009D7308"/>
    <w:rsid w:val="009F76DB"/>
    <w:rsid w:val="00A116DA"/>
    <w:rsid w:val="00A32C3B"/>
    <w:rsid w:val="00A403D9"/>
    <w:rsid w:val="00A40532"/>
    <w:rsid w:val="00A45F4F"/>
    <w:rsid w:val="00A521EB"/>
    <w:rsid w:val="00A600A9"/>
    <w:rsid w:val="00AA55B7"/>
    <w:rsid w:val="00AA5B9E"/>
    <w:rsid w:val="00AB2407"/>
    <w:rsid w:val="00AB53DF"/>
    <w:rsid w:val="00AF05A7"/>
    <w:rsid w:val="00B07E5C"/>
    <w:rsid w:val="00B811F7"/>
    <w:rsid w:val="00B94F4D"/>
    <w:rsid w:val="00BA5DC6"/>
    <w:rsid w:val="00BA6196"/>
    <w:rsid w:val="00BC6D8C"/>
    <w:rsid w:val="00C34006"/>
    <w:rsid w:val="00C34298"/>
    <w:rsid w:val="00C36B4C"/>
    <w:rsid w:val="00C426B1"/>
    <w:rsid w:val="00C66160"/>
    <w:rsid w:val="00C721AC"/>
    <w:rsid w:val="00C90D6A"/>
    <w:rsid w:val="00C9230A"/>
    <w:rsid w:val="00CA247E"/>
    <w:rsid w:val="00CA6D21"/>
    <w:rsid w:val="00CC72B6"/>
    <w:rsid w:val="00D0218D"/>
    <w:rsid w:val="00D25FB5"/>
    <w:rsid w:val="00D3471D"/>
    <w:rsid w:val="00D44223"/>
    <w:rsid w:val="00DA2529"/>
    <w:rsid w:val="00DB130A"/>
    <w:rsid w:val="00DB2EBB"/>
    <w:rsid w:val="00DC10A1"/>
    <w:rsid w:val="00DC655F"/>
    <w:rsid w:val="00DD0B59"/>
    <w:rsid w:val="00DD7EBD"/>
    <w:rsid w:val="00DF62B6"/>
    <w:rsid w:val="00DF700A"/>
    <w:rsid w:val="00E07225"/>
    <w:rsid w:val="00E1189A"/>
    <w:rsid w:val="00E502F0"/>
    <w:rsid w:val="00E529A3"/>
    <w:rsid w:val="00E5409F"/>
    <w:rsid w:val="00E54112"/>
    <w:rsid w:val="00E62C88"/>
    <w:rsid w:val="00EB7937"/>
    <w:rsid w:val="00EE6488"/>
    <w:rsid w:val="00EF3800"/>
    <w:rsid w:val="00F007E1"/>
    <w:rsid w:val="00F021FA"/>
    <w:rsid w:val="00F04DE2"/>
    <w:rsid w:val="00F113FC"/>
    <w:rsid w:val="00F43F3C"/>
    <w:rsid w:val="00F62E97"/>
    <w:rsid w:val="00F64209"/>
    <w:rsid w:val="00F93BF5"/>
    <w:rsid w:val="00FD6C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11203A"/>
  <w15:chartTrackingRefBased/>
  <w15:docId w15:val="{01D8E080-4BE1-484C-87C6-4BE8E4B7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C8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1 Char Char,Footnote Text Char1 Char Char Char Char,Footnote Text Char2 Char,Footnote Text Char2 Char Char Char,Footnote Text Char3 Char Char,Footnote Text Char7 Char Char Char Char Char"/>
    <w:link w:val="FootnoteText"/>
    <w:locked/>
    <w:rsid w:val="00E62C88"/>
  </w:style>
  <w:style w:type="character" w:customStyle="1" w:styleId="ParaNumChar">
    <w:name w:val="ParaNum Char"/>
    <w:link w:val="ParaNum"/>
    <w:locked/>
    <w:rsid w:val="00E62C88"/>
    <w:rPr>
      <w:snapToGrid w:val="0"/>
      <w:kern w:val="28"/>
      <w:sz w:val="22"/>
    </w:rPr>
  </w:style>
  <w:style w:type="character" w:customStyle="1" w:styleId="ssleftalign">
    <w:name w:val="ss_leftalign"/>
    <w:rsid w:val="00E62C88"/>
  </w:style>
  <w:style w:type="paragraph" w:styleId="Revision">
    <w:name w:val="Revision"/>
    <w:hidden/>
    <w:uiPriority w:val="99"/>
    <w:semiHidden/>
    <w:rsid w:val="00FD6CD3"/>
    <w:rPr>
      <w:snapToGrid w:val="0"/>
      <w:kern w:val="28"/>
      <w:sz w:val="22"/>
    </w:rPr>
  </w:style>
  <w:style w:type="character" w:styleId="CommentReference">
    <w:name w:val="annotation reference"/>
    <w:rsid w:val="00FD6CD3"/>
    <w:rPr>
      <w:sz w:val="16"/>
      <w:szCs w:val="16"/>
    </w:rPr>
  </w:style>
  <w:style w:type="paragraph" w:styleId="CommentText">
    <w:name w:val="annotation text"/>
    <w:basedOn w:val="Normal"/>
    <w:link w:val="CommentTextChar"/>
    <w:rsid w:val="00FD6CD3"/>
    <w:rPr>
      <w:sz w:val="20"/>
    </w:rPr>
  </w:style>
  <w:style w:type="character" w:customStyle="1" w:styleId="CommentTextChar">
    <w:name w:val="Comment Text Char"/>
    <w:link w:val="CommentText"/>
    <w:rsid w:val="00FD6CD3"/>
    <w:rPr>
      <w:snapToGrid w:val="0"/>
      <w:kern w:val="28"/>
    </w:rPr>
  </w:style>
  <w:style w:type="paragraph" w:styleId="CommentSubject">
    <w:name w:val="annotation subject"/>
    <w:basedOn w:val="CommentText"/>
    <w:next w:val="CommentText"/>
    <w:link w:val="CommentSubjectChar"/>
    <w:rsid w:val="00FD6CD3"/>
    <w:rPr>
      <w:b/>
      <w:bCs/>
    </w:rPr>
  </w:style>
  <w:style w:type="character" w:customStyle="1" w:styleId="CommentSubjectChar">
    <w:name w:val="Comment Subject Char"/>
    <w:link w:val="CommentSubject"/>
    <w:rsid w:val="00FD6CD3"/>
    <w:rPr>
      <w:b/>
      <w:bCs/>
      <w:snapToGrid w:val="0"/>
      <w:kern w:val="28"/>
    </w:rPr>
  </w:style>
  <w:style w:type="character" w:styleId="UnresolvedMention">
    <w:name w:val="Unresolved Mention"/>
    <w:uiPriority w:val="99"/>
    <w:semiHidden/>
    <w:unhideWhenUsed/>
    <w:rsid w:val="004C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lennywagner@aol.com" TargetMode="External" /><Relationship Id="rId12" Type="http://schemas.openxmlformats.org/officeDocument/2006/relationships/hyperlink" Target="mailto:DEMPC@PRODIGY.NET"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