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54088" w:rsidP="00E54088" w14:paraId="31A87366" w14:textId="77777777">
      <w:pPr>
        <w:jc w:val="center"/>
        <w:rPr>
          <w:b/>
        </w:rPr>
      </w:pPr>
      <w:r w:rsidRPr="0070224F">
        <w:rPr>
          <w:rFonts w:ascii="Times New Roman Bold" w:hAnsi="Times New Roman Bold"/>
          <w:b/>
          <w:kern w:val="0"/>
          <w:szCs w:val="22"/>
        </w:rPr>
        <w:t>Before</w:t>
      </w:r>
      <w:r>
        <w:rPr>
          <w:b/>
        </w:rPr>
        <w:t xml:space="preserve"> the</w:t>
      </w:r>
    </w:p>
    <w:p w:rsidR="00E54088" w:rsidP="00E54088" w14:paraId="265FCDF3" w14:textId="77777777">
      <w:pPr>
        <w:pStyle w:val="StyleBoldCentered"/>
      </w:pPr>
      <w:r>
        <w:t>F</w:t>
      </w:r>
      <w:r>
        <w:rPr>
          <w:caps w:val="0"/>
        </w:rPr>
        <w:t>ederal Communications Commission</w:t>
      </w:r>
    </w:p>
    <w:p w:rsidR="00E54088" w:rsidP="00E54088" w14:paraId="446C981A" w14:textId="43A5B399">
      <w:pPr>
        <w:pStyle w:val="StyleBoldCentered"/>
        <w:rPr>
          <w:caps w:val="0"/>
        </w:rPr>
      </w:pPr>
      <w:r>
        <w:rPr>
          <w:caps w:val="0"/>
        </w:rPr>
        <w:t>Washington, D.C. 20554</w:t>
      </w:r>
    </w:p>
    <w:p w:rsidR="003F145E" w:rsidP="00E54088" w14:paraId="46E7DDC8" w14:textId="77777777">
      <w:pPr>
        <w:pStyle w:val="StyleBoldCentered"/>
      </w:pPr>
    </w:p>
    <w:p w:rsidR="00E54088" w:rsidP="00E54088" w14:paraId="1513F976" w14:textId="77777777"/>
    <w:tbl>
      <w:tblPr>
        <w:tblW w:w="0" w:type="auto"/>
        <w:tblLayout w:type="fixed"/>
        <w:tblLook w:val="0000"/>
      </w:tblPr>
      <w:tblGrid>
        <w:gridCol w:w="4698"/>
        <w:gridCol w:w="630"/>
        <w:gridCol w:w="4248"/>
      </w:tblGrid>
      <w:tr w14:paraId="792A508C" w14:textId="77777777" w:rsidTr="00895E16">
        <w:tblPrEx>
          <w:tblW w:w="0" w:type="auto"/>
          <w:tblLayout w:type="fixed"/>
          <w:tblLook w:val="0000"/>
        </w:tblPrEx>
        <w:tc>
          <w:tcPr>
            <w:tcW w:w="4698" w:type="dxa"/>
          </w:tcPr>
          <w:p w:rsidR="003F145E" w:rsidP="00895E16" w14:paraId="30A0CEB7" w14:textId="77777777">
            <w:pPr>
              <w:tabs>
                <w:tab w:val="center" w:pos="4680"/>
              </w:tabs>
              <w:suppressAutoHyphens/>
              <w:rPr>
                <w:spacing w:val="-2"/>
              </w:rPr>
            </w:pPr>
            <w:r>
              <w:rPr>
                <w:spacing w:val="-2"/>
              </w:rPr>
              <w:t>In the Matter of</w:t>
            </w:r>
          </w:p>
          <w:p w:rsidR="003F145E" w:rsidP="00895E16" w14:paraId="242701F2" w14:textId="77777777">
            <w:pPr>
              <w:tabs>
                <w:tab w:val="center" w:pos="4680"/>
              </w:tabs>
              <w:suppressAutoHyphens/>
              <w:rPr>
                <w:spacing w:val="-2"/>
              </w:rPr>
            </w:pPr>
          </w:p>
          <w:p w:rsidR="003F145E" w:rsidP="00895E16" w14:paraId="078274FD" w14:textId="77777777">
            <w:pPr>
              <w:tabs>
                <w:tab w:val="center" w:pos="4680"/>
              </w:tabs>
              <w:suppressAutoHyphens/>
              <w:rPr>
                <w:spacing w:val="-2"/>
              </w:rPr>
            </w:pPr>
            <w:r>
              <w:rPr>
                <w:spacing w:val="-2"/>
              </w:rPr>
              <w:t>Rules and Regulations Implementing the Telephone Consumer Protection Act of 1991</w:t>
            </w:r>
          </w:p>
          <w:p w:rsidR="003F145E" w:rsidP="00895E16" w14:paraId="32CEB9BF" w14:textId="77777777">
            <w:pPr>
              <w:tabs>
                <w:tab w:val="center" w:pos="4680"/>
              </w:tabs>
              <w:suppressAutoHyphens/>
              <w:rPr>
                <w:spacing w:val="-2"/>
              </w:rPr>
            </w:pPr>
          </w:p>
          <w:p w:rsidR="003F145E" w:rsidRPr="007115F7" w:rsidP="00895E16" w14:paraId="3FB891D4" w14:textId="77777777">
            <w:pPr>
              <w:tabs>
                <w:tab w:val="center" w:pos="4680"/>
              </w:tabs>
              <w:suppressAutoHyphens/>
              <w:rPr>
                <w:spacing w:val="-2"/>
              </w:rPr>
            </w:pPr>
            <w:r>
              <w:rPr>
                <w:spacing w:val="-2"/>
              </w:rPr>
              <w:t xml:space="preserve">U.S. Department of Health and Human Services Petition for Declaratory Ruling </w:t>
            </w:r>
          </w:p>
        </w:tc>
        <w:tc>
          <w:tcPr>
            <w:tcW w:w="630" w:type="dxa"/>
          </w:tcPr>
          <w:p w:rsidR="003F145E" w:rsidP="00895E16" w14:paraId="26BF49C2" w14:textId="77777777">
            <w:pPr>
              <w:tabs>
                <w:tab w:val="center" w:pos="4680"/>
              </w:tabs>
              <w:suppressAutoHyphens/>
              <w:rPr>
                <w:b/>
                <w:spacing w:val="-2"/>
              </w:rPr>
            </w:pPr>
            <w:r>
              <w:rPr>
                <w:b/>
                <w:spacing w:val="-2"/>
              </w:rPr>
              <w:t>)</w:t>
            </w:r>
          </w:p>
          <w:p w:rsidR="003F145E" w:rsidP="00895E16" w14:paraId="137D65DB" w14:textId="77777777">
            <w:pPr>
              <w:tabs>
                <w:tab w:val="center" w:pos="4680"/>
              </w:tabs>
              <w:suppressAutoHyphens/>
              <w:rPr>
                <w:b/>
                <w:spacing w:val="-2"/>
              </w:rPr>
            </w:pPr>
            <w:r>
              <w:rPr>
                <w:b/>
                <w:spacing w:val="-2"/>
              </w:rPr>
              <w:t>)</w:t>
            </w:r>
          </w:p>
          <w:p w:rsidR="003F145E" w:rsidP="00895E16" w14:paraId="4CB935E2" w14:textId="77777777">
            <w:pPr>
              <w:tabs>
                <w:tab w:val="center" w:pos="4680"/>
              </w:tabs>
              <w:suppressAutoHyphens/>
              <w:rPr>
                <w:b/>
                <w:spacing w:val="-2"/>
              </w:rPr>
            </w:pPr>
            <w:r>
              <w:rPr>
                <w:b/>
                <w:spacing w:val="-2"/>
              </w:rPr>
              <w:t>)</w:t>
            </w:r>
          </w:p>
          <w:p w:rsidR="003F145E" w:rsidP="00895E16" w14:paraId="78550932" w14:textId="77777777">
            <w:pPr>
              <w:tabs>
                <w:tab w:val="center" w:pos="4680"/>
              </w:tabs>
              <w:suppressAutoHyphens/>
              <w:rPr>
                <w:b/>
                <w:spacing w:val="-2"/>
              </w:rPr>
            </w:pPr>
            <w:r>
              <w:rPr>
                <w:b/>
                <w:spacing w:val="-2"/>
              </w:rPr>
              <w:t>)</w:t>
            </w:r>
          </w:p>
          <w:p w:rsidR="003F145E" w:rsidP="00895E16" w14:paraId="714ECB28" w14:textId="77777777">
            <w:pPr>
              <w:tabs>
                <w:tab w:val="center" w:pos="4680"/>
              </w:tabs>
              <w:suppressAutoHyphens/>
              <w:rPr>
                <w:b/>
                <w:spacing w:val="-2"/>
              </w:rPr>
            </w:pPr>
            <w:r>
              <w:rPr>
                <w:b/>
                <w:spacing w:val="-2"/>
              </w:rPr>
              <w:t>)</w:t>
            </w:r>
          </w:p>
          <w:p w:rsidR="003F145E" w:rsidP="00895E16" w14:paraId="76D4B171" w14:textId="77777777">
            <w:pPr>
              <w:tabs>
                <w:tab w:val="center" w:pos="4680"/>
              </w:tabs>
              <w:suppressAutoHyphens/>
              <w:rPr>
                <w:b/>
                <w:spacing w:val="-2"/>
              </w:rPr>
            </w:pPr>
            <w:r>
              <w:rPr>
                <w:b/>
                <w:spacing w:val="-2"/>
              </w:rPr>
              <w:t>)</w:t>
            </w:r>
          </w:p>
          <w:p w:rsidR="003F145E" w:rsidP="00895E16" w14:paraId="58A83C40" w14:textId="77777777">
            <w:pPr>
              <w:tabs>
                <w:tab w:val="center" w:pos="4680"/>
              </w:tabs>
              <w:suppressAutoHyphens/>
              <w:rPr>
                <w:b/>
                <w:spacing w:val="-2"/>
              </w:rPr>
            </w:pPr>
            <w:r>
              <w:rPr>
                <w:b/>
                <w:spacing w:val="-2"/>
              </w:rPr>
              <w:t>)</w:t>
            </w:r>
          </w:p>
          <w:p w:rsidR="003F145E" w:rsidP="00895E16" w14:paraId="491C5B5C" w14:textId="77777777">
            <w:pPr>
              <w:tabs>
                <w:tab w:val="center" w:pos="4680"/>
              </w:tabs>
              <w:suppressAutoHyphens/>
              <w:rPr>
                <w:spacing w:val="-2"/>
              </w:rPr>
            </w:pPr>
          </w:p>
        </w:tc>
        <w:tc>
          <w:tcPr>
            <w:tcW w:w="4248" w:type="dxa"/>
          </w:tcPr>
          <w:p w:rsidR="003F145E" w:rsidP="00895E16" w14:paraId="5FE9B8C7" w14:textId="77777777">
            <w:pPr>
              <w:tabs>
                <w:tab w:val="center" w:pos="4680"/>
              </w:tabs>
              <w:suppressAutoHyphens/>
              <w:rPr>
                <w:spacing w:val="-2"/>
              </w:rPr>
            </w:pPr>
          </w:p>
          <w:p w:rsidR="003F145E" w:rsidP="00895E16" w14:paraId="24629AC3" w14:textId="77777777">
            <w:pPr>
              <w:pStyle w:val="TOAHeading"/>
              <w:tabs>
                <w:tab w:val="center" w:pos="4680"/>
                <w:tab w:val="clear" w:pos="9360"/>
              </w:tabs>
              <w:rPr>
                <w:spacing w:val="-2"/>
              </w:rPr>
            </w:pPr>
          </w:p>
          <w:p w:rsidR="003F145E" w:rsidP="00895E16" w14:paraId="75D7F6F7" w14:textId="77777777">
            <w:pPr>
              <w:tabs>
                <w:tab w:val="center" w:pos="4680"/>
              </w:tabs>
              <w:suppressAutoHyphens/>
              <w:rPr>
                <w:spacing w:val="-2"/>
              </w:rPr>
            </w:pPr>
            <w:r>
              <w:rPr>
                <w:spacing w:val="-2"/>
              </w:rPr>
              <w:t>CG Docket No. 02-278</w:t>
            </w:r>
          </w:p>
        </w:tc>
      </w:tr>
    </w:tbl>
    <w:p w:rsidR="00E54088" w:rsidP="00E54088" w14:paraId="3A55D971" w14:textId="77777777"/>
    <w:p w:rsidR="00E54088" w:rsidP="00E54088" w14:paraId="15B2F5C2" w14:textId="77777777"/>
    <w:p w:rsidR="00E54088" w:rsidP="00E54088" w14:paraId="0D8ABEB7" w14:textId="77777777">
      <w:pPr>
        <w:pStyle w:val="StyleBoldCentered"/>
      </w:pPr>
      <w:r>
        <w:t>Declaratory Ruling</w:t>
      </w:r>
    </w:p>
    <w:p w:rsidR="00E54088" w:rsidP="00E54088" w14:paraId="1EC31E8A" w14:textId="77777777">
      <w:pPr>
        <w:tabs>
          <w:tab w:val="left" w:pos="-720"/>
        </w:tabs>
        <w:suppressAutoHyphens/>
        <w:spacing w:line="227" w:lineRule="auto"/>
        <w:rPr>
          <w:spacing w:val="-2"/>
        </w:rPr>
      </w:pPr>
    </w:p>
    <w:p w:rsidR="00E54088" w:rsidP="00E54088" w14:paraId="3E77667B" w14:textId="0EAD79A8">
      <w:pPr>
        <w:tabs>
          <w:tab w:val="left" w:pos="720"/>
          <w:tab w:val="right" w:pos="9360"/>
        </w:tabs>
        <w:suppressAutoHyphens/>
        <w:spacing w:line="227" w:lineRule="auto"/>
        <w:rPr>
          <w:spacing w:val="-2"/>
        </w:rPr>
      </w:pPr>
      <w:r>
        <w:rPr>
          <w:b/>
          <w:spacing w:val="-2"/>
        </w:rPr>
        <w:t xml:space="preserve">Adopted:  </w:t>
      </w:r>
      <w:r w:rsidR="004A36FB">
        <w:rPr>
          <w:b/>
          <w:spacing w:val="-2"/>
        </w:rPr>
        <w:t>January 23,</w:t>
      </w:r>
      <w:r>
        <w:rPr>
          <w:b/>
          <w:spacing w:val="-2"/>
        </w:rPr>
        <w:t xml:space="preserve"> 202</w:t>
      </w:r>
      <w:r w:rsidR="00DF3743">
        <w:rPr>
          <w:b/>
          <w:spacing w:val="-2"/>
        </w:rPr>
        <w:t>3</w:t>
      </w:r>
      <w:r>
        <w:rPr>
          <w:b/>
          <w:spacing w:val="-2"/>
        </w:rPr>
        <w:tab/>
        <w:t xml:space="preserve">Released:  </w:t>
      </w:r>
      <w:r w:rsidR="004A36FB">
        <w:rPr>
          <w:b/>
          <w:spacing w:val="-2"/>
        </w:rPr>
        <w:t>January 23,</w:t>
      </w:r>
      <w:r>
        <w:rPr>
          <w:b/>
          <w:spacing w:val="-2"/>
        </w:rPr>
        <w:t xml:space="preserve"> 202</w:t>
      </w:r>
      <w:r w:rsidR="00DF3743">
        <w:rPr>
          <w:b/>
          <w:spacing w:val="-2"/>
        </w:rPr>
        <w:t>3</w:t>
      </w:r>
    </w:p>
    <w:p w:rsidR="00E54088" w:rsidP="00E54088" w14:paraId="05A34811" w14:textId="77777777"/>
    <w:p w:rsidR="00E54088" w:rsidP="00E54088" w14:paraId="64105D4F" w14:textId="77777777">
      <w:pPr>
        <w:rPr>
          <w:spacing w:val="-2"/>
        </w:rPr>
      </w:pPr>
      <w:r>
        <w:t xml:space="preserve">By the </w:t>
      </w:r>
      <w:r>
        <w:rPr>
          <w:spacing w:val="-2"/>
        </w:rPr>
        <w:t>Chief, Consumer and Governmental Affairs Bureau:</w:t>
      </w:r>
    </w:p>
    <w:p w:rsidR="00E54088" w:rsidP="00E54088" w14:paraId="62D8952F" w14:textId="77777777">
      <w:pPr>
        <w:rPr>
          <w:spacing w:val="-2"/>
        </w:rPr>
      </w:pPr>
    </w:p>
    <w:p w:rsidR="00E54088" w:rsidP="00545909" w14:paraId="29E02516" w14:textId="77777777">
      <w:pPr>
        <w:pStyle w:val="Heading1"/>
      </w:pPr>
      <w:r w:rsidRPr="004C50BD">
        <w:t>Introduction</w:t>
      </w:r>
    </w:p>
    <w:p w:rsidR="00E54088" w:rsidP="00545909" w14:paraId="16FB7DE2" w14:textId="5059CA3C">
      <w:pPr>
        <w:pStyle w:val="ParaNum"/>
      </w:pPr>
      <w:r>
        <w:t xml:space="preserve">In this declaratory ruling, we </w:t>
      </w:r>
      <w:r w:rsidR="00FF7996">
        <w:t xml:space="preserve">apply Commission precedent to </w:t>
      </w:r>
      <w:r>
        <w:t xml:space="preserve">ensure that millions of Americans can receive the information they need to maintain enrollment in Medicaid and other governmental health care programs to avoid losing health care coverage.  </w:t>
      </w:r>
      <w:r w:rsidRPr="007E1FBF">
        <w:t xml:space="preserve">Specifically, we grant </w:t>
      </w:r>
      <w:r w:rsidR="00FF7996">
        <w:t xml:space="preserve">in significant part </w:t>
      </w:r>
      <w:r w:rsidRPr="007E1FBF">
        <w:t xml:space="preserve">the request of the U.S. Department of Health and Human Services (HHS) to confirm that federal and state governmental agencies </w:t>
      </w:r>
      <w:r>
        <w:t>working in conjunction with local governments</w:t>
      </w:r>
      <w:r w:rsidR="00915D60">
        <w:t xml:space="preserve">, </w:t>
      </w:r>
      <w:r w:rsidR="00D95E44">
        <w:t xml:space="preserve">governmental </w:t>
      </w:r>
      <w:r w:rsidR="00462B0D">
        <w:t>contractors</w:t>
      </w:r>
      <w:r w:rsidR="001A04BD">
        <w:t>,</w:t>
      </w:r>
      <w:r w:rsidR="00915D60">
        <w:t xml:space="preserve"> and managed care entities acting under contract with state governments </w:t>
      </w:r>
      <w:r>
        <w:t>may, under certain circumstances,</w:t>
      </w:r>
      <w:r w:rsidRPr="007E1FBF">
        <w:t xml:space="preserve"> make </w:t>
      </w:r>
      <w:r>
        <w:t xml:space="preserve">autodialed and prerecorded or artificial voice </w:t>
      </w:r>
      <w:r w:rsidRPr="007E1FBF">
        <w:t xml:space="preserve">calls </w:t>
      </w:r>
      <w:r w:rsidR="00A224E3">
        <w:t xml:space="preserve">or send </w:t>
      </w:r>
      <w:r w:rsidR="00632E1D">
        <w:t xml:space="preserve">autodialed </w:t>
      </w:r>
      <w:r w:rsidR="00A224E3">
        <w:t xml:space="preserve">text messages </w:t>
      </w:r>
      <w:r w:rsidRPr="007E1FBF">
        <w:t xml:space="preserve">to raise awareness of the </w:t>
      </w:r>
      <w:r>
        <w:t xml:space="preserve">eligibility and </w:t>
      </w:r>
      <w:r w:rsidRPr="007E1FBF">
        <w:t>enrollment requirements for these governmental health care programs without violating the Telephone Consumer Protection Act (TCPA).</w:t>
      </w:r>
      <w:r>
        <w:rPr>
          <w:vertAlign w:val="superscript"/>
        </w:rPr>
        <w:footnoteReference w:id="3"/>
      </w:r>
      <w:r w:rsidRPr="007E1FBF">
        <w:t xml:space="preserve">  </w:t>
      </w:r>
      <w:r w:rsidR="00FF3E37">
        <w:t xml:space="preserve">We also outline other ways </w:t>
      </w:r>
      <w:r w:rsidR="00E75055">
        <w:t xml:space="preserve">HHS and its partners can reach </w:t>
      </w:r>
      <w:r w:rsidR="00AE7E28">
        <w:t xml:space="preserve">consumers </w:t>
      </w:r>
      <w:r w:rsidR="001526B4">
        <w:t xml:space="preserve">without running afoul of the restrictions of </w:t>
      </w:r>
      <w:r w:rsidR="00AE7E28">
        <w:t>the TCPA.</w:t>
      </w:r>
    </w:p>
    <w:p w:rsidR="00E54088" w:rsidP="00545909" w14:paraId="4919061E" w14:textId="7E93BDBD">
      <w:pPr>
        <w:pStyle w:val="ParaNum"/>
        <w:widowControl/>
      </w:pPr>
      <w:r>
        <w:t>The federal health care policies implemented in response to the COVID-19 pandemic changed the eligibility requirements for Medicaid and other governmental health care programs.  Those changes have resulted in a substantial increase in participation in these programs.</w:t>
      </w:r>
      <w:r>
        <w:rPr>
          <w:rStyle w:val="FootnoteReference"/>
        </w:rPr>
        <w:footnoteReference w:id="4"/>
      </w:r>
      <w:r>
        <w:t xml:space="preserve">  </w:t>
      </w:r>
      <w:r w:rsidRPr="001C49C3">
        <w:t xml:space="preserve">When </w:t>
      </w:r>
      <w:r>
        <w:t>the government’s</w:t>
      </w:r>
      <w:r w:rsidRPr="001C49C3">
        <w:t xml:space="preserve"> continuous enrollment requirement, which ensure</w:t>
      </w:r>
      <w:r>
        <w:t>s</w:t>
      </w:r>
      <w:r w:rsidRPr="001C49C3">
        <w:t xml:space="preserve"> </w:t>
      </w:r>
      <w:r>
        <w:t xml:space="preserve">that </w:t>
      </w:r>
      <w:r w:rsidRPr="001C49C3">
        <w:t>individuals enrolled in Medicaid throughout the pandemic are not at risk of losing coverage</w:t>
      </w:r>
      <w:r w:rsidR="009F7566">
        <w:t>,</w:t>
      </w:r>
      <w:r w:rsidR="00DF3743">
        <w:t xml:space="preserve"> comes to an end,</w:t>
      </w:r>
      <w:r>
        <w:t xml:space="preserve"> </w:t>
      </w:r>
      <w:r w:rsidR="00DF3743">
        <w:t>m</w:t>
      </w:r>
      <w:r w:rsidRPr="001C49C3">
        <w:t xml:space="preserve">illions of </w:t>
      </w:r>
      <w:r>
        <w:t>Americans</w:t>
      </w:r>
      <w:r w:rsidRPr="001C49C3">
        <w:t xml:space="preserve"> will need to complete renewals necessary to redetermine their eligibility to remain in the program, a process complicated by</w:t>
      </w:r>
      <w:r>
        <w:t xml:space="preserve"> staff shortages </w:t>
      </w:r>
      <w:r w:rsidRPr="001C49C3">
        <w:t>at state agencies</w:t>
      </w:r>
      <w:r w:rsidR="00ED1462">
        <w:t xml:space="preserve"> that administer the Medicaid program</w:t>
      </w:r>
      <w:r w:rsidRPr="001C49C3">
        <w:t>.</w:t>
      </w:r>
      <w:r>
        <w:rPr>
          <w:rStyle w:val="FootnoteReference"/>
        </w:rPr>
        <w:footnoteReference w:id="5"/>
      </w:r>
      <w:r>
        <w:t xml:space="preserve">  </w:t>
      </w:r>
      <w:r w:rsidR="00690579">
        <w:t>In t</w:t>
      </w:r>
      <w:r>
        <w:t>his declaratory ruling</w:t>
      </w:r>
      <w:r w:rsidR="00690579">
        <w:t>, we</w:t>
      </w:r>
      <w:r>
        <w:t xml:space="preserve"> help eligible consumers avoid </w:t>
      </w:r>
      <w:r w:rsidRPr="002D5398">
        <w:t xml:space="preserve">coverage losses </w:t>
      </w:r>
      <w:r>
        <w:t xml:space="preserve">by confirming that federal and state </w:t>
      </w:r>
      <w:r w:rsidRPr="002D5398">
        <w:t xml:space="preserve">governmental agencies and their </w:t>
      </w:r>
      <w:r w:rsidR="00451C12">
        <w:t xml:space="preserve">contractual </w:t>
      </w:r>
      <w:r w:rsidRPr="002D5398">
        <w:t>partners</w:t>
      </w:r>
      <w:r>
        <w:t xml:space="preserve"> can communicate</w:t>
      </w:r>
      <w:r w:rsidRPr="002D5398">
        <w:t xml:space="preserve"> via automated calls and text </w:t>
      </w:r>
      <w:r w:rsidRPr="002D5398">
        <w:t>messages or prerecorded voice message</w:t>
      </w:r>
      <w:r>
        <w:t xml:space="preserve"> call</w:t>
      </w:r>
      <w:r w:rsidRPr="002D5398">
        <w:t xml:space="preserve">s with </w:t>
      </w:r>
      <w:r>
        <w:t xml:space="preserve">program </w:t>
      </w:r>
      <w:r w:rsidRPr="002D5398">
        <w:t xml:space="preserve">enrollees about the steps </w:t>
      </w:r>
      <w:r>
        <w:t>necessary</w:t>
      </w:r>
      <w:r w:rsidRPr="002D5398">
        <w:t xml:space="preserve"> to retain enrollment in these health c</w:t>
      </w:r>
      <w:r>
        <w:t>are</w:t>
      </w:r>
      <w:r w:rsidRPr="002D5398">
        <w:t xml:space="preserve"> programs</w:t>
      </w:r>
      <w:r>
        <w:t>.</w:t>
      </w:r>
    </w:p>
    <w:p w:rsidR="00E54088" w:rsidP="00545909" w14:paraId="600C7D85" w14:textId="77777777">
      <w:pPr>
        <w:pStyle w:val="Heading1"/>
      </w:pPr>
      <w:r>
        <w:t>Background</w:t>
      </w:r>
    </w:p>
    <w:p w:rsidR="00E54088" w:rsidP="00545909" w14:paraId="5A38423D" w14:textId="77777777">
      <w:pPr>
        <w:pStyle w:val="Heading2"/>
      </w:pPr>
      <w:r>
        <w:t>TCPA</w:t>
      </w:r>
    </w:p>
    <w:p w:rsidR="00E54088" w:rsidP="00B11627" w14:paraId="3B51FFB8" w14:textId="142D4D9F">
      <w:pPr>
        <w:pStyle w:val="ParaNum"/>
      </w:pPr>
      <w:r w:rsidRPr="001F7B4A">
        <w:t xml:space="preserve">The TCPA generally requires “any person” making certain calls to </w:t>
      </w:r>
      <w:r>
        <w:t>obtain</w:t>
      </w:r>
      <w:r w:rsidRPr="001F7B4A">
        <w:t xml:space="preserve"> the recipient’s prior express consent before making the call</w:t>
      </w:r>
      <w:r>
        <w:t xml:space="preserve"> absent an emergency purpose</w:t>
      </w:r>
      <w:r w:rsidRPr="001F7B4A">
        <w:t>.</w:t>
      </w:r>
      <w:r>
        <w:rPr>
          <w:rStyle w:val="FootnoteReference"/>
        </w:rPr>
        <w:footnoteReference w:id="6"/>
      </w:r>
      <w:r w:rsidRPr="001F7B4A">
        <w:t xml:space="preserve">  </w:t>
      </w:r>
      <w:r>
        <w:t>In relevant part, the</w:t>
      </w:r>
      <w:r w:rsidRPr="001F7B4A">
        <w:t xml:space="preserve"> TCPA</w:t>
      </w:r>
      <w:r>
        <w:t>’s</w:t>
      </w:r>
      <w:r w:rsidRPr="001F7B4A">
        <w:t xml:space="preserve"> restriction</w:t>
      </w:r>
      <w:r>
        <w:t>s</w:t>
      </w:r>
      <w:r w:rsidRPr="001F7B4A">
        <w:t xml:space="preserve"> appl</w:t>
      </w:r>
      <w:r>
        <w:t>y</w:t>
      </w:r>
      <w:r w:rsidRPr="001F7B4A">
        <w:t xml:space="preserve"> to </w:t>
      </w:r>
      <w:r>
        <w:t>“robo</w:t>
      </w:r>
      <w:r w:rsidRPr="001F7B4A">
        <w:t>calls</w:t>
      </w:r>
      <w:r>
        <w:t>”</w:t>
      </w:r>
      <w:r w:rsidRPr="001F7B4A">
        <w:t xml:space="preserve"> made</w:t>
      </w:r>
      <w:r>
        <w:t xml:space="preserve">: </w:t>
      </w:r>
      <w:r w:rsidRPr="001F7B4A">
        <w:t xml:space="preserve"> (1) using an auto</w:t>
      </w:r>
      <w:r>
        <w:t>matic telephone dialing system</w:t>
      </w:r>
      <w:r w:rsidRPr="001F7B4A">
        <w:t xml:space="preserve"> or </w:t>
      </w:r>
      <w:r>
        <w:t xml:space="preserve">artificial or </w:t>
      </w:r>
      <w:r w:rsidRPr="001F7B4A">
        <w:t>prerecorded voice to a wireless phone</w:t>
      </w:r>
      <w:r>
        <w:t>;</w:t>
      </w:r>
      <w:r>
        <w:rPr>
          <w:rStyle w:val="FootnoteReference"/>
        </w:rPr>
        <w:footnoteReference w:id="7"/>
      </w:r>
      <w:r w:rsidRPr="001F7B4A">
        <w:t xml:space="preserve"> and (2) using an artificial or prerecorded voice to a residential</w:t>
      </w:r>
      <w:r>
        <w:t xml:space="preserve"> telephone line</w:t>
      </w:r>
      <w:r w:rsidRPr="001F7B4A">
        <w:t>.</w:t>
      </w:r>
      <w:r>
        <w:rPr>
          <w:vertAlign w:val="superscript"/>
        </w:rPr>
        <w:footnoteReference w:id="8"/>
      </w:r>
      <w:r w:rsidRPr="00370034">
        <w:t xml:space="preserve"> </w:t>
      </w:r>
      <w:r>
        <w:t xml:space="preserve"> </w:t>
      </w:r>
      <w:r w:rsidRPr="00D13258" w:rsidR="00784E6F">
        <w:t>Th</w:t>
      </w:r>
      <w:r w:rsidR="00784E6F">
        <w:t xml:space="preserve">e prohibition on using an </w:t>
      </w:r>
      <w:r w:rsidR="00784E6F">
        <w:t>autodialer</w:t>
      </w:r>
      <w:r w:rsidR="00784E6F">
        <w:t xml:space="preserve"> to call a wireless number also </w:t>
      </w:r>
      <w:r w:rsidRPr="00D13258" w:rsidR="00784E6F">
        <w:t>appl</w:t>
      </w:r>
      <w:r w:rsidR="00784E6F">
        <w:t>ies</w:t>
      </w:r>
      <w:r w:rsidRPr="00D13258" w:rsidR="00784E6F">
        <w:t xml:space="preserve"> to text messages sent using an </w:t>
      </w:r>
      <w:r w:rsidRPr="00D13258" w:rsidR="00784E6F">
        <w:t>autodialer</w:t>
      </w:r>
      <w:r w:rsidR="00784E6F">
        <w:t>.</w:t>
      </w:r>
      <w:r>
        <w:rPr>
          <w:rStyle w:val="FootnoteReference"/>
        </w:rPr>
        <w:footnoteReference w:id="9"/>
      </w:r>
      <w:r w:rsidR="00784E6F">
        <w:t xml:space="preserve">  </w:t>
      </w:r>
      <w:r w:rsidRPr="001F7B4A" w:rsidR="00A1248E">
        <w:t xml:space="preserve">If a robocall includes or introduces an advertisement or constitutes telemarketing, consent </w:t>
      </w:r>
      <w:r w:rsidR="00201354">
        <w:t xml:space="preserve">generally </w:t>
      </w:r>
      <w:r w:rsidRPr="001F7B4A" w:rsidR="00A1248E">
        <w:t>must be in writing</w:t>
      </w:r>
      <w:r w:rsidR="00C01EB4">
        <w:t>,</w:t>
      </w:r>
      <w:r w:rsidRPr="001F7B4A" w:rsidR="00A1248E">
        <w:t xml:space="preserve"> </w:t>
      </w:r>
      <w:r w:rsidR="00C01EB4">
        <w:t xml:space="preserve">after the caller makes </w:t>
      </w:r>
      <w:r w:rsidRPr="001F7B4A" w:rsidR="00A1248E">
        <w:t>certain disclosures</w:t>
      </w:r>
      <w:r w:rsidR="00A1248E">
        <w:t xml:space="preserve"> (i.e., “prior express written consent”)</w:t>
      </w:r>
      <w:r w:rsidRPr="001F7B4A" w:rsidR="00A1248E">
        <w:t>.</w:t>
      </w:r>
      <w:r>
        <w:rPr>
          <w:vertAlign w:val="superscript"/>
        </w:rPr>
        <w:footnoteReference w:id="10"/>
      </w:r>
      <w:r w:rsidR="00C01EB4">
        <w:t xml:space="preserve">  </w:t>
      </w:r>
      <w:r w:rsidR="004A5678">
        <w:t>And t</w:t>
      </w:r>
      <w:r w:rsidRPr="00370034">
        <w:t xml:space="preserve">he Commission has made clear </w:t>
      </w:r>
      <w:r>
        <w:t xml:space="preserve">that a consumer </w:t>
      </w:r>
      <w:r w:rsidR="00843E84">
        <w:t xml:space="preserve">simply </w:t>
      </w:r>
      <w:r>
        <w:t xml:space="preserve">providing their </w:t>
      </w:r>
      <w:r w:rsidRPr="001B7B4C">
        <w:t xml:space="preserve">telephone number constitutes </w:t>
      </w:r>
      <w:r>
        <w:t>their “</w:t>
      </w:r>
      <w:r w:rsidRPr="001B7B4C">
        <w:t>prior express consent</w:t>
      </w:r>
      <w:r>
        <w:t>”</w:t>
      </w:r>
      <w:r w:rsidRPr="001B7B4C">
        <w:t xml:space="preserve"> to be contacted at that number regarding information closely related to the purpose for which </w:t>
      </w:r>
      <w:r>
        <w:t xml:space="preserve">they </w:t>
      </w:r>
      <w:r w:rsidRPr="001B7B4C">
        <w:t xml:space="preserve">provided </w:t>
      </w:r>
      <w:r>
        <w:t xml:space="preserve">the number, </w:t>
      </w:r>
      <w:r w:rsidRPr="001B7B4C">
        <w:t>absent instructions to the contrary</w:t>
      </w:r>
      <w:r w:rsidRPr="00370034">
        <w:t>.</w:t>
      </w:r>
      <w:r>
        <w:rPr>
          <w:rStyle w:val="FootnoteReference"/>
        </w:rPr>
        <w:footnoteReference w:id="11"/>
      </w:r>
      <w:r>
        <w:t xml:space="preserve"> </w:t>
      </w:r>
      <w:r w:rsidRPr="001F7B4A">
        <w:t xml:space="preserve">   </w:t>
      </w:r>
    </w:p>
    <w:p w:rsidR="00E54088" w:rsidP="00E54088" w14:paraId="53CBFC5A" w14:textId="00C2B77A">
      <w:pPr>
        <w:pStyle w:val="ParaNum"/>
      </w:pPr>
      <w:r>
        <w:t>Separately</w:t>
      </w:r>
      <w:r w:rsidR="00C92952">
        <w:t>, t</w:t>
      </w:r>
      <w:r>
        <w:t xml:space="preserve">he Commission has </w:t>
      </w:r>
      <w:r w:rsidRPr="006075CE">
        <w:t>clarif</w:t>
      </w:r>
      <w:r>
        <w:t>ied</w:t>
      </w:r>
      <w:r w:rsidRPr="006075CE">
        <w:t xml:space="preserve"> that </w:t>
      </w:r>
      <w:r>
        <w:t xml:space="preserve">federal and </w:t>
      </w:r>
      <w:r w:rsidRPr="006075CE">
        <w:t>state government</w:t>
      </w:r>
      <w:r w:rsidR="004A5678">
        <w:t>s</w:t>
      </w:r>
      <w:r w:rsidRPr="006075CE">
        <w:t xml:space="preserve"> </w:t>
      </w:r>
      <w:r w:rsidR="001D01AB">
        <w:t xml:space="preserve">making </w:t>
      </w:r>
      <w:r w:rsidRPr="006075CE">
        <w:t>call</w:t>
      </w:r>
      <w:r w:rsidR="001D01AB">
        <w:t xml:space="preserve">s </w:t>
      </w:r>
      <w:r w:rsidRPr="006075CE">
        <w:t>in the conduct of official business do not fall within the meaning of “person” in section 227(b)(1)</w:t>
      </w:r>
      <w:r>
        <w:t>.</w:t>
      </w:r>
      <w:r>
        <w:rPr>
          <w:vertAlign w:val="superscript"/>
        </w:rPr>
        <w:footnoteReference w:id="12"/>
      </w:r>
      <w:r>
        <w:t xml:space="preserve">  As a </w:t>
      </w:r>
      <w:r>
        <w:t xml:space="preserve">result, federal and state governmental callers </w:t>
      </w:r>
      <w:r w:rsidR="004A5678">
        <w:t xml:space="preserve">and texters </w:t>
      </w:r>
      <w:r>
        <w:t xml:space="preserve">are not subject to the TCPA’s prohibitions on using </w:t>
      </w:r>
      <w:r w:rsidR="00085358">
        <w:t xml:space="preserve">automated equipment </w:t>
      </w:r>
      <w:r>
        <w:t xml:space="preserve">without the prior express consent of the called party.  </w:t>
      </w:r>
      <w:r w:rsidR="00776F29">
        <w:t xml:space="preserve">On the other hand, </w:t>
      </w:r>
      <w:r>
        <w:t>contractor</w:t>
      </w:r>
      <w:r w:rsidR="00776F29">
        <w:t>s</w:t>
      </w:r>
      <w:r>
        <w:t xml:space="preserve"> making calls on behalf of </w:t>
      </w:r>
      <w:r w:rsidR="00520378">
        <w:t xml:space="preserve">such governments, along with </w:t>
      </w:r>
      <w:r>
        <w:t>local governmental entities</w:t>
      </w:r>
      <w:r w:rsidR="00520378">
        <w:t xml:space="preserve"> and their contractors</w:t>
      </w:r>
      <w:r>
        <w:t>, are</w:t>
      </w:r>
      <w:r>
        <w:t xml:space="preserve"> </w:t>
      </w:r>
      <w:r w:rsidR="001C1E0A">
        <w:t>“</w:t>
      </w:r>
      <w:r>
        <w:t>person</w:t>
      </w:r>
      <w:r w:rsidR="00520378">
        <w:t>s</w:t>
      </w:r>
      <w:r>
        <w:t>” subject to the TCPA</w:t>
      </w:r>
      <w:r w:rsidR="00FB2B70">
        <w:t>,</w:t>
      </w:r>
      <w:r>
        <w:t xml:space="preserve"> except in those cases where the federal or state government </w:t>
      </w:r>
      <w:r w:rsidR="00384CC4">
        <w:t xml:space="preserve">is </w:t>
      </w:r>
      <w:r>
        <w:t>so involved in placing the call as to be deemed to have initiated it.</w:t>
      </w:r>
      <w:r>
        <w:rPr>
          <w:rStyle w:val="FootnoteReference"/>
        </w:rPr>
        <w:footnoteReference w:id="13"/>
      </w:r>
      <w:r>
        <w:t xml:space="preserve"> </w:t>
      </w:r>
    </w:p>
    <w:p w:rsidR="00E54088" w:rsidP="00545909" w14:paraId="539CDF9C" w14:textId="77777777">
      <w:pPr>
        <w:pStyle w:val="Heading2"/>
      </w:pPr>
      <w:r>
        <w:t>HHS Letter</w:t>
      </w:r>
    </w:p>
    <w:p w:rsidR="00E54088" w:rsidP="00E54088" w14:paraId="443B587C" w14:textId="77777777">
      <w:pPr>
        <w:pStyle w:val="ParaNum"/>
      </w:pPr>
      <w:r>
        <w:t>On April 28, 2022, HHS filed a letter requesting clarification that automated calls and texts or prerecorded telephone calls made to encourage individuals to renew enrollment with their state Medicaid program, Children’s Health Insurance Program (CHIP), Basic Health Program (BHP), or Health Insurance Marketplace (Marketplace) are permissible under the TCPA.</w:t>
      </w:r>
      <w:r>
        <w:rPr>
          <w:rStyle w:val="FootnoteReference"/>
        </w:rPr>
        <w:footnoteReference w:id="14"/>
      </w:r>
      <w:r>
        <w:t xml:space="preserve">  HHS notes that the continuous enrollment requirement in Medicaid imposed by the public health emergency “extends through the end of the month in which the public health emergency ends, and state agencies may begin to terminate coverage for ineligible individuals at that time.”</w:t>
      </w:r>
      <w:r>
        <w:rPr>
          <w:rStyle w:val="FootnoteReference"/>
        </w:rPr>
        <w:footnoteReference w:id="15"/>
      </w:r>
      <w:r>
        <w:t xml:space="preserve">  HHS indicates that millions of vulnerable Americans risk losing Medicaid coverage when the public health emergency relating to the COVID-19 pandemic ends.</w:t>
      </w:r>
      <w:r>
        <w:rPr>
          <w:rStyle w:val="FootnoteReference"/>
        </w:rPr>
        <w:footnoteReference w:id="16"/>
      </w:r>
      <w:r>
        <w:t xml:space="preserve">  HHS contends that these coverage losses can be avoided if state governmental agencies and their partners are able to communicate via automated calls and text messages or prerecorded voice messages with enrollees about the steps required to retain their enrollment in these health coverage programs.</w:t>
      </w:r>
      <w:r>
        <w:rPr>
          <w:rStyle w:val="FootnoteReference"/>
        </w:rPr>
        <w:footnoteReference w:id="17"/>
      </w:r>
      <w:r>
        <w:t xml:space="preserve">  </w:t>
      </w:r>
    </w:p>
    <w:p w:rsidR="00E54088" w:rsidP="00E54088" w14:paraId="33BE6DB5" w14:textId="727478BA">
      <w:pPr>
        <w:pStyle w:val="ParaNum"/>
      </w:pPr>
      <w:r>
        <w:t xml:space="preserve">HHS notes that many state agencies and their partners, including local governments, contractors, and managed care entities under contract with state agencies, are considering the use of robocalls </w:t>
      </w:r>
      <w:r w:rsidR="00682D61">
        <w:t xml:space="preserve">and </w:t>
      </w:r>
      <w:r w:rsidR="00682D61">
        <w:t>robotexts</w:t>
      </w:r>
      <w:r w:rsidR="00682D61">
        <w:t xml:space="preserve"> </w:t>
      </w:r>
      <w:r>
        <w:t xml:space="preserve">to remind </w:t>
      </w:r>
      <w:r w:rsidR="006B1865">
        <w:t>enrol</w:t>
      </w:r>
      <w:r w:rsidR="000E04BF">
        <w:t>l</w:t>
      </w:r>
      <w:r w:rsidR="006B1865">
        <w:t xml:space="preserve">ees </w:t>
      </w:r>
      <w:r>
        <w:t>to respond to requests from Medicaid agencies to renew their enrollment during three phases of this process.</w:t>
      </w:r>
      <w:r>
        <w:rPr>
          <w:rStyle w:val="FootnoteReference"/>
        </w:rPr>
        <w:footnoteReference w:id="18"/>
      </w:r>
      <w:r>
        <w:t xml:space="preserve">  During the first phase, all Medicaid enrollees, along with CHIP and BHP enrollees whose most recent renewal has been delayed due to the public health emergency, may receive text messages or prerecorded calls reminding them to contact their program to </w:t>
      </w:r>
      <w:r>
        <w:t>ensure their contact information is up to date.</w:t>
      </w:r>
      <w:r>
        <w:rPr>
          <w:rStyle w:val="FootnoteReference"/>
        </w:rPr>
        <w:footnoteReference w:id="19"/>
      </w:r>
      <w:r>
        <w:t xml:space="preserve">  In the second phase, when renewals are being processed for Medicaid enrollees, along with regular annual renewals for CHIP and BHP enrollees, some individuals will need to provide additional information, such as updated income information to complete the redetermination of eligibility.</w:t>
      </w:r>
      <w:r>
        <w:rPr>
          <w:rStyle w:val="FootnoteReference"/>
        </w:rPr>
        <w:footnoteReference w:id="20"/>
      </w:r>
      <w:r>
        <w:t xml:space="preserve">  These individuals may receive text messages or prerecorded calls reminding them to respond to their program.</w:t>
      </w:r>
      <w:r>
        <w:rPr>
          <w:rStyle w:val="FootnoteReference"/>
        </w:rPr>
        <w:footnoteReference w:id="21"/>
      </w:r>
      <w:r>
        <w:t xml:space="preserve">  If they do not respond, these individuals may receive another reminder.</w:t>
      </w:r>
      <w:r>
        <w:rPr>
          <w:rStyle w:val="FootnoteReference"/>
        </w:rPr>
        <w:footnoteReference w:id="22"/>
      </w:r>
      <w:r>
        <w:t xml:space="preserve">  </w:t>
      </w:r>
    </w:p>
    <w:p w:rsidR="00E54088" w:rsidP="00E54088" w14:paraId="2B83785F" w14:textId="1C8FE4F0">
      <w:pPr>
        <w:pStyle w:val="ParaNum"/>
      </w:pPr>
      <w:r>
        <w:t>Lastly, in the event a determination is made that an individual is no longer eligible for the program for which they have enrolled, during the final phase, the individual may receive text messages or prerecorded calls explaining the actions that they can take to enroll in another health coverage program.</w:t>
      </w:r>
      <w:r>
        <w:rPr>
          <w:rStyle w:val="FootnoteReference"/>
        </w:rPr>
        <w:footnoteReference w:id="23"/>
      </w:r>
      <w:r>
        <w:t xml:space="preserve">  HHS </w:t>
      </w:r>
      <w:r w:rsidR="005F72BB">
        <w:t>indicates</w:t>
      </w:r>
      <w:r>
        <w:t xml:space="preserve"> that no more than six to eight individual calls or messages will be made to any individual enrollee;</w:t>
      </w:r>
      <w:r>
        <w:rPr>
          <w:rStyle w:val="FootnoteReference"/>
        </w:rPr>
        <w:footnoteReference w:id="24"/>
      </w:r>
      <w:r>
        <w:t xml:space="preserve"> once an enrollee has responded with the requested information, or has enrolled in another health care coverage program, the individual should not receive any additional calls or text messages.</w:t>
      </w:r>
      <w:r>
        <w:rPr>
          <w:rStyle w:val="FootnoteReference"/>
        </w:rPr>
        <w:footnoteReference w:id="25"/>
      </w:r>
    </w:p>
    <w:p w:rsidR="00E54088" w:rsidP="00E54088" w14:paraId="6DAD9027" w14:textId="29B825AE">
      <w:pPr>
        <w:pStyle w:val="ParaNum"/>
      </w:pPr>
      <w:r>
        <w:t xml:space="preserve">HHS </w:t>
      </w:r>
      <w:r w:rsidR="001F2961">
        <w:t xml:space="preserve">offers two reasons </w:t>
      </w:r>
      <w:r w:rsidR="004C0392">
        <w:t>supporting its request</w:t>
      </w:r>
      <w:r>
        <w:t xml:space="preserve">.  </w:t>
      </w:r>
      <w:r w:rsidRPr="00055E3F">
        <w:t xml:space="preserve">First, HHS contends </w:t>
      </w:r>
      <w:bookmarkStart w:id="9" w:name="_Hlk105157399"/>
      <w:r w:rsidRPr="00055E3F">
        <w:t xml:space="preserve">that </w:t>
      </w:r>
      <w:r w:rsidR="00A8296F">
        <w:t xml:space="preserve">a consumer </w:t>
      </w:r>
      <w:r w:rsidRPr="00055E3F">
        <w:t>prov</w:t>
      </w:r>
      <w:r w:rsidR="004F31F1">
        <w:t xml:space="preserve">iding their </w:t>
      </w:r>
      <w:r w:rsidRPr="00055E3F">
        <w:t xml:space="preserve">telephone number </w:t>
      </w:r>
      <w:r w:rsidR="004F31F1">
        <w:t xml:space="preserve">when </w:t>
      </w:r>
      <w:r w:rsidRPr="00055E3F">
        <w:t>appl</w:t>
      </w:r>
      <w:r w:rsidR="004F31F1">
        <w:t xml:space="preserve">ying </w:t>
      </w:r>
      <w:r w:rsidRPr="00055E3F">
        <w:t xml:space="preserve">for a </w:t>
      </w:r>
      <w:r>
        <w:t xml:space="preserve">governmental </w:t>
      </w:r>
      <w:r w:rsidRPr="00055E3F">
        <w:t>health</w:t>
      </w:r>
      <w:r>
        <w:t xml:space="preserve"> </w:t>
      </w:r>
      <w:r w:rsidRPr="00055E3F">
        <w:t>care program constitutes prior express consent to be contacted at that telephone number</w:t>
      </w:r>
      <w:bookmarkEnd w:id="9"/>
      <w:r w:rsidRPr="00055E3F">
        <w:t xml:space="preserve"> regarding eligibility for and </w:t>
      </w:r>
      <w:r>
        <w:t xml:space="preserve">ongoing </w:t>
      </w:r>
      <w:r w:rsidRPr="00055E3F">
        <w:t>enrollment in the program.</w:t>
      </w:r>
      <w:r>
        <w:rPr>
          <w:vertAlign w:val="superscript"/>
        </w:rPr>
        <w:footnoteReference w:id="26"/>
      </w:r>
      <w:r>
        <w:t xml:space="preserve">  Second, </w:t>
      </w:r>
      <w:r w:rsidRPr="00055E3F">
        <w:t xml:space="preserve">HHS </w:t>
      </w:r>
      <w:r w:rsidR="00383D58">
        <w:t xml:space="preserve">urges </w:t>
      </w:r>
      <w:r w:rsidRPr="00055E3F">
        <w:t xml:space="preserve">that, because federal and state agencies are so involved in placing these calls by determining the content, timing, and recipient of the call or text message, the federal </w:t>
      </w:r>
      <w:r>
        <w:t>or</w:t>
      </w:r>
      <w:r w:rsidRPr="00055E3F">
        <w:t xml:space="preserve"> state government is the maker of the call under the TCPA even if a third party is involved.</w:t>
      </w:r>
      <w:r>
        <w:rPr>
          <w:vertAlign w:val="superscript"/>
        </w:rPr>
        <w:footnoteReference w:id="27"/>
      </w:r>
      <w:r w:rsidRPr="00055E3F">
        <w:t xml:space="preserve">  </w:t>
      </w:r>
    </w:p>
    <w:p w:rsidR="00E54088" w:rsidP="00E54088" w14:paraId="3680187D" w14:textId="77777777">
      <w:pPr>
        <w:pStyle w:val="ParaNum"/>
      </w:pPr>
      <w:r>
        <w:t>On May 3, 2022, the Commission released a Public Notice seeking comments on the issues raised in the HHS Letter.</w:t>
      </w:r>
      <w:r>
        <w:rPr>
          <w:rStyle w:val="FootnoteReference"/>
        </w:rPr>
        <w:footnoteReference w:id="28"/>
      </w:r>
      <w:r>
        <w:t xml:space="preserve">  A wide variety of commenters including non-profit organizations, governmental entities, health insurance providers, and consumer groups expressed support for HHS’ requested clarification.</w:t>
      </w:r>
      <w:r>
        <w:rPr>
          <w:rStyle w:val="FootnoteReference"/>
        </w:rPr>
        <w:footnoteReference w:id="29"/>
      </w:r>
      <w:r>
        <w:t xml:space="preserve">  In general, these commenters reiterate that millions of the most vulnerable Americans risk losing important health care benefits when the public health emergency comes to an end.</w:t>
      </w:r>
      <w:r>
        <w:rPr>
          <w:rStyle w:val="FootnoteReference"/>
        </w:rPr>
        <w:footnoteReference w:id="30"/>
      </w:r>
      <w:r>
        <w:t xml:space="preserve">  These commenters indicate that the use of autodialed calls and text messages are highly effective in reaching the most vulnerable groups such as low-income, elderly, and non-English speaking individuals with the information that they require to maintain these health care benefits.</w:t>
      </w:r>
      <w:r>
        <w:rPr>
          <w:rStyle w:val="FootnoteReference"/>
        </w:rPr>
        <w:footnoteReference w:id="31"/>
      </w:r>
      <w:r>
        <w:t xml:space="preserve">  Although in agreement </w:t>
      </w:r>
      <w:r>
        <w:t>with HHS</w:t>
      </w:r>
      <w:r w:rsidRPr="00A02358">
        <w:t xml:space="preserve"> that the provision of a telephone number upon application for a governmental health care program constitutes prior express consent </w:t>
      </w:r>
      <w:r>
        <w:t xml:space="preserve">under existing Commission precedent, NCLC suggests that </w:t>
      </w:r>
      <w:r w:rsidRPr="00B140D8">
        <w:t>the</w:t>
      </w:r>
      <w:r>
        <w:t xml:space="preserve"> </w:t>
      </w:r>
      <w:r w:rsidRPr="00B140D8">
        <w:t>be</w:t>
      </w:r>
      <w:r>
        <w:t>tter</w:t>
      </w:r>
      <w:r w:rsidRPr="00B140D8">
        <w:t xml:space="preserve"> </w:t>
      </w:r>
      <w:r>
        <w:t>grounds for relief when such telephone numbers have been reassigned to other users</w:t>
      </w:r>
      <w:r w:rsidRPr="00B140D8">
        <w:t xml:space="preserve"> </w:t>
      </w:r>
      <w:r>
        <w:t>is</w:t>
      </w:r>
      <w:r w:rsidRPr="00B140D8">
        <w:t xml:space="preserve"> </w:t>
      </w:r>
      <w:bookmarkStart w:id="10" w:name="_Hlk105152583"/>
      <w:r>
        <w:t>a</w:t>
      </w:r>
      <w:r w:rsidRPr="00B140D8">
        <w:t xml:space="preserve"> free-to-end-user exemption </w:t>
      </w:r>
      <w:r>
        <w:t>rather than deeming the federal or state government the maker of the call</w:t>
      </w:r>
      <w:bookmarkEnd w:id="10"/>
      <w:r>
        <w:t>.</w:t>
      </w:r>
      <w:r>
        <w:rPr>
          <w:rStyle w:val="FootnoteReference"/>
        </w:rPr>
        <w:footnoteReference w:id="32"/>
      </w:r>
      <w:r>
        <w:t xml:space="preserve">  Two commenters express concerns that granting HHS’ request will result in an increased number of unwanted robocalls absent limitations to avoid abuse.</w:t>
      </w:r>
      <w:r>
        <w:rPr>
          <w:rStyle w:val="FootnoteReference"/>
        </w:rPr>
        <w:footnoteReference w:id="33"/>
      </w:r>
      <w:r>
        <w:t xml:space="preserve"> </w:t>
      </w:r>
    </w:p>
    <w:p w:rsidR="00E54088" w:rsidP="00545909" w14:paraId="6B3831AC" w14:textId="77777777">
      <w:pPr>
        <w:pStyle w:val="Heading1"/>
      </w:pPr>
      <w:r>
        <w:t>Discussion</w:t>
      </w:r>
    </w:p>
    <w:p w:rsidR="00E54088" w:rsidP="00E54088" w14:paraId="65D69183" w14:textId="7B8B5212">
      <w:pPr>
        <w:pStyle w:val="ParaNum"/>
      </w:pPr>
      <w:r w:rsidRPr="00C24B86">
        <w:t>A critical component of the nation</w:t>
      </w:r>
      <w:r>
        <w:t>’</w:t>
      </w:r>
      <w:r w:rsidRPr="00C24B86">
        <w:t>s efforts to address th</w:t>
      </w:r>
      <w:r>
        <w:t xml:space="preserve">e </w:t>
      </w:r>
      <w:r w:rsidR="00FD7C7D">
        <w:t>COVID-19 pandemic</w:t>
      </w:r>
      <w:r w:rsidRPr="00C24B86">
        <w:t xml:space="preserve"> is the ability of </w:t>
      </w:r>
      <w:r>
        <w:t>governmental agencies</w:t>
      </w:r>
      <w:r w:rsidRPr="00C24B86">
        <w:t xml:space="preserve"> to communicate effectively with the public.</w:t>
      </w:r>
      <w:r>
        <w:rPr>
          <w:rStyle w:val="FootnoteReference"/>
        </w:rPr>
        <w:footnoteReference w:id="34"/>
      </w:r>
      <w:r>
        <w:t xml:space="preserve">  As states resume routine renewals and other eligibility actions relating to governmental health care programs, their ability to communicate with Medicaid, CHIP, and BHP enrollees will be critical to successful retention of health care coverage for eligible enrollees. </w:t>
      </w:r>
      <w:r w:rsidRPr="002D5398">
        <w:t xml:space="preserve"> </w:t>
      </w:r>
    </w:p>
    <w:p w:rsidR="00E54088" w:rsidP="008E394D" w14:paraId="73993C82" w14:textId="1E54252E">
      <w:pPr>
        <w:pStyle w:val="ParaNum"/>
      </w:pPr>
      <w:r>
        <w:t>In this declaratory ruling</w:t>
      </w:r>
      <w:r w:rsidRPr="002D5398">
        <w:t xml:space="preserve">, </w:t>
      </w:r>
      <w:r>
        <w:t>w</w:t>
      </w:r>
      <w:r w:rsidRPr="002D5398">
        <w:t xml:space="preserve">e </w:t>
      </w:r>
      <w:r w:rsidRPr="00772A6B" w:rsidR="00E50313">
        <w:t xml:space="preserve">confirm that </w:t>
      </w:r>
      <w:r w:rsidR="004E4868">
        <w:t>enrollees’</w:t>
      </w:r>
      <w:r w:rsidRPr="00772A6B" w:rsidR="00E50313">
        <w:t xml:space="preserve"> provision of a telephone number on an application for coverage in Medicaid or other government health care programs constitutes prior express consent to be contacted at that number regarding </w:t>
      </w:r>
      <w:r w:rsidR="00216924">
        <w:t>enrollment eligibility and the other reasons HHS</w:t>
      </w:r>
      <w:r w:rsidR="00845DFF">
        <w:t xml:space="preserve"> describes in its </w:t>
      </w:r>
      <w:r w:rsidR="00216924">
        <w:t xml:space="preserve">petition because </w:t>
      </w:r>
      <w:r w:rsidR="00CA1BFA">
        <w:t xml:space="preserve">the purpose of those calls and texts </w:t>
      </w:r>
      <w:r w:rsidR="00216924">
        <w:t xml:space="preserve">is </w:t>
      </w:r>
      <w:r w:rsidRPr="00772A6B" w:rsidR="00E50313">
        <w:t xml:space="preserve">closely related to the purpose for which the </w:t>
      </w:r>
      <w:r w:rsidR="00B87009">
        <w:t xml:space="preserve">enrollees provided their </w:t>
      </w:r>
      <w:r w:rsidRPr="00772A6B" w:rsidR="00E50313">
        <w:t>number</w:t>
      </w:r>
      <w:r w:rsidR="00B87009">
        <w:t>s.</w:t>
      </w:r>
      <w:r w:rsidR="008E394D">
        <w:t xml:space="preserve">  </w:t>
      </w:r>
      <w:r w:rsidR="00793C6E">
        <w:t xml:space="preserve">And </w:t>
      </w:r>
      <w:r w:rsidR="008E394D">
        <w:t xml:space="preserve">we </w:t>
      </w:r>
      <w:r>
        <w:t>reiterate</w:t>
      </w:r>
      <w:r w:rsidRPr="002D5398">
        <w:t xml:space="preserve"> that</w:t>
      </w:r>
      <w:r w:rsidR="00793C6E">
        <w:t xml:space="preserve">, </w:t>
      </w:r>
      <w:r w:rsidR="007D3800">
        <w:t>when the enrolle</w:t>
      </w:r>
      <w:r w:rsidR="001256F2">
        <w:t>e</w:t>
      </w:r>
      <w:r w:rsidR="007D3800">
        <w:t xml:space="preserve"> is no longer at that number or </w:t>
      </w:r>
      <w:r w:rsidR="00D44271">
        <w:t xml:space="preserve">did not provide a number in the first place, </w:t>
      </w:r>
      <w:r w:rsidRPr="002D5398">
        <w:t xml:space="preserve">federal and state governmental agencies </w:t>
      </w:r>
      <w:r w:rsidR="00D44271">
        <w:t xml:space="preserve">may nevertheless use </w:t>
      </w:r>
      <w:r w:rsidR="00D44271">
        <w:t>auto</w:t>
      </w:r>
      <w:r w:rsidR="001C62DA">
        <w:t>dialers</w:t>
      </w:r>
      <w:r w:rsidR="001C62DA">
        <w:t xml:space="preserve"> to </w:t>
      </w:r>
      <w:r w:rsidR="00A6309D">
        <w:t xml:space="preserve">call or send the text to </w:t>
      </w:r>
      <w:r w:rsidR="004C114C">
        <w:t>reach those enrollees</w:t>
      </w:r>
      <w:r w:rsidR="00812705">
        <w:t xml:space="preserve">, despite a lack of </w:t>
      </w:r>
      <w:r w:rsidR="004C114C">
        <w:t>prior express consent</w:t>
      </w:r>
      <w:r w:rsidRPr="002D5398">
        <w:t>.</w:t>
      </w:r>
      <w:r>
        <w:rPr>
          <w:rStyle w:val="FootnoteReference"/>
        </w:rPr>
        <w:footnoteReference w:id="35"/>
      </w:r>
      <w:r w:rsidRPr="002D5398">
        <w:t xml:space="preserve">  </w:t>
      </w:r>
      <w:r w:rsidR="005710DC">
        <w:t xml:space="preserve">We also </w:t>
      </w:r>
      <w:r w:rsidR="00845DFF">
        <w:t xml:space="preserve">emphasize </w:t>
      </w:r>
      <w:r w:rsidR="005710DC">
        <w:t>that</w:t>
      </w:r>
      <w:r>
        <w:t xml:space="preserve"> callers </w:t>
      </w:r>
      <w:r w:rsidR="001256F2">
        <w:t xml:space="preserve">and texters </w:t>
      </w:r>
      <w:r w:rsidR="005710DC">
        <w:t xml:space="preserve">have </w:t>
      </w:r>
      <w:r w:rsidR="00911B13">
        <w:t>other</w:t>
      </w:r>
      <w:r w:rsidR="005710DC">
        <w:t xml:space="preserve"> </w:t>
      </w:r>
      <w:r w:rsidRPr="00772A6B">
        <w:t>options to contact enrollees</w:t>
      </w:r>
      <w:r>
        <w:t xml:space="preserve"> without running afoul of the TCPA.</w:t>
      </w:r>
      <w:r>
        <w:rPr>
          <w:rStyle w:val="FootnoteReference"/>
        </w:rPr>
        <w:footnoteReference w:id="36"/>
      </w:r>
      <w:r>
        <w:t xml:space="preserve">  </w:t>
      </w:r>
      <w:r w:rsidR="000B5EF4">
        <w:t xml:space="preserve">Our </w:t>
      </w:r>
      <w:r w:rsidR="00BC38A6">
        <w:t>clarification</w:t>
      </w:r>
      <w:r w:rsidR="000B5EF4">
        <w:t xml:space="preserve"> </w:t>
      </w:r>
      <w:r w:rsidR="00D93A14">
        <w:t xml:space="preserve">will </w:t>
      </w:r>
      <w:r w:rsidR="00BC38A6">
        <w:t>enable</w:t>
      </w:r>
      <w:r w:rsidR="00D93A14">
        <w:t xml:space="preserve"> </w:t>
      </w:r>
      <w:r w:rsidR="008A1A29">
        <w:t xml:space="preserve">government and partner callers to </w:t>
      </w:r>
      <w:r>
        <w:t xml:space="preserve">communicate </w:t>
      </w:r>
      <w:r w:rsidR="008A1A29">
        <w:t>time-sens</w:t>
      </w:r>
      <w:r w:rsidR="00764258">
        <w:t>i</w:t>
      </w:r>
      <w:r w:rsidR="008A1A29">
        <w:t xml:space="preserve">tive, </w:t>
      </w:r>
      <w:r>
        <w:t xml:space="preserve">important information to millions of vulnerable American </w:t>
      </w:r>
      <w:r w:rsidR="0079207A">
        <w:t xml:space="preserve">about </w:t>
      </w:r>
      <w:r>
        <w:t>maintain</w:t>
      </w:r>
      <w:r w:rsidR="0079207A">
        <w:t>ing</w:t>
      </w:r>
      <w:r>
        <w:t xml:space="preserve"> their eligibility for critical health care benefits.  </w:t>
      </w:r>
    </w:p>
    <w:p w:rsidR="00E54088" w:rsidP="00E54088" w14:paraId="58B332F9" w14:textId="1FF16D3A">
      <w:pPr>
        <w:pStyle w:val="ParaNum"/>
      </w:pPr>
      <w:r>
        <w:t>As we have with past clarifications, w</w:t>
      </w:r>
      <w:r w:rsidR="00A220EC">
        <w:t>e remind u</w:t>
      </w:r>
      <w:r>
        <w:t xml:space="preserve">nscrupulous callers </w:t>
      </w:r>
      <w:r w:rsidR="006C730B">
        <w:t xml:space="preserve">and texters </w:t>
      </w:r>
      <w:r w:rsidR="00A220EC">
        <w:t xml:space="preserve">that they </w:t>
      </w:r>
      <w:r>
        <w:t xml:space="preserve">should not view </w:t>
      </w:r>
      <w:r w:rsidR="001B2ADF">
        <w:t xml:space="preserve">this </w:t>
      </w:r>
      <w:r>
        <w:t>as a retreat from our aggressive work to combat illegal</w:t>
      </w:r>
      <w:r w:rsidR="006C730B">
        <w:t xml:space="preserve"> calls and texts</w:t>
      </w:r>
      <w:r>
        <w:t xml:space="preserve">.  As the COVID-19 pandemic continues to impact the United States, phone scammers have seized the opportunity </w:t>
      </w:r>
      <w:r>
        <w:t>to prey upon consumers.</w:t>
      </w:r>
      <w:r>
        <w:rPr>
          <w:rStyle w:val="FootnoteReference"/>
        </w:rPr>
        <w:footnoteReference w:id="37"/>
      </w:r>
      <w:r>
        <w:t xml:space="preserve">  For example, we have received reports of scam and hoax text messages and automated calls relating to health care coverage.</w:t>
      </w:r>
      <w:r>
        <w:rPr>
          <w:rStyle w:val="FootnoteReference"/>
        </w:rPr>
        <w:footnoteReference w:id="38"/>
      </w:r>
      <w:r>
        <w:t xml:space="preserve">  We will be vigilant in monitoring complaints about these calls and will not hesitate to enforce our rules when appropriate.</w:t>
      </w:r>
    </w:p>
    <w:p w:rsidR="00E54088" w:rsidP="00545909" w14:paraId="6DB75C16" w14:textId="77777777">
      <w:pPr>
        <w:pStyle w:val="Heading2"/>
      </w:pPr>
      <w:r>
        <w:t>Prior Express Consent</w:t>
      </w:r>
    </w:p>
    <w:p w:rsidR="00391A05" w:rsidP="00943F38" w14:paraId="0F42FE9D" w14:textId="1D2309F0">
      <w:pPr>
        <w:pStyle w:val="ParaNum"/>
      </w:pPr>
      <w:r>
        <w:t xml:space="preserve">Consistent with Commission precedent, </w:t>
      </w:r>
      <w:r w:rsidRPr="009E6E01">
        <w:t xml:space="preserve">we </w:t>
      </w:r>
      <w:r>
        <w:t>confirm</w:t>
      </w:r>
      <w:r w:rsidRPr="009E6E01">
        <w:t xml:space="preserve"> that </w:t>
      </w:r>
      <w:r w:rsidR="007B0702">
        <w:t>a consumer who provides their telephone number in an application form used to determine eligibility or seek benefits from Medicaid, CHIP, BHP, and Marketplace hea</w:t>
      </w:r>
      <w:r w:rsidR="008D7235">
        <w:t>l</w:t>
      </w:r>
      <w:r w:rsidR="007B0702">
        <w:t xml:space="preserve">th care coverage </w:t>
      </w:r>
      <w:r w:rsidR="00E45635">
        <w:t>has</w:t>
      </w:r>
      <w:r w:rsidR="007B0702">
        <w:t xml:space="preserve"> given </w:t>
      </w:r>
      <w:r w:rsidR="00896448">
        <w:t xml:space="preserve">their </w:t>
      </w:r>
      <w:r w:rsidR="007B0702">
        <w:t xml:space="preserve">prior express consent to be called </w:t>
      </w:r>
      <w:r w:rsidR="00354619">
        <w:t xml:space="preserve">or texted </w:t>
      </w:r>
      <w:r w:rsidR="007B0702">
        <w:t xml:space="preserve">at that number </w:t>
      </w:r>
      <w:r w:rsidR="00947834">
        <w:t xml:space="preserve">by </w:t>
      </w:r>
      <w:r w:rsidRPr="00947834" w:rsidR="00947834">
        <w:t xml:space="preserve">local governments, governmental contractors, and managed care entities when acting under contract and pursuant to the authorization and direction of a federal or state agency </w:t>
      </w:r>
      <w:r w:rsidR="00344072">
        <w:t xml:space="preserve">with equipment covered by the TCPA </w:t>
      </w:r>
      <w:r w:rsidR="007B0702">
        <w:t xml:space="preserve">regarding eligibility for and ongoing enrollment </w:t>
      </w:r>
      <w:r w:rsidR="00FF5621">
        <w:t>in</w:t>
      </w:r>
      <w:r w:rsidR="007B0702">
        <w:t xml:space="preserve"> those programs.</w:t>
      </w:r>
      <w:r>
        <w:rPr>
          <w:vertAlign w:val="superscript"/>
        </w:rPr>
        <w:footnoteReference w:id="39"/>
      </w:r>
      <w:r w:rsidR="007B0702">
        <w:t xml:space="preserve"> </w:t>
      </w:r>
      <w:r w:rsidR="00CA7D22">
        <w:t xml:space="preserve"> That is because these calls and texts contain </w:t>
      </w:r>
      <w:r w:rsidRPr="009E6E01">
        <w:t xml:space="preserve">information closely related to the purpose for which the </w:t>
      </w:r>
      <w:r w:rsidR="00CA7D22">
        <w:t xml:space="preserve">consumer provided their </w:t>
      </w:r>
      <w:r w:rsidRPr="009E6E01">
        <w:t>telephone number</w:t>
      </w:r>
      <w:r>
        <w:t>.</w:t>
      </w:r>
      <w:r>
        <w:rPr>
          <w:rStyle w:val="FootnoteReference"/>
        </w:rPr>
        <w:footnoteReference w:id="40"/>
      </w:r>
      <w:r>
        <w:t xml:space="preserve">  </w:t>
      </w:r>
      <w:r w:rsidR="00DF5E21">
        <w:t>To b</w:t>
      </w:r>
      <w:r w:rsidR="00B02992">
        <w:t>olster this view, a</w:t>
      </w:r>
      <w:r w:rsidR="00A77347">
        <w:t xml:space="preserve">s HHS indicates, </w:t>
      </w:r>
      <w:r w:rsidR="00A56DFB">
        <w:t>these consumers sign an acknowledgment that “they may be contacted if more information is needed”</w:t>
      </w:r>
      <w:r w:rsidR="00C22541">
        <w:t xml:space="preserve"> when they apply for benefits.</w:t>
      </w:r>
      <w:r>
        <w:rPr>
          <w:rStyle w:val="FootnoteReference"/>
        </w:rPr>
        <w:footnoteReference w:id="41"/>
      </w:r>
      <w:r w:rsidR="00A56DFB">
        <w:t xml:space="preserve">  </w:t>
      </w:r>
    </w:p>
    <w:p w:rsidR="00563B56" w:rsidP="00943F38" w14:paraId="51B81125" w14:textId="2DAF5678">
      <w:pPr>
        <w:pStyle w:val="ParaNum"/>
      </w:pPr>
      <w:r>
        <w:t xml:space="preserve">We thus </w:t>
      </w:r>
      <w:r>
        <w:t xml:space="preserve">agree with HHS and commenters that </w:t>
      </w:r>
      <w:r>
        <w:t xml:space="preserve">by providing their telephone numbers on their benefits applications and acknowledging they </w:t>
      </w:r>
      <w:r w:rsidR="00DE3015">
        <w:t>may be contacted for more information</w:t>
      </w:r>
      <w:r w:rsidR="00DE5EC4">
        <w:t>,</w:t>
      </w:r>
      <w:r w:rsidR="00DE3015">
        <w:t xml:space="preserve"> </w:t>
      </w:r>
      <w:r w:rsidR="00DE5EC4">
        <w:t xml:space="preserve">these consumers have given </w:t>
      </w:r>
      <w:r>
        <w:t xml:space="preserve">prior express consent to be called at that number </w:t>
      </w:r>
      <w:r w:rsidR="0024582C">
        <w:t>under the TCPA</w:t>
      </w:r>
      <w:r w:rsidR="00D15A05">
        <w:t xml:space="preserve"> regarding their enrollment eligibility</w:t>
      </w:r>
      <w:r w:rsidR="0024582C">
        <w:t>.</w:t>
      </w:r>
      <w:r>
        <w:rPr>
          <w:rStyle w:val="FootnoteReference"/>
        </w:rPr>
        <w:footnoteReference w:id="42"/>
      </w:r>
      <w:r w:rsidRPr="00391A05" w:rsidR="00391A05">
        <w:t xml:space="preserve"> </w:t>
      </w:r>
      <w:r w:rsidR="00391A05">
        <w:t xml:space="preserve"> </w:t>
      </w:r>
      <w:r w:rsidRPr="00391A05" w:rsidR="00391A05">
        <w:t xml:space="preserve"> </w:t>
      </w:r>
      <w:r>
        <w:t xml:space="preserve">  </w:t>
      </w:r>
    </w:p>
    <w:p w:rsidR="00563B56" w:rsidP="00563B56" w14:paraId="6BB0C4FA" w14:textId="239A5074">
      <w:pPr>
        <w:pStyle w:val="ParaNum"/>
      </w:pPr>
      <w:r>
        <w:t>C</w:t>
      </w:r>
      <w:r w:rsidR="00BD6B3A">
        <w:t>onsumers</w:t>
      </w:r>
      <w:r>
        <w:t xml:space="preserve"> who have applied for benefits in governmental health care programs </w:t>
      </w:r>
      <w:r w:rsidRPr="002E6E69">
        <w:t xml:space="preserve">expect and </w:t>
      </w:r>
      <w:r>
        <w:t xml:space="preserve">likely </w:t>
      </w:r>
      <w:r w:rsidRPr="002E6E69">
        <w:t xml:space="preserve">welcome calls </w:t>
      </w:r>
      <w:r w:rsidR="000A0F46">
        <w:t xml:space="preserve">and texts that </w:t>
      </w:r>
      <w:r w:rsidRPr="002E6E69">
        <w:t xml:space="preserve">inform them of requirements that may affect the provision of health care benefits for which they have applied, including the potential loss of coverage.  </w:t>
      </w:r>
      <w:r>
        <w:t xml:space="preserve">The </w:t>
      </w:r>
      <w:r w:rsidR="002650AA">
        <w:t>reason</w:t>
      </w:r>
      <w:r>
        <w:t xml:space="preserve"> </w:t>
      </w:r>
      <w:r w:rsidR="00252DF4">
        <w:t xml:space="preserve">consumers apply to </w:t>
      </w:r>
      <w:r>
        <w:t>such health care programs is to obtain the associated benefits</w:t>
      </w:r>
      <w:r w:rsidR="00F874C5">
        <w:t xml:space="preserve">; </w:t>
      </w:r>
      <w:r>
        <w:t xml:space="preserve">any reasonable consumer would view a call or text designed to </w:t>
      </w:r>
      <w:r w:rsidR="00252DF4">
        <w:t xml:space="preserve">prevent </w:t>
      </w:r>
      <w:r w:rsidR="00F874C5">
        <w:t xml:space="preserve">termination of </w:t>
      </w:r>
      <w:r>
        <w:t xml:space="preserve">benefits </w:t>
      </w:r>
      <w:r w:rsidR="00920932">
        <w:t>a</w:t>
      </w:r>
      <w:r w:rsidR="002650AA">
        <w:t xml:space="preserve">s </w:t>
      </w:r>
      <w:r>
        <w:t xml:space="preserve">closely related to the purpose for which they provided their telephone number.  </w:t>
      </w:r>
      <w:r w:rsidR="000A4E1F">
        <w:t xml:space="preserve">We thus have no problem concluding that </w:t>
      </w:r>
      <w:r w:rsidR="006107E9">
        <w:t xml:space="preserve">these </w:t>
      </w:r>
      <w:r w:rsidR="00B74DCB">
        <w:t xml:space="preserve">calls and texts are closely related to the purpose for which </w:t>
      </w:r>
      <w:r w:rsidR="001D39A5">
        <w:t>enrollees gave their numbers when they applied for benefits.</w:t>
      </w:r>
      <w:r>
        <w:t xml:space="preserve">  </w:t>
      </w:r>
      <w:r w:rsidRPr="006159AE" w:rsidR="006159AE">
        <w:t xml:space="preserve">We </w:t>
      </w:r>
      <w:r w:rsidR="006159AE">
        <w:t>note</w:t>
      </w:r>
      <w:r w:rsidRPr="006159AE" w:rsidR="006159AE">
        <w:t>, however, that any entity making calls in reliance upon the prior express consent created by the provision of a telephone number on an application for governmental health care benefits should be prepared to demonstrate that they are acting pursuant to the direction and authorization of a governmental agency</w:t>
      </w:r>
      <w:r w:rsidR="006159AE">
        <w:t xml:space="preserve"> to make calls or send text messages to enrollees</w:t>
      </w:r>
      <w:r w:rsidRPr="006159AE" w:rsidR="006159AE">
        <w:t>.</w:t>
      </w:r>
    </w:p>
    <w:p w:rsidR="00563B56" w:rsidP="00563B56" w14:paraId="77819FA1" w14:textId="04E2F92B">
      <w:pPr>
        <w:pStyle w:val="ParaNum"/>
      </w:pPr>
      <w:r>
        <w:t>We</w:t>
      </w:r>
      <w:r w:rsidRPr="00BE1D34">
        <w:t xml:space="preserve"> </w:t>
      </w:r>
      <w:r w:rsidR="005970B5">
        <w:t xml:space="preserve">caution, as </w:t>
      </w:r>
      <w:r>
        <w:t>NCLC</w:t>
      </w:r>
      <w:r w:rsidR="00CE4C95">
        <w:t xml:space="preserve"> urges</w:t>
      </w:r>
      <w:r w:rsidR="001961D0">
        <w:t xml:space="preserve">, </w:t>
      </w:r>
      <w:r>
        <w:t xml:space="preserve">that </w:t>
      </w:r>
      <w:r w:rsidR="004F0CE0">
        <w:t xml:space="preserve">consumers in this context have not consented to calls or texts that </w:t>
      </w:r>
      <w:r>
        <w:t>contain advertis</w:t>
      </w:r>
      <w:r w:rsidR="00CA1A67">
        <w:t xml:space="preserve">ing </w:t>
      </w:r>
      <w:r>
        <w:t>or constitute telemarketing.</w:t>
      </w:r>
      <w:r>
        <w:rPr>
          <w:rStyle w:val="FootnoteReference"/>
        </w:rPr>
        <w:footnoteReference w:id="43"/>
      </w:r>
      <w:r>
        <w:t xml:space="preserve">  </w:t>
      </w:r>
      <w:r w:rsidR="00CA1A67">
        <w:t>C</w:t>
      </w:r>
      <w:r>
        <w:t xml:space="preserve">onsent to make </w:t>
      </w:r>
      <w:r w:rsidRPr="00642ACF">
        <w:t xml:space="preserve">an autodialed or prerecorded call </w:t>
      </w:r>
      <w:r w:rsidR="006A11B6">
        <w:t>or send an automated text</w:t>
      </w:r>
      <w:r w:rsidRPr="00642ACF">
        <w:t xml:space="preserve"> </w:t>
      </w:r>
      <w:r>
        <w:t>that</w:t>
      </w:r>
      <w:r w:rsidRPr="00642ACF">
        <w:t xml:space="preserve"> c</w:t>
      </w:r>
      <w:r>
        <w:t>ontains advertising or constitutes</w:t>
      </w:r>
      <w:r w:rsidRPr="00642ACF">
        <w:t xml:space="preserve"> telemarketing,</w:t>
      </w:r>
      <w:r w:rsidRPr="00344BA5">
        <w:t xml:space="preserve"> must be in writing and </w:t>
      </w:r>
      <w:r w:rsidR="00CA1A67">
        <w:t xml:space="preserve">after </w:t>
      </w:r>
      <w:r w:rsidRPr="00344BA5">
        <w:t>certain disclosures</w:t>
      </w:r>
      <w:r>
        <w:t>.</w:t>
      </w:r>
      <w:r>
        <w:rPr>
          <w:vertAlign w:val="superscript"/>
        </w:rPr>
        <w:footnoteReference w:id="44"/>
      </w:r>
      <w:r>
        <w:t xml:space="preserve">  The mere provision of a telephone number does not satisfy these conditions. </w:t>
      </w:r>
      <w:r w:rsidR="007E516F">
        <w:t xml:space="preserve"> </w:t>
      </w:r>
      <w:r w:rsidR="007F1977">
        <w:t>A</w:t>
      </w:r>
      <w:r w:rsidR="00CA4D2C">
        <w:t>dditionally,</w:t>
      </w:r>
      <w:r w:rsidR="007F1977">
        <w:t xml:space="preserve"> c</w:t>
      </w:r>
      <w:r w:rsidR="00D06001">
        <w:t xml:space="preserve">onsumers may </w:t>
      </w:r>
      <w:r w:rsidRPr="00965418">
        <w:t xml:space="preserve">revoke prior </w:t>
      </w:r>
      <w:r>
        <w:t xml:space="preserve">express </w:t>
      </w:r>
      <w:r w:rsidRPr="00965418">
        <w:t>consent using any reasonable method</w:t>
      </w:r>
      <w:r w:rsidR="007F0362">
        <w:t>—</w:t>
      </w:r>
      <w:r w:rsidRPr="00965418">
        <w:t>orally or in writing.</w:t>
      </w:r>
      <w:r>
        <w:rPr>
          <w:vertAlign w:val="superscript"/>
        </w:rPr>
        <w:footnoteReference w:id="45"/>
      </w:r>
      <w:r>
        <w:t xml:space="preserve">  Callers relying upon prior express consent to make autodialed or prerecorded calls</w:t>
      </w:r>
      <w:r w:rsidRPr="00965418">
        <w:t xml:space="preserve">, therefore, must be prepared to honor revocation requests </w:t>
      </w:r>
      <w:r>
        <w:t xml:space="preserve">made by any reasonable means </w:t>
      </w:r>
      <w:r w:rsidRPr="00965418">
        <w:t xml:space="preserve">from </w:t>
      </w:r>
      <w:r w:rsidR="002B7C1A">
        <w:t>recipients</w:t>
      </w:r>
      <w:r w:rsidRPr="00965418">
        <w:t xml:space="preserve"> who no longer wish to receive calls and texts </w:t>
      </w:r>
      <w:r>
        <w:t>relating to governmental health care programs</w:t>
      </w:r>
      <w:r w:rsidRPr="00965418">
        <w:t>.</w:t>
      </w:r>
      <w:r>
        <w:rPr>
          <w:rStyle w:val="FootnoteReference"/>
        </w:rPr>
        <w:footnoteReference w:id="46"/>
      </w:r>
      <w:r w:rsidR="00B7739D">
        <w:t xml:space="preserve"> </w:t>
      </w:r>
      <w:r w:rsidR="00E40CDD">
        <w:t xml:space="preserve"> </w:t>
      </w:r>
      <w:r w:rsidR="00B7739D">
        <w:t xml:space="preserve">We also note that </w:t>
      </w:r>
      <w:r w:rsidRPr="00B7739D" w:rsidR="00B7739D">
        <w:t>the burden is on the caller to prove that it obtained the necessary prior express consent if any question arises as to whether prior express consent was provided by a call recipient.</w:t>
      </w:r>
      <w:r>
        <w:rPr>
          <w:vertAlign w:val="superscript"/>
        </w:rPr>
        <w:footnoteReference w:id="47"/>
      </w:r>
      <w:r w:rsidRPr="00B7739D" w:rsidR="00B7739D">
        <w:t xml:space="preserve">  If so, callers will need to demonstrate that the telephone number called was provided on an application for governmental health care benefits</w:t>
      </w:r>
      <w:r w:rsidR="00B7739D">
        <w:t>.</w:t>
      </w:r>
    </w:p>
    <w:p w:rsidR="00EF779E" w:rsidRPr="00B140D8" w:rsidP="006E27AC" w14:paraId="70851A71" w14:textId="04EB4AB4">
      <w:pPr>
        <w:pStyle w:val="ParaNum"/>
        <w:widowControl/>
      </w:pPr>
      <w:r>
        <w:t>Finally</w:t>
      </w:r>
      <w:r>
        <w:t xml:space="preserve">, we emphasize that even calls made to telephone numbers that have been provided by the called party </w:t>
      </w:r>
      <w:r w:rsidR="003E2D21">
        <w:t>may be</w:t>
      </w:r>
      <w:r w:rsidR="00A53FF3">
        <w:t xml:space="preserve"> subject to </w:t>
      </w:r>
      <w:r>
        <w:t xml:space="preserve">TCPA liability </w:t>
      </w:r>
      <w:r w:rsidR="00A53FF3">
        <w:t xml:space="preserve">if the </w:t>
      </w:r>
      <w:r>
        <w:t xml:space="preserve">number </w:t>
      </w:r>
      <w:r w:rsidR="00C71BB3">
        <w:t>has been re</w:t>
      </w:r>
      <w:r w:rsidRPr="00285912">
        <w:t xml:space="preserve">assigned </w:t>
      </w:r>
      <w:r w:rsidR="00C71BB3">
        <w:t xml:space="preserve">from </w:t>
      </w:r>
      <w:r w:rsidRPr="00285912">
        <w:t>the person who provided consent.</w:t>
      </w:r>
      <w:r>
        <w:rPr>
          <w:rStyle w:val="FootnoteReference"/>
        </w:rPr>
        <w:footnoteReference w:id="48"/>
      </w:r>
      <w:r>
        <w:t xml:space="preserve">  </w:t>
      </w:r>
      <w:r w:rsidR="00B20BB7">
        <w:t>As NCLC notes,</w:t>
      </w:r>
      <w:r>
        <w:t xml:space="preserve"> the </w:t>
      </w:r>
      <w:r w:rsidRPr="00285912">
        <w:t>Reassigned Numbers Database</w:t>
      </w:r>
      <w:r>
        <w:t xml:space="preserve"> (RND) is a critical tool callers</w:t>
      </w:r>
      <w:r w:rsidRPr="00285912">
        <w:t xml:space="preserve"> </w:t>
      </w:r>
      <w:r>
        <w:t>should</w:t>
      </w:r>
      <w:r w:rsidRPr="00285912">
        <w:t xml:space="preserve"> </w:t>
      </w:r>
      <w:r>
        <w:t>use</w:t>
      </w:r>
      <w:r w:rsidRPr="00285912">
        <w:t xml:space="preserve"> to </w:t>
      </w:r>
      <w:r>
        <w:t>avoid calling a person whose telephone number has been reassigned to another individual</w:t>
      </w:r>
      <w:r w:rsidRPr="00285912">
        <w:t>.</w:t>
      </w:r>
      <w:r>
        <w:rPr>
          <w:rStyle w:val="FootnoteReference"/>
        </w:rPr>
        <w:footnoteReference w:id="49"/>
      </w:r>
      <w:r w:rsidRPr="00285912">
        <w:t xml:space="preserve">  </w:t>
      </w:r>
      <w:r>
        <w:t>Callers that make use of the RND can ensure that they are making the most efficient use of their limited resources by avoiding calls to unintended recipients while ensuring compliance with the TCPA.</w:t>
      </w:r>
      <w:r>
        <w:rPr>
          <w:rStyle w:val="FootnoteReference"/>
        </w:rPr>
        <w:footnoteReference w:id="50"/>
      </w:r>
      <w:r>
        <w:t xml:space="preserve">  We therefore strongly encourage all callers relying upon prior express consent to utilize the RND before making such calls.</w:t>
      </w:r>
    </w:p>
    <w:p w:rsidR="001E5EE0" w:rsidP="00545909" w14:paraId="09D976B1" w14:textId="0532C614">
      <w:pPr>
        <w:pStyle w:val="Heading2"/>
      </w:pPr>
      <w:r>
        <w:t>Federal and State Governmental Callers</w:t>
      </w:r>
    </w:p>
    <w:p w:rsidR="007912B2" w:rsidP="00E54088" w14:paraId="631CC8A1" w14:textId="54295381">
      <w:pPr>
        <w:pStyle w:val="ParaNum"/>
      </w:pPr>
      <w:r w:rsidRPr="003641D5">
        <w:t>Consistent with Commission precedent, we confirm that federal or state governmental agenc</w:t>
      </w:r>
      <w:r w:rsidR="000D7BAF">
        <w:t xml:space="preserve">ies that </w:t>
      </w:r>
      <w:r w:rsidR="00080F7D">
        <w:t xml:space="preserve">take </w:t>
      </w:r>
      <w:r w:rsidR="00C0348A">
        <w:t xml:space="preserve">the physical </w:t>
      </w:r>
      <w:r w:rsidR="00080F7D">
        <w:t xml:space="preserve">steps to </w:t>
      </w:r>
      <w:r w:rsidRPr="003641D5">
        <w:t xml:space="preserve">make autodialed, prerecorded voice, or artificial voice calls, or send text messages using an </w:t>
      </w:r>
      <w:r w:rsidRPr="003641D5">
        <w:t>autodialer</w:t>
      </w:r>
      <w:r w:rsidR="000D7BAF">
        <w:t xml:space="preserve"> for the purposes HHS describes </w:t>
      </w:r>
      <w:r w:rsidRPr="003641D5">
        <w:t xml:space="preserve">are not “persons” subject to the </w:t>
      </w:r>
      <w:r w:rsidRPr="003641D5">
        <w:t>TCPA</w:t>
      </w:r>
      <w:r>
        <w:t xml:space="preserve"> and their calls and texts do not</w:t>
      </w:r>
      <w:r w:rsidR="003015B8">
        <w:t>,</w:t>
      </w:r>
      <w:r>
        <w:t xml:space="preserve"> therefore</w:t>
      </w:r>
      <w:r w:rsidR="003015B8">
        <w:t>,</w:t>
      </w:r>
      <w:r>
        <w:t xml:space="preserve"> require prior express consent</w:t>
      </w:r>
      <w:r w:rsidRPr="003641D5">
        <w:t xml:space="preserve">.  </w:t>
      </w:r>
      <w:r w:rsidRPr="00B7502F" w:rsidR="00B7502F">
        <w:t xml:space="preserve">Thus, federal or state governmental callers </w:t>
      </w:r>
      <w:r w:rsidR="00B7502F">
        <w:t xml:space="preserve">do </w:t>
      </w:r>
      <w:r w:rsidRPr="00B7502F" w:rsidR="00B7502F">
        <w:t xml:space="preserve">need not </w:t>
      </w:r>
      <w:r w:rsidR="00B7502F">
        <w:t>to</w:t>
      </w:r>
      <w:r w:rsidR="000B366C">
        <w:t xml:space="preserve"> </w:t>
      </w:r>
      <w:r w:rsidRPr="00B7502F" w:rsidR="00B7502F">
        <w:t>obtain the prior express consent of the called party</w:t>
      </w:r>
      <w:r w:rsidR="00B7502F">
        <w:t xml:space="preserve"> via the provision of a telephone number</w:t>
      </w:r>
      <w:r w:rsidRPr="00B7502F" w:rsidR="00B7502F">
        <w:t xml:space="preserve"> to make such calls or send such texts.</w:t>
      </w:r>
    </w:p>
    <w:p w:rsidR="005C0BCB" w:rsidP="00C367AC" w14:paraId="1804DE46" w14:textId="0FA6CCAE">
      <w:pPr>
        <w:pStyle w:val="ParaNum"/>
      </w:pPr>
      <w:r w:rsidRPr="003641D5">
        <w:t>In the</w:t>
      </w:r>
      <w:r w:rsidR="006034F7">
        <w:t xml:space="preserve"> </w:t>
      </w:r>
      <w:r w:rsidR="006034F7">
        <w:rPr>
          <w:i/>
          <w:iCs/>
        </w:rPr>
        <w:t>2016 Broadnet Declaratory Ruling</w:t>
      </w:r>
      <w:r w:rsidR="006034F7">
        <w:t xml:space="preserve"> and the</w:t>
      </w:r>
      <w:r w:rsidRPr="003641D5">
        <w:t xml:space="preserve"> </w:t>
      </w:r>
      <w:r w:rsidRPr="003641D5">
        <w:rPr>
          <w:i/>
          <w:iCs/>
        </w:rPr>
        <w:t>2020 Broadnet Order</w:t>
      </w:r>
      <w:r w:rsidRPr="003641D5">
        <w:t>, the Commission made clear that federal and state government callers are not “persons” subject to the TCPA’s restrictions if their calls are made in the conduct of official business</w:t>
      </w:r>
      <w:r>
        <w:t>.</w:t>
      </w:r>
      <w:r>
        <w:rPr>
          <w:vertAlign w:val="superscript"/>
        </w:rPr>
        <w:footnoteReference w:id="51"/>
      </w:r>
      <w:r w:rsidR="008B187D">
        <w:t xml:space="preserve">  </w:t>
      </w:r>
      <w:r w:rsidR="003141B6">
        <w:t xml:space="preserve">The Commission previously found that </w:t>
      </w:r>
      <w:r w:rsidRPr="00BF79F5" w:rsidR="00653CA6">
        <w:t xml:space="preserve">a caller may be found to have made or initiated a call in one of two ways: </w:t>
      </w:r>
      <w:r w:rsidR="00653CA6">
        <w:t xml:space="preserve"> </w:t>
      </w:r>
      <w:r w:rsidRPr="00BF79F5" w:rsidR="00653CA6">
        <w:t>first, by “</w:t>
      </w:r>
      <w:r w:rsidRPr="00BF79F5" w:rsidR="00653CA6">
        <w:t>tak</w:t>
      </w:r>
      <w:r w:rsidRPr="00BF79F5" w:rsidR="00653CA6">
        <w:t>[</w:t>
      </w:r>
      <w:r w:rsidRPr="00BF79F5" w:rsidR="00653CA6">
        <w:t>ing</w:t>
      </w:r>
      <w:r w:rsidRPr="00BF79F5" w:rsidR="00653CA6">
        <w:t>] the steps necessary to physically place a telephone call”</w:t>
      </w:r>
      <w:r w:rsidR="00653CA6">
        <w:t>;</w:t>
      </w:r>
      <w:r w:rsidRPr="00BF79F5" w:rsidR="00653CA6">
        <w:t xml:space="preserve"> and second, by being “so involved in the placing of a specific telephone call as to be directly liable for </w:t>
      </w:r>
      <w:r w:rsidR="006F022D">
        <w:t>initiating</w:t>
      </w:r>
      <w:r w:rsidRPr="00BF79F5" w:rsidR="00653CA6">
        <w:t xml:space="preserve"> it.”</w:t>
      </w:r>
      <w:r>
        <w:rPr>
          <w:vertAlign w:val="superscript"/>
        </w:rPr>
        <w:footnoteReference w:id="52"/>
      </w:r>
      <w:r w:rsidR="00653CA6">
        <w:t xml:space="preserve">  </w:t>
      </w:r>
      <w:r w:rsidR="008516DE">
        <w:t>Applying that precedent, w</w:t>
      </w:r>
      <w:r w:rsidR="00653CA6">
        <w:t xml:space="preserve">e clarify that, when </w:t>
      </w:r>
      <w:r w:rsidR="007D3480">
        <w:t>HHS or a</w:t>
      </w:r>
      <w:r w:rsidR="004B3BDC">
        <w:t>ny</w:t>
      </w:r>
      <w:r w:rsidR="007D3480">
        <w:t xml:space="preserve"> </w:t>
      </w:r>
      <w:r w:rsidR="00653CA6">
        <w:t xml:space="preserve">federal or state agency </w:t>
      </w:r>
      <w:r w:rsidRPr="00BF79F5" w:rsidR="00653CA6">
        <w:t>“</w:t>
      </w:r>
      <w:r w:rsidRPr="00BF79F5" w:rsidR="00653CA6">
        <w:t>tak</w:t>
      </w:r>
      <w:r w:rsidRPr="00BF79F5" w:rsidR="00653CA6">
        <w:t>[</w:t>
      </w:r>
      <w:r w:rsidR="00653CA6">
        <w:t>es</w:t>
      </w:r>
      <w:r w:rsidRPr="00BF79F5" w:rsidR="00653CA6">
        <w:t>] the steps necessary to physically place</w:t>
      </w:r>
      <w:r w:rsidR="00653CA6">
        <w:t xml:space="preserve">” the calls </w:t>
      </w:r>
      <w:r w:rsidR="00B56348">
        <w:t>or texts</w:t>
      </w:r>
      <w:r w:rsidR="00D1624C">
        <w:t xml:space="preserve"> to enrollees</w:t>
      </w:r>
      <w:r w:rsidR="00A57EB6">
        <w:t xml:space="preserve"> in the governmental health care programs</w:t>
      </w:r>
      <w:r w:rsidR="00B56348">
        <w:t xml:space="preserve"> </w:t>
      </w:r>
      <w:r w:rsidR="00653CA6">
        <w:t>that HHS identifies in its Petition, the federal or state agency is the “maker” of such call and, therefore, such call is not subject to the TCPA.</w:t>
      </w:r>
      <w:r w:rsidR="00B26F67">
        <w:t xml:space="preserve">  </w:t>
      </w:r>
      <w:r w:rsidR="008B187D">
        <w:t>I</w:t>
      </w:r>
      <w:r w:rsidRPr="003641D5">
        <w:t xml:space="preserve">nformational calls made </w:t>
      </w:r>
      <w:r>
        <w:t>by federal or state government</w:t>
      </w:r>
      <w:r w:rsidR="005752C0">
        <w:t xml:space="preserve"> employees</w:t>
      </w:r>
      <w:r>
        <w:t xml:space="preserve"> </w:t>
      </w:r>
      <w:r w:rsidRPr="003641D5">
        <w:t xml:space="preserve">regarding enrollment and eligibility for governmental health care programs are “the conduct of official business” and nothing in the record indicates an affirmative showing to the contrary.  </w:t>
      </w:r>
    </w:p>
    <w:p w:rsidR="00655FD9" w14:paraId="727548FD" w14:textId="1C2CCE6A">
      <w:pPr>
        <w:pStyle w:val="ParaNum"/>
        <w:widowControl/>
      </w:pPr>
      <w:r>
        <w:t xml:space="preserve">We </w:t>
      </w:r>
      <w:r w:rsidR="00282D28">
        <w:t>are unable</w:t>
      </w:r>
      <w:r w:rsidR="00B26F67">
        <w:t xml:space="preserve"> on this record</w:t>
      </w:r>
      <w:r w:rsidR="00282D28">
        <w:t xml:space="preserve">, </w:t>
      </w:r>
      <w:r w:rsidR="009A61EB">
        <w:t>however,</w:t>
      </w:r>
      <w:r>
        <w:t xml:space="preserve"> to confirm that</w:t>
      </w:r>
      <w:r w:rsidR="001807AC">
        <w:t xml:space="preserve"> such </w:t>
      </w:r>
      <w:r w:rsidR="005752C0">
        <w:t xml:space="preserve">federal or state </w:t>
      </w:r>
      <w:r w:rsidR="001807AC">
        <w:t>agencies</w:t>
      </w:r>
      <w:r w:rsidR="00C97F47">
        <w:t xml:space="preserve">, when they are not </w:t>
      </w:r>
      <w:r w:rsidR="00767DA4">
        <w:t>“</w:t>
      </w:r>
      <w:r w:rsidR="00C97F47">
        <w:t xml:space="preserve">taking the steps to physically place” the call or send the text, are nevertheless </w:t>
      </w:r>
      <w:r w:rsidR="001807AC">
        <w:t>“so involved” in the calls at issue</w:t>
      </w:r>
      <w:r w:rsidR="00C97F47">
        <w:t xml:space="preserve"> </w:t>
      </w:r>
      <w:r w:rsidR="00EC53ED">
        <w:t>to be deemed the maker or initiator of the communication</w:t>
      </w:r>
      <w:r w:rsidR="00CB15C4">
        <w:t xml:space="preserve"> when a third party is involved in a calling campaign</w:t>
      </w:r>
      <w:r w:rsidR="00EC53ED">
        <w:t>.</w:t>
      </w:r>
      <w:r>
        <w:t xml:space="preserve"> </w:t>
      </w:r>
      <w:r w:rsidR="00834D52">
        <w:t xml:space="preserve"> </w:t>
      </w:r>
      <w:r w:rsidRPr="00651ADC">
        <w:t xml:space="preserve">The Commission </w:t>
      </w:r>
      <w:r>
        <w:t xml:space="preserve">has </w:t>
      </w:r>
      <w:r w:rsidR="007C586D">
        <w:t xml:space="preserve">said that could occur when </w:t>
      </w:r>
      <w:r w:rsidR="009246B9">
        <w:t xml:space="preserve">the </w:t>
      </w:r>
      <w:r w:rsidR="007F6A2E">
        <w:t xml:space="preserve">federal or state </w:t>
      </w:r>
      <w:r w:rsidR="009246B9">
        <w:t xml:space="preserve">government </w:t>
      </w:r>
      <w:r w:rsidR="00CA1F74">
        <w:t>caller makes</w:t>
      </w:r>
      <w:r w:rsidR="00AE328E">
        <w:t xml:space="preserve"> the </w:t>
      </w:r>
      <w:r w:rsidRPr="00677555" w:rsidR="00A108F0">
        <w:t>decisions regarding whether to make a call, the timing of the call, the call recipients, and the content of the call</w:t>
      </w:r>
      <w:r w:rsidR="0068504A">
        <w:t>, among other factors.</w:t>
      </w:r>
      <w:r>
        <w:rPr>
          <w:rStyle w:val="FootnoteReference"/>
        </w:rPr>
        <w:footnoteReference w:id="53"/>
      </w:r>
      <w:r w:rsidR="005E4FE3">
        <w:t xml:space="preserve"> </w:t>
      </w:r>
      <w:r w:rsidR="0068504A">
        <w:t xml:space="preserve"> T</w:t>
      </w:r>
      <w:r w:rsidR="00AF1507">
        <w:t>his</w:t>
      </w:r>
      <w:r w:rsidR="007C586D">
        <w:t xml:space="preserve"> </w:t>
      </w:r>
      <w:r w:rsidRPr="00651ADC">
        <w:t>is a highly fact-specific, case-by-case inquiry.</w:t>
      </w:r>
      <w:r>
        <w:rPr>
          <w:rStyle w:val="FootnoteReference"/>
        </w:rPr>
        <w:footnoteReference w:id="54"/>
      </w:r>
      <w:r>
        <w:t xml:space="preserve">  No such specific facts are before us.  As HHS notes, there will be a wide variety of different calling campaigns </w:t>
      </w:r>
      <w:r w:rsidR="00F1514C">
        <w:t xml:space="preserve">involving third-party contractors </w:t>
      </w:r>
      <w:r>
        <w:t>that will vary from state to state.</w:t>
      </w:r>
      <w:r>
        <w:rPr>
          <w:vertAlign w:val="superscript"/>
        </w:rPr>
        <w:footnoteReference w:id="55"/>
      </w:r>
      <w:r w:rsidRPr="00AF39F9">
        <w:t xml:space="preserve"> </w:t>
      </w:r>
      <w:r>
        <w:t xml:space="preserve"> </w:t>
      </w:r>
      <w:r w:rsidR="006516BF">
        <w:t xml:space="preserve">As a result, we </w:t>
      </w:r>
      <w:r w:rsidR="00292B66">
        <w:t>de</w:t>
      </w:r>
      <w:r w:rsidR="002B5FB1">
        <w:t xml:space="preserve">cline to </w:t>
      </w:r>
      <w:r w:rsidR="00292B66">
        <w:t xml:space="preserve">opine generally on this issue, and instead </w:t>
      </w:r>
      <w:r w:rsidR="002521A8">
        <w:t xml:space="preserve">simply </w:t>
      </w:r>
      <w:r>
        <w:t xml:space="preserve">reiterate Commission precedent to guide callers in assessing their individual circumstances in each state and locality but cannot make a specific ruling </w:t>
      </w:r>
      <w:r w:rsidR="00284211">
        <w:t xml:space="preserve">on the “so involved” basis for finding </w:t>
      </w:r>
      <w:r w:rsidR="00BF32CD">
        <w:t xml:space="preserve">a federal or state agency the </w:t>
      </w:r>
      <w:r>
        <w:t>maker of the call in any future calling campaigns.</w:t>
      </w:r>
      <w:r>
        <w:rPr>
          <w:rStyle w:val="FootnoteReference"/>
        </w:rPr>
        <w:footnoteReference w:id="56"/>
      </w:r>
      <w:r>
        <w:t xml:space="preserve"> </w:t>
      </w:r>
      <w:r w:rsidR="0067765B">
        <w:t xml:space="preserve"> We note, however, that in the future we might be able to issue case-by-case guidance if HHS or another petitioner were to present us with more </w:t>
      </w:r>
      <w:r w:rsidR="002B5FB1">
        <w:t xml:space="preserve">specific </w:t>
      </w:r>
      <w:r w:rsidR="0067765B">
        <w:t>facts regarding a specific calling campaign and the respective roles of the government and any contractors in those situations.</w:t>
      </w:r>
      <w:r w:rsidR="0070011F">
        <w:t xml:space="preserve">  </w:t>
      </w:r>
    </w:p>
    <w:p w:rsidR="00087A40" w14:paraId="15CFC811" w14:textId="648119AC">
      <w:pPr>
        <w:pStyle w:val="ParaNum"/>
        <w:widowControl/>
      </w:pPr>
      <w:r>
        <w:t>Lastly, we note that the</w:t>
      </w:r>
      <w:r w:rsidRPr="00087A40">
        <w:t xml:space="preserve"> Commission has </w:t>
      </w:r>
      <w:r>
        <w:t>acknowledged</w:t>
      </w:r>
      <w:r w:rsidRPr="00087A40">
        <w:t xml:space="preserve"> that federal and state contractors making calls on behalf of governmental entities may also qualify </w:t>
      </w:r>
      <w:r w:rsidR="001A55B4">
        <w:t xml:space="preserve">in some instances </w:t>
      </w:r>
      <w:r w:rsidRPr="00087A40">
        <w:t>for forms of derivative immunity.  The Commission</w:t>
      </w:r>
      <w:r w:rsidR="002B5FB1">
        <w:t xml:space="preserve"> has stated that courts are best positioned to </w:t>
      </w:r>
      <w:r w:rsidRPr="00087A40">
        <w:t>apply the body of existing immunity law to governmental contractors and make such determinations on a case-by-case basis</w:t>
      </w:r>
      <w:r>
        <w:t>.</w:t>
      </w:r>
      <w:r>
        <w:rPr>
          <w:rStyle w:val="FootnoteReference"/>
        </w:rPr>
        <w:footnoteReference w:id="57"/>
      </w:r>
      <w:r w:rsidR="00CC59BD">
        <w:t xml:space="preserve">  We, therefore, direct governmental contractors to this body of law to make determinations as to whether they may qualify for derivative immunity in this context. </w:t>
      </w:r>
    </w:p>
    <w:p w:rsidR="00A80B23" w:rsidRPr="008364DB" w:rsidP="00545909" w14:paraId="6EE9DA48" w14:textId="1BBE3115">
      <w:pPr>
        <w:pStyle w:val="Heading2"/>
      </w:pPr>
      <w:r>
        <w:t>Other Options for Contacting Enrollees</w:t>
      </w:r>
    </w:p>
    <w:p w:rsidR="00635F09" w:rsidRPr="006B0DFC" w:rsidP="00344AD8" w14:paraId="4D70A053" w14:textId="51976820">
      <w:pPr>
        <w:pStyle w:val="ParaNum"/>
        <w:widowControl/>
      </w:pPr>
      <w:r>
        <w:t xml:space="preserve">We believe that the </w:t>
      </w:r>
      <w:r w:rsidR="00EA66F4">
        <w:t xml:space="preserve">options we </w:t>
      </w:r>
      <w:r w:rsidR="00996462">
        <w:t>describe here</w:t>
      </w:r>
      <w:bookmarkStart w:id="11" w:name="_Hlk114204485"/>
      <w:r w:rsidR="00153631">
        <w:t>—</w:t>
      </w:r>
      <w:bookmarkEnd w:id="11"/>
      <w:r w:rsidR="00EA66F4">
        <w:t>obtaining prior express consent and/or having a federal or state agency physically place a call</w:t>
      </w:r>
      <w:r w:rsidRPr="00E60AD7" w:rsidR="00E60AD7">
        <w:t>—</w:t>
      </w:r>
      <w:r w:rsidR="00EA66F4">
        <w:t xml:space="preserve">should </w:t>
      </w:r>
      <w:r w:rsidR="008C1CA1">
        <w:t xml:space="preserve">ensure HHS and its partners can reach enrollees in a timely manner.  </w:t>
      </w:r>
      <w:r w:rsidR="001D6A68">
        <w:t xml:space="preserve">However, to </w:t>
      </w:r>
      <w:r w:rsidR="00EF779E">
        <w:t xml:space="preserve">the extent that there are limited situations in which callers do not have prior express consent to call or text a wireless telephone number, we confirm that there are a number of </w:t>
      </w:r>
      <w:r w:rsidR="008C1CA1">
        <w:t xml:space="preserve">other </w:t>
      </w:r>
      <w:r w:rsidR="00EF779E">
        <w:t xml:space="preserve">options that callers have to communicate with those consumers without violating the TCPA.  </w:t>
      </w:r>
    </w:p>
    <w:p w:rsidR="00635F09" w:rsidRPr="006B0DFC" w:rsidP="006E27AC" w14:paraId="551A9E9A" w14:textId="290BDE09">
      <w:pPr>
        <w:pStyle w:val="ParaNum"/>
        <w:widowControl/>
      </w:pPr>
      <w:r>
        <w:rPr>
          <w:i/>
          <w:iCs/>
        </w:rPr>
        <w:t>Calls to Residential Telephone Lines</w:t>
      </w:r>
      <w:r>
        <w:t>.  We confirm that calls made using an artificial or prerecorded voice message to a residential telephone line</w:t>
      </w:r>
      <w:r>
        <w:rPr>
          <w:rStyle w:val="FootnoteReference"/>
        </w:rPr>
        <w:footnoteReference w:id="58"/>
      </w:r>
      <w:r>
        <w:t xml:space="preserve"> </w:t>
      </w:r>
      <w:r w:rsidRPr="0039709D">
        <w:t>to raise awareness of the eligibility</w:t>
      </w:r>
      <w:r>
        <w:t xml:space="preserve"> for</w:t>
      </w:r>
      <w:r w:rsidRPr="0039709D">
        <w:t xml:space="preserve"> and enrollment</w:t>
      </w:r>
      <w:r>
        <w:t xml:space="preserve"> in Medicaid, CHIP, BHP, and Marketplace</w:t>
      </w:r>
      <w:r w:rsidR="00125B8E">
        <w:t xml:space="preserve">, as HHS has described them, </w:t>
      </w:r>
      <w:r>
        <w:t>are exempt from the prior express consent requirement as “calls made for a commercial purpose but [which do] not include or introduce an advertisement or constitute telemarketing”</w:t>
      </w:r>
      <w:r>
        <w:rPr>
          <w:rStyle w:val="FootnoteReference"/>
        </w:rPr>
        <w:footnoteReference w:id="59"/>
      </w:r>
      <w:r>
        <w:t xml:space="preserve"> </w:t>
      </w:r>
      <w:r w:rsidR="00A952DB">
        <w:t xml:space="preserve">because these calls appear to </w:t>
      </w:r>
      <w:r w:rsidR="006844B8">
        <w:t>simply inform enrollees about the state of their benefits and how to ensure they do not lose such benefits.  Nothing in HHS’s request suggest</w:t>
      </w:r>
      <w:r w:rsidR="00267DE8">
        <w:t>s</w:t>
      </w:r>
      <w:r w:rsidR="006844B8">
        <w:t xml:space="preserve"> that t</w:t>
      </w:r>
      <w:r w:rsidR="00F210A5">
        <w:t>hese communications will advertise a particular insurance product or any other product or service, and thus</w:t>
      </w:r>
      <w:r>
        <w:t xml:space="preserve"> </w:t>
      </w:r>
      <w:r w:rsidR="009467B6">
        <w:t>they do not appear to be advertising or telemarketing.</w:t>
      </w:r>
      <w:r>
        <w:t xml:space="preserve">  </w:t>
      </w:r>
      <w:r w:rsidR="005C5A82">
        <w:t xml:space="preserve">As a result, this </w:t>
      </w:r>
      <w:r>
        <w:t xml:space="preserve">exemption is available for calls from </w:t>
      </w:r>
      <w:r w:rsidRPr="00587ED1">
        <w:t xml:space="preserve">local governments, governmental contractors, and managed care entities acting under contract and pursuant to the authorization and direction of a </w:t>
      </w:r>
      <w:r w:rsidR="00A26D83">
        <w:t>governmental</w:t>
      </w:r>
      <w:r w:rsidRPr="00587ED1">
        <w:t xml:space="preserve"> agency </w:t>
      </w:r>
      <w:r>
        <w:t>in regard to determinations of eligibility for or enrollment in these governmental health coverage programs.</w:t>
      </w:r>
      <w:r>
        <w:rPr>
          <w:rStyle w:val="FootnoteReference"/>
        </w:rPr>
        <w:footnoteReference w:id="60"/>
      </w:r>
      <w:r>
        <w:t xml:space="preserve">  </w:t>
      </w:r>
      <w:r w:rsidR="006647F7">
        <w:t xml:space="preserve">Of course, if such calls do contain </w:t>
      </w:r>
      <w:r w:rsidR="00A04922">
        <w:t xml:space="preserve">telemarketing or advertising, </w:t>
      </w:r>
      <w:r w:rsidR="0000100C">
        <w:t xml:space="preserve">and are made by “persons” under the TCPA who lack derivative immunity as noted above, </w:t>
      </w:r>
      <w:r w:rsidR="00A04922">
        <w:t>they would require</w:t>
      </w:r>
      <w:r>
        <w:t xml:space="preserve"> </w:t>
      </w:r>
      <w:r w:rsidR="005359CC">
        <w:t xml:space="preserve">prior express </w:t>
      </w:r>
      <w:r w:rsidR="007F6602">
        <w:t xml:space="preserve">written </w:t>
      </w:r>
      <w:r w:rsidR="005359CC">
        <w:t>consent.</w:t>
      </w:r>
      <w:r>
        <w:t xml:space="preserve">  </w:t>
      </w:r>
      <w:r w:rsidR="004A7DBD">
        <w:t>And, in a</w:t>
      </w:r>
      <w:r w:rsidR="00212969">
        <w:t>ll cases</w:t>
      </w:r>
      <w:r w:rsidR="004A7DBD">
        <w:t xml:space="preserve">, these calls must </w:t>
      </w:r>
      <w:r w:rsidR="00A52BAA">
        <w:t>satisfy</w:t>
      </w:r>
      <w:r w:rsidR="004A7DBD">
        <w:t xml:space="preserve"> the</w:t>
      </w:r>
      <w:r w:rsidR="00A52BAA">
        <w:t xml:space="preserve"> Commission’s</w:t>
      </w:r>
      <w:r w:rsidR="004A7DBD">
        <w:t xml:space="preserve"> </w:t>
      </w:r>
      <w:r>
        <w:t xml:space="preserve">identification requirements </w:t>
      </w:r>
      <w:r w:rsidR="00655BCC">
        <w:t xml:space="preserve">if they </w:t>
      </w:r>
      <w:r w:rsidR="007E354C">
        <w:t>use</w:t>
      </w:r>
      <w:r w:rsidR="00655BCC">
        <w:t xml:space="preserve"> </w:t>
      </w:r>
      <w:r>
        <w:t xml:space="preserve">artificial </w:t>
      </w:r>
      <w:r w:rsidR="007E354C">
        <w:t xml:space="preserve">or </w:t>
      </w:r>
      <w:r>
        <w:t>prerecorded voice messages.</w:t>
      </w:r>
      <w:r>
        <w:rPr>
          <w:rStyle w:val="FootnoteReference"/>
        </w:rPr>
        <w:footnoteReference w:id="61"/>
      </w:r>
    </w:p>
    <w:p w:rsidR="00EF779E" w:rsidP="00F01178" w14:paraId="57D02840" w14:textId="23566DB7">
      <w:pPr>
        <w:pStyle w:val="ParaNum"/>
        <w:widowControl/>
      </w:pPr>
      <w:r>
        <w:rPr>
          <w:i/>
          <w:iCs/>
        </w:rPr>
        <w:t>Communications Not Subject to the TCPA.</w:t>
      </w:r>
      <w:r>
        <w:t xml:space="preserve">  </w:t>
      </w:r>
      <w:r w:rsidR="005250C0">
        <w:t xml:space="preserve">HHS and its partners have </w:t>
      </w:r>
      <w:r>
        <w:t xml:space="preserve">alternative options </w:t>
      </w:r>
      <w:r w:rsidR="001C6718">
        <w:t xml:space="preserve">of communicating with enrollees that are not otherwise subject to </w:t>
      </w:r>
      <w:r w:rsidR="001F3723">
        <w:t xml:space="preserve">the TCPA, and therefore </w:t>
      </w:r>
      <w:r w:rsidR="00772D7B">
        <w:t xml:space="preserve">may </w:t>
      </w:r>
      <w:r w:rsidR="000D147F">
        <w:t xml:space="preserve">avoid </w:t>
      </w:r>
      <w:r w:rsidR="001C6718">
        <w:t>TCPA restrictions</w:t>
      </w:r>
      <w:r w:rsidR="000D147F">
        <w:t xml:space="preserve"> altogether</w:t>
      </w:r>
      <w:r w:rsidR="001C6718">
        <w:t xml:space="preserve">.  For instance, </w:t>
      </w:r>
      <w:r w:rsidR="00BF2661">
        <w:t>callers can use</w:t>
      </w:r>
      <w:r w:rsidR="00D66672">
        <w:t xml:space="preserve"> </w:t>
      </w:r>
      <w:r>
        <w:t xml:space="preserve">live operators rather </w:t>
      </w:r>
      <w:r w:rsidR="00772D7B">
        <w:t xml:space="preserve">than </w:t>
      </w:r>
      <w:r>
        <w:t>prerecorded voice messages</w:t>
      </w:r>
      <w:r w:rsidR="00BF2661">
        <w:t xml:space="preserve"> and/or </w:t>
      </w:r>
      <w:r w:rsidR="00D66672">
        <w:t xml:space="preserve">non-autodialed text </w:t>
      </w:r>
      <w:r w:rsidR="00A32854">
        <w:t>messages</w:t>
      </w:r>
      <w:r w:rsidR="00BF2661">
        <w:t>.</w:t>
      </w:r>
      <w:r>
        <w:rPr>
          <w:rStyle w:val="FootnoteReference"/>
        </w:rPr>
        <w:footnoteReference w:id="62"/>
      </w:r>
      <w:r w:rsidR="00BF2661">
        <w:t xml:space="preserve">  Further, </w:t>
      </w:r>
      <w:r w:rsidR="006377BA">
        <w:t>they can use</w:t>
      </w:r>
      <w:r w:rsidR="00A32854">
        <w:t xml:space="preserve"> </w:t>
      </w:r>
      <w:r>
        <w:t xml:space="preserve">email </w:t>
      </w:r>
      <w:r w:rsidR="000D147F">
        <w:t xml:space="preserve">or direct mail </w:t>
      </w:r>
      <w:r>
        <w:t>to contact enrollees.</w:t>
      </w:r>
      <w:r>
        <w:rPr>
          <w:rStyle w:val="FootnoteReference"/>
        </w:rPr>
        <w:footnoteReference w:id="63"/>
      </w:r>
      <w:r>
        <w:t xml:space="preserve">  Although these methods may be somewhat less efficient than autodialed calls and texts or prerecorded messages, they nevertheless </w:t>
      </w:r>
      <w:r w:rsidR="00740635">
        <w:t xml:space="preserve">may </w:t>
      </w:r>
      <w:r>
        <w:t xml:space="preserve">offer a reasonable means to communicate important information to consumers without infringing upon the privacy rights protected under the TCPA.  </w:t>
      </w:r>
    </w:p>
    <w:p w:rsidR="005B3726" w:rsidP="006B0DFC" w14:paraId="002B0D06" w14:textId="76C1DFD2">
      <w:pPr>
        <w:pStyle w:val="ParaNum"/>
        <w:widowControl/>
      </w:pPr>
      <w:r w:rsidRPr="006B0DFC">
        <w:rPr>
          <w:i/>
          <w:iCs/>
        </w:rPr>
        <w:t>Free-to-End User Exemption Requests</w:t>
      </w:r>
      <w:r>
        <w:t xml:space="preserve">.  </w:t>
      </w:r>
      <w:r w:rsidR="008667A6">
        <w:t>W</w:t>
      </w:r>
      <w:r w:rsidR="00EE1CA8">
        <w:t xml:space="preserve">e decline to adopt a free-to-end-user exemption </w:t>
      </w:r>
      <w:r w:rsidR="00614C83">
        <w:t>in this case as suggested by NCLC</w:t>
      </w:r>
      <w:r w:rsidR="00FB3D0A">
        <w:t>.</w:t>
      </w:r>
      <w:r>
        <w:rPr>
          <w:rStyle w:val="FootnoteReference"/>
        </w:rPr>
        <w:footnoteReference w:id="64"/>
      </w:r>
      <w:r w:rsidR="00614C83">
        <w:t xml:space="preserve"> </w:t>
      </w:r>
      <w:r w:rsidR="00FE7500">
        <w:t xml:space="preserve"> </w:t>
      </w:r>
      <w:r w:rsidR="00FB3D0A">
        <w:t xml:space="preserve">We agree with </w:t>
      </w:r>
      <w:r w:rsidR="0003590D">
        <w:t xml:space="preserve">HHS that </w:t>
      </w:r>
      <w:r w:rsidR="00E54088">
        <w:t xml:space="preserve">the imposition of potentially burdensome conditions </w:t>
      </w:r>
      <w:r w:rsidR="0003590D">
        <w:t xml:space="preserve">inherent in any free-to-end-user request </w:t>
      </w:r>
      <w:r w:rsidR="00E54088">
        <w:t>may unduly hinder the effectiveness of critical outreach efforts by diverting the already limited resources of state and local governmental agencies to compliance with these conditions.</w:t>
      </w:r>
      <w:r>
        <w:rPr>
          <w:rStyle w:val="FootnoteReference"/>
        </w:rPr>
        <w:footnoteReference w:id="65"/>
      </w:r>
      <w:r w:rsidR="00E54088">
        <w:t xml:space="preserve">  </w:t>
      </w:r>
      <w:r w:rsidR="00FB3D0A">
        <w:t>Should conditions change, HHS and its part</w:t>
      </w:r>
      <w:r w:rsidR="007E3421">
        <w:t>n</w:t>
      </w:r>
      <w:r w:rsidR="00FB3D0A">
        <w:t xml:space="preserve">ers are, of course, free to </w:t>
      </w:r>
      <w:r w:rsidR="00F65092">
        <w:t>request a</w:t>
      </w:r>
      <w:r w:rsidR="00FB3D0A">
        <w:t xml:space="preserve"> free-to-end-user </w:t>
      </w:r>
      <w:r w:rsidR="00F65092">
        <w:t>exemption from the Commission</w:t>
      </w:r>
      <w:r w:rsidR="00E54088">
        <w:t>.</w:t>
      </w:r>
      <w:r>
        <w:rPr>
          <w:rStyle w:val="FootnoteReference"/>
        </w:rPr>
        <w:footnoteReference w:id="66"/>
      </w:r>
    </w:p>
    <w:p w:rsidR="00824E91" w:rsidP="006B0DFC" w14:paraId="5AB176CE" w14:textId="09180E70">
      <w:pPr>
        <w:pStyle w:val="ParaNum"/>
        <w:widowControl/>
      </w:pPr>
      <w:r>
        <w:t>We believe that</w:t>
      </w:r>
      <w:r w:rsidR="007F1B7A">
        <w:t xml:space="preserve"> the guidance we provide today will assist</w:t>
      </w:r>
      <w:r w:rsidR="0070011F">
        <w:t xml:space="preserve"> </w:t>
      </w:r>
      <w:r>
        <w:t xml:space="preserve">HHS and its partners </w:t>
      </w:r>
      <w:r w:rsidR="007F1B7A">
        <w:t xml:space="preserve">in complying with the TCPA while making these critical calls.  HHS and its partners may also configure their calling and texting efforts to further ensure compliance with the guidance set forth herein. </w:t>
      </w:r>
      <w:r w:rsidR="0070011F">
        <w:t xml:space="preserve"> </w:t>
      </w:r>
      <w:r>
        <w:t xml:space="preserve">For instance, callers can now </w:t>
      </w:r>
      <w:r w:rsidR="00B97714">
        <w:t xml:space="preserve">verify the prior express consent they have received by </w:t>
      </w:r>
      <w:r>
        <w:t>check</w:t>
      </w:r>
      <w:r w:rsidR="00B97714">
        <w:t>ing</w:t>
      </w:r>
      <w:r>
        <w:t xml:space="preserve"> the RND to identify numbers that have been disconnected and possibly reassigned to other individuals and can use that information to assess whether alternative means of communication should be utilized.  We strongly encourage </w:t>
      </w:r>
      <w:r w:rsidR="00622E2A">
        <w:t>robo</w:t>
      </w:r>
      <w:r>
        <w:t>callers</w:t>
      </w:r>
      <w:r>
        <w:t xml:space="preserve"> </w:t>
      </w:r>
      <w:r w:rsidR="0031207B">
        <w:t xml:space="preserve">and </w:t>
      </w:r>
      <w:r w:rsidR="00622E2A">
        <w:t>robo</w:t>
      </w:r>
      <w:r w:rsidR="0031207B">
        <w:t>texters</w:t>
      </w:r>
      <w:r w:rsidR="0031207B">
        <w:t xml:space="preserve"> </w:t>
      </w:r>
      <w:r>
        <w:t>to make use of this tool to avoid potential TCPA liability and to explore the options we identify here as well as any other options that may assist health agencies in making these critical calls.</w:t>
      </w:r>
    </w:p>
    <w:p w:rsidR="00E54088" w:rsidRPr="00880FA0" w:rsidP="00545909" w14:paraId="19832C70" w14:textId="77777777">
      <w:pPr>
        <w:pStyle w:val="Heading1"/>
      </w:pPr>
      <w:r w:rsidRPr="00880FA0">
        <w:t>ORDERING CLAUSES</w:t>
      </w:r>
    </w:p>
    <w:p w:rsidR="00E54088" w:rsidRPr="00DA25D1" w:rsidP="006E27AC" w14:paraId="584C7AB6" w14:textId="03CB39F3">
      <w:pPr>
        <w:pStyle w:val="ParaNum"/>
        <w:widowControl/>
      </w:pPr>
      <w:r w:rsidRPr="0049008B">
        <w:t>For the reasons stated above</w:t>
      </w:r>
      <w:r w:rsidRPr="00E4770B">
        <w:t>, IT IS ORDERED,</w:t>
      </w:r>
      <w:r w:rsidRPr="0049008B">
        <w:t xml:space="preserve"> pursuant to sections </w:t>
      </w:r>
      <w:r>
        <w:t>1</w:t>
      </w:r>
      <w:r w:rsidRPr="0049008B">
        <w:t xml:space="preserve">-4 and 227 of the Communications Act of 1934, as amended, 47 U.S.C. §§ 151-154, 227, </w:t>
      </w:r>
      <w:r>
        <w:t xml:space="preserve">and </w:t>
      </w:r>
      <w:r w:rsidRPr="0049008B">
        <w:t>sections 1.2</w:t>
      </w:r>
      <w:r>
        <w:t xml:space="preserve"> </w:t>
      </w:r>
      <w:r w:rsidRPr="0049008B">
        <w:t xml:space="preserve">and 64.1200 of the Commission’s </w:t>
      </w:r>
      <w:r w:rsidR="0007285E">
        <w:t>r</w:t>
      </w:r>
      <w:r w:rsidRPr="0049008B">
        <w:t>ules, 47 CFR §</w:t>
      </w:r>
      <w:bookmarkStart w:id="12" w:name="_Hlk43110724"/>
      <w:r w:rsidRPr="0049008B">
        <w:t>§</w:t>
      </w:r>
      <w:bookmarkEnd w:id="12"/>
      <w:r w:rsidRPr="0049008B">
        <w:t xml:space="preserve"> 1.2, 64.1200</w:t>
      </w:r>
      <w:r w:rsidRPr="00871C32">
        <w:t>,</w:t>
      </w:r>
      <w:r w:rsidRPr="00475CF8">
        <w:t xml:space="preserve"> </w:t>
      </w:r>
      <w:r w:rsidRPr="00475CF8">
        <w:rPr>
          <w:kern w:val="0"/>
        </w:rPr>
        <w:t>and the authority delegated in sections 0.141</w:t>
      </w:r>
      <w:r>
        <w:rPr>
          <w:kern w:val="0"/>
        </w:rPr>
        <w:t xml:space="preserve"> and</w:t>
      </w:r>
      <w:r w:rsidRPr="00475CF8">
        <w:rPr>
          <w:kern w:val="0"/>
        </w:rPr>
        <w:t xml:space="preserve"> 0.361</w:t>
      </w:r>
      <w:r>
        <w:rPr>
          <w:kern w:val="0"/>
        </w:rPr>
        <w:t xml:space="preserve"> </w:t>
      </w:r>
      <w:r w:rsidRPr="00475CF8">
        <w:rPr>
          <w:kern w:val="0"/>
        </w:rPr>
        <w:t xml:space="preserve">of the Commission’s rules, 47 CFR §§ 0.141, 0.361, </w:t>
      </w:r>
      <w:r>
        <w:rPr>
          <w:kern w:val="0"/>
        </w:rPr>
        <w:t xml:space="preserve">that this Declaratory Ruling is </w:t>
      </w:r>
      <w:r w:rsidRPr="00E4770B">
        <w:rPr>
          <w:kern w:val="0"/>
        </w:rPr>
        <w:t>ADOPTED</w:t>
      </w:r>
      <w:r>
        <w:rPr>
          <w:kern w:val="0"/>
        </w:rPr>
        <w:t>.</w:t>
      </w:r>
    </w:p>
    <w:p w:rsidR="00E54088" w:rsidRPr="00DA25D1" w:rsidP="00E54088" w14:paraId="090C7089" w14:textId="2555994D">
      <w:pPr>
        <w:pStyle w:val="ParaNum"/>
      </w:pPr>
      <w:r w:rsidRPr="00E4770B">
        <w:rPr>
          <w:kern w:val="0"/>
        </w:rPr>
        <w:t>IT</w:t>
      </w:r>
      <w:r w:rsidRPr="00DA25D1">
        <w:rPr>
          <w:b/>
          <w:bCs/>
          <w:kern w:val="0"/>
        </w:rPr>
        <w:t xml:space="preserve"> </w:t>
      </w:r>
      <w:r w:rsidRPr="00E4770B">
        <w:rPr>
          <w:kern w:val="0"/>
        </w:rPr>
        <w:t>IS FURTHER ORDERED</w:t>
      </w:r>
      <w:r>
        <w:rPr>
          <w:kern w:val="0"/>
        </w:rPr>
        <w:t xml:space="preserve"> </w:t>
      </w:r>
      <w:bookmarkStart w:id="13" w:name="_Hlk101968306"/>
      <w:r>
        <w:t>that</w:t>
      </w:r>
      <w:bookmarkEnd w:id="13"/>
      <w:r>
        <w:t xml:space="preserve"> </w:t>
      </w:r>
      <w:r w:rsidRPr="0049008B">
        <w:t xml:space="preserve">the </w:t>
      </w:r>
      <w:r>
        <w:t xml:space="preserve">request </w:t>
      </w:r>
      <w:r w:rsidRPr="0049008B">
        <w:t>filed by</w:t>
      </w:r>
      <w:r>
        <w:t xml:space="preserve"> the U.S. Department of Health and Human Services </w:t>
      </w:r>
      <w:r w:rsidRPr="0049008B">
        <w:t xml:space="preserve">on </w:t>
      </w:r>
      <w:r>
        <w:t xml:space="preserve">April 28, 2022, </w:t>
      </w:r>
      <w:r w:rsidRPr="00E4770B">
        <w:t xml:space="preserve">IS </w:t>
      </w:r>
      <w:r>
        <w:rPr>
          <w:caps/>
        </w:rPr>
        <w:t>GRANTED</w:t>
      </w:r>
      <w:r w:rsidRPr="009106AF">
        <w:t xml:space="preserve"> </w:t>
      </w:r>
      <w:r>
        <w:t>IN PART and D</w:t>
      </w:r>
      <w:r w:rsidR="00292B66">
        <w:t>ENIED</w:t>
      </w:r>
      <w:r>
        <w:t xml:space="preserve"> IN PART to the extent discussed herein</w:t>
      </w:r>
      <w:r w:rsidRPr="00EA5728">
        <w:rPr>
          <w:caps/>
        </w:rPr>
        <w:t>.</w:t>
      </w:r>
    </w:p>
    <w:p w:rsidR="00E54088" w:rsidP="00E54088" w14:paraId="3D45F822" w14:textId="31A469C0">
      <w:pPr>
        <w:pStyle w:val="ParaNum"/>
        <w:widowControl/>
      </w:pPr>
      <w:r w:rsidRPr="00E4770B">
        <w:t>IT IS FURTHER ORDERED</w:t>
      </w:r>
      <w:r w:rsidRPr="0049008B">
        <w:t xml:space="preserve"> that</w:t>
      </w:r>
      <w:r w:rsidR="0007285E">
        <w:t xml:space="preserve">, pursuant to section 1.4 of the Commission’s rules, 47 CFR </w:t>
      </w:r>
      <w:r w:rsidR="00734BF6">
        <w:t>§ 1.4,</w:t>
      </w:r>
      <w:r w:rsidRPr="0049008B">
        <w:t xml:space="preserve"> this Declaratory Ruling shall be effective upon release.</w:t>
      </w:r>
    </w:p>
    <w:p w:rsidR="00E54088" w:rsidP="00E54088" w14:paraId="404D0B51" w14:textId="77777777">
      <w:pPr>
        <w:pStyle w:val="ParaNum"/>
        <w:numPr>
          <w:ilvl w:val="0"/>
          <w:numId w:val="0"/>
        </w:numPr>
        <w:ind w:left="720"/>
      </w:pPr>
    </w:p>
    <w:p w:rsidR="00E54088" w:rsidP="00E54088" w14:paraId="66B7E988" w14:textId="77777777">
      <w:pPr>
        <w:pStyle w:val="ParaNum"/>
        <w:numPr>
          <w:ilvl w:val="0"/>
          <w:numId w:val="0"/>
        </w:numPr>
        <w:ind w:left="3600" w:firstLine="720"/>
      </w:pPr>
      <w:r>
        <w:t>FEDERAL COMMUNICATIONS COMMISSION</w:t>
      </w:r>
    </w:p>
    <w:p w:rsidR="00E54088" w:rsidP="00E54088" w14:paraId="3886EEB5" w14:textId="77777777">
      <w:pPr>
        <w:pStyle w:val="ParaNum"/>
        <w:numPr>
          <w:ilvl w:val="0"/>
          <w:numId w:val="0"/>
        </w:numPr>
        <w:ind w:left="3600" w:firstLine="720"/>
      </w:pPr>
    </w:p>
    <w:p w:rsidR="00E54088" w:rsidP="00E54088" w14:paraId="2B80699A" w14:textId="77777777">
      <w:pPr>
        <w:pStyle w:val="ParaNum"/>
        <w:numPr>
          <w:ilvl w:val="0"/>
          <w:numId w:val="0"/>
        </w:numPr>
        <w:spacing w:after="0"/>
      </w:pPr>
    </w:p>
    <w:p w:rsidR="00E54088" w:rsidP="00E54088" w14:paraId="785FF63C" w14:textId="77777777">
      <w:pPr>
        <w:pStyle w:val="ParaNum"/>
        <w:numPr>
          <w:ilvl w:val="0"/>
          <w:numId w:val="0"/>
        </w:numPr>
        <w:spacing w:after="0"/>
      </w:pPr>
    </w:p>
    <w:p w:rsidR="00E54088" w:rsidP="00E54088" w14:paraId="14764BF8" w14:textId="77777777">
      <w:pPr>
        <w:pStyle w:val="ParaNum"/>
        <w:numPr>
          <w:ilvl w:val="0"/>
          <w:numId w:val="0"/>
        </w:numPr>
        <w:spacing w:after="0"/>
      </w:pPr>
      <w:r>
        <w:tab/>
      </w:r>
      <w:r>
        <w:tab/>
      </w:r>
      <w:r>
        <w:tab/>
      </w:r>
      <w:r>
        <w:tab/>
      </w:r>
      <w:r>
        <w:tab/>
      </w:r>
      <w:r>
        <w:tab/>
        <w:t>Alejandro Roark</w:t>
      </w:r>
    </w:p>
    <w:p w:rsidR="00E54088" w:rsidP="00E54088" w14:paraId="194D196D" w14:textId="77777777">
      <w:pPr>
        <w:pStyle w:val="ParaNum"/>
        <w:numPr>
          <w:ilvl w:val="0"/>
          <w:numId w:val="0"/>
        </w:numPr>
        <w:spacing w:after="0"/>
      </w:pPr>
      <w:r>
        <w:tab/>
      </w:r>
      <w:r>
        <w:tab/>
      </w:r>
      <w:r>
        <w:tab/>
      </w:r>
      <w:r>
        <w:tab/>
      </w:r>
      <w:r>
        <w:tab/>
      </w:r>
      <w:r>
        <w:tab/>
        <w:t>Chief</w:t>
      </w:r>
    </w:p>
    <w:p w:rsidR="00120B44" w:rsidP="00120B44" w14:paraId="494E95EC" w14:textId="4B3805FF">
      <w:pPr>
        <w:pStyle w:val="ParaNum"/>
        <w:numPr>
          <w:ilvl w:val="0"/>
          <w:numId w:val="0"/>
        </w:numPr>
        <w:spacing w:after="0"/>
      </w:pPr>
      <w:r>
        <w:tab/>
      </w:r>
      <w:r>
        <w:tab/>
      </w:r>
      <w:r>
        <w:tab/>
      </w:r>
      <w:r>
        <w:tab/>
      </w:r>
      <w:r>
        <w:tab/>
      </w:r>
      <w:r>
        <w:tab/>
      </w:r>
      <w:r w:rsidR="00E54088">
        <w:t>Consumer and Governmental Affairs Bureau</w:t>
      </w:r>
    </w:p>
    <w:p w:rsidR="00120B44" w:rsidP="00120B44" w14:paraId="2E2BADB9" w14:textId="5CB44E13">
      <w:pPr>
        <w:widowControl/>
        <w:tabs>
          <w:tab w:val="left" w:pos="5400"/>
        </w:tabs>
      </w:pPr>
    </w:p>
    <w:p w:rsidR="00120B44" w:rsidP="00120B44" w14:paraId="0C240DC4" w14:textId="5E30CA07">
      <w:pPr>
        <w:widowControl/>
        <w:tabs>
          <w:tab w:val="left" w:pos="5400"/>
        </w:tabs>
      </w:pPr>
    </w:p>
    <w:p w:rsidR="00120B44" w14:paraId="10C366BB" w14:textId="3F4AEE4A">
      <w:pPr>
        <w:widowControl/>
      </w:pPr>
      <w:r>
        <w:br w:type="page"/>
      </w:r>
    </w:p>
    <w:p w:rsidR="00E54088" w:rsidRPr="0068007B" w:rsidP="00120B44" w14:paraId="6CD1B1EF" w14:textId="3A8F208A">
      <w:pPr>
        <w:widowControl/>
        <w:tabs>
          <w:tab w:val="left" w:pos="5400"/>
        </w:tabs>
        <w:jc w:val="center"/>
      </w:pPr>
      <w:r w:rsidRPr="00660FE5">
        <w:rPr>
          <w:b/>
        </w:rPr>
        <w:t>Appendix</w:t>
      </w:r>
    </w:p>
    <w:p w:rsidR="00E54088" w:rsidRPr="00660FE5" w:rsidP="00E54088" w14:paraId="43A40A65" w14:textId="77777777">
      <w:pPr>
        <w:jc w:val="center"/>
        <w:rPr>
          <w:b/>
        </w:rPr>
      </w:pPr>
    </w:p>
    <w:p w:rsidR="00E54088" w:rsidP="00E54088" w14:paraId="072FA62D" w14:textId="77777777">
      <w:pPr>
        <w:jc w:val="center"/>
        <w:rPr>
          <w:b/>
        </w:rPr>
      </w:pPr>
      <w:r w:rsidRPr="00660FE5">
        <w:rPr>
          <w:b/>
        </w:rPr>
        <w:t>List of Commenters</w:t>
      </w:r>
    </w:p>
    <w:p w:rsidR="00E54088" w:rsidP="00E54088" w14:paraId="4A06CBE3" w14:textId="77777777">
      <w:pPr>
        <w:rPr>
          <w:b/>
        </w:rPr>
      </w:pPr>
    </w:p>
    <w:p w:rsidR="00E54088" w:rsidRPr="00660FE5" w:rsidP="00E54088" w14:paraId="01C89E82" w14:textId="77777777">
      <w:pPr>
        <w:rPr>
          <w:b/>
        </w:rPr>
      </w:pPr>
    </w:p>
    <w:p w:rsidR="00E54088" w:rsidRPr="00BA28B3" w:rsidP="00E54088" w14:paraId="087588F1" w14:textId="77777777">
      <w:pPr>
        <w:rPr>
          <w:b/>
        </w:rPr>
      </w:pPr>
      <w:r w:rsidRPr="00BA28B3">
        <w:rPr>
          <w:b/>
        </w:rPr>
        <w:t>Commenters</w:t>
      </w:r>
      <w:r w:rsidRPr="00BA28B3">
        <w:rPr>
          <w:b/>
        </w:rPr>
        <w:tab/>
      </w:r>
      <w:r w:rsidRPr="00BA28B3">
        <w:rPr>
          <w:b/>
        </w:rPr>
        <w:tab/>
      </w:r>
      <w:r>
        <w:rPr>
          <w:b/>
        </w:rPr>
        <w:tab/>
      </w:r>
      <w:r>
        <w:rPr>
          <w:b/>
        </w:rPr>
        <w:tab/>
      </w:r>
      <w:r>
        <w:rPr>
          <w:b/>
        </w:rPr>
        <w:tab/>
      </w:r>
      <w:r>
        <w:rPr>
          <w:b/>
        </w:rPr>
        <w:tab/>
      </w:r>
      <w:r>
        <w:rPr>
          <w:b/>
        </w:rPr>
        <w:tab/>
      </w:r>
      <w:r>
        <w:rPr>
          <w:b/>
        </w:rPr>
        <w:tab/>
      </w:r>
      <w:r>
        <w:rPr>
          <w:b/>
        </w:rPr>
        <w:tab/>
      </w:r>
      <w:r w:rsidRPr="00BA28B3">
        <w:rPr>
          <w:b/>
        </w:rPr>
        <w:t>Abbreviation</w:t>
      </w:r>
    </w:p>
    <w:p w:rsidR="00E54088" w:rsidP="00E54088" w14:paraId="2013435F" w14:textId="77777777"/>
    <w:p w:rsidR="00E54088" w:rsidRPr="00A86872" w:rsidP="00E54088" w14:paraId="1E0C585D" w14:textId="77777777">
      <w:r w:rsidRPr="00A86872">
        <w:t>Advocates for Community Health</w:t>
      </w:r>
      <w:r w:rsidRPr="00A86872">
        <w:tab/>
      </w:r>
      <w:r w:rsidRPr="00A86872">
        <w:tab/>
      </w:r>
      <w:r w:rsidRPr="00A86872">
        <w:tab/>
      </w:r>
      <w:r w:rsidRPr="00A86872">
        <w:tab/>
      </w:r>
      <w:r w:rsidRPr="00A86872">
        <w:tab/>
      </w:r>
      <w:r w:rsidRPr="00A86872">
        <w:tab/>
        <w:t>ACH</w:t>
      </w:r>
    </w:p>
    <w:p w:rsidR="00E54088" w:rsidRPr="00A86872" w:rsidP="00E54088" w14:paraId="5AA6AF9A" w14:textId="77777777">
      <w:r w:rsidRPr="00A86872">
        <w:t>AHIP</w:t>
      </w:r>
      <w:r w:rsidRPr="00A86872">
        <w:tab/>
      </w:r>
      <w:r w:rsidRPr="00A86872">
        <w:tab/>
      </w:r>
      <w:r w:rsidRPr="00A86872">
        <w:tab/>
      </w:r>
      <w:r w:rsidRPr="00A86872">
        <w:tab/>
      </w:r>
      <w:r w:rsidRPr="00A86872">
        <w:tab/>
      </w:r>
      <w:r w:rsidRPr="00A86872">
        <w:tab/>
      </w:r>
      <w:r w:rsidRPr="00A86872">
        <w:tab/>
      </w:r>
      <w:r w:rsidRPr="00A86872">
        <w:tab/>
      </w:r>
      <w:r w:rsidRPr="00A86872">
        <w:tab/>
      </w:r>
      <w:r w:rsidRPr="00A86872">
        <w:tab/>
      </w:r>
      <w:r w:rsidRPr="00A86872">
        <w:t>AHIP</w:t>
      </w:r>
    </w:p>
    <w:p w:rsidR="00E54088" w:rsidRPr="00A86872" w:rsidP="00E54088" w14:paraId="47AB97E6" w14:textId="77777777">
      <w:r w:rsidRPr="00A86872">
        <w:t>American Academy of Pediatrics et al.</w:t>
      </w:r>
      <w:r w:rsidRPr="00A86872">
        <w:tab/>
      </w:r>
      <w:r w:rsidRPr="00A86872">
        <w:tab/>
      </w:r>
      <w:r w:rsidRPr="00A86872">
        <w:tab/>
      </w:r>
      <w:r w:rsidRPr="00A86872">
        <w:tab/>
      </w:r>
      <w:r w:rsidRPr="00A86872">
        <w:tab/>
      </w:r>
      <w:r w:rsidRPr="00A86872">
        <w:tab/>
        <w:t>AAP</w:t>
      </w:r>
    </w:p>
    <w:p w:rsidR="00E54088" w:rsidRPr="00A86872" w:rsidP="00E54088" w14:paraId="1CEF38C2" w14:textId="77777777">
      <w:r w:rsidRPr="00A86872">
        <w:t>Amerihealth</w:t>
      </w:r>
      <w:r w:rsidRPr="00A86872">
        <w:t xml:space="preserve"> Caritas</w:t>
      </w:r>
      <w:r w:rsidRPr="00A86872">
        <w:tab/>
      </w:r>
      <w:r w:rsidRPr="00A86872">
        <w:tab/>
      </w:r>
      <w:r w:rsidRPr="00A86872">
        <w:tab/>
      </w:r>
      <w:r w:rsidRPr="00A86872">
        <w:tab/>
      </w:r>
      <w:r w:rsidRPr="00A86872">
        <w:tab/>
      </w:r>
      <w:r w:rsidRPr="00A86872">
        <w:tab/>
      </w:r>
      <w:r w:rsidRPr="00A86872">
        <w:tab/>
      </w:r>
      <w:r w:rsidRPr="00A86872">
        <w:tab/>
      </w:r>
      <w:r w:rsidRPr="00A86872">
        <w:t>Amerihealth</w:t>
      </w:r>
    </w:p>
    <w:p w:rsidR="00E54088" w:rsidRPr="00A86872" w:rsidP="00E54088" w14:paraId="20613B07" w14:textId="77777777">
      <w:r w:rsidRPr="00A86872">
        <w:t>Anthem, Inc.</w:t>
      </w:r>
      <w:r w:rsidRPr="00A86872">
        <w:tab/>
      </w:r>
      <w:r w:rsidRPr="00A86872">
        <w:tab/>
      </w:r>
      <w:r w:rsidRPr="00A86872">
        <w:tab/>
      </w:r>
      <w:r w:rsidRPr="00A86872">
        <w:tab/>
      </w:r>
      <w:r w:rsidRPr="00A86872">
        <w:tab/>
      </w:r>
      <w:r w:rsidRPr="00A86872">
        <w:tab/>
      </w:r>
      <w:r w:rsidRPr="00A86872">
        <w:tab/>
      </w:r>
      <w:r w:rsidRPr="00A86872">
        <w:tab/>
      </w:r>
      <w:r w:rsidRPr="00A86872">
        <w:tab/>
        <w:t>Anthem</w:t>
      </w:r>
    </w:p>
    <w:p w:rsidR="00E54088" w:rsidRPr="00A86872" w:rsidP="00E54088" w14:paraId="4D223922" w14:textId="77777777">
      <w:r w:rsidRPr="00A86872">
        <w:t>Arizona Health Care Cost Containment System</w:t>
      </w:r>
      <w:r w:rsidRPr="00A86872">
        <w:tab/>
      </w:r>
      <w:r w:rsidRPr="00A86872">
        <w:tab/>
      </w:r>
      <w:r w:rsidRPr="00A86872">
        <w:tab/>
      </w:r>
      <w:r w:rsidRPr="00A86872">
        <w:tab/>
      </w:r>
      <w:r w:rsidRPr="00A86872">
        <w:tab/>
        <w:t>Arizona HCCCS</w:t>
      </w:r>
    </w:p>
    <w:p w:rsidR="00E54088" w:rsidRPr="00A86872" w:rsidP="00E54088" w14:paraId="34F6B308" w14:textId="77777777">
      <w:r w:rsidRPr="00A86872">
        <w:t>Association of Asian Pacific Community Health Organizations</w:t>
      </w:r>
      <w:r w:rsidRPr="00A86872">
        <w:tab/>
      </w:r>
      <w:r w:rsidRPr="00A86872">
        <w:tab/>
      </w:r>
      <w:r w:rsidRPr="00A86872">
        <w:tab/>
        <w:t>AAPCHO</w:t>
      </w:r>
    </w:p>
    <w:p w:rsidR="00E54088" w:rsidRPr="00A86872" w:rsidP="00E54088" w14:paraId="773F0009" w14:textId="77777777">
      <w:r w:rsidRPr="00A86872">
        <w:t>Association for Community Affiliated Plans</w:t>
      </w:r>
      <w:r w:rsidRPr="00A86872">
        <w:tab/>
      </w:r>
      <w:r w:rsidRPr="00A86872">
        <w:tab/>
      </w:r>
      <w:r w:rsidRPr="00A86872">
        <w:tab/>
      </w:r>
      <w:r w:rsidRPr="00A86872">
        <w:tab/>
      </w:r>
      <w:r w:rsidRPr="00A86872">
        <w:tab/>
        <w:t>ACAP</w:t>
      </w:r>
    </w:p>
    <w:p w:rsidR="00E54088" w:rsidRPr="00A86872" w:rsidP="00E54088" w14:paraId="46F15A12" w14:textId="77777777">
      <w:r w:rsidRPr="00A86872">
        <w:t>Bailey Glasser, LLP</w:t>
      </w:r>
      <w:r w:rsidRPr="00A86872">
        <w:tab/>
      </w:r>
      <w:r w:rsidRPr="00A86872">
        <w:tab/>
      </w:r>
      <w:r w:rsidRPr="00A86872">
        <w:tab/>
      </w:r>
      <w:r w:rsidRPr="00A86872">
        <w:tab/>
      </w:r>
      <w:r w:rsidRPr="00A86872">
        <w:tab/>
      </w:r>
      <w:r w:rsidRPr="00A86872">
        <w:tab/>
      </w:r>
      <w:r w:rsidRPr="00A86872">
        <w:tab/>
      </w:r>
      <w:r w:rsidRPr="00A86872">
        <w:tab/>
        <w:t>Bailey Glasser</w:t>
      </w:r>
    </w:p>
    <w:p w:rsidR="00E54088" w:rsidRPr="00A86872" w:rsidP="00E54088" w14:paraId="341947AC" w14:textId="77777777">
      <w:r w:rsidRPr="00A86872">
        <w:t>Blue Cross Blue Shield Association</w:t>
      </w:r>
      <w:r w:rsidRPr="00A86872">
        <w:tab/>
      </w:r>
      <w:r w:rsidRPr="00A86872">
        <w:tab/>
      </w:r>
      <w:r w:rsidRPr="00A86872">
        <w:tab/>
      </w:r>
      <w:r w:rsidRPr="00A86872">
        <w:tab/>
      </w:r>
      <w:r w:rsidRPr="00A86872">
        <w:tab/>
      </w:r>
      <w:r w:rsidRPr="00A86872">
        <w:tab/>
        <w:t>Blue Cross</w:t>
      </w:r>
    </w:p>
    <w:p w:rsidR="00E54088" w:rsidRPr="00A86872" w:rsidP="00E54088" w14:paraId="48DF50E0" w14:textId="77777777">
      <w:r w:rsidRPr="00A86872">
        <w:t>State of California Department of Health Care Services</w:t>
      </w:r>
      <w:r w:rsidRPr="00A86872">
        <w:tab/>
      </w:r>
      <w:r w:rsidRPr="00A86872">
        <w:tab/>
      </w:r>
      <w:r w:rsidRPr="00A86872">
        <w:tab/>
      </w:r>
      <w:r w:rsidRPr="00A86872">
        <w:tab/>
        <w:t>California DHCS</w:t>
      </w:r>
    </w:p>
    <w:p w:rsidR="00E54088" w:rsidRPr="00A86872" w:rsidP="00E54088" w14:paraId="3A2E6E7A" w14:textId="77777777">
      <w:r w:rsidRPr="00A86872">
        <w:t xml:space="preserve">CareFirst Blue Cross Blue Shield </w:t>
      </w:r>
      <w:r>
        <w:tab/>
      </w:r>
      <w:r>
        <w:tab/>
      </w:r>
      <w:r w:rsidRPr="00A86872">
        <w:tab/>
      </w:r>
      <w:r w:rsidRPr="00A86872">
        <w:tab/>
      </w:r>
      <w:r w:rsidRPr="00A86872">
        <w:tab/>
      </w:r>
      <w:r w:rsidRPr="00A86872">
        <w:tab/>
        <w:t>CareFirst</w:t>
      </w:r>
    </w:p>
    <w:p w:rsidR="00E54088" w:rsidRPr="00A86872" w:rsidP="00E54088" w14:paraId="225114A4" w14:textId="77777777">
      <w:r w:rsidRPr="00A86872">
        <w:t>Centene Corp.</w:t>
      </w:r>
      <w:r w:rsidRPr="00A86872">
        <w:tab/>
      </w:r>
      <w:r w:rsidRPr="00A86872">
        <w:tab/>
      </w:r>
      <w:r w:rsidRPr="00A86872">
        <w:tab/>
      </w:r>
      <w:r w:rsidRPr="00A86872">
        <w:tab/>
      </w:r>
      <w:r w:rsidRPr="00A86872">
        <w:tab/>
      </w:r>
      <w:r w:rsidRPr="00A86872">
        <w:tab/>
      </w:r>
      <w:r w:rsidRPr="00A86872">
        <w:tab/>
      </w:r>
      <w:r w:rsidRPr="00A86872">
        <w:tab/>
      </w:r>
      <w:r w:rsidRPr="00A86872">
        <w:tab/>
        <w:t>Centene</w:t>
      </w:r>
    </w:p>
    <w:p w:rsidR="00E54088" w:rsidRPr="00A86872" w:rsidP="00E54088" w14:paraId="1B9194A6" w14:textId="77777777">
      <w:r w:rsidRPr="00A86872">
        <w:t>Center for Accountability, Modernization, and Innovation</w:t>
      </w:r>
      <w:r w:rsidRPr="00A86872">
        <w:tab/>
      </w:r>
      <w:r w:rsidRPr="00A86872">
        <w:tab/>
      </w:r>
      <w:r w:rsidRPr="00A86872">
        <w:tab/>
        <w:t>CAMI*</w:t>
      </w:r>
    </w:p>
    <w:p w:rsidR="00E54088" w:rsidRPr="00A86872" w:rsidP="00E54088" w14:paraId="3B005934" w14:textId="77777777">
      <w:r w:rsidRPr="00A86872">
        <w:t>Center on Budget and Policy Priorities</w:t>
      </w:r>
      <w:r w:rsidRPr="00A86872">
        <w:tab/>
      </w:r>
      <w:r w:rsidRPr="00A86872">
        <w:tab/>
      </w:r>
      <w:r w:rsidRPr="00A86872">
        <w:tab/>
      </w:r>
      <w:r w:rsidRPr="00A86872">
        <w:tab/>
      </w:r>
      <w:r w:rsidRPr="00A86872">
        <w:tab/>
      </w:r>
      <w:r w:rsidRPr="00A86872">
        <w:tab/>
        <w:t>CBPP</w:t>
      </w:r>
    </w:p>
    <w:p w:rsidR="00E54088" w:rsidRPr="00A86872" w:rsidP="00E54088" w14:paraId="176B02E0" w14:textId="77777777">
      <w:pPr>
        <w:rPr>
          <w:b/>
          <w:bCs/>
        </w:rPr>
      </w:pPr>
      <w:r w:rsidRPr="00A86872">
        <w:rPr>
          <w:b/>
          <w:bCs/>
        </w:rPr>
        <w:t>Centers for Medicare and Medicaid Services</w:t>
      </w:r>
      <w:r w:rsidRPr="00A86872">
        <w:rPr>
          <w:b/>
          <w:bCs/>
        </w:rPr>
        <w:tab/>
      </w:r>
      <w:r w:rsidRPr="00A86872">
        <w:rPr>
          <w:b/>
          <w:bCs/>
        </w:rPr>
        <w:tab/>
      </w:r>
      <w:r w:rsidRPr="00A86872">
        <w:rPr>
          <w:b/>
          <w:bCs/>
        </w:rPr>
        <w:tab/>
      </w:r>
      <w:r w:rsidRPr="00A86872">
        <w:rPr>
          <w:b/>
          <w:bCs/>
        </w:rPr>
        <w:tab/>
      </w:r>
      <w:r w:rsidRPr="00A86872">
        <w:rPr>
          <w:b/>
          <w:bCs/>
        </w:rPr>
        <w:tab/>
        <w:t>CMMS</w:t>
      </w:r>
      <w:r>
        <w:rPr>
          <w:b/>
          <w:bCs/>
        </w:rPr>
        <w:t>/HHS</w:t>
      </w:r>
    </w:p>
    <w:p w:rsidR="00E54088" w:rsidRPr="00A86872" w:rsidP="00E54088" w14:paraId="7F59FCD3" w14:textId="77777777">
      <w:r w:rsidRPr="00A86872">
        <w:t>Colorado Access</w:t>
      </w:r>
      <w:r w:rsidRPr="00A86872">
        <w:tab/>
      </w:r>
      <w:r w:rsidRPr="00A86872">
        <w:tab/>
      </w:r>
      <w:r w:rsidRPr="00A86872">
        <w:tab/>
      </w:r>
      <w:r w:rsidRPr="00A86872">
        <w:tab/>
      </w:r>
      <w:r w:rsidRPr="00A86872">
        <w:tab/>
      </w:r>
      <w:r w:rsidRPr="00A86872">
        <w:tab/>
      </w:r>
      <w:r w:rsidRPr="00A86872">
        <w:tab/>
      </w:r>
      <w:r w:rsidRPr="00A86872">
        <w:tab/>
        <w:t>Colorado Access</w:t>
      </w:r>
    </w:p>
    <w:p w:rsidR="00E54088" w:rsidRPr="00A86872" w:rsidP="00E54088" w14:paraId="3A45265C" w14:textId="77777777">
      <w:r w:rsidRPr="00A86872">
        <w:t>Colorado Dept. of Health Care Policy and Financing</w:t>
      </w:r>
      <w:r w:rsidRPr="00A86872">
        <w:tab/>
      </w:r>
      <w:r w:rsidRPr="00A86872">
        <w:tab/>
      </w:r>
      <w:r>
        <w:tab/>
      </w:r>
      <w:r>
        <w:tab/>
      </w:r>
      <w:r w:rsidRPr="00A86872">
        <w:t>Colorado HCPF</w:t>
      </w:r>
    </w:p>
    <w:p w:rsidR="00E54088" w:rsidRPr="00A86872" w:rsidP="00E54088" w14:paraId="09DD6D12" w14:textId="77777777">
      <w:r w:rsidRPr="00A86872">
        <w:t xml:space="preserve">Community Catalyst </w:t>
      </w:r>
      <w:r>
        <w:tab/>
      </w:r>
      <w:r>
        <w:tab/>
      </w:r>
      <w:r w:rsidRPr="00A86872">
        <w:tab/>
      </w:r>
      <w:r w:rsidRPr="00A86872">
        <w:tab/>
      </w:r>
      <w:r w:rsidRPr="00A86872">
        <w:tab/>
      </w:r>
      <w:r w:rsidRPr="00A86872">
        <w:tab/>
      </w:r>
      <w:r w:rsidRPr="00A86872">
        <w:tab/>
      </w:r>
      <w:r w:rsidRPr="00A86872">
        <w:tab/>
        <w:t>Community Catalyst</w:t>
      </w:r>
    </w:p>
    <w:p w:rsidR="00E54088" w:rsidRPr="00A86872" w:rsidP="00E54088" w14:paraId="0EADF042" w14:textId="77777777">
      <w:r w:rsidRPr="00A86872">
        <w:t>Cognosante</w:t>
      </w:r>
      <w:r w:rsidRPr="00A86872">
        <w:t>, LLC</w:t>
      </w:r>
      <w:r w:rsidRPr="00A86872">
        <w:tab/>
      </w:r>
      <w:r w:rsidRPr="00A86872">
        <w:tab/>
      </w:r>
      <w:r w:rsidRPr="00A86872">
        <w:tab/>
      </w:r>
      <w:r w:rsidRPr="00A86872">
        <w:tab/>
      </w:r>
      <w:r w:rsidRPr="00A86872">
        <w:tab/>
      </w:r>
      <w:r w:rsidRPr="00A86872">
        <w:tab/>
      </w:r>
      <w:r w:rsidRPr="00A86872">
        <w:tab/>
      </w:r>
      <w:r w:rsidRPr="00A86872">
        <w:tab/>
      </w:r>
      <w:r w:rsidRPr="00A86872">
        <w:t>Cognosante</w:t>
      </w:r>
    </w:p>
    <w:p w:rsidR="00E54088" w:rsidRPr="00A86872" w:rsidP="00E54088" w14:paraId="41E6C79A" w14:textId="77777777">
      <w:r w:rsidRPr="00A86872">
        <w:t>Connected Health Initiative</w:t>
      </w:r>
      <w:r w:rsidRPr="00A86872">
        <w:tab/>
      </w:r>
      <w:r w:rsidRPr="00A86872">
        <w:tab/>
      </w:r>
      <w:r w:rsidRPr="00A86872">
        <w:tab/>
      </w:r>
      <w:r w:rsidRPr="00A86872">
        <w:tab/>
      </w:r>
      <w:r w:rsidRPr="00A86872">
        <w:tab/>
      </w:r>
      <w:r w:rsidRPr="00A86872">
        <w:tab/>
      </w:r>
      <w:r w:rsidRPr="00A86872">
        <w:tab/>
        <w:t>CHI</w:t>
      </w:r>
    </w:p>
    <w:p w:rsidR="00E54088" w:rsidRPr="00A86872" w:rsidP="00E54088" w14:paraId="4D843E8E" w14:textId="77777777">
      <w:r w:rsidRPr="00A86872">
        <w:t>Connecticut Department of Social Services</w:t>
      </w:r>
      <w:r w:rsidRPr="00A86872">
        <w:tab/>
      </w:r>
      <w:r w:rsidRPr="00A86872">
        <w:tab/>
      </w:r>
      <w:r w:rsidRPr="00A86872">
        <w:tab/>
      </w:r>
      <w:r w:rsidRPr="00A86872">
        <w:tab/>
      </w:r>
      <w:r w:rsidRPr="00A86872">
        <w:tab/>
        <w:t>Connecticut DSS</w:t>
      </w:r>
    </w:p>
    <w:p w:rsidR="00E54088" w:rsidRPr="00A86872" w:rsidP="00E54088" w14:paraId="65609EBB" w14:textId="77777777">
      <w:r w:rsidRPr="00A86872">
        <w:t>Drips Holdings, LLC</w:t>
      </w:r>
      <w:r w:rsidRPr="00A86872">
        <w:tab/>
      </w:r>
      <w:r w:rsidRPr="00A86872">
        <w:tab/>
      </w:r>
      <w:r w:rsidRPr="00A86872">
        <w:tab/>
      </w:r>
      <w:r w:rsidRPr="00A86872">
        <w:tab/>
      </w:r>
      <w:r w:rsidRPr="00A86872">
        <w:tab/>
      </w:r>
      <w:r w:rsidRPr="00A86872">
        <w:tab/>
      </w:r>
      <w:r w:rsidRPr="00A86872">
        <w:tab/>
      </w:r>
      <w:r w:rsidRPr="00A86872">
        <w:tab/>
        <w:t>Drips Holdings</w:t>
      </w:r>
    </w:p>
    <w:p w:rsidR="00E54088" w:rsidRPr="00A86872" w:rsidP="00E54088" w14:paraId="46B66145" w14:textId="77777777">
      <w:r w:rsidRPr="00A86872">
        <w:t>Enrollment Coalition</w:t>
      </w:r>
      <w:r w:rsidRPr="00A86872">
        <w:tab/>
      </w:r>
      <w:r w:rsidRPr="00A86872">
        <w:tab/>
      </w:r>
      <w:r w:rsidRPr="00A86872">
        <w:tab/>
      </w:r>
      <w:r w:rsidRPr="00A86872">
        <w:tab/>
      </w:r>
      <w:r w:rsidRPr="00A86872">
        <w:tab/>
      </w:r>
      <w:r w:rsidRPr="00A86872">
        <w:tab/>
      </w:r>
      <w:r w:rsidRPr="00A86872">
        <w:tab/>
      </w:r>
      <w:r w:rsidRPr="00A86872">
        <w:tab/>
        <w:t>Enrollment Coalition</w:t>
      </w:r>
    </w:p>
    <w:p w:rsidR="00E54088" w:rsidRPr="00A86872" w:rsidP="00E54088" w14:paraId="5DBE7F23" w14:textId="77777777">
      <w:r w:rsidRPr="00A86872">
        <w:t>Gainwell Technologies</w:t>
      </w:r>
      <w:r w:rsidRPr="00A86872">
        <w:tab/>
      </w:r>
      <w:r w:rsidRPr="00A86872">
        <w:tab/>
      </w:r>
      <w:r w:rsidRPr="00A86872">
        <w:tab/>
      </w:r>
      <w:r w:rsidRPr="00A86872">
        <w:tab/>
      </w:r>
      <w:r w:rsidRPr="00A86872">
        <w:tab/>
      </w:r>
      <w:r w:rsidRPr="00A86872">
        <w:tab/>
      </w:r>
      <w:r w:rsidRPr="00A86872">
        <w:tab/>
      </w:r>
      <w:r w:rsidRPr="00A86872">
        <w:tab/>
        <w:t>Gainwell</w:t>
      </w:r>
    </w:p>
    <w:p w:rsidR="00E54088" w:rsidRPr="00A86872" w:rsidP="00E54088" w14:paraId="70205135" w14:textId="77777777">
      <w:r w:rsidRPr="00A86872">
        <w:t>Healthcare and Family Services</w:t>
      </w:r>
      <w:r w:rsidRPr="00A86872">
        <w:tab/>
      </w:r>
      <w:r w:rsidRPr="00A86872">
        <w:tab/>
      </w:r>
      <w:r w:rsidRPr="00A86872">
        <w:tab/>
      </w:r>
      <w:r w:rsidRPr="00A86872">
        <w:tab/>
      </w:r>
      <w:r w:rsidRPr="00A86872">
        <w:tab/>
      </w:r>
      <w:r w:rsidRPr="00A86872">
        <w:tab/>
      </w:r>
      <w:r w:rsidRPr="00A86872">
        <w:tab/>
        <w:t>HFS</w:t>
      </w:r>
    </w:p>
    <w:p w:rsidR="00E54088" w:rsidRPr="00A86872" w:rsidP="00E54088" w14:paraId="22D842E2" w14:textId="77777777">
      <w:r w:rsidRPr="00A86872">
        <w:t>Healthcare Information and Management Systems Society</w:t>
      </w:r>
      <w:r w:rsidRPr="00A86872">
        <w:tab/>
      </w:r>
      <w:r w:rsidRPr="00A86872">
        <w:tab/>
      </w:r>
      <w:r w:rsidRPr="00A86872">
        <w:tab/>
        <w:t>HIMSS</w:t>
      </w:r>
    </w:p>
    <w:p w:rsidR="00E54088" w:rsidRPr="00A86872" w:rsidP="00E54088" w14:paraId="5D8AAFD7" w14:textId="77777777">
      <w:r w:rsidRPr="00A86872">
        <w:t>Healthcare Leadership Council</w:t>
      </w:r>
      <w:r w:rsidRPr="00A86872">
        <w:tab/>
      </w:r>
      <w:r w:rsidRPr="00A86872">
        <w:tab/>
      </w:r>
      <w:r w:rsidRPr="00A86872">
        <w:tab/>
      </w:r>
      <w:r w:rsidRPr="00A86872">
        <w:tab/>
      </w:r>
      <w:r w:rsidRPr="00A86872">
        <w:tab/>
      </w:r>
      <w:r w:rsidRPr="00A86872">
        <w:tab/>
      </w:r>
      <w:r w:rsidRPr="00A86872">
        <w:tab/>
        <w:t>Health Leadership</w:t>
      </w:r>
    </w:p>
    <w:p w:rsidR="00E54088" w:rsidRPr="00A86872" w:rsidP="00E54088" w14:paraId="2C88BFD8" w14:textId="77777777">
      <w:pPr>
        <w:rPr>
          <w:b/>
          <w:bCs/>
        </w:rPr>
      </w:pPr>
      <w:r w:rsidRPr="00A86872">
        <w:rPr>
          <w:b/>
          <w:bCs/>
        </w:rPr>
        <w:t>Icario</w:t>
      </w:r>
      <w:r w:rsidRPr="00A86872">
        <w:rPr>
          <w:b/>
          <w:bCs/>
        </w:rPr>
        <w:t>, Inc.</w:t>
      </w:r>
      <w:r w:rsidRPr="00A86872">
        <w:rPr>
          <w:b/>
          <w:bCs/>
        </w:rPr>
        <w:tab/>
      </w:r>
      <w:r w:rsidRPr="00A86872">
        <w:rPr>
          <w:b/>
          <w:bCs/>
        </w:rPr>
        <w:tab/>
      </w:r>
      <w:r w:rsidRPr="00A86872">
        <w:rPr>
          <w:b/>
          <w:bCs/>
        </w:rPr>
        <w:tab/>
      </w:r>
      <w:r w:rsidRPr="00A86872">
        <w:rPr>
          <w:b/>
          <w:bCs/>
        </w:rPr>
        <w:tab/>
      </w:r>
      <w:r w:rsidRPr="00A86872">
        <w:rPr>
          <w:b/>
          <w:bCs/>
        </w:rPr>
        <w:tab/>
      </w:r>
      <w:r w:rsidRPr="00A86872">
        <w:rPr>
          <w:b/>
          <w:bCs/>
        </w:rPr>
        <w:tab/>
      </w:r>
      <w:r w:rsidRPr="00A86872">
        <w:rPr>
          <w:b/>
          <w:bCs/>
        </w:rPr>
        <w:tab/>
      </w:r>
      <w:r w:rsidRPr="00A86872">
        <w:rPr>
          <w:b/>
          <w:bCs/>
        </w:rPr>
        <w:tab/>
      </w:r>
      <w:r w:rsidRPr="00A86872">
        <w:rPr>
          <w:b/>
          <w:bCs/>
        </w:rPr>
        <w:tab/>
      </w:r>
      <w:r w:rsidRPr="00A86872">
        <w:rPr>
          <w:b/>
          <w:bCs/>
        </w:rPr>
        <w:t>Icario</w:t>
      </w:r>
    </w:p>
    <w:p w:rsidR="00E54088" w:rsidRPr="00A86872" w:rsidP="00E54088" w14:paraId="15349B29" w14:textId="77777777">
      <w:r w:rsidRPr="00A86872">
        <w:t>Illinois Department of Healthcare and Family Services</w:t>
      </w:r>
      <w:r w:rsidRPr="00A86872">
        <w:tab/>
      </w:r>
      <w:r w:rsidRPr="00A86872">
        <w:tab/>
      </w:r>
      <w:r w:rsidRPr="00A86872">
        <w:tab/>
      </w:r>
      <w:r w:rsidRPr="00A86872">
        <w:tab/>
        <w:t>Illinois HFS</w:t>
      </w:r>
    </w:p>
    <w:p w:rsidR="00E54088" w:rsidRPr="00A86872" w:rsidP="00E54088" w14:paraId="1E3137A2" w14:textId="77777777">
      <w:r w:rsidRPr="00A86872">
        <w:t>Illinois Primary Health Care Association</w:t>
      </w:r>
      <w:r w:rsidRPr="00A86872">
        <w:tab/>
      </w:r>
      <w:r w:rsidRPr="00A86872">
        <w:tab/>
      </w:r>
      <w:r w:rsidRPr="00A86872">
        <w:tab/>
      </w:r>
      <w:r w:rsidRPr="00A86872">
        <w:tab/>
      </w:r>
      <w:r w:rsidRPr="00A86872">
        <w:tab/>
      </w:r>
      <w:r w:rsidRPr="00A86872">
        <w:tab/>
        <w:t>Illinois PHCA</w:t>
      </w:r>
    </w:p>
    <w:p w:rsidR="00E54088" w:rsidRPr="00A86872" w:rsidP="00E54088" w14:paraId="612FFD1E" w14:textId="77777777">
      <w:r w:rsidRPr="00A86872">
        <w:t>Indiana Primary Health Care Association</w:t>
      </w:r>
      <w:r w:rsidRPr="00A86872">
        <w:tab/>
      </w:r>
      <w:r w:rsidRPr="00A86872">
        <w:tab/>
      </w:r>
      <w:r w:rsidRPr="00A86872">
        <w:tab/>
      </w:r>
      <w:r w:rsidRPr="00A86872">
        <w:tab/>
      </w:r>
      <w:r w:rsidRPr="00A86872">
        <w:tab/>
        <w:t xml:space="preserve">Indiana PHCA </w:t>
      </w:r>
    </w:p>
    <w:p w:rsidR="00E54088" w:rsidRPr="00A86872" w:rsidP="00E54088" w14:paraId="090E5BBE" w14:textId="77777777">
      <w:r w:rsidRPr="00A86872">
        <w:t>Kaiser Permanente</w:t>
      </w:r>
      <w:r w:rsidRPr="00A86872">
        <w:tab/>
      </w:r>
      <w:r w:rsidRPr="00A86872">
        <w:tab/>
      </w:r>
      <w:r w:rsidRPr="00A86872">
        <w:tab/>
      </w:r>
      <w:r w:rsidRPr="00A86872">
        <w:tab/>
      </w:r>
      <w:r w:rsidRPr="00A86872">
        <w:tab/>
      </w:r>
      <w:r w:rsidRPr="00A86872">
        <w:tab/>
      </w:r>
      <w:r w:rsidRPr="00A86872">
        <w:tab/>
      </w:r>
      <w:r w:rsidRPr="00A86872">
        <w:tab/>
        <w:t>Kaiser</w:t>
      </w:r>
    </w:p>
    <w:p w:rsidR="00E54088" w:rsidRPr="00A86872" w:rsidP="00E54088" w14:paraId="06E23476" w14:textId="77777777">
      <w:r w:rsidRPr="00A86872">
        <w:t>LeadingAge (Meridith Chillemi)</w:t>
      </w:r>
      <w:r w:rsidRPr="00A86872">
        <w:tab/>
      </w:r>
      <w:r w:rsidRPr="00A86872">
        <w:tab/>
      </w:r>
      <w:r w:rsidRPr="00A86872">
        <w:tab/>
      </w:r>
      <w:r w:rsidRPr="00A86872">
        <w:tab/>
      </w:r>
      <w:r w:rsidRPr="00A86872">
        <w:tab/>
      </w:r>
      <w:r w:rsidRPr="00A86872">
        <w:tab/>
        <w:t>LeadingAge</w:t>
      </w:r>
    </w:p>
    <w:p w:rsidR="00E54088" w:rsidRPr="00A86872" w:rsidP="00E54088" w14:paraId="2F033B54" w14:textId="77777777">
      <w:r w:rsidRPr="00A86872">
        <w:t>Massachusetts Office of Health and Human Services</w:t>
      </w:r>
      <w:r w:rsidRPr="00A86872">
        <w:tab/>
      </w:r>
      <w:r w:rsidRPr="00A86872">
        <w:tab/>
      </w:r>
      <w:r w:rsidRPr="00A86872">
        <w:tab/>
      </w:r>
      <w:r w:rsidRPr="00A86872">
        <w:tab/>
        <w:t>MassHealth</w:t>
      </w:r>
    </w:p>
    <w:p w:rsidR="00E54088" w:rsidRPr="00A86872" w:rsidP="00E54088" w14:paraId="2A07E2A7" w14:textId="77777777">
      <w:r w:rsidRPr="00A86872">
        <w:t>Medicaid and CHIP Payment and Access Commission</w:t>
      </w:r>
      <w:r w:rsidRPr="00A86872">
        <w:tab/>
      </w:r>
      <w:r w:rsidRPr="00A86872">
        <w:tab/>
      </w:r>
      <w:r w:rsidRPr="00A86872">
        <w:tab/>
      </w:r>
      <w:r w:rsidRPr="00A86872">
        <w:tab/>
        <w:t>MACPAC</w:t>
      </w:r>
    </w:p>
    <w:p w:rsidR="00E54088" w:rsidRPr="00A86872" w:rsidP="00E54088" w14:paraId="0B8EF20B" w14:textId="77777777">
      <w:r w:rsidRPr="00A86872">
        <w:t>Medicaid Health Plans of America</w:t>
      </w:r>
      <w:r w:rsidRPr="00A86872">
        <w:tab/>
      </w:r>
      <w:r w:rsidRPr="00A86872">
        <w:tab/>
      </w:r>
      <w:r w:rsidRPr="00A86872">
        <w:tab/>
      </w:r>
      <w:r w:rsidRPr="00A86872">
        <w:tab/>
      </w:r>
      <w:r w:rsidRPr="00A86872">
        <w:tab/>
      </w:r>
      <w:r w:rsidRPr="00A86872">
        <w:tab/>
        <w:t>MHPA</w:t>
      </w:r>
    </w:p>
    <w:p w:rsidR="00E54088" w:rsidRPr="00A86872" w:rsidP="00E54088" w14:paraId="05E84D84" w14:textId="77777777">
      <w:r w:rsidRPr="00A86872">
        <w:t>Medicaid Matters New York</w:t>
      </w:r>
      <w:r w:rsidRPr="00A86872">
        <w:tab/>
      </w:r>
      <w:r w:rsidRPr="00A86872">
        <w:tab/>
      </w:r>
      <w:r w:rsidRPr="00A86872">
        <w:tab/>
      </w:r>
      <w:r w:rsidRPr="00A86872">
        <w:tab/>
      </w:r>
      <w:r w:rsidRPr="00A86872">
        <w:tab/>
      </w:r>
      <w:r w:rsidRPr="00A86872">
        <w:tab/>
      </w:r>
      <w:r w:rsidRPr="00A86872">
        <w:tab/>
        <w:t>MMNY</w:t>
      </w:r>
    </w:p>
    <w:p w:rsidR="00E54088" w:rsidRPr="00A86872" w:rsidP="00E54088" w14:paraId="3BF2794D" w14:textId="77777777">
      <w:r w:rsidRPr="00A86872">
        <w:t>National Association of Community Health Centers</w:t>
      </w:r>
      <w:r w:rsidRPr="00A86872">
        <w:tab/>
      </w:r>
      <w:r w:rsidRPr="00A86872">
        <w:tab/>
      </w:r>
      <w:r w:rsidRPr="00A86872">
        <w:tab/>
      </w:r>
      <w:r w:rsidRPr="00A86872">
        <w:tab/>
        <w:t>NACHC</w:t>
      </w:r>
    </w:p>
    <w:p w:rsidR="00E54088" w:rsidRPr="00A86872" w:rsidP="00E54088" w14:paraId="6024493A" w14:textId="77777777">
      <w:r w:rsidRPr="00A86872">
        <w:t>National Association of Medicaid Directors</w:t>
      </w:r>
      <w:r w:rsidRPr="00A86872">
        <w:tab/>
      </w:r>
      <w:r w:rsidRPr="00A86872">
        <w:tab/>
      </w:r>
      <w:r w:rsidRPr="00A86872">
        <w:tab/>
      </w:r>
      <w:r w:rsidRPr="00A86872">
        <w:tab/>
      </w:r>
      <w:r w:rsidRPr="00A86872">
        <w:tab/>
        <w:t>NAMD</w:t>
      </w:r>
    </w:p>
    <w:p w:rsidR="00E54088" w:rsidRPr="00A86872" w:rsidP="00E54088" w14:paraId="6B1A1022" w14:textId="77777777">
      <w:r w:rsidRPr="00A86872">
        <w:t>National Consumer Law Center et al.</w:t>
      </w:r>
      <w:r w:rsidRPr="00A86872">
        <w:tab/>
      </w:r>
      <w:r w:rsidRPr="00A86872">
        <w:tab/>
      </w:r>
      <w:r w:rsidRPr="00A86872">
        <w:tab/>
      </w:r>
      <w:r w:rsidRPr="00A86872">
        <w:tab/>
      </w:r>
      <w:r w:rsidRPr="00A86872">
        <w:tab/>
      </w:r>
      <w:r w:rsidRPr="00A86872">
        <w:tab/>
        <w:t>NCLC*</w:t>
      </w:r>
    </w:p>
    <w:p w:rsidR="00E54088" w:rsidRPr="00A86872" w:rsidP="00E54088" w14:paraId="61E9CEED" w14:textId="77777777">
      <w:r w:rsidRPr="00A86872">
        <w:t>Nevada Department of Health and Human Services</w:t>
      </w:r>
      <w:r w:rsidRPr="00A86872">
        <w:tab/>
      </w:r>
      <w:r w:rsidRPr="00A86872">
        <w:tab/>
      </w:r>
      <w:r w:rsidRPr="00A86872">
        <w:tab/>
      </w:r>
      <w:r w:rsidRPr="00A86872">
        <w:tab/>
        <w:t>Nevada DHHS</w:t>
      </w:r>
    </w:p>
    <w:p w:rsidR="00E54088" w:rsidRPr="00A86872" w:rsidP="00E54088" w14:paraId="61B44D8F" w14:textId="77777777">
      <w:r w:rsidRPr="00A86872">
        <w:t>New Jersey Primary Care Association</w:t>
      </w:r>
      <w:r w:rsidRPr="00A86872">
        <w:tab/>
      </w:r>
      <w:r w:rsidRPr="00A86872">
        <w:tab/>
      </w:r>
      <w:r w:rsidRPr="00A86872">
        <w:tab/>
      </w:r>
      <w:r w:rsidRPr="00A86872">
        <w:tab/>
      </w:r>
      <w:r w:rsidRPr="00A86872">
        <w:tab/>
      </w:r>
      <w:r w:rsidRPr="00A86872">
        <w:tab/>
        <w:t>New Jersey PCA</w:t>
      </w:r>
    </w:p>
    <w:p w:rsidR="00E54088" w:rsidRPr="00A86872" w:rsidP="00E54088" w14:paraId="5D1063A1" w14:textId="77777777">
      <w:r w:rsidRPr="00A86872">
        <w:t>NY State of Health, NYS Department of Health</w:t>
      </w:r>
      <w:r w:rsidRPr="00A86872">
        <w:tab/>
      </w:r>
      <w:r w:rsidRPr="00A86872">
        <w:tab/>
      </w:r>
      <w:r w:rsidRPr="00A86872">
        <w:tab/>
      </w:r>
      <w:r w:rsidRPr="00A86872">
        <w:tab/>
      </w:r>
      <w:r w:rsidRPr="00A86872">
        <w:tab/>
        <w:t>NYDH</w:t>
      </w:r>
    </w:p>
    <w:p w:rsidR="00E54088" w:rsidRPr="00A86872" w:rsidP="00E54088" w14:paraId="58CAFAEB" w14:textId="77777777">
      <w:r w:rsidRPr="00A86872">
        <w:t>Ohio Association of Community Health Centers</w:t>
      </w:r>
      <w:r w:rsidRPr="00A86872">
        <w:tab/>
      </w:r>
      <w:r w:rsidRPr="00A86872">
        <w:tab/>
      </w:r>
      <w:r w:rsidRPr="00A86872">
        <w:tab/>
      </w:r>
      <w:r w:rsidRPr="00A86872">
        <w:tab/>
      </w:r>
      <w:r w:rsidRPr="00A86872">
        <w:tab/>
        <w:t>OACHC</w:t>
      </w:r>
    </w:p>
    <w:p w:rsidR="00E54088" w:rsidRPr="00A86872" w:rsidP="00E54088" w14:paraId="7E08E4A1" w14:textId="77777777">
      <w:r w:rsidRPr="00A86872">
        <w:t>Oregon Health Authority</w:t>
      </w:r>
      <w:r w:rsidRPr="00A86872">
        <w:tab/>
      </w:r>
      <w:r w:rsidRPr="00A86872">
        <w:tab/>
      </w:r>
      <w:r w:rsidRPr="00A86872">
        <w:tab/>
      </w:r>
      <w:r w:rsidRPr="00A86872">
        <w:tab/>
      </w:r>
      <w:r w:rsidRPr="00A86872">
        <w:tab/>
      </w:r>
      <w:r w:rsidRPr="00A86872">
        <w:tab/>
      </w:r>
      <w:r w:rsidRPr="00A86872">
        <w:tab/>
        <w:t>Oregon HA</w:t>
      </w:r>
    </w:p>
    <w:p w:rsidR="00E54088" w:rsidRPr="00A86872" w:rsidP="00E54088" w14:paraId="3637FDD5" w14:textId="77777777">
      <w:r w:rsidRPr="00A86872">
        <w:t>SameSky</w:t>
      </w:r>
      <w:r w:rsidRPr="00A86872">
        <w:t xml:space="preserve"> Health, Inc.</w:t>
      </w:r>
      <w:r w:rsidRPr="00A86872">
        <w:tab/>
      </w:r>
      <w:r w:rsidRPr="00A86872">
        <w:tab/>
      </w:r>
      <w:r w:rsidRPr="00A86872">
        <w:tab/>
      </w:r>
      <w:r w:rsidRPr="00A86872">
        <w:tab/>
      </w:r>
      <w:r w:rsidRPr="00A86872">
        <w:tab/>
      </w:r>
      <w:r w:rsidRPr="00A86872">
        <w:tab/>
      </w:r>
      <w:r w:rsidRPr="00A86872">
        <w:tab/>
      </w:r>
      <w:r w:rsidRPr="00A86872">
        <w:tab/>
      </w:r>
      <w:r w:rsidRPr="00A86872">
        <w:t>SameSky</w:t>
      </w:r>
    </w:p>
    <w:p w:rsidR="00E54088" w:rsidRPr="00A86872" w:rsidP="00E54088" w14:paraId="1D11AC46" w14:textId="77777777">
      <w:r w:rsidRPr="00A86872">
        <w:t>Joe Shields</w:t>
      </w:r>
      <w:r w:rsidRPr="00A86872">
        <w:tab/>
      </w:r>
      <w:r w:rsidRPr="00A86872">
        <w:tab/>
      </w:r>
      <w:r w:rsidRPr="00A86872">
        <w:tab/>
      </w:r>
      <w:r w:rsidRPr="00A86872">
        <w:tab/>
      </w:r>
      <w:r w:rsidRPr="00A86872">
        <w:tab/>
      </w:r>
      <w:r w:rsidRPr="00A86872">
        <w:tab/>
      </w:r>
      <w:r w:rsidRPr="00A86872">
        <w:tab/>
      </w:r>
      <w:r w:rsidRPr="00A86872">
        <w:tab/>
      </w:r>
      <w:r w:rsidRPr="00A86872">
        <w:tab/>
      </w:r>
      <w:r w:rsidRPr="00A86872">
        <w:t>Shields</w:t>
      </w:r>
    </w:p>
    <w:p w:rsidR="00E54088" w:rsidRPr="00A86872" w:rsidP="00E54088" w14:paraId="4A0AAF61" w14:textId="77777777">
      <w:r w:rsidRPr="00A86872">
        <w:t>Tennessee Department of Finance &amp; Administration</w:t>
      </w:r>
      <w:r w:rsidRPr="00A86872">
        <w:tab/>
      </w:r>
      <w:r w:rsidRPr="00A86872">
        <w:tab/>
      </w:r>
      <w:r w:rsidRPr="00A86872">
        <w:tab/>
      </w:r>
      <w:r w:rsidRPr="00A86872">
        <w:tab/>
      </w:r>
      <w:r w:rsidRPr="00A86872">
        <w:t>TennCare</w:t>
      </w:r>
      <w:r w:rsidRPr="00A86872">
        <w:t xml:space="preserve"> </w:t>
      </w:r>
    </w:p>
    <w:p w:rsidR="00E54088" w:rsidRPr="00A86872" w:rsidP="00E54088" w14:paraId="16F6EDB0" w14:textId="77777777">
      <w:r w:rsidRPr="00A86872">
        <w:t>Tennessee Primary Care Association</w:t>
      </w:r>
      <w:r w:rsidRPr="00A86872">
        <w:tab/>
      </w:r>
      <w:r w:rsidRPr="00A86872">
        <w:tab/>
      </w:r>
      <w:r w:rsidRPr="00A86872">
        <w:tab/>
      </w:r>
      <w:r w:rsidRPr="00A86872">
        <w:tab/>
      </w:r>
      <w:r w:rsidRPr="00A86872">
        <w:tab/>
      </w:r>
      <w:r w:rsidRPr="00A86872">
        <w:tab/>
        <w:t>Tennessee PCA</w:t>
      </w:r>
    </w:p>
    <w:p w:rsidR="00E54088" w:rsidRPr="00A86872" w:rsidP="00E54088" w14:paraId="1A093D6D" w14:textId="77777777">
      <w:r w:rsidRPr="00A86872">
        <w:t>UnitedHealth Group</w:t>
      </w:r>
      <w:r w:rsidRPr="00A86872">
        <w:tab/>
      </w:r>
      <w:r w:rsidRPr="00A86872">
        <w:tab/>
      </w:r>
      <w:r w:rsidRPr="00A86872">
        <w:tab/>
      </w:r>
      <w:r w:rsidRPr="00A86872">
        <w:tab/>
      </w:r>
      <w:r w:rsidRPr="00A86872">
        <w:tab/>
      </w:r>
      <w:r w:rsidRPr="00A86872">
        <w:tab/>
      </w:r>
      <w:r w:rsidRPr="00A86872">
        <w:tab/>
      </w:r>
      <w:r w:rsidRPr="00A86872">
        <w:tab/>
        <w:t>UnitedHealth</w:t>
      </w:r>
    </w:p>
    <w:p w:rsidR="00E54088" w:rsidRPr="00A86872" w:rsidP="00E54088" w14:paraId="6F8632D2" w14:textId="77777777">
      <w:r w:rsidRPr="00A86872">
        <w:t>United States of Care</w:t>
      </w:r>
      <w:r w:rsidRPr="00A86872">
        <w:tab/>
      </w:r>
      <w:r w:rsidRPr="00A86872">
        <w:tab/>
      </w:r>
      <w:r w:rsidRPr="00A86872">
        <w:tab/>
      </w:r>
      <w:r w:rsidRPr="00A86872">
        <w:tab/>
      </w:r>
      <w:r w:rsidRPr="00A86872">
        <w:tab/>
      </w:r>
      <w:r w:rsidRPr="00A86872">
        <w:tab/>
      </w:r>
      <w:r w:rsidRPr="00A86872">
        <w:tab/>
      </w:r>
      <w:r w:rsidRPr="00A86872">
        <w:tab/>
        <w:t>USC</w:t>
      </w:r>
    </w:p>
    <w:p w:rsidR="00E54088" w:rsidRPr="00A86872" w:rsidP="00E54088" w14:paraId="0A589349" w14:textId="77777777">
      <w:r w:rsidRPr="00A86872">
        <w:t>Commonwealth of Virginia – Department of Medical Assistance Services</w:t>
      </w:r>
      <w:r w:rsidRPr="00A86872">
        <w:tab/>
        <w:t>Virginia DMAS</w:t>
      </w:r>
    </w:p>
    <w:p w:rsidR="00E54088" w:rsidRPr="00A86872" w:rsidP="00E54088" w14:paraId="031707B4" w14:textId="77777777">
      <w:r w:rsidRPr="00A86872">
        <w:t>State of Wisconsin – Dept. of Health Services</w:t>
      </w:r>
      <w:r w:rsidRPr="00A86872">
        <w:tab/>
      </w:r>
      <w:r w:rsidRPr="00A86872">
        <w:tab/>
      </w:r>
      <w:r w:rsidRPr="00A86872">
        <w:tab/>
      </w:r>
      <w:r w:rsidRPr="00A86872">
        <w:tab/>
      </w:r>
      <w:r w:rsidRPr="00A86872">
        <w:tab/>
        <w:t>Wisconsin DHS</w:t>
      </w:r>
    </w:p>
    <w:p w:rsidR="00E54088" w:rsidRPr="000D165D" w:rsidP="00E54088" w14:paraId="258F3000" w14:textId="77777777"/>
    <w:p w:rsidR="00E54088" w:rsidRPr="000D165D" w:rsidP="00E54088" w14:paraId="01313EE8" w14:textId="77777777"/>
    <w:p w:rsidR="00E54088" w:rsidRPr="000D165D" w:rsidP="00E54088" w14:paraId="5946F8A9" w14:textId="77777777">
      <w:r w:rsidRPr="000D165D">
        <w:t xml:space="preserve">* filing both comment and reply comment (bold - reply comments only). </w:t>
      </w:r>
    </w:p>
    <w:p w:rsidR="00E54088" w:rsidRPr="007E42CD" w:rsidP="00E54088" w14:paraId="12BE55F2" w14:textId="77777777"/>
    <w:p w:rsidR="00412FC5" w:rsidRPr="00E54088" w:rsidP="00E54088" w14:paraId="4A0681F5"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E329B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837D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31C9C" w14:paraId="0BEB0C14" w14:textId="55B605F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B9C9E9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5601" w14:paraId="24830DA8" w14:textId="77777777">
      <w:r>
        <w:separator/>
      </w:r>
    </w:p>
  </w:footnote>
  <w:footnote w:type="continuationSeparator" w:id="1">
    <w:p w:rsidR="00915601" w:rsidP="00C721AC" w14:paraId="3658D99F" w14:textId="77777777">
      <w:pPr>
        <w:spacing w:before="120"/>
        <w:rPr>
          <w:sz w:val="20"/>
        </w:rPr>
      </w:pPr>
      <w:r>
        <w:rPr>
          <w:sz w:val="20"/>
        </w:rPr>
        <w:t xml:space="preserve">(Continued from previous page)  </w:t>
      </w:r>
      <w:r>
        <w:rPr>
          <w:sz w:val="20"/>
        </w:rPr>
        <w:separator/>
      </w:r>
    </w:p>
  </w:footnote>
  <w:footnote w:type="continuationNotice" w:id="2">
    <w:p w:rsidR="00915601" w:rsidP="00C721AC" w14:paraId="14C2D81F" w14:textId="77777777">
      <w:pPr>
        <w:jc w:val="right"/>
        <w:rPr>
          <w:sz w:val="20"/>
        </w:rPr>
      </w:pPr>
      <w:r>
        <w:rPr>
          <w:sz w:val="20"/>
        </w:rPr>
        <w:t>(continued….)</w:t>
      </w:r>
    </w:p>
  </w:footnote>
  <w:footnote w:id="3">
    <w:p w:rsidR="00E54088" w:rsidRPr="00F17B96" w:rsidP="00E54088" w14:paraId="6BB671BE" w14:textId="77777777">
      <w:pPr>
        <w:pStyle w:val="FootnoteText"/>
      </w:pPr>
      <w:r>
        <w:rPr>
          <w:rStyle w:val="FootnoteReference"/>
        </w:rPr>
        <w:footnoteRef/>
      </w:r>
      <w:r>
        <w:t xml:space="preserve"> </w:t>
      </w:r>
      <w:r w:rsidRPr="003E55A7">
        <w:rPr>
          <w:i/>
          <w:iCs/>
        </w:rPr>
        <w:t xml:space="preserve">See </w:t>
      </w:r>
      <w:r w:rsidRPr="003E55A7">
        <w:t xml:space="preserve">Letter from Xavier Becerra, Secretary, U.S. Department of Health and Human Services, to Jessica </w:t>
      </w:r>
      <w:r w:rsidRPr="003E55A7">
        <w:t>Rosenworcel</w:t>
      </w:r>
      <w:r w:rsidRPr="003E55A7">
        <w:t>, Chairwoman, FCC (April 28, 2022) (filed in CG Docket No. 02-278) (noting that millions of Americans will lose their Medicaid coverage when the public health emergency ends unless they take steps to renew eligibility) (HHS Letter).</w:t>
      </w:r>
      <w:r>
        <w:t xml:space="preserve">  We treat the letter as a petition for declaratory ruling.  </w:t>
      </w:r>
      <w:r>
        <w:rPr>
          <w:i/>
          <w:iCs/>
        </w:rPr>
        <w:t>See</w:t>
      </w:r>
      <w:r>
        <w:t xml:space="preserve"> 47 CFR </w:t>
      </w:r>
      <w:r w:rsidRPr="00833195">
        <w:t>§</w:t>
      </w:r>
      <w:r>
        <w:t xml:space="preserve"> 1.2.  </w:t>
      </w:r>
    </w:p>
  </w:footnote>
  <w:footnote w:id="4">
    <w:p w:rsidR="00E54088" w:rsidRPr="00674B20" w:rsidP="00E54088" w14:paraId="5136664E" w14:textId="77777777">
      <w:pPr>
        <w:pStyle w:val="FootnoteText"/>
      </w:pPr>
      <w:r>
        <w:rPr>
          <w:rStyle w:val="FootnoteReference"/>
        </w:rPr>
        <w:footnoteRef/>
      </w:r>
      <w:r>
        <w:t xml:space="preserve"> </w:t>
      </w:r>
      <w:r w:rsidRPr="00175EC2">
        <w:t>HHS Letter</w:t>
      </w:r>
      <w:r>
        <w:t xml:space="preserve"> at 2 (noting that these programs provide health coverage to 86 million Americans and that enrollment has increased 20% since the start of the public health emergency).</w:t>
      </w:r>
    </w:p>
  </w:footnote>
  <w:footnote w:id="5">
    <w:p w:rsidR="00E54088" w:rsidRPr="00625457" w:rsidP="00E54088" w14:paraId="20D96CDD" w14:textId="77777777">
      <w:pPr>
        <w:pStyle w:val="FootnoteText"/>
      </w:pPr>
      <w:r>
        <w:rPr>
          <w:rStyle w:val="FootnoteReference"/>
        </w:rPr>
        <w:footnoteRef/>
      </w:r>
      <w:r>
        <w:t xml:space="preserve"> </w:t>
      </w:r>
      <w:r>
        <w:rPr>
          <w:i/>
          <w:iCs/>
        </w:rPr>
        <w:t xml:space="preserve">See </w:t>
      </w:r>
      <w:r>
        <w:t xml:space="preserve">Amy Goldstein, </w:t>
      </w:r>
      <w:r w:rsidRPr="00494C8E">
        <w:rPr>
          <w:i/>
          <w:iCs/>
        </w:rPr>
        <w:t>Millions of vulnerable Americans likely to fall off Medicaid once the federal public health emergency ends</w:t>
      </w:r>
      <w:r>
        <w:rPr>
          <w:i/>
          <w:iCs/>
        </w:rPr>
        <w:t xml:space="preserve">, </w:t>
      </w:r>
      <w:r w:rsidRPr="00494C8E">
        <w:t>Washington Post</w:t>
      </w:r>
      <w:r>
        <w:rPr>
          <w:i/>
          <w:iCs/>
        </w:rPr>
        <w:t xml:space="preserve"> </w:t>
      </w:r>
      <w:r>
        <w:t xml:space="preserve">(March 14, 2022) (indicating that as many as 16 million low-income Americans risk losing Medicaid coverage), </w:t>
      </w:r>
      <w:hyperlink r:id="rId1" w:history="1">
        <w:r w:rsidRPr="00641E9F">
          <w:rPr>
            <w:rStyle w:val="Hyperlink"/>
          </w:rPr>
          <w:t>www.washingtonpost.com/health/2022/03/14/medicaid-loss-of-coverage/</w:t>
        </w:r>
      </w:hyperlink>
      <w:r>
        <w:t>.</w:t>
      </w:r>
    </w:p>
  </w:footnote>
  <w:footnote w:id="6">
    <w:p w:rsidR="00E54088" w:rsidRPr="00833195" w:rsidP="00E54088" w14:paraId="50321E3F" w14:textId="77777777">
      <w:pPr>
        <w:pStyle w:val="FootnoteText"/>
      </w:pPr>
      <w:r>
        <w:rPr>
          <w:rStyle w:val="FootnoteReference"/>
        </w:rPr>
        <w:footnoteRef/>
      </w:r>
      <w:r>
        <w:t xml:space="preserve"> </w:t>
      </w:r>
      <w:r>
        <w:rPr>
          <w:i/>
          <w:iCs/>
        </w:rPr>
        <w:t>See</w:t>
      </w:r>
      <w:r>
        <w:t xml:space="preserve"> 47 U.S.C.</w:t>
      </w:r>
      <w:r w:rsidRPr="00833195">
        <w:t xml:space="preserve"> § 227(b)(1)</w:t>
      </w:r>
      <w:r>
        <w:t>.</w:t>
      </w:r>
    </w:p>
  </w:footnote>
  <w:footnote w:id="7">
    <w:p w:rsidR="00E54088" w:rsidRPr="00497A80" w:rsidP="00E54088" w14:paraId="2DBF2710" w14:textId="25BFF335">
      <w:pPr>
        <w:pStyle w:val="FootnoteText"/>
      </w:pPr>
      <w:r>
        <w:rPr>
          <w:rStyle w:val="FootnoteReference"/>
        </w:rPr>
        <w:footnoteRef/>
      </w:r>
      <w:r>
        <w:t xml:space="preserve"> </w:t>
      </w:r>
      <w:r>
        <w:rPr>
          <w:i/>
          <w:iCs/>
        </w:rPr>
        <w:t>See</w:t>
      </w:r>
      <w:r>
        <w:t xml:space="preserve"> </w:t>
      </w:r>
      <w:r w:rsidRPr="00497A80">
        <w:t xml:space="preserve">47 U.S.C. </w:t>
      </w:r>
      <w:bookmarkStart w:id="0" w:name="_Hlk102470055"/>
      <w:r w:rsidRPr="00497A80">
        <w:t>§</w:t>
      </w:r>
      <w:bookmarkEnd w:id="0"/>
      <w:r w:rsidRPr="00497A80">
        <w:t xml:space="preserve"> 227(b)(1)(A</w:t>
      </w:r>
      <w:r w:rsidRPr="00497A80" w:rsidR="006D60BC">
        <w:t>)</w:t>
      </w:r>
      <w:r w:rsidR="006D60BC">
        <w:t>;</w:t>
      </w:r>
      <w:r w:rsidRPr="00497A80" w:rsidR="006D60BC">
        <w:rPr>
          <w:snapToGrid w:val="0"/>
          <w:kern w:val="28"/>
          <w:sz w:val="22"/>
        </w:rPr>
        <w:t xml:space="preserve"> </w:t>
      </w:r>
      <w:r w:rsidRPr="00497A80">
        <w:t>47 CFR § 64.1200(a)(1)-(2).</w:t>
      </w:r>
      <w:r w:rsidRPr="00D13258">
        <w:rPr>
          <w:kern w:val="28"/>
          <w:sz w:val="22"/>
          <w:szCs w:val="22"/>
        </w:rPr>
        <w:t xml:space="preserve"> </w:t>
      </w:r>
      <w:r>
        <w:rPr>
          <w:kern w:val="28"/>
          <w:sz w:val="22"/>
          <w:szCs w:val="22"/>
        </w:rPr>
        <w:t xml:space="preserve"> </w:t>
      </w:r>
      <w:r w:rsidRPr="001B5F28">
        <w:rPr>
          <w:i/>
          <w:iCs/>
          <w:kern w:val="28"/>
        </w:rPr>
        <w:t>See Facebook, Inc. v. Duguid</w:t>
      </w:r>
      <w:r w:rsidRPr="001B5F28">
        <w:rPr>
          <w:kern w:val="28"/>
        </w:rPr>
        <w:t xml:space="preserve">, 141 </w:t>
      </w:r>
      <w:r w:rsidRPr="001B5F28">
        <w:rPr>
          <w:kern w:val="28"/>
        </w:rPr>
        <w:t>S.Ct</w:t>
      </w:r>
      <w:r w:rsidRPr="001B5F28">
        <w:rPr>
          <w:kern w:val="28"/>
        </w:rPr>
        <w:t>. 1163, 1168-73 (2021) (holding that to qualify as an “automatic telephone dialing system” under the TCPA, a device must have the capacity either to store a telephone number using a random or sequential number generator, or to produce a telephone number using a random or sequential number generator).</w:t>
      </w:r>
      <w:r w:rsidRPr="00FA6F40">
        <w:rPr>
          <w:kern w:val="28"/>
          <w:sz w:val="22"/>
          <w:szCs w:val="22"/>
        </w:rPr>
        <w:t xml:space="preserve">  </w:t>
      </w:r>
      <w:r>
        <w:t xml:space="preserve"> </w:t>
      </w:r>
    </w:p>
  </w:footnote>
  <w:footnote w:id="8">
    <w:p w:rsidR="00E54088" w:rsidP="00E54088" w14:paraId="194A51EE" w14:textId="77777777">
      <w:pPr>
        <w:pStyle w:val="FootnoteText"/>
        <w:widowControl w:val="0"/>
      </w:pPr>
      <w:r>
        <w:rPr>
          <w:rStyle w:val="FootnoteReference"/>
        </w:rPr>
        <w:footnoteRef/>
      </w:r>
      <w:r>
        <w:t xml:space="preserve"> </w:t>
      </w:r>
      <w:bookmarkStart w:id="1" w:name="_Hlk102037027"/>
      <w:r>
        <w:t xml:space="preserve">47 U.S.C. </w:t>
      </w:r>
      <w:bookmarkStart w:id="2" w:name="_Hlk32907600"/>
      <w:r>
        <w:t>§</w:t>
      </w:r>
      <w:bookmarkEnd w:id="2"/>
      <w:r>
        <w:t xml:space="preserve"> 227(b)(1)</w:t>
      </w:r>
      <w:bookmarkEnd w:id="1"/>
      <w:r>
        <w:t>(B); 47 CFR § 64.1200(a)(3). T</w:t>
      </w:r>
      <w:r w:rsidRPr="0023573A">
        <w:t xml:space="preserve">he Commission </w:t>
      </w:r>
      <w:r>
        <w:t xml:space="preserve">has </w:t>
      </w:r>
      <w:r w:rsidRPr="0023573A">
        <w:t xml:space="preserve">exempted </w:t>
      </w:r>
      <w:r>
        <w:t xml:space="preserve">from this prohibition </w:t>
      </w:r>
      <w:r w:rsidRPr="0023573A">
        <w:t>artificial and prerecorded</w:t>
      </w:r>
      <w:r>
        <w:t xml:space="preserve"> </w:t>
      </w:r>
      <w:r w:rsidRPr="0023573A">
        <w:t>voice calls to residential telephone lines that are not made for a commercial purpose and calls made for a commercial purpose that do not contain an unsolicited advertisement</w:t>
      </w:r>
      <w:r>
        <w:t xml:space="preserve"> or constitute telemarketing</w:t>
      </w:r>
      <w:r w:rsidRPr="0023573A">
        <w:t>.</w:t>
      </w:r>
      <w:r w:rsidRPr="0023573A">
        <w:rPr>
          <w:i/>
          <w:iCs/>
          <w:snapToGrid w:val="0"/>
          <w:kern w:val="28"/>
          <w:sz w:val="22"/>
        </w:rPr>
        <w:t xml:space="preserve"> </w:t>
      </w:r>
      <w:r>
        <w:rPr>
          <w:i/>
          <w:iCs/>
          <w:snapToGrid w:val="0"/>
          <w:kern w:val="28"/>
          <w:sz w:val="22"/>
        </w:rPr>
        <w:t xml:space="preserve"> </w:t>
      </w:r>
      <w:r w:rsidRPr="0023573A">
        <w:rPr>
          <w:i/>
          <w:iCs/>
        </w:rPr>
        <w:t xml:space="preserve">See </w:t>
      </w:r>
      <w:bookmarkStart w:id="3" w:name="_Hlk46747748"/>
      <w:r w:rsidRPr="0023573A">
        <w:rPr>
          <w:i/>
          <w:iCs/>
        </w:rPr>
        <w:t>Rules and Regulations Implementing the Telephone Consumer Protection Act of 1991</w:t>
      </w:r>
      <w:r w:rsidRPr="0023573A">
        <w:t xml:space="preserve">, </w:t>
      </w:r>
      <w:bookmarkEnd w:id="3"/>
      <w:r w:rsidRPr="0023573A">
        <w:t xml:space="preserve">CC Docket No. 92-90, Report and Order, 7 FCC </w:t>
      </w:r>
      <w:r w:rsidRPr="0023573A">
        <w:t>Rcd</w:t>
      </w:r>
      <w:r w:rsidRPr="0023573A">
        <w:t xml:space="preserve"> 8752, 8773-74,</w:t>
      </w:r>
      <w:r w:rsidRPr="0023573A">
        <w:rPr>
          <w:i/>
          <w:iCs/>
        </w:rPr>
        <w:t xml:space="preserve"> </w:t>
      </w:r>
      <w:r w:rsidRPr="0023573A">
        <w:t>paras. 40-41 (1992) (</w:t>
      </w:r>
      <w:r w:rsidRPr="0023573A">
        <w:rPr>
          <w:i/>
          <w:iCs/>
        </w:rPr>
        <w:t>1992 TCPA Order</w:t>
      </w:r>
      <w:r w:rsidRPr="0023573A">
        <w:t>) (noting that artificial or prerecorded</w:t>
      </w:r>
      <w:r>
        <w:t xml:space="preserve"> </w:t>
      </w:r>
      <w:r w:rsidRPr="0023573A">
        <w:t xml:space="preserve">voice messages that do not seek to sell a product or service do not tread heavily upon the consumer interests implicated by the TCPA).  </w:t>
      </w:r>
    </w:p>
  </w:footnote>
  <w:footnote w:id="9">
    <w:p w:rsidR="00784E6F" w14:paraId="48489CB8" w14:textId="36E5CBAD">
      <w:pPr>
        <w:pStyle w:val="FootnoteText"/>
      </w:pPr>
      <w:r>
        <w:rPr>
          <w:rStyle w:val="FootnoteReference"/>
        </w:rPr>
        <w:footnoteRef/>
      </w:r>
      <w:r>
        <w:t xml:space="preserve"> </w:t>
      </w:r>
      <w:r w:rsidRPr="00D13258">
        <w:rPr>
          <w:i/>
          <w:iCs/>
        </w:rPr>
        <w:t>See Rules and Regulations Implementing the Telephone Consumer Protection Act of 1991</w:t>
      </w:r>
      <w:r w:rsidRPr="00D13258">
        <w:t>,</w:t>
      </w:r>
      <w:r w:rsidRPr="00D13258">
        <w:rPr>
          <w:i/>
          <w:iCs/>
        </w:rPr>
        <w:t xml:space="preserve"> </w:t>
      </w:r>
      <w:r w:rsidRPr="00D13258">
        <w:t xml:space="preserve">CG Docket No. 02-278, Report and Order, 18 FCC </w:t>
      </w:r>
      <w:r w:rsidRPr="00D13258">
        <w:t>Rcd</w:t>
      </w:r>
      <w:r w:rsidRPr="00D13258">
        <w:t xml:space="preserve"> 14014, 14115, para. 165 (2003) (</w:t>
      </w:r>
      <w:r w:rsidRPr="00D13258">
        <w:rPr>
          <w:i/>
          <w:iCs/>
        </w:rPr>
        <w:t>2003 TCPA Order</w:t>
      </w:r>
      <w:r w:rsidRPr="00D13258">
        <w:t xml:space="preserve">); </w:t>
      </w:r>
      <w:r w:rsidRPr="00D13258">
        <w:rPr>
          <w:i/>
          <w:iCs/>
        </w:rPr>
        <w:t>see also Satterfield v. Simon &amp; Schuster, Inc.</w:t>
      </w:r>
      <w:r w:rsidRPr="00D13258">
        <w:t>, 569 F.3d 946 (9th Cir. 2009) (noting that text messaging is a form of communication used primarily between telephones and is therefore consistent with the definition of a “call”).</w:t>
      </w:r>
    </w:p>
  </w:footnote>
  <w:footnote w:id="10">
    <w:p w:rsidR="00A1248E" w:rsidP="00A1248E" w14:paraId="3D866D49" w14:textId="77777777">
      <w:pPr>
        <w:pStyle w:val="FootnoteText"/>
      </w:pPr>
      <w:r>
        <w:rPr>
          <w:rStyle w:val="FootnoteReference"/>
        </w:rPr>
        <w:footnoteRef/>
      </w:r>
      <w:r>
        <w:t xml:space="preserve"> </w:t>
      </w:r>
      <w:r>
        <w:rPr>
          <w:i/>
        </w:rPr>
        <w:t xml:space="preserve">See </w:t>
      </w:r>
      <w:r>
        <w:t>47 CFR § 64.1200(a)(2)-(3), (b), (f)(9) (defining “prior express written consent”).</w:t>
      </w:r>
    </w:p>
  </w:footnote>
  <w:footnote w:id="11">
    <w:p w:rsidR="00E54088" w:rsidRPr="0086479B" w:rsidP="00E54088" w14:paraId="5335C504" w14:textId="237FEAB0">
      <w:pPr>
        <w:pStyle w:val="FootnoteText"/>
      </w:pPr>
      <w:r>
        <w:rPr>
          <w:rStyle w:val="FootnoteReference"/>
        </w:rPr>
        <w:footnoteRef/>
      </w:r>
      <w:r>
        <w:t xml:space="preserve"> </w:t>
      </w:r>
      <w:r w:rsidRPr="0086479B">
        <w:rPr>
          <w:i/>
          <w:iCs/>
        </w:rPr>
        <w:t>See</w:t>
      </w:r>
      <w:r w:rsidRPr="0086479B">
        <w:t xml:space="preserve"> </w:t>
      </w:r>
      <w:r w:rsidRPr="001B7B4C">
        <w:rPr>
          <w:i/>
          <w:iCs/>
        </w:rPr>
        <w:t>1992 TCPA Order</w:t>
      </w:r>
      <w:r w:rsidRPr="001B7B4C">
        <w:t xml:space="preserve">, 7 FCC </w:t>
      </w:r>
      <w:r w:rsidRPr="001B7B4C">
        <w:t>Rcd</w:t>
      </w:r>
      <w:r w:rsidRPr="001B7B4C">
        <w:t xml:space="preserve"> at 87</w:t>
      </w:r>
      <w:r w:rsidR="003E7AFC">
        <w:t>69</w:t>
      </w:r>
      <w:r w:rsidRPr="001B7B4C">
        <w:t>, para. 31.</w:t>
      </w:r>
      <w:r w:rsidRPr="001B7B4C">
        <w:rPr>
          <w:i/>
          <w:iCs/>
        </w:rPr>
        <w:t xml:space="preserve">  </w:t>
      </w:r>
      <w:r w:rsidRPr="001B7B4C">
        <w:t xml:space="preserve">In the </w:t>
      </w:r>
      <w:r w:rsidRPr="001B7B4C">
        <w:rPr>
          <w:i/>
          <w:iCs/>
        </w:rPr>
        <w:t>ACA Declaratory Ruling</w:t>
      </w:r>
      <w:r w:rsidRPr="001B7B4C">
        <w:t xml:space="preserve">, for example, the Commission clarified that a party who provides his or her wireless number to a creditor as part of a credit application “reasonably evidences prior express consent by the cell phone subscriber to be contacted at the number regarding the debt.”  </w:t>
      </w:r>
      <w:r w:rsidRPr="001B7B4C">
        <w:rPr>
          <w:i/>
          <w:iCs/>
        </w:rPr>
        <w:t>Rules and Regulations Implementing the Telephone Consumer Protection Act of 1991, Request of ACA International for Clarification and Declaratory Ruling</w:t>
      </w:r>
      <w:r w:rsidRPr="001B7B4C">
        <w:t xml:space="preserve">, CG Docket No. 02-278, 23 FCC </w:t>
      </w:r>
      <w:r w:rsidRPr="001B7B4C">
        <w:t>Rcd</w:t>
      </w:r>
      <w:r w:rsidRPr="001B7B4C">
        <w:t xml:space="preserve"> 559, 564, para. 9 (2008) (</w:t>
      </w:r>
      <w:r w:rsidRPr="001B7B4C">
        <w:rPr>
          <w:i/>
          <w:iCs/>
        </w:rPr>
        <w:t>ACA Declaratory Ruling</w:t>
      </w:r>
      <w:r w:rsidRPr="001B7B4C">
        <w:t>)</w:t>
      </w:r>
      <w:r>
        <w:t xml:space="preserve">; </w:t>
      </w:r>
      <w:r w:rsidRPr="0086479B">
        <w:rPr>
          <w:i/>
          <w:iCs/>
        </w:rPr>
        <w:t>Rules and Regulations Implementing the Consumer Protection Act of 1991, Blackboard, Inc. Petition for Expediated Declaratory Rulemaking</w:t>
      </w:r>
      <w:r w:rsidRPr="0086479B">
        <w:t xml:space="preserve">, CG Docket 02-278, Declaratory Ruling, </w:t>
      </w:r>
      <w:bookmarkStart w:id="4" w:name="_Hlk105146374"/>
      <w:r w:rsidRPr="0086479B">
        <w:t xml:space="preserve">31 FCC </w:t>
      </w:r>
      <w:r w:rsidRPr="0086479B">
        <w:t>Rcd</w:t>
      </w:r>
      <w:r w:rsidRPr="0086479B">
        <w:t xml:space="preserve"> 9054, 9064, para. 23</w:t>
      </w:r>
      <w:bookmarkEnd w:id="4"/>
      <w:r w:rsidRPr="0086479B">
        <w:t xml:space="preserve"> (2016) (confirming that the provision of a telephone number by a parent or student to a school provides prior express consent to receive communications from the school closely related to the educational mission of the school or to official school activities absent instructions to the contrary from the party who provides the phone number)</w:t>
      </w:r>
      <w:r>
        <w:t xml:space="preserve"> (</w:t>
      </w:r>
      <w:r>
        <w:rPr>
          <w:i/>
          <w:iCs/>
        </w:rPr>
        <w:t>Blackboard Declaratory Ruling</w:t>
      </w:r>
      <w:r w:rsidRPr="006B0DFC">
        <w:t>)</w:t>
      </w:r>
      <w:r>
        <w:t>.</w:t>
      </w:r>
    </w:p>
  </w:footnote>
  <w:footnote w:id="12">
    <w:p w:rsidR="00E54088" w:rsidRPr="00CD315F" w:rsidP="00E54088" w14:paraId="733965F2" w14:textId="77777777">
      <w:pPr>
        <w:pStyle w:val="FootnoteText"/>
      </w:pPr>
      <w:r>
        <w:rPr>
          <w:rStyle w:val="FootnoteReference"/>
        </w:rPr>
        <w:footnoteRef/>
      </w:r>
      <w:r>
        <w:t xml:space="preserve"> </w:t>
      </w:r>
      <w:r>
        <w:rPr>
          <w:i/>
          <w:iCs/>
        </w:rPr>
        <w:t xml:space="preserve">See </w:t>
      </w:r>
      <w:bookmarkStart w:id="5" w:name="_Hlk102038593"/>
      <w:r w:rsidRPr="00CD315F">
        <w:rPr>
          <w:i/>
        </w:rPr>
        <w:t>Rules and Regulations Implementing the Telephone Consumer Protection Act of 1991, Broadnet Teleservices LLC Petition for Declaratory Ruling</w:t>
      </w:r>
      <w:r w:rsidRPr="00CD315F">
        <w:t xml:space="preserve">, CG Docket No. 02-278, Declaratory Ruling, 31 FCC </w:t>
      </w:r>
      <w:r w:rsidRPr="00CD315F">
        <w:t>Rcd</w:t>
      </w:r>
      <w:r w:rsidRPr="00CD315F">
        <w:t xml:space="preserve"> 7394</w:t>
      </w:r>
      <w:r>
        <w:t>, 7399-41, paras. 12-15</w:t>
      </w:r>
      <w:r w:rsidRPr="00CD315F">
        <w:t xml:space="preserve"> (2016) </w:t>
      </w:r>
      <w:bookmarkEnd w:id="5"/>
      <w:r>
        <w:t>(</w:t>
      </w:r>
      <w:r w:rsidRPr="00C045DA">
        <w:t>interpret</w:t>
      </w:r>
      <w:r>
        <w:t>ing</w:t>
      </w:r>
      <w:r w:rsidRPr="00C045DA">
        <w:t xml:space="preserve"> the TCPA to exclude calls made by the federal government, in line with the longstanding interpretive presumption that the word “person” does not include the federal government absent a clear “affirmative showing of statutory intent to the contrary”</w:t>
      </w:r>
      <w:r>
        <w:t>)</w:t>
      </w:r>
      <w:r w:rsidRPr="00C045DA">
        <w:t xml:space="preserve"> </w:t>
      </w:r>
      <w:r w:rsidRPr="00CD315F">
        <w:t>(</w:t>
      </w:r>
      <w:r>
        <w:rPr>
          <w:i/>
          <w:iCs/>
        </w:rPr>
        <w:t xml:space="preserve">2016 </w:t>
      </w:r>
      <w:r w:rsidRPr="00CD315F">
        <w:rPr>
          <w:i/>
        </w:rPr>
        <w:t>Broadnet Declaratory Ruling</w:t>
      </w:r>
      <w:r w:rsidRPr="00CD315F">
        <w:t>)</w:t>
      </w:r>
      <w:r>
        <w:t xml:space="preserve">; </w:t>
      </w:r>
      <w:r w:rsidRPr="00CD315F">
        <w:rPr>
          <w:i/>
        </w:rPr>
        <w:t>Rules and Regulations Implementing the Telephone Consumer Protection Act of 1991, Broadnet Teleservices LLC Petition for Declaratory Ruling</w:t>
      </w:r>
      <w:r w:rsidRPr="00CD315F">
        <w:t xml:space="preserve">, </w:t>
      </w:r>
      <w:r>
        <w:rPr>
          <w:i/>
          <w:iCs/>
        </w:rPr>
        <w:t>National Consumer Law Center Petition for Reconsideration and Stay, Professional Services Council Petition for Reconsideration</w:t>
      </w:r>
      <w:r>
        <w:t>,</w:t>
      </w:r>
      <w:r>
        <w:rPr>
          <w:i/>
          <w:iCs/>
        </w:rPr>
        <w:t xml:space="preserve"> </w:t>
      </w:r>
      <w:r w:rsidRPr="00CD315F">
        <w:t xml:space="preserve">CG Docket No. 02-278, </w:t>
      </w:r>
      <w:r>
        <w:t>Order on Reconsideration</w:t>
      </w:r>
      <w:r w:rsidRPr="00CD315F">
        <w:t>, 3</w:t>
      </w:r>
      <w:r>
        <w:t>5</w:t>
      </w:r>
      <w:r w:rsidRPr="00CD315F">
        <w:t xml:space="preserve"> FCC </w:t>
      </w:r>
      <w:r w:rsidRPr="00CD315F">
        <w:t>Rcd</w:t>
      </w:r>
      <w:r w:rsidRPr="00CD315F">
        <w:t xml:space="preserve"> </w:t>
      </w:r>
      <w:r>
        <w:t>15052, 15059-61, paras. 22-26</w:t>
      </w:r>
      <w:r w:rsidRPr="00CD315F">
        <w:t xml:space="preserve"> (20</w:t>
      </w:r>
      <w:r>
        <w:t>20</w:t>
      </w:r>
      <w:r w:rsidRPr="00CD315F">
        <w:t>)</w:t>
      </w:r>
      <w:r>
        <w:t xml:space="preserve"> (</w:t>
      </w:r>
      <w:r w:rsidRPr="00976F92">
        <w:t>clarify</w:t>
      </w:r>
      <w:r>
        <w:t>ing</w:t>
      </w:r>
      <w:r w:rsidRPr="00976F92">
        <w:t xml:space="preserve"> that state government callers in the conduct of official business do not fall within the meaning of “person” in section 227(b)(1)</w:t>
      </w:r>
      <w:r>
        <w:t>) (</w:t>
      </w:r>
      <w:r w:rsidRPr="00615BB8">
        <w:rPr>
          <w:i/>
          <w:iCs/>
        </w:rPr>
        <w:t xml:space="preserve">2020 </w:t>
      </w:r>
      <w:r>
        <w:rPr>
          <w:i/>
          <w:iCs/>
        </w:rPr>
        <w:t>Broadnet Order</w:t>
      </w:r>
      <w:r>
        <w:t>).</w:t>
      </w:r>
    </w:p>
  </w:footnote>
  <w:footnote w:id="13">
    <w:p w:rsidR="00E54088" w:rsidRPr="00161C9B" w:rsidP="00E54088" w14:paraId="7C08F244" w14:textId="0B7321A8">
      <w:pPr>
        <w:pStyle w:val="FootnoteText"/>
      </w:pPr>
      <w:r>
        <w:rPr>
          <w:rStyle w:val="FootnoteReference"/>
        </w:rPr>
        <w:footnoteRef/>
      </w:r>
      <w:r>
        <w:t xml:space="preserve"> </w:t>
      </w:r>
      <w:r>
        <w:rPr>
          <w:i/>
          <w:iCs/>
        </w:rPr>
        <w:t>See, e.g.</w:t>
      </w:r>
      <w:r>
        <w:t xml:space="preserve">, </w:t>
      </w:r>
      <w:bookmarkStart w:id="6" w:name="_Hlk112936722"/>
      <w:r>
        <w:rPr>
          <w:i/>
          <w:iCs/>
        </w:rPr>
        <w:t>2020 Broadnet Order</w:t>
      </w:r>
      <w:r>
        <w:t xml:space="preserve">, </w:t>
      </w:r>
      <w:bookmarkStart w:id="7" w:name="_Hlk102654130"/>
      <w:r>
        <w:t xml:space="preserve">35 FCC </w:t>
      </w:r>
      <w:r>
        <w:t>Rcd</w:t>
      </w:r>
      <w:r>
        <w:t xml:space="preserve"> at 150</w:t>
      </w:r>
      <w:bookmarkEnd w:id="7"/>
      <w:r>
        <w:t xml:space="preserve">59, paras. 18-21 </w:t>
      </w:r>
      <w:bookmarkEnd w:id="6"/>
      <w:r>
        <w:t xml:space="preserve">(concluding that governmental callers rather than a contractor </w:t>
      </w:r>
      <w:r w:rsidR="003643E1">
        <w:t xml:space="preserve">were </w:t>
      </w:r>
      <w:r>
        <w:t xml:space="preserve">the “maker of the call” because the governmental entity </w:t>
      </w:r>
      <w:r w:rsidRPr="00677555">
        <w:t>ma</w:t>
      </w:r>
      <w:r>
        <w:t>de</w:t>
      </w:r>
      <w:r w:rsidRPr="00677555">
        <w:t xml:space="preserve"> all decisions regarding whether to make a call, the timing of the call, the call recipients, and the content of the call</w:t>
      </w:r>
      <w:r>
        <w:t xml:space="preserve">). </w:t>
      </w:r>
      <w:bookmarkStart w:id="8" w:name="_Hlk106783027"/>
      <w:r>
        <w:t xml:space="preserve"> The Commission noted that determining whether a governmental entity or its contractor is the maker of the call is a highly fact-specific, case-by-case inquiry. </w:t>
      </w:r>
      <w:bookmarkEnd w:id="8"/>
      <w:r>
        <w:t xml:space="preserve"> </w:t>
      </w:r>
      <w:r>
        <w:rPr>
          <w:i/>
          <w:iCs/>
        </w:rPr>
        <w:t>See id.</w:t>
      </w:r>
      <w:r>
        <w:t xml:space="preserve"> at 15059, paras. 19-20.</w:t>
      </w:r>
    </w:p>
  </w:footnote>
  <w:footnote w:id="14">
    <w:p w:rsidR="00E54088" w:rsidRPr="00167B3E" w:rsidP="00E54088" w14:paraId="7E43168E" w14:textId="77777777">
      <w:pPr>
        <w:pStyle w:val="FootnoteText"/>
      </w:pPr>
      <w:r>
        <w:rPr>
          <w:rStyle w:val="FootnoteReference"/>
        </w:rPr>
        <w:footnoteRef/>
      </w:r>
      <w:r>
        <w:t xml:space="preserve"> </w:t>
      </w:r>
      <w:r>
        <w:rPr>
          <w:i/>
          <w:iCs/>
        </w:rPr>
        <w:t xml:space="preserve">See </w:t>
      </w:r>
      <w:r>
        <w:t>HHS Letter at 1.</w:t>
      </w:r>
    </w:p>
  </w:footnote>
  <w:footnote w:id="15">
    <w:p w:rsidR="00E54088" w:rsidRPr="009C1DB5" w:rsidP="00E54088" w14:paraId="6EC54F87" w14:textId="0BA4697B">
      <w:pPr>
        <w:pStyle w:val="FootnoteText"/>
      </w:pPr>
      <w:r>
        <w:rPr>
          <w:rStyle w:val="FootnoteReference"/>
        </w:rPr>
        <w:footnoteRef/>
      </w:r>
      <w:r>
        <w:t xml:space="preserve"> </w:t>
      </w:r>
      <w:r>
        <w:rPr>
          <w:i/>
          <w:iCs/>
        </w:rPr>
        <w:t>Id.</w:t>
      </w:r>
      <w:r>
        <w:t xml:space="preserve"> at 5.  The Families First Coronavirus Response Act, Pub. L. No. 116-127, made increasing federal matching funds available for state Medicaid programs that meet specific requirements, including that they maintain the enrollment of most Medicaid enrollees through the end of the month in which the public health emergency ends.</w:t>
      </w:r>
      <w:r w:rsidR="009C1DB5">
        <w:t xml:space="preserve">  </w:t>
      </w:r>
      <w:r w:rsidR="00623432">
        <w:t>O</w:t>
      </w:r>
      <w:r w:rsidRPr="009C1DB5" w:rsidR="009C1DB5">
        <w:t>n December 29, 2022, the President signed the Consolidated Appropriations Act that decoupled the Medicaid continuous enrollment provision from the public health emergency and terminates this provision on March 31, 2023</w:t>
      </w:r>
      <w:r w:rsidR="009C1DB5">
        <w:t>.</w:t>
      </w:r>
      <w:r w:rsidRPr="009C1DB5" w:rsidR="009C1DB5">
        <w:rPr>
          <w:snapToGrid w:val="0"/>
          <w:kern w:val="28"/>
          <w:sz w:val="22"/>
        </w:rPr>
        <w:t xml:space="preserve"> </w:t>
      </w:r>
      <w:r w:rsidR="005F4133">
        <w:rPr>
          <w:snapToGrid w:val="0"/>
          <w:kern w:val="28"/>
          <w:sz w:val="22"/>
        </w:rPr>
        <w:t xml:space="preserve"> </w:t>
      </w:r>
      <w:r w:rsidRPr="009C1DB5" w:rsidR="009C1DB5">
        <w:t>As a result, states can resume Medicaid disenrollments beginning April 1, 2023</w:t>
      </w:r>
      <w:r w:rsidR="009C1DB5">
        <w:t xml:space="preserve">. </w:t>
      </w:r>
      <w:r w:rsidR="00B24303">
        <w:t xml:space="preserve"> </w:t>
      </w:r>
      <w:r w:rsidRPr="005F4133" w:rsidR="005F4133">
        <w:t>States are required to maintain updated contact information, and make attempts to contact enrollees prior to disenrollment in Medicaid</w:t>
      </w:r>
      <w:r w:rsidR="005F4133">
        <w:t xml:space="preserve">. </w:t>
      </w:r>
      <w:r w:rsidR="009C1DB5">
        <w:t xml:space="preserve"> </w:t>
      </w:r>
      <w:r w:rsidR="009C1DB5">
        <w:rPr>
          <w:i/>
          <w:iCs/>
        </w:rPr>
        <w:t>See</w:t>
      </w:r>
      <w:r w:rsidR="009C1DB5">
        <w:t xml:space="preserve"> </w:t>
      </w:r>
      <w:r w:rsidRPr="009C1DB5" w:rsidR="009C1DB5">
        <w:t>Consolidated Appropriations Act, 2023, P</w:t>
      </w:r>
      <w:r w:rsidR="009C1DB5">
        <w:t xml:space="preserve">ub. L. No. </w:t>
      </w:r>
      <w:r w:rsidRPr="009C1DB5" w:rsidR="009C1DB5">
        <w:t>117-328 (2022).</w:t>
      </w:r>
    </w:p>
  </w:footnote>
  <w:footnote w:id="16">
    <w:p w:rsidR="00E54088" w:rsidRPr="00167B3E" w:rsidP="00E54088" w14:paraId="2288D752" w14:textId="77777777">
      <w:pPr>
        <w:pStyle w:val="FootnoteText"/>
      </w:pPr>
      <w:r>
        <w:rPr>
          <w:rStyle w:val="FootnoteReference"/>
        </w:rPr>
        <w:footnoteRef/>
      </w:r>
      <w:r>
        <w:t xml:space="preserve"> HHS Letter at 2 (citing an Urban Institute projection that 15.8 million people are at risk of losing Medicaid coverage). </w:t>
      </w:r>
    </w:p>
  </w:footnote>
  <w:footnote w:id="17">
    <w:p w:rsidR="00E54088" w:rsidRPr="0098114A" w:rsidP="00E54088" w14:paraId="76B92034" w14:textId="77777777">
      <w:pPr>
        <w:pStyle w:val="FootnoteText"/>
      </w:pPr>
      <w:r>
        <w:rPr>
          <w:rStyle w:val="FootnoteReference"/>
        </w:rPr>
        <w:footnoteRef/>
      </w:r>
      <w:r>
        <w:t xml:space="preserve"> </w:t>
      </w:r>
      <w:r>
        <w:rPr>
          <w:i/>
          <w:iCs/>
        </w:rPr>
        <w:t>Id</w:t>
      </w:r>
      <w:r>
        <w:t>. at 3, 6 (noting that local governments play a critical role and often conduct determinations of Medicaid and CHIP eligibility and “managed care facilities” under contract with a state serve as important messengers on behalf of the state).</w:t>
      </w:r>
    </w:p>
  </w:footnote>
  <w:footnote w:id="18">
    <w:p w:rsidR="00E54088" w:rsidRPr="007E1FBF" w:rsidP="00E54088" w14:paraId="37156CAB" w14:textId="77777777">
      <w:pPr>
        <w:pStyle w:val="FootnoteText"/>
      </w:pPr>
      <w:r>
        <w:rPr>
          <w:rStyle w:val="FootnoteReference"/>
        </w:rPr>
        <w:footnoteRef/>
      </w:r>
      <w:r>
        <w:t xml:space="preserve"> </w:t>
      </w:r>
      <w:r>
        <w:rPr>
          <w:i/>
          <w:iCs/>
        </w:rPr>
        <w:t>Id.</w:t>
      </w:r>
      <w:r>
        <w:t xml:space="preserve"> at 3.</w:t>
      </w:r>
    </w:p>
  </w:footnote>
  <w:footnote w:id="19">
    <w:p w:rsidR="00E54088" w:rsidRPr="00727A80" w:rsidP="00E54088" w14:paraId="4BF6A6AD" w14:textId="77777777">
      <w:pPr>
        <w:pStyle w:val="FootnoteText"/>
      </w:pPr>
      <w:r>
        <w:rPr>
          <w:rStyle w:val="FootnoteReference"/>
        </w:rPr>
        <w:footnoteRef/>
      </w:r>
      <w:r>
        <w:t xml:space="preserve"> </w:t>
      </w:r>
      <w:r>
        <w:rPr>
          <w:i/>
          <w:iCs/>
        </w:rPr>
        <w:t xml:space="preserve">Id. </w:t>
      </w:r>
      <w:r>
        <w:t>at 4.</w:t>
      </w:r>
    </w:p>
  </w:footnote>
  <w:footnote w:id="20">
    <w:p w:rsidR="00E54088" w:rsidRPr="00C046EF" w:rsidP="00E54088" w14:paraId="50650A6C" w14:textId="77777777">
      <w:pPr>
        <w:pStyle w:val="FootnoteText"/>
      </w:pPr>
      <w:r>
        <w:rPr>
          <w:rStyle w:val="FootnoteReference"/>
        </w:rPr>
        <w:footnoteRef/>
      </w:r>
      <w:r>
        <w:t xml:space="preserve"> </w:t>
      </w:r>
      <w:r>
        <w:rPr>
          <w:i/>
          <w:iCs/>
        </w:rPr>
        <w:t>Id</w:t>
      </w:r>
      <w:r>
        <w:t>.</w:t>
      </w:r>
    </w:p>
  </w:footnote>
  <w:footnote w:id="21">
    <w:p w:rsidR="005815CC" w:rsidRPr="00A15316" w14:paraId="6E0BAB78" w14:textId="367E0D3D">
      <w:pPr>
        <w:pStyle w:val="FootnoteText"/>
      </w:pPr>
      <w:r>
        <w:rPr>
          <w:rStyle w:val="FootnoteReference"/>
        </w:rPr>
        <w:footnoteRef/>
      </w:r>
      <w:r>
        <w:t xml:space="preserve"> </w:t>
      </w:r>
      <w:r w:rsidR="00A15316">
        <w:rPr>
          <w:i/>
          <w:iCs/>
        </w:rPr>
        <w:t>Id.</w:t>
      </w:r>
    </w:p>
  </w:footnote>
  <w:footnote w:id="22">
    <w:p w:rsidR="00A15316" w:rsidRPr="00A15316" w14:paraId="40919535" w14:textId="48595D0D">
      <w:pPr>
        <w:pStyle w:val="FootnoteText"/>
      </w:pPr>
      <w:r>
        <w:rPr>
          <w:rStyle w:val="FootnoteReference"/>
        </w:rPr>
        <w:footnoteRef/>
      </w:r>
      <w:r>
        <w:t xml:space="preserve"> </w:t>
      </w:r>
      <w:r>
        <w:rPr>
          <w:i/>
          <w:iCs/>
        </w:rPr>
        <w:t>Id.</w:t>
      </w:r>
    </w:p>
  </w:footnote>
  <w:footnote w:id="23">
    <w:p w:rsidR="00E54088" w:rsidRPr="00037D45" w:rsidP="00E54088" w14:paraId="4F4DA754" w14:textId="77777777">
      <w:pPr>
        <w:pStyle w:val="FootnoteText"/>
      </w:pPr>
      <w:r>
        <w:rPr>
          <w:rStyle w:val="FootnoteReference"/>
        </w:rPr>
        <w:footnoteRef/>
      </w:r>
      <w:r>
        <w:t xml:space="preserve"> </w:t>
      </w:r>
      <w:r>
        <w:rPr>
          <w:i/>
          <w:iCs/>
        </w:rPr>
        <w:t>Id.</w:t>
      </w:r>
      <w:r>
        <w:t xml:space="preserve"> at 4-5.</w:t>
      </w:r>
    </w:p>
  </w:footnote>
  <w:footnote w:id="24">
    <w:p w:rsidR="00E54088" w:rsidRPr="00CE4206" w:rsidP="00E54088" w14:paraId="7119100A" w14:textId="77777777">
      <w:pPr>
        <w:pStyle w:val="FootnoteText"/>
      </w:pPr>
      <w:r>
        <w:rPr>
          <w:rStyle w:val="FootnoteReference"/>
        </w:rPr>
        <w:footnoteRef/>
      </w:r>
      <w:r>
        <w:rPr>
          <w:i/>
          <w:iCs/>
        </w:rPr>
        <w:t xml:space="preserve"> Id.</w:t>
      </w:r>
      <w:r>
        <w:t xml:space="preserve"> at 5.</w:t>
      </w:r>
    </w:p>
  </w:footnote>
  <w:footnote w:id="25">
    <w:p w:rsidR="00E54088" w:rsidRPr="00CE4206" w:rsidP="00E54088" w14:paraId="69893742" w14:textId="77777777">
      <w:pPr>
        <w:pStyle w:val="FootnoteText"/>
        <w:rPr>
          <w:i/>
          <w:iCs/>
        </w:rPr>
      </w:pPr>
      <w:r>
        <w:rPr>
          <w:rStyle w:val="FootnoteReference"/>
        </w:rPr>
        <w:footnoteRef/>
      </w:r>
      <w:r>
        <w:t xml:space="preserve"> </w:t>
      </w:r>
      <w:r>
        <w:rPr>
          <w:i/>
          <w:iCs/>
        </w:rPr>
        <w:t>Id.</w:t>
      </w:r>
    </w:p>
  </w:footnote>
  <w:footnote w:id="26">
    <w:p w:rsidR="00E54088" w:rsidP="00E54088" w14:paraId="5019C0E8" w14:textId="77777777">
      <w:pPr>
        <w:pStyle w:val="FootnoteText"/>
      </w:pPr>
      <w:r>
        <w:rPr>
          <w:rStyle w:val="FootnoteReference"/>
        </w:rPr>
        <w:footnoteRef/>
      </w:r>
      <w:r>
        <w:t xml:space="preserve"> </w:t>
      </w:r>
      <w:r>
        <w:rPr>
          <w:i/>
          <w:iCs/>
        </w:rPr>
        <w:t>Id.</w:t>
      </w:r>
      <w:r>
        <w:t xml:space="preserve"> at 8.</w:t>
      </w:r>
    </w:p>
  </w:footnote>
  <w:footnote w:id="27">
    <w:p w:rsidR="00E54088" w:rsidP="00E54088" w14:paraId="070A6DA2" w14:textId="77777777">
      <w:pPr>
        <w:pStyle w:val="FootnoteText"/>
      </w:pPr>
      <w:r>
        <w:rPr>
          <w:rStyle w:val="FootnoteReference"/>
        </w:rPr>
        <w:footnoteRef/>
      </w:r>
      <w:r>
        <w:t xml:space="preserve"> </w:t>
      </w:r>
      <w:r>
        <w:rPr>
          <w:i/>
          <w:iCs/>
        </w:rPr>
        <w:t>Id.</w:t>
      </w:r>
      <w:r>
        <w:t xml:space="preserve"> at 8-9 (noting that the Commission has clarified that federal and state governmental callers are not considered “persons” that are subject to the TCPA). </w:t>
      </w:r>
    </w:p>
  </w:footnote>
  <w:footnote w:id="28">
    <w:p w:rsidR="00E54088" w:rsidRPr="00DE75EE" w:rsidP="00E54088" w14:paraId="361CA22A" w14:textId="77777777">
      <w:pPr>
        <w:pStyle w:val="FootnoteText"/>
        <w:rPr>
          <w:b/>
        </w:rPr>
      </w:pPr>
      <w:r>
        <w:rPr>
          <w:rStyle w:val="FootnoteReference"/>
        </w:rPr>
        <w:footnoteRef/>
      </w:r>
      <w:r>
        <w:t xml:space="preserve"> </w:t>
      </w:r>
      <w:r>
        <w:rPr>
          <w:i/>
          <w:iCs/>
        </w:rPr>
        <w:t xml:space="preserve">See </w:t>
      </w:r>
      <w:r w:rsidRPr="00DD6794">
        <w:rPr>
          <w:i/>
          <w:iCs/>
        </w:rPr>
        <w:t>Consumer and Governmental Affairs Bureau Seeks Comment on Request Relating to Enrollment in Medicaid and Other Governmental Health Coverage Programs</w:t>
      </w:r>
      <w:r>
        <w:t>, CG Docket No. 02-278, Public Notice (DA 22-487) (May 3, 2022).</w:t>
      </w:r>
    </w:p>
  </w:footnote>
  <w:footnote w:id="29">
    <w:p w:rsidR="00E54088" w:rsidRPr="00DB7D2E" w:rsidP="00E54088" w14:paraId="0385F596" w14:textId="77777777">
      <w:pPr>
        <w:pStyle w:val="FootnoteText"/>
      </w:pPr>
      <w:r>
        <w:rPr>
          <w:rStyle w:val="FootnoteReference"/>
        </w:rPr>
        <w:footnoteRef/>
      </w:r>
      <w:r>
        <w:t xml:space="preserve"> </w:t>
      </w:r>
      <w:r>
        <w:rPr>
          <w:i/>
          <w:iCs/>
        </w:rPr>
        <w:t>See, e.g.</w:t>
      </w:r>
      <w:r>
        <w:t xml:space="preserve">, Blue Cross Comments at 1; California DHCS Comments at 2-4; CareFirst Comments at 1; Colorado HCPF Comments at 1-2; MassHealth Comments at 1; NCLC et al. Comments at 2; </w:t>
      </w:r>
      <w:r>
        <w:t>TennCare</w:t>
      </w:r>
      <w:r>
        <w:t xml:space="preserve"> Comments at 1; Wisconsin DHS Comments at 1.</w:t>
      </w:r>
    </w:p>
  </w:footnote>
  <w:footnote w:id="30">
    <w:p w:rsidR="00E54088" w:rsidRPr="00A046EF" w:rsidP="00E54088" w14:paraId="452B242E" w14:textId="77777777">
      <w:pPr>
        <w:pStyle w:val="FootnoteText"/>
      </w:pPr>
      <w:r>
        <w:rPr>
          <w:rStyle w:val="FootnoteReference"/>
        </w:rPr>
        <w:footnoteRef/>
      </w:r>
      <w:r>
        <w:t xml:space="preserve"> </w:t>
      </w:r>
      <w:r>
        <w:rPr>
          <w:i/>
          <w:iCs/>
        </w:rPr>
        <w:t>See, e.g.</w:t>
      </w:r>
      <w:r>
        <w:t xml:space="preserve">, CBPP Comments at 1; LeadingAge Comments at 2; MACPAC Comments at 2; NYS Comments at 2. </w:t>
      </w:r>
    </w:p>
  </w:footnote>
  <w:footnote w:id="31">
    <w:p w:rsidR="00E54088" w:rsidRPr="00FA4F24" w:rsidP="00E54088" w14:paraId="2317C464" w14:textId="77777777">
      <w:pPr>
        <w:pStyle w:val="FootnoteText"/>
      </w:pPr>
      <w:r>
        <w:rPr>
          <w:rStyle w:val="FootnoteReference"/>
        </w:rPr>
        <w:footnoteRef/>
      </w:r>
      <w:r>
        <w:t xml:space="preserve"> </w:t>
      </w:r>
      <w:r>
        <w:rPr>
          <w:i/>
          <w:iCs/>
        </w:rPr>
        <w:t>See, e.g.</w:t>
      </w:r>
      <w:r>
        <w:t xml:space="preserve">, AAPCHO Comments at 1 (noting the importance of autodialed calls and text messages to reach Asian Americans); Community Catalyst Comments at 2 (importance of text messages in reaching low-income individuals); LeadingAge Comments at 1 (importance in contacting older individuals). </w:t>
      </w:r>
    </w:p>
  </w:footnote>
  <w:footnote w:id="32">
    <w:p w:rsidR="00E54088" w:rsidRPr="00B140D8" w:rsidP="00E54088" w14:paraId="61D5F556" w14:textId="5ADEDC15">
      <w:pPr>
        <w:pStyle w:val="FootnoteText"/>
      </w:pPr>
      <w:r>
        <w:rPr>
          <w:rStyle w:val="FootnoteReference"/>
        </w:rPr>
        <w:footnoteRef/>
      </w:r>
      <w:r>
        <w:t xml:space="preserve"> </w:t>
      </w:r>
      <w:r>
        <w:rPr>
          <w:i/>
          <w:iCs/>
        </w:rPr>
        <w:t xml:space="preserve">See </w:t>
      </w:r>
      <w:r>
        <w:t xml:space="preserve">NCLC Reply Comments at 4-8.  In addition to ensuring that calls and texts are not charged to the recipient, NCLC suggests a number of other conditions including, among others, requiring that all callers check the Reassigned Numbers Database (RND), limiting prerecorded call messages to less than one minute, providing opt-out information, limiting the number of calls and messages to one per day and a total of seven over a fourteen-day period, restricting calls and messages to certain hours, and requiring callers to make calls or send text messages via only those voice and text providers that can provide Caller ID reflecting the name and telephone number for the government agency on whose behalf the call is made and STIR/SHAKEN attestations. </w:t>
      </w:r>
      <w:r w:rsidRPr="00D66023">
        <w:rPr>
          <w:i/>
          <w:iCs/>
        </w:rPr>
        <w:t xml:space="preserve"> </w:t>
      </w:r>
      <w:r>
        <w:rPr>
          <w:i/>
          <w:iCs/>
        </w:rPr>
        <w:t>Id.</w:t>
      </w:r>
      <w:r>
        <w:t xml:space="preserve"> at 5-7.  NCLC also requests that the Commission take action to protect consumers from insurance scam calls that could be confused with legitimate calls from state governments and their contractors.  </w:t>
      </w:r>
      <w:r>
        <w:rPr>
          <w:i/>
          <w:iCs/>
        </w:rPr>
        <w:t>See id.</w:t>
      </w:r>
      <w:r>
        <w:t xml:space="preserve"> at 11-12.  As noted below, we will continue to use our enforcement authority to aggressively combat such scams.</w:t>
      </w:r>
    </w:p>
  </w:footnote>
  <w:footnote w:id="33">
    <w:p w:rsidR="00E54088" w:rsidP="00E54088" w14:paraId="6831C93E" w14:textId="77777777">
      <w:pPr>
        <w:pStyle w:val="FootnoteText"/>
      </w:pPr>
      <w:r>
        <w:rPr>
          <w:rStyle w:val="FootnoteReference"/>
        </w:rPr>
        <w:footnoteRef/>
      </w:r>
      <w:r>
        <w:t xml:space="preserve"> </w:t>
      </w:r>
      <w:r>
        <w:rPr>
          <w:i/>
          <w:iCs/>
        </w:rPr>
        <w:t xml:space="preserve">See </w:t>
      </w:r>
      <w:r>
        <w:t>Bailey Glasser Comments at 1; Shields Comments at 2-3.</w:t>
      </w:r>
    </w:p>
  </w:footnote>
  <w:footnote w:id="34">
    <w:p w:rsidR="00E54088" w:rsidRPr="00C24B86" w:rsidP="00E54088" w14:paraId="59024A08" w14:textId="77777777">
      <w:pPr>
        <w:pStyle w:val="FootnoteText"/>
      </w:pPr>
      <w:r>
        <w:rPr>
          <w:rStyle w:val="FootnoteReference"/>
        </w:rPr>
        <w:footnoteRef/>
      </w:r>
      <w:r>
        <w:t xml:space="preserve"> </w:t>
      </w:r>
      <w:r>
        <w:rPr>
          <w:i/>
          <w:iCs/>
        </w:rPr>
        <w:t>See, e.g.</w:t>
      </w:r>
      <w:r>
        <w:t xml:space="preserve">, </w:t>
      </w:r>
      <w:r>
        <w:rPr>
          <w:i/>
          <w:iCs/>
        </w:rPr>
        <w:t>Rules and Regulations Implementing the Telephone Consumer Protection Act of 1991</w:t>
      </w:r>
      <w:r>
        <w:t xml:space="preserve">, CG Docket No. 02-278, Declaratory Ruling, 35 FCC </w:t>
      </w:r>
      <w:r>
        <w:t>Rcd</w:t>
      </w:r>
      <w:r>
        <w:t xml:space="preserve"> 2840 (2020) (confirming that </w:t>
      </w:r>
      <w:r w:rsidRPr="00C24B86">
        <w:t xml:space="preserve">health care providers, state and local health officials, and other government officials may lawfully communicate </w:t>
      </w:r>
      <w:r>
        <w:t xml:space="preserve">health and safety </w:t>
      </w:r>
      <w:r w:rsidRPr="00C24B86">
        <w:t xml:space="preserve">information about </w:t>
      </w:r>
      <w:r>
        <w:t xml:space="preserve">COVID-19 to protect individuals </w:t>
      </w:r>
      <w:r w:rsidRPr="00C24B86">
        <w:t>without violat</w:t>
      </w:r>
      <w:r>
        <w:t>ing the TCPA, pursuant to the “emergency purposes” exception).</w:t>
      </w:r>
    </w:p>
  </w:footnote>
  <w:footnote w:id="35">
    <w:p w:rsidR="00915D60" w:rsidRPr="00137CFC" w14:paraId="1F7959E5" w14:textId="3A659AED">
      <w:pPr>
        <w:pStyle w:val="FootnoteText"/>
      </w:pPr>
      <w:r>
        <w:rPr>
          <w:rStyle w:val="FootnoteReference"/>
        </w:rPr>
        <w:footnoteRef/>
      </w:r>
      <w:r>
        <w:t xml:space="preserve"> As explained in the </w:t>
      </w:r>
      <w:r>
        <w:rPr>
          <w:i/>
          <w:iCs/>
        </w:rPr>
        <w:t xml:space="preserve">2020 Broadnet </w:t>
      </w:r>
      <w:r w:rsidR="00A208B7">
        <w:rPr>
          <w:i/>
          <w:iCs/>
        </w:rPr>
        <w:t>Order</w:t>
      </w:r>
      <w:r>
        <w:t xml:space="preserve">, </w:t>
      </w:r>
      <w:r w:rsidRPr="00915D60">
        <w:t>because the TCPA does not apply to the federal</w:t>
      </w:r>
      <w:r w:rsidR="00391786">
        <w:t xml:space="preserve"> or state</w:t>
      </w:r>
      <w:r w:rsidR="00137CFC">
        <w:t xml:space="preserve"> </w:t>
      </w:r>
      <w:r w:rsidRPr="00915D60">
        <w:t xml:space="preserve">government </w:t>
      </w:r>
      <w:r w:rsidR="002D0ABA">
        <w:t>calls</w:t>
      </w:r>
      <w:r w:rsidRPr="00915D60">
        <w:t>, it cannot apply to federal</w:t>
      </w:r>
      <w:r w:rsidR="00C27831">
        <w:t xml:space="preserve"> or state</w:t>
      </w:r>
      <w:r w:rsidR="001C62DA">
        <w:t xml:space="preserve"> </w:t>
      </w:r>
      <w:r w:rsidRPr="00915D60">
        <w:t>government employees acting in their official capacities</w:t>
      </w:r>
      <w:r w:rsidR="00137CFC">
        <w:t xml:space="preserve">.  </w:t>
      </w:r>
      <w:r w:rsidR="00137CFC">
        <w:rPr>
          <w:i/>
          <w:iCs/>
        </w:rPr>
        <w:t>See</w:t>
      </w:r>
      <w:r w:rsidR="00A208B7">
        <w:rPr>
          <w:i/>
          <w:iCs/>
        </w:rPr>
        <w:t xml:space="preserve"> </w:t>
      </w:r>
      <w:r w:rsidR="00137CFC">
        <w:rPr>
          <w:i/>
          <w:iCs/>
        </w:rPr>
        <w:t>2020 Broadnet</w:t>
      </w:r>
      <w:r w:rsidR="00A208B7">
        <w:rPr>
          <w:i/>
          <w:iCs/>
        </w:rPr>
        <w:t xml:space="preserve"> Order</w:t>
      </w:r>
      <w:r w:rsidR="00137CFC">
        <w:t xml:space="preserve">, 35 FCC </w:t>
      </w:r>
      <w:r w:rsidR="00137CFC">
        <w:t>Rcd</w:t>
      </w:r>
      <w:r w:rsidR="00137CFC">
        <w:t xml:space="preserve"> at 150</w:t>
      </w:r>
      <w:r w:rsidR="00C27831">
        <w:t>57, 15059</w:t>
      </w:r>
      <w:r w:rsidR="004A4425">
        <w:t xml:space="preserve">, </w:t>
      </w:r>
      <w:r w:rsidR="00A208B7">
        <w:t>n.38</w:t>
      </w:r>
      <w:r w:rsidR="004A4425">
        <w:t xml:space="preserve"> &amp; </w:t>
      </w:r>
      <w:r w:rsidR="00C27831">
        <w:t>para. 22</w:t>
      </w:r>
      <w:r w:rsidR="00137CFC">
        <w:t>.</w:t>
      </w:r>
    </w:p>
  </w:footnote>
  <w:footnote w:id="36">
    <w:p w:rsidR="00E54088" w:rsidP="00E54088" w14:paraId="47DEEE12" w14:textId="77777777">
      <w:pPr>
        <w:pStyle w:val="FootnoteText"/>
      </w:pPr>
      <w:r>
        <w:rPr>
          <w:rStyle w:val="FootnoteReference"/>
        </w:rPr>
        <w:footnoteRef/>
      </w:r>
      <w:r>
        <w:t xml:space="preserve"> As discussed in greater detail below, we strongly encourage callers relying upon prior express consent to call or text enrollees to utilize the RND to determine whether the telephone number provided has been reassigned to another individual. </w:t>
      </w:r>
    </w:p>
  </w:footnote>
  <w:footnote w:id="37">
    <w:p w:rsidR="00E54088" w:rsidP="00E54088" w14:paraId="4E600839" w14:textId="77777777">
      <w:pPr>
        <w:pStyle w:val="FootnoteText"/>
      </w:pPr>
      <w:r>
        <w:rPr>
          <w:rStyle w:val="FootnoteReference"/>
        </w:rPr>
        <w:footnoteRef/>
      </w:r>
      <w:r>
        <w:t xml:space="preserve"> </w:t>
      </w:r>
      <w:r>
        <w:rPr>
          <w:i/>
          <w:iCs/>
        </w:rPr>
        <w:t xml:space="preserve">See </w:t>
      </w:r>
      <w:r>
        <w:t xml:space="preserve">Federal Communications Commission, </w:t>
      </w:r>
      <w:r w:rsidRPr="00FF4ECD">
        <w:rPr>
          <w:i/>
          <w:iCs/>
        </w:rPr>
        <w:t>COVID-19</w:t>
      </w:r>
      <w:r w:rsidRPr="003F3D18">
        <w:rPr>
          <w:i/>
          <w:iCs/>
        </w:rPr>
        <w:t xml:space="preserve"> Consumer Warnings and Safety Tips</w:t>
      </w:r>
      <w:r>
        <w:t xml:space="preserve"> </w:t>
      </w:r>
      <w:hyperlink r:id="rId2" w:history="1">
        <w:r w:rsidRPr="009F65B1">
          <w:rPr>
            <w:rStyle w:val="Hyperlink"/>
          </w:rPr>
          <w:t>https://www.fcc.gov/covid-scams</w:t>
        </w:r>
      </w:hyperlink>
      <w:r>
        <w:t xml:space="preserve"> (last visited Sept. 1, 2022).</w:t>
      </w:r>
    </w:p>
  </w:footnote>
  <w:footnote w:id="38">
    <w:p w:rsidR="00E54088" w:rsidRPr="003F3D18" w:rsidP="00E54088" w14:paraId="55284AD2" w14:textId="77777777">
      <w:pPr>
        <w:pStyle w:val="FootnoteText"/>
        <w:rPr>
          <w:i/>
          <w:iCs/>
        </w:rPr>
      </w:pPr>
      <w:r>
        <w:rPr>
          <w:rStyle w:val="FootnoteReference"/>
        </w:rPr>
        <w:footnoteRef/>
      </w:r>
      <w:r>
        <w:t xml:space="preserve"> </w:t>
      </w:r>
      <w:r>
        <w:rPr>
          <w:i/>
          <w:iCs/>
        </w:rPr>
        <w:t xml:space="preserve">Id. </w:t>
      </w:r>
    </w:p>
  </w:footnote>
  <w:footnote w:id="39">
    <w:p w:rsidR="00B02992" w:rsidP="00B02992" w14:paraId="218EEAAA" w14:textId="33972FC1">
      <w:pPr>
        <w:pStyle w:val="FootnoteText"/>
      </w:pPr>
      <w:r>
        <w:rPr>
          <w:rStyle w:val="FootnoteReference"/>
        </w:rPr>
        <w:footnoteRef/>
      </w:r>
      <w:r>
        <w:t xml:space="preserve"> </w:t>
      </w:r>
      <w:r w:rsidRPr="00061BC0">
        <w:t xml:space="preserve">The Commission has made clear in several contexts that “persons who knowingly release their telephone numbers” for a particular purpose “have in effect given their invitation or permission to be called at the number which they have given” for that purpose, absent instructions to the contrary.  </w:t>
      </w:r>
      <w:r w:rsidRPr="00061BC0">
        <w:rPr>
          <w:i/>
          <w:iCs/>
        </w:rPr>
        <w:t>See, e.g.</w:t>
      </w:r>
      <w:r w:rsidRPr="00061BC0">
        <w:t xml:space="preserve">, </w:t>
      </w:r>
      <w:r w:rsidRPr="00061BC0">
        <w:rPr>
          <w:i/>
          <w:iCs/>
        </w:rPr>
        <w:t>1992 TCPA Order</w:t>
      </w:r>
      <w:r w:rsidRPr="00061BC0">
        <w:t xml:space="preserve">, 7 FCC </w:t>
      </w:r>
      <w:r w:rsidRPr="00061BC0">
        <w:t>Rcd</w:t>
      </w:r>
      <w:r w:rsidRPr="00061BC0">
        <w:t xml:space="preserve"> at 87</w:t>
      </w:r>
      <w:r w:rsidR="003E7AFC">
        <w:t>69</w:t>
      </w:r>
      <w:r w:rsidRPr="00061BC0">
        <w:t>, para. 31.</w:t>
      </w:r>
      <w:r w:rsidRPr="00061BC0">
        <w:rPr>
          <w:i/>
          <w:iCs/>
        </w:rPr>
        <w:t xml:space="preserve">  </w:t>
      </w:r>
      <w:r w:rsidRPr="00061BC0">
        <w:t xml:space="preserve">In the </w:t>
      </w:r>
      <w:r w:rsidRPr="00061BC0">
        <w:rPr>
          <w:i/>
          <w:iCs/>
        </w:rPr>
        <w:t>ACA Declaratory Ruling</w:t>
      </w:r>
      <w:r w:rsidRPr="00061BC0">
        <w:t xml:space="preserve">, for example, the Commission clarified that a party who provides his or her wireless number to a creditor as part of a credit application “reasonably evidences prior express consent by the cell phone subscriber to be contacted at the number regarding the debt.”  </w:t>
      </w:r>
      <w:r>
        <w:rPr>
          <w:i/>
          <w:iCs/>
        </w:rPr>
        <w:t>ACA</w:t>
      </w:r>
      <w:r w:rsidRPr="00061BC0">
        <w:rPr>
          <w:i/>
          <w:iCs/>
        </w:rPr>
        <w:t xml:space="preserve"> Declaratory Rulin</w:t>
      </w:r>
      <w:r>
        <w:rPr>
          <w:i/>
          <w:iCs/>
        </w:rPr>
        <w:t>g</w:t>
      </w:r>
      <w:r w:rsidRPr="00061BC0">
        <w:t xml:space="preserve">, 23 FCC </w:t>
      </w:r>
      <w:r w:rsidRPr="00061BC0">
        <w:t>Rcd</w:t>
      </w:r>
      <w:r w:rsidRPr="00061BC0">
        <w:t xml:space="preserve"> </w:t>
      </w:r>
      <w:r>
        <w:t xml:space="preserve">at </w:t>
      </w:r>
      <w:r w:rsidRPr="00061BC0">
        <w:t>564, para. 9</w:t>
      </w:r>
      <w:r w:rsidR="005979E5">
        <w:t xml:space="preserve"> (also </w:t>
      </w:r>
      <w:r w:rsidRPr="005979E5" w:rsidR="005979E5">
        <w:t>confirming that the provision of a wireless telephone number to a creditor extended prior express consent to a third-party debt collector calling on behalf of the creditor to collect the debt related to that transaction)</w:t>
      </w:r>
      <w:r w:rsidRPr="00061BC0">
        <w:t xml:space="preserve">.  </w:t>
      </w:r>
    </w:p>
  </w:footnote>
  <w:footnote w:id="40">
    <w:p w:rsidR="00E54088" w:rsidRPr="00587ED1" w:rsidP="00E54088" w14:paraId="05CB4B82" w14:textId="32ADF85B">
      <w:pPr>
        <w:pStyle w:val="FootnoteText"/>
      </w:pPr>
      <w:r>
        <w:rPr>
          <w:rStyle w:val="FootnoteReference"/>
        </w:rPr>
        <w:footnoteRef/>
      </w:r>
      <w:r>
        <w:t xml:space="preserve"> </w:t>
      </w:r>
      <w:r>
        <w:rPr>
          <w:i/>
          <w:iCs/>
        </w:rPr>
        <w:t>See, e.g.</w:t>
      </w:r>
      <w:r>
        <w:t xml:space="preserve">, </w:t>
      </w:r>
      <w:r>
        <w:rPr>
          <w:i/>
          <w:iCs/>
        </w:rPr>
        <w:t>Blackboard Declaratory Ruling</w:t>
      </w:r>
      <w:r>
        <w:t xml:space="preserve">, </w:t>
      </w:r>
      <w:r w:rsidRPr="00587ED1">
        <w:t xml:space="preserve">31 FCC </w:t>
      </w:r>
      <w:r w:rsidRPr="00587ED1">
        <w:t>Rcd</w:t>
      </w:r>
      <w:r w:rsidRPr="00587ED1">
        <w:t xml:space="preserve"> </w:t>
      </w:r>
      <w:r>
        <w:t xml:space="preserve">at </w:t>
      </w:r>
      <w:r w:rsidRPr="00587ED1">
        <w:t>9064, para. 23</w:t>
      </w:r>
      <w:r w:rsidR="005B23CD">
        <w:t xml:space="preserve"> (confirming that the provision of a telephone number by a</w:t>
      </w:r>
      <w:r w:rsidRPr="006726CD" w:rsidR="005B23CD">
        <w:t xml:space="preserve"> parent</w:t>
      </w:r>
      <w:r w:rsidR="005B23CD">
        <w:t xml:space="preserve"> </w:t>
      </w:r>
      <w:r w:rsidRPr="006726CD" w:rsidR="005B23CD">
        <w:t>or student to a school</w:t>
      </w:r>
      <w:r w:rsidR="005B23CD">
        <w:t xml:space="preserve"> provides prior express consent to receive</w:t>
      </w:r>
      <w:r w:rsidRPr="006726CD" w:rsidR="005B23CD">
        <w:t xml:space="preserve"> communications from the school closely related to the educational mission of the school or to official school activities absent instructions to the contrary from the party who provides the phone number</w:t>
      </w:r>
      <w:r w:rsidR="005B23CD">
        <w:t>).</w:t>
      </w:r>
    </w:p>
  </w:footnote>
  <w:footnote w:id="41">
    <w:p w:rsidR="00C22541" w:rsidRPr="00B86B7C" w:rsidP="00C22541" w14:paraId="2C7992CA" w14:textId="77777777">
      <w:pPr>
        <w:pStyle w:val="FootnoteText"/>
      </w:pPr>
      <w:r>
        <w:rPr>
          <w:rStyle w:val="FootnoteReference"/>
        </w:rPr>
        <w:footnoteRef/>
      </w:r>
      <w:r>
        <w:t xml:space="preserve"> </w:t>
      </w:r>
      <w:r>
        <w:rPr>
          <w:i/>
          <w:iCs/>
        </w:rPr>
        <w:t xml:space="preserve">See </w:t>
      </w:r>
      <w:r>
        <w:t xml:space="preserve">HHS Letter at 8.  </w:t>
      </w:r>
    </w:p>
  </w:footnote>
  <w:footnote w:id="42">
    <w:p w:rsidR="007E1B2D" w:rsidRPr="002E6E69" w:rsidP="007E1B2D" w14:paraId="09E2A19D" w14:textId="77777777">
      <w:pPr>
        <w:pStyle w:val="FootnoteText"/>
      </w:pPr>
      <w:r>
        <w:rPr>
          <w:rStyle w:val="FootnoteReference"/>
        </w:rPr>
        <w:footnoteRef/>
      </w:r>
      <w:r>
        <w:t xml:space="preserve"> </w:t>
      </w:r>
      <w:r>
        <w:rPr>
          <w:i/>
          <w:iCs/>
        </w:rPr>
        <w:t>See, e.g.</w:t>
      </w:r>
      <w:r>
        <w:t xml:space="preserve">, ACH Comments at 2; </w:t>
      </w:r>
      <w:r>
        <w:t>Amerihealth</w:t>
      </w:r>
      <w:r>
        <w:t xml:space="preserve"> Comments at 1; Centene Comments at 1; NCLC et al. Comments at 6-7; NYDH Comments at 2; </w:t>
      </w:r>
      <w:r>
        <w:t>TennCare</w:t>
      </w:r>
      <w:r>
        <w:t xml:space="preserve"> Comments at 1.</w:t>
      </w:r>
    </w:p>
  </w:footnote>
  <w:footnote w:id="43">
    <w:p w:rsidR="00563B56" w:rsidP="00563B56" w14:paraId="6B9BFB6A" w14:textId="77777777">
      <w:pPr>
        <w:pStyle w:val="FootnoteText"/>
      </w:pPr>
      <w:r>
        <w:rPr>
          <w:rStyle w:val="FootnoteReference"/>
        </w:rPr>
        <w:footnoteRef/>
      </w:r>
      <w:r>
        <w:t xml:space="preserve"> NCLC et al. Comments at 12.</w:t>
      </w:r>
    </w:p>
  </w:footnote>
  <w:footnote w:id="44">
    <w:p w:rsidR="00563B56" w:rsidRPr="0089009C" w:rsidP="00563B56" w14:paraId="5A08F5D6" w14:textId="77777777">
      <w:pPr>
        <w:pStyle w:val="FootnoteText"/>
      </w:pPr>
      <w:r>
        <w:rPr>
          <w:rStyle w:val="FootnoteReference"/>
        </w:rPr>
        <w:footnoteRef/>
      </w:r>
      <w:r>
        <w:t xml:space="preserve"> </w:t>
      </w:r>
      <w:r>
        <w:rPr>
          <w:i/>
        </w:rPr>
        <w:t xml:space="preserve">See </w:t>
      </w:r>
      <w:r>
        <w:t xml:space="preserve">47 CFR § 64.1200(a)(2), (b).  The term “prior express written consent” is defined in 47 CFR </w:t>
      </w:r>
      <w:r w:rsidRPr="005B0B58">
        <w:t>§ 64.1200(</w:t>
      </w:r>
      <w:r>
        <w:t>f)(9) (</w:t>
      </w:r>
      <w:r w:rsidRPr="0089009C">
        <w:t>a consumer</w:t>
      </w:r>
      <w:r>
        <w:t>’</w:t>
      </w:r>
      <w:r w:rsidRPr="0089009C">
        <w:t>s written consent to receive telemarketing robocalls must be signed and be sufficient to show that the consumer: (1) received “clear and conspicuous disclosure” of the consequences of providing the requested consent, </w:t>
      </w:r>
      <w:r w:rsidRPr="0089009C">
        <w:rPr>
          <w:i/>
          <w:iCs/>
        </w:rPr>
        <w:t>i.e.</w:t>
      </w:r>
      <w:r w:rsidRPr="0089009C">
        <w:t>, that the consumer will receive future calls that deliver prerecorded messages by or on behalf of a specific seller; and (2) having received this information, agrees</w:t>
      </w:r>
      <w:r>
        <w:t xml:space="preserve"> in writing</w:t>
      </w:r>
      <w:r w:rsidRPr="0089009C">
        <w:t xml:space="preserve"> to receive such calls at a telephone number the consumer designates</w:t>
      </w:r>
      <w:r>
        <w:t>).</w:t>
      </w:r>
    </w:p>
  </w:footnote>
  <w:footnote w:id="45">
    <w:p w:rsidR="00563B56" w:rsidRPr="00B61DE1" w:rsidP="00563B56" w14:paraId="7294A29D" w14:textId="79C24B51">
      <w:pPr>
        <w:pStyle w:val="FootnoteText"/>
      </w:pPr>
      <w:r>
        <w:rPr>
          <w:rStyle w:val="FootnoteReference"/>
        </w:rPr>
        <w:footnoteRef/>
      </w:r>
      <w:r>
        <w:t xml:space="preserve"> </w:t>
      </w:r>
      <w:r>
        <w:rPr>
          <w:i/>
        </w:rPr>
        <w:t>See</w:t>
      </w:r>
      <w:r w:rsidR="00E87EF8">
        <w:rPr>
          <w:i/>
        </w:rPr>
        <w:t xml:space="preserve"> Rules and Regulations Implementing the Telephone Consumer Protection Act of 1991</w:t>
      </w:r>
      <w:r w:rsidR="00E87EF8">
        <w:rPr>
          <w:iCs/>
        </w:rPr>
        <w:t xml:space="preserve">, CG Docket No. 02-278, Report and Order, 30 FCC </w:t>
      </w:r>
      <w:r w:rsidR="00E87EF8">
        <w:rPr>
          <w:iCs/>
        </w:rPr>
        <w:t>Rcd</w:t>
      </w:r>
      <w:r w:rsidR="00E87EF8">
        <w:rPr>
          <w:iCs/>
        </w:rPr>
        <w:t xml:space="preserve"> 7961 </w:t>
      </w:r>
      <w:r>
        <w:t>at 7996, para. 64</w:t>
      </w:r>
      <w:r w:rsidR="00E87EF8">
        <w:t xml:space="preserve"> (2015) (</w:t>
      </w:r>
      <w:r w:rsidR="00E87EF8">
        <w:rPr>
          <w:i/>
          <w:iCs/>
        </w:rPr>
        <w:t>2015 TCPA Order</w:t>
      </w:r>
      <w:r w:rsidR="00E87EF8">
        <w:t>)</w:t>
      </w:r>
      <w:r>
        <w:t>.</w:t>
      </w:r>
    </w:p>
  </w:footnote>
  <w:footnote w:id="46">
    <w:p w:rsidR="00563B56" w:rsidRPr="00731AED" w:rsidP="00563B56" w14:paraId="4B2F5938" w14:textId="2DDA9272">
      <w:pPr>
        <w:pStyle w:val="FootnoteText"/>
      </w:pPr>
      <w:r>
        <w:rPr>
          <w:rStyle w:val="FootnoteReference"/>
        </w:rPr>
        <w:footnoteRef/>
      </w:r>
      <w:r>
        <w:t xml:space="preserve"> </w:t>
      </w:r>
      <w:r w:rsidR="00293A32">
        <w:rPr>
          <w:i/>
          <w:iCs/>
        </w:rPr>
        <w:t>Id.</w:t>
      </w:r>
      <w:r>
        <w:t xml:space="preserve"> at 7993, para. 55.</w:t>
      </w:r>
      <w:r>
        <w:rPr>
          <w:i/>
          <w:iCs/>
        </w:rPr>
        <w:t xml:space="preserve">  </w:t>
      </w:r>
      <w:r>
        <w:t xml:space="preserve">HHS indicates that each message will identify the agency that is sending the message or on whose behalf a message is sent and will provide the called party with information on how to opt out of or stop receiving future messages.  </w:t>
      </w:r>
      <w:r>
        <w:rPr>
          <w:i/>
          <w:iCs/>
        </w:rPr>
        <w:t xml:space="preserve">See </w:t>
      </w:r>
      <w:r>
        <w:t>HHS Letter at 5.</w:t>
      </w:r>
    </w:p>
  </w:footnote>
  <w:footnote w:id="47">
    <w:p w:rsidR="00BF0DF9" w:rsidRPr="00E06B3C" w:rsidP="00BF0DF9" w14:paraId="6C52512D" w14:textId="77777777">
      <w:pPr>
        <w:pStyle w:val="FootnoteText"/>
      </w:pPr>
      <w:r>
        <w:rPr>
          <w:rStyle w:val="FootnoteReference"/>
        </w:rPr>
        <w:footnoteRef/>
      </w:r>
      <w:r>
        <w:t xml:space="preserve"> </w:t>
      </w:r>
      <w:r>
        <w:rPr>
          <w:i/>
          <w:iCs/>
        </w:rPr>
        <w:t>See 2015 TCPA Order</w:t>
      </w:r>
      <w:r w:rsidRPr="00D957C7">
        <w:t xml:space="preserve">, 30 FCC </w:t>
      </w:r>
      <w:r w:rsidRPr="00D957C7">
        <w:t>Rcd</w:t>
      </w:r>
      <w:r w:rsidRPr="00D957C7">
        <w:t xml:space="preserve"> </w:t>
      </w:r>
      <w:r>
        <w:t xml:space="preserve">at </w:t>
      </w:r>
      <w:r w:rsidRPr="00D957C7">
        <w:t>79</w:t>
      </w:r>
      <w:r>
        <w:t xml:space="preserve">89-90, para. 47; </w:t>
      </w:r>
      <w:r>
        <w:rPr>
          <w:i/>
          <w:iCs/>
        </w:rPr>
        <w:t>ACA Declaratory Ruling</w:t>
      </w:r>
      <w:r>
        <w:t xml:space="preserve">, 23 FCC </w:t>
      </w:r>
      <w:r>
        <w:t>Rcd</w:t>
      </w:r>
      <w:r>
        <w:t xml:space="preserve"> at 565, para. 10.</w:t>
      </w:r>
    </w:p>
  </w:footnote>
  <w:footnote w:id="48">
    <w:p w:rsidR="003E2D21" w:rsidRPr="00120B44" w14:paraId="03FB4BF0" w14:textId="15C45AFF">
      <w:pPr>
        <w:pStyle w:val="FootnoteText"/>
        <w:rPr>
          <w:i/>
          <w:iCs/>
        </w:rPr>
      </w:pPr>
      <w:r>
        <w:rPr>
          <w:rStyle w:val="FootnoteReference"/>
        </w:rPr>
        <w:footnoteRef/>
      </w:r>
      <w:r>
        <w:t xml:space="preserve"> </w:t>
      </w:r>
      <w:r w:rsidR="00CE7F2B">
        <w:rPr>
          <w:i/>
          <w:iCs/>
        </w:rPr>
        <w:t xml:space="preserve">See </w:t>
      </w:r>
      <w:r w:rsidR="00F25152">
        <w:t>47 U.S.C. § 227</w:t>
      </w:r>
      <w:r w:rsidR="00614EC3">
        <w:t>(b)</w:t>
      </w:r>
      <w:r w:rsidR="001035F6">
        <w:t>; 47 CFR § 64.1200</w:t>
      </w:r>
      <w:r w:rsidR="00F60AE1">
        <w:t xml:space="preserve">(a); </w:t>
      </w:r>
      <w:r w:rsidRPr="006178F1" w:rsidR="00CE7F2B">
        <w:rPr>
          <w:i/>
        </w:rPr>
        <w:t>Advanced Methods to Target and Eliminate Unlawful Robocalls</w:t>
      </w:r>
      <w:r w:rsidRPr="00435394" w:rsidR="00CE7F2B">
        <w:t xml:space="preserve">, </w:t>
      </w:r>
      <w:r w:rsidR="00CE7F2B">
        <w:t xml:space="preserve">CG Docket No. 17-59, </w:t>
      </w:r>
      <w:r w:rsidRPr="00435394" w:rsidR="00CE7F2B">
        <w:t>Second Report and Order</w:t>
      </w:r>
      <w:r w:rsidR="00CE7F2B">
        <w:t xml:space="preserve">, </w:t>
      </w:r>
      <w:r w:rsidRPr="00435394" w:rsidR="00CE7F2B">
        <w:t xml:space="preserve">33 FCC </w:t>
      </w:r>
      <w:r w:rsidRPr="00435394" w:rsidR="00CE7F2B">
        <w:t>Rcd</w:t>
      </w:r>
      <w:r w:rsidRPr="00435394" w:rsidR="00CE7F2B">
        <w:t xml:space="preserve"> 12024</w:t>
      </w:r>
      <w:r w:rsidR="00CE7F2B">
        <w:t xml:space="preserve">, </w:t>
      </w:r>
      <w:r w:rsidR="00F730F7">
        <w:t>12024-25, para. 1 (2018) (</w:t>
      </w:r>
      <w:r w:rsidRPr="00120B44" w:rsidR="00F730F7">
        <w:rPr>
          <w:i/>
          <w:iCs/>
        </w:rPr>
        <w:t>Reassigned Numbers Order</w:t>
      </w:r>
      <w:r w:rsidR="00F730F7">
        <w:t>)</w:t>
      </w:r>
      <w:r w:rsidR="00DC758F">
        <w:t>.</w:t>
      </w:r>
    </w:p>
  </w:footnote>
  <w:footnote w:id="49">
    <w:p w:rsidR="00EF779E" w:rsidP="00EF779E" w14:paraId="777E93A7" w14:textId="1A46C846">
      <w:pPr>
        <w:pStyle w:val="FootnoteText"/>
      </w:pPr>
      <w:r>
        <w:rPr>
          <w:rStyle w:val="FootnoteReference"/>
        </w:rPr>
        <w:footnoteRef/>
      </w:r>
      <w:r>
        <w:t xml:space="preserve"> </w:t>
      </w:r>
      <w:r w:rsidRPr="00D84CCE">
        <w:t>NCLC et al. Comments at 8-9</w:t>
      </w:r>
      <w:r>
        <w:t xml:space="preserve">.  </w:t>
      </w:r>
      <w:r w:rsidRPr="001D472F">
        <w:t>The R</w:t>
      </w:r>
      <w:r>
        <w:t>ND</w:t>
      </w:r>
      <w:r w:rsidRPr="001D472F">
        <w:t xml:space="preserve"> is designed to prevent a consumer from getting unwanted calls intended for someone who previously held their phone number.</w:t>
      </w:r>
      <w:r>
        <w:t xml:space="preserve"> </w:t>
      </w:r>
      <w:r w:rsidRPr="001D472F">
        <w:t xml:space="preserve"> Callers </w:t>
      </w:r>
      <w:r w:rsidR="00C52090">
        <w:t>and texters</w:t>
      </w:r>
      <w:r w:rsidRPr="001D472F">
        <w:t xml:space="preserve"> can use the </w:t>
      </w:r>
      <w:r>
        <w:t>RND</w:t>
      </w:r>
      <w:r w:rsidRPr="001D472F">
        <w:t xml:space="preserve"> to determine whether a telephone number may have been reassigned </w:t>
      </w:r>
      <w:r>
        <w:t xml:space="preserve">following a specific date </w:t>
      </w:r>
      <w:r w:rsidRPr="001D472F">
        <w:t>so they can avoid</w:t>
      </w:r>
      <w:r>
        <w:t xml:space="preserve"> potential liability for</w:t>
      </w:r>
      <w:r w:rsidRPr="001D472F">
        <w:t xml:space="preserve"> calling consumers who </w:t>
      </w:r>
      <w:r>
        <w:t xml:space="preserve">have not consented to </w:t>
      </w:r>
      <w:r w:rsidRPr="001D472F">
        <w:t>the</w:t>
      </w:r>
      <w:r>
        <w:t>se</w:t>
      </w:r>
      <w:r w:rsidRPr="001D472F">
        <w:t xml:space="preserve"> calls.</w:t>
      </w:r>
      <w:r w:rsidR="001A05A1">
        <w:t xml:space="preserve"> </w:t>
      </w:r>
      <w:r w:rsidR="00D56742">
        <w:t xml:space="preserve"> </w:t>
      </w:r>
      <w:r w:rsidR="001A05A1">
        <w:rPr>
          <w:i/>
          <w:iCs/>
        </w:rPr>
        <w:t>See</w:t>
      </w:r>
      <w:r w:rsidR="001A05A1">
        <w:t xml:space="preserve"> 47 CFR § </w:t>
      </w:r>
      <w:r w:rsidR="000333C4">
        <w:t>64.1200(m).</w:t>
      </w:r>
      <w:r w:rsidRPr="001D472F">
        <w:rPr>
          <w:rFonts w:ascii="Open Sans" w:hAnsi="Open Sans" w:cs="Open Sans"/>
          <w:snapToGrid w:val="0"/>
          <w:color w:val="1D2B3E"/>
          <w:kern w:val="28"/>
          <w:sz w:val="21"/>
          <w:szCs w:val="21"/>
        </w:rPr>
        <w:t xml:space="preserve"> </w:t>
      </w:r>
      <w:r>
        <w:rPr>
          <w:rFonts w:ascii="Open Sans" w:hAnsi="Open Sans" w:cs="Open Sans"/>
          <w:snapToGrid w:val="0"/>
          <w:color w:val="1D2B3E"/>
          <w:kern w:val="28"/>
          <w:sz w:val="21"/>
          <w:szCs w:val="21"/>
        </w:rPr>
        <w:t xml:space="preserve"> </w:t>
      </w:r>
      <w:r w:rsidRPr="001D472F">
        <w:t>The Reassigned Numbers Database can be found at </w:t>
      </w:r>
      <w:hyperlink r:id="rId3" w:tgtFrame="_blank" w:history="1">
        <w:r w:rsidRPr="001D472F">
          <w:rPr>
            <w:rStyle w:val="Hyperlink"/>
          </w:rPr>
          <w:t>www.reassigned.us</w:t>
        </w:r>
      </w:hyperlink>
      <w:r w:rsidRPr="001D472F">
        <w:t>.</w:t>
      </w:r>
      <w:r>
        <w:t xml:space="preserve">  </w:t>
      </w:r>
    </w:p>
  </w:footnote>
  <w:footnote w:id="50">
    <w:p w:rsidR="00EF779E" w:rsidP="00EF779E" w14:paraId="4DF368ED" w14:textId="4A3D8313">
      <w:pPr>
        <w:pStyle w:val="FootnoteText"/>
      </w:pPr>
      <w:r>
        <w:rPr>
          <w:rStyle w:val="FootnoteReference"/>
        </w:rPr>
        <w:footnoteRef/>
      </w:r>
      <w:r>
        <w:t xml:space="preserve"> Callers may be eligible for a safe harbor if they can prove that they </w:t>
      </w:r>
      <w:r w:rsidRPr="008F575A">
        <w:t xml:space="preserve">checked the most recent update of the </w:t>
      </w:r>
      <w:r>
        <w:t>RND</w:t>
      </w:r>
      <w:r w:rsidRPr="008F575A">
        <w:t xml:space="preserve"> and the database erroneously reported </w:t>
      </w:r>
      <w:r>
        <w:t xml:space="preserve">that the number had not been reassigned after the caller obtained consent.  </w:t>
      </w:r>
      <w:r w:rsidRPr="00A736EE">
        <w:t>47 CFR § 64.1200(m)</w:t>
      </w:r>
      <w:r>
        <w:t xml:space="preserve">; </w:t>
      </w:r>
      <w:r w:rsidR="00DC758F">
        <w:rPr>
          <w:i/>
          <w:iCs/>
        </w:rPr>
        <w:t>Reassigned Numbers Order</w:t>
      </w:r>
      <w:r>
        <w:t xml:space="preserve">, </w:t>
      </w:r>
      <w:r w:rsidRPr="00435394">
        <w:t xml:space="preserve">33 FCC </w:t>
      </w:r>
      <w:r w:rsidRPr="00435394">
        <w:t>Rcd</w:t>
      </w:r>
      <w:r w:rsidRPr="00435394">
        <w:t xml:space="preserve"> </w:t>
      </w:r>
      <w:r w:rsidR="00DC758F">
        <w:t>at</w:t>
      </w:r>
      <w:r>
        <w:t xml:space="preserve"> 12043-44, paras. 53-58.</w:t>
      </w:r>
    </w:p>
  </w:footnote>
  <w:footnote w:id="51">
    <w:p w:rsidR="00E54088" w:rsidRPr="005E7DF9" w:rsidP="00E54088" w14:paraId="631C7F4F" w14:textId="19AA3375">
      <w:pPr>
        <w:pStyle w:val="FootnoteText"/>
        <w:rPr>
          <w:iCs/>
        </w:rPr>
      </w:pPr>
      <w:r>
        <w:rPr>
          <w:rStyle w:val="FootnoteReference"/>
        </w:rPr>
        <w:footnoteRef/>
      </w:r>
      <w:r>
        <w:t xml:space="preserve"> </w:t>
      </w:r>
      <w:r>
        <w:rPr>
          <w:i/>
          <w:iCs/>
        </w:rPr>
        <w:t xml:space="preserve">See </w:t>
      </w:r>
      <w:r w:rsidRPr="00002567">
        <w:rPr>
          <w:i/>
          <w:iCs/>
        </w:rPr>
        <w:t xml:space="preserve">2016 </w:t>
      </w:r>
      <w:r w:rsidRPr="00002567">
        <w:rPr>
          <w:i/>
        </w:rPr>
        <w:t>Broadnet Declaratory Ruling</w:t>
      </w:r>
      <w:r>
        <w:rPr>
          <w:iCs/>
        </w:rPr>
        <w:t>,</w:t>
      </w:r>
      <w:r w:rsidRPr="00002567">
        <w:rPr>
          <w:snapToGrid w:val="0"/>
          <w:kern w:val="28"/>
          <w:sz w:val="22"/>
        </w:rPr>
        <w:t xml:space="preserve"> </w:t>
      </w:r>
      <w:r w:rsidRPr="00002567">
        <w:rPr>
          <w:iCs/>
        </w:rPr>
        <w:t xml:space="preserve">31 FCC </w:t>
      </w:r>
      <w:r w:rsidRPr="00002567">
        <w:rPr>
          <w:iCs/>
        </w:rPr>
        <w:t>Rcd</w:t>
      </w:r>
      <w:r w:rsidRPr="00002567">
        <w:rPr>
          <w:iCs/>
        </w:rPr>
        <w:t xml:space="preserve"> </w:t>
      </w:r>
      <w:r>
        <w:rPr>
          <w:iCs/>
        </w:rPr>
        <w:t xml:space="preserve">at </w:t>
      </w:r>
      <w:r w:rsidRPr="00002567">
        <w:rPr>
          <w:iCs/>
        </w:rPr>
        <w:t>7399-41, paras. 12-15</w:t>
      </w:r>
      <w:r>
        <w:rPr>
          <w:iCs/>
        </w:rPr>
        <w:t>;</w:t>
      </w:r>
      <w:r w:rsidRPr="00002567">
        <w:rPr>
          <w:i/>
          <w:iCs/>
          <w:snapToGrid w:val="0"/>
          <w:kern w:val="28"/>
          <w:sz w:val="22"/>
        </w:rPr>
        <w:t xml:space="preserve"> </w:t>
      </w:r>
      <w:r w:rsidRPr="00002567">
        <w:rPr>
          <w:i/>
          <w:iCs/>
        </w:rPr>
        <w:t>2020 Broadnet Order</w:t>
      </w:r>
      <w:r w:rsidRPr="00002567">
        <w:rPr>
          <w:iCs/>
        </w:rPr>
        <w:t xml:space="preserve">, 35 FCC </w:t>
      </w:r>
      <w:r w:rsidRPr="00002567">
        <w:rPr>
          <w:iCs/>
        </w:rPr>
        <w:t>Rcd</w:t>
      </w:r>
      <w:r w:rsidRPr="00002567">
        <w:rPr>
          <w:iCs/>
        </w:rPr>
        <w:t xml:space="preserve"> at</w:t>
      </w:r>
      <w:r>
        <w:rPr>
          <w:iCs/>
        </w:rPr>
        <w:t xml:space="preserve"> </w:t>
      </w:r>
      <w:r w:rsidRPr="00002567">
        <w:rPr>
          <w:iCs/>
        </w:rPr>
        <w:t>15059-61, paras. 22-26</w:t>
      </w:r>
      <w:r>
        <w:rPr>
          <w:iCs/>
        </w:rPr>
        <w:t xml:space="preserve">; </w:t>
      </w:r>
      <w:r>
        <w:rPr>
          <w:i/>
        </w:rPr>
        <w:t>see also</w:t>
      </w:r>
      <w:r>
        <w:rPr>
          <w:iCs/>
        </w:rPr>
        <w:t xml:space="preserve"> NCLC et al. Comments at 3 (acknowledging Commission rulings </w:t>
      </w:r>
      <w:r w:rsidRPr="0058322D">
        <w:rPr>
          <w:iCs/>
        </w:rPr>
        <w:t>that the TCPA is inapplicable to calls made by the federal government or its employees</w:t>
      </w:r>
      <w:r>
        <w:rPr>
          <w:iCs/>
        </w:rPr>
        <w:t>).</w:t>
      </w:r>
      <w:r w:rsidR="00AA09F6">
        <w:rPr>
          <w:iCs/>
        </w:rPr>
        <w:t xml:space="preserve"> </w:t>
      </w:r>
      <w:r w:rsidR="009C635D">
        <w:rPr>
          <w:iCs/>
        </w:rPr>
        <w:t xml:space="preserve"> </w:t>
      </w:r>
      <w:r w:rsidR="00AA09F6">
        <w:rPr>
          <w:iCs/>
        </w:rPr>
        <w:t xml:space="preserve">State </w:t>
      </w:r>
      <w:r w:rsidR="005E2CBF">
        <w:rPr>
          <w:iCs/>
        </w:rPr>
        <w:t>and federal</w:t>
      </w:r>
      <w:r w:rsidR="00AA09F6">
        <w:rPr>
          <w:iCs/>
        </w:rPr>
        <w:t xml:space="preserve"> contractors, however, are “persons” under the TCPA</w:t>
      </w:r>
      <w:r w:rsidR="009C635D">
        <w:rPr>
          <w:iCs/>
        </w:rPr>
        <w:t xml:space="preserve"> and thus subject to TCPA restrictions.</w:t>
      </w:r>
      <w:r w:rsidR="00012927">
        <w:rPr>
          <w:iCs/>
        </w:rPr>
        <w:t xml:space="preserve">  </w:t>
      </w:r>
      <w:r w:rsidRPr="00002567" w:rsidR="00012927">
        <w:rPr>
          <w:i/>
          <w:iCs/>
        </w:rPr>
        <w:t>2020 Broadnet Order</w:t>
      </w:r>
      <w:r w:rsidRPr="00002567" w:rsidR="00012927">
        <w:rPr>
          <w:iCs/>
        </w:rPr>
        <w:t xml:space="preserve">, 35 FCC </w:t>
      </w:r>
      <w:r w:rsidRPr="00002567" w:rsidR="00012927">
        <w:rPr>
          <w:iCs/>
        </w:rPr>
        <w:t>Rcd</w:t>
      </w:r>
      <w:r w:rsidRPr="00002567" w:rsidR="00012927">
        <w:rPr>
          <w:iCs/>
        </w:rPr>
        <w:t xml:space="preserve"> at</w:t>
      </w:r>
      <w:r w:rsidR="00012927">
        <w:rPr>
          <w:iCs/>
        </w:rPr>
        <w:t xml:space="preserve"> </w:t>
      </w:r>
      <w:r w:rsidRPr="00002567" w:rsidR="00012927">
        <w:rPr>
          <w:iCs/>
        </w:rPr>
        <w:t>1505</w:t>
      </w:r>
      <w:r w:rsidR="003F3D3B">
        <w:rPr>
          <w:iCs/>
        </w:rPr>
        <w:t>9</w:t>
      </w:r>
      <w:r w:rsidRPr="00002567" w:rsidR="00012927">
        <w:rPr>
          <w:iCs/>
        </w:rPr>
        <w:t>, para. 2</w:t>
      </w:r>
      <w:r w:rsidR="00AB24B0">
        <w:rPr>
          <w:iCs/>
        </w:rPr>
        <w:t>2.</w:t>
      </w:r>
    </w:p>
  </w:footnote>
  <w:footnote w:id="52">
    <w:p w:rsidR="00653CA6" w:rsidP="00653CA6" w14:paraId="5C33DEB9" w14:textId="303861D8">
      <w:pPr>
        <w:pStyle w:val="FootnoteText"/>
      </w:pPr>
      <w:r>
        <w:rPr>
          <w:rStyle w:val="FootnoteReference"/>
        </w:rPr>
        <w:footnoteRef/>
      </w:r>
      <w:r>
        <w:t xml:space="preserve"> </w:t>
      </w:r>
      <w:r>
        <w:rPr>
          <w:i/>
        </w:rPr>
        <w:t>DISH Declaratory Ruling</w:t>
      </w:r>
      <w:r>
        <w:t xml:space="preserve">, 28 FCC </w:t>
      </w:r>
      <w:r>
        <w:t>Rcd</w:t>
      </w:r>
      <w:r>
        <w:t xml:space="preserve"> at 6583, para</w:t>
      </w:r>
      <w:r w:rsidR="006F022D">
        <w:t>s</w:t>
      </w:r>
      <w:r>
        <w:t>. 26</w:t>
      </w:r>
      <w:r w:rsidR="006F022D">
        <w:t>-27</w:t>
      </w:r>
      <w:r>
        <w:t>.</w:t>
      </w:r>
      <w:r>
        <w:rPr>
          <w:i/>
        </w:rPr>
        <w:t xml:space="preserve">  </w:t>
      </w:r>
      <w:r>
        <w:t>The m</w:t>
      </w:r>
      <w:r w:rsidRPr="00BF79F5">
        <w:t xml:space="preserve">ulti-factor analysis </w:t>
      </w:r>
      <w:r>
        <w:t xml:space="preserve">for </w:t>
      </w:r>
      <w:r w:rsidRPr="00BF79F5">
        <w:t>determin</w:t>
      </w:r>
      <w:r>
        <w:t>ing</w:t>
      </w:r>
      <w:r w:rsidRPr="00BF79F5">
        <w:t xml:space="preserve"> liability of third parties under the TCPA </w:t>
      </w:r>
      <w:r>
        <w:t xml:space="preserve">is </w:t>
      </w:r>
      <w:r w:rsidRPr="00BF79F5">
        <w:t xml:space="preserve">set forth in </w:t>
      </w:r>
      <w:r>
        <w:t xml:space="preserve">the </w:t>
      </w:r>
      <w:r w:rsidRPr="0066657A">
        <w:rPr>
          <w:i/>
        </w:rPr>
        <w:t>DISH Declaratory Ruling</w:t>
      </w:r>
      <w:r w:rsidRPr="00BF79F5">
        <w:t xml:space="preserve">, </w:t>
      </w:r>
      <w:r>
        <w:t xml:space="preserve">the </w:t>
      </w:r>
      <w:r w:rsidRPr="0066657A">
        <w:rPr>
          <w:i/>
        </w:rPr>
        <w:t>2015 TCPA Order</w:t>
      </w:r>
      <w:r w:rsidRPr="00BF79F5">
        <w:t xml:space="preserve">, and </w:t>
      </w:r>
      <w:r>
        <w:t xml:space="preserve">the </w:t>
      </w:r>
      <w:r w:rsidRPr="0066657A">
        <w:rPr>
          <w:i/>
        </w:rPr>
        <w:t>Dialing Services Forfeiture Order</w:t>
      </w:r>
      <w:r>
        <w:rPr>
          <w:i/>
        </w:rPr>
        <w:t>.  See DISH Declaratory Ruling</w:t>
      </w:r>
      <w:r w:rsidRPr="000B2243">
        <w:t>,</w:t>
      </w:r>
      <w:r>
        <w:rPr>
          <w:i/>
        </w:rPr>
        <w:t xml:space="preserve"> </w:t>
      </w:r>
      <w:r>
        <w:t xml:space="preserve">28 FCC </w:t>
      </w:r>
      <w:r>
        <w:t>Rcd</w:t>
      </w:r>
      <w:r>
        <w:t xml:space="preserve"> at 6583-84, paras. 26-27; </w:t>
      </w:r>
      <w:r w:rsidRPr="0082518D">
        <w:rPr>
          <w:i/>
        </w:rPr>
        <w:t xml:space="preserve">2015 TCPA </w:t>
      </w:r>
      <w:r w:rsidRPr="0082518D">
        <w:rPr>
          <w:i/>
          <w:snapToGrid w:val="0"/>
          <w:kern w:val="28"/>
        </w:rPr>
        <w:t>Order</w:t>
      </w:r>
      <w:r>
        <w:t xml:space="preserve">, 30 FCC </w:t>
      </w:r>
      <w:r>
        <w:t>Rcd</w:t>
      </w:r>
      <w:r>
        <w:t xml:space="preserve"> at 7980-84, paras. 30-37; </w:t>
      </w:r>
      <w:r w:rsidRPr="008C6465">
        <w:rPr>
          <w:i/>
        </w:rPr>
        <w:t>Dialing Services, LLC</w:t>
      </w:r>
      <w:r w:rsidRPr="008C6465">
        <w:t xml:space="preserve">, Forfeiture Order, 32 FCC </w:t>
      </w:r>
      <w:r w:rsidRPr="008C6465">
        <w:t>Rcd</w:t>
      </w:r>
      <w:r w:rsidRPr="008C6465">
        <w:t xml:space="preserve"> 6192</w:t>
      </w:r>
      <w:r>
        <w:t>, 6195-99, paras. 9-18</w:t>
      </w:r>
      <w:r w:rsidRPr="008C6465">
        <w:t xml:space="preserve"> (2017)</w:t>
      </w:r>
      <w:r>
        <w:t>.</w:t>
      </w:r>
    </w:p>
  </w:footnote>
  <w:footnote w:id="53">
    <w:p w:rsidR="0068504A" w:rsidRPr="0068504A" w14:paraId="126E8408" w14:textId="66F63B18">
      <w:pPr>
        <w:pStyle w:val="FootnoteText"/>
      </w:pPr>
      <w:r>
        <w:rPr>
          <w:rStyle w:val="FootnoteReference"/>
        </w:rPr>
        <w:footnoteRef/>
      </w:r>
      <w:r>
        <w:t xml:space="preserve"> </w:t>
      </w:r>
      <w:r w:rsidR="00120052">
        <w:rPr>
          <w:i/>
          <w:iCs/>
        </w:rPr>
        <w:t>2020 Broadnet Order</w:t>
      </w:r>
      <w:r w:rsidR="0092147F">
        <w:t xml:space="preserve">, 35 FCC </w:t>
      </w:r>
      <w:r w:rsidR="0092147F">
        <w:t>Rcd</w:t>
      </w:r>
      <w:r>
        <w:rPr>
          <w:i/>
          <w:iCs/>
        </w:rPr>
        <w:t>.</w:t>
      </w:r>
      <w:r>
        <w:t xml:space="preserve"> at 15059, paras. 18-21</w:t>
      </w:r>
      <w:r w:rsidR="004F32FF">
        <w:t xml:space="preserve"> (these additional factors include </w:t>
      </w:r>
      <w:r w:rsidRPr="00391F69" w:rsidR="00391F69">
        <w:t>the extent to which a person willfully enables fraudulent spoofing, and whether a calling platform knowingly allows clients to use the platform for unlawful purposes</w:t>
      </w:r>
      <w:r w:rsidR="00391F69">
        <w:t>).</w:t>
      </w:r>
    </w:p>
  </w:footnote>
  <w:footnote w:id="54">
    <w:p w:rsidR="00655FD9" w:rsidRPr="00B37773" w:rsidP="00655FD9" w14:paraId="7ACB153A" w14:textId="01D78B9F">
      <w:pPr>
        <w:pStyle w:val="FootnoteText"/>
      </w:pPr>
      <w:r>
        <w:rPr>
          <w:rStyle w:val="FootnoteReference"/>
        </w:rPr>
        <w:footnoteRef/>
      </w:r>
      <w:r>
        <w:t xml:space="preserve"> </w:t>
      </w:r>
      <w:r>
        <w:rPr>
          <w:i/>
          <w:iCs/>
        </w:rPr>
        <w:t>Id</w:t>
      </w:r>
      <w:r>
        <w:t>.</w:t>
      </w:r>
      <w:r w:rsidRPr="005A6E33" w:rsidR="005A6E33">
        <w:rPr>
          <w:i/>
          <w:iCs/>
        </w:rPr>
        <w:t xml:space="preserve"> </w:t>
      </w:r>
    </w:p>
  </w:footnote>
  <w:footnote w:id="55">
    <w:p w:rsidR="00655FD9" w:rsidRPr="00325F9A" w:rsidP="00655FD9" w14:paraId="5BFA3918" w14:textId="77777777">
      <w:pPr>
        <w:pStyle w:val="FootnoteText"/>
      </w:pPr>
      <w:r>
        <w:rPr>
          <w:rStyle w:val="FootnoteReference"/>
        </w:rPr>
        <w:footnoteRef/>
      </w:r>
      <w:r>
        <w:t xml:space="preserve"> </w:t>
      </w:r>
      <w:r>
        <w:rPr>
          <w:i/>
          <w:iCs/>
        </w:rPr>
        <w:t>See, e.g.</w:t>
      </w:r>
      <w:r>
        <w:t>, Letter from Daniel Tsai, Deputy Administrator and Director, Department of Health and Human Services to Marlene H. Dortch, Secretary, FCC at 2 (July 13, 2022) (filed in CG Docket No. 02-278) (noting that every state governmental health care program is unique) (</w:t>
      </w:r>
      <w:r w:rsidRPr="00D92B02">
        <w:rPr>
          <w:i/>
          <w:iCs/>
        </w:rPr>
        <w:t xml:space="preserve">HHS July 13 ex </w:t>
      </w:r>
      <w:r w:rsidRPr="00D92B02">
        <w:rPr>
          <w:i/>
          <w:iCs/>
        </w:rPr>
        <w:t>parte</w:t>
      </w:r>
      <w:r>
        <w:t>).</w:t>
      </w:r>
    </w:p>
  </w:footnote>
  <w:footnote w:id="56">
    <w:p w:rsidR="00655FD9" w:rsidRPr="0078672B" w:rsidP="00655FD9" w14:paraId="296D44A2" w14:textId="2EF750E7">
      <w:pPr>
        <w:pStyle w:val="FootnoteText"/>
      </w:pPr>
      <w:r>
        <w:rPr>
          <w:rStyle w:val="FootnoteReference"/>
        </w:rPr>
        <w:footnoteRef/>
      </w:r>
      <w:r>
        <w:t xml:space="preserve"> </w:t>
      </w:r>
      <w:r>
        <w:rPr>
          <w:i/>
          <w:iCs/>
        </w:rPr>
        <w:t>See, e.g.</w:t>
      </w:r>
      <w:r>
        <w:t xml:space="preserve">, </w:t>
      </w:r>
      <w:r w:rsidRPr="006F54DC">
        <w:rPr>
          <w:i/>
          <w:iCs/>
        </w:rPr>
        <w:t>2020 Broadnet Order</w:t>
      </w:r>
      <w:r w:rsidRPr="006F54DC">
        <w:t xml:space="preserve">, 35 FCC </w:t>
      </w:r>
      <w:r w:rsidRPr="006F54DC">
        <w:t>Rcd</w:t>
      </w:r>
      <w:r w:rsidRPr="006F54DC">
        <w:t xml:space="preserve"> at 15059, paras. 18-2</w:t>
      </w:r>
      <w:r>
        <w:t>1</w:t>
      </w:r>
      <w:r w:rsidR="00E55E1D">
        <w:t xml:space="preserve">; </w:t>
      </w:r>
      <w:r w:rsidR="00E55E1D">
        <w:rPr>
          <w:i/>
          <w:iCs/>
        </w:rPr>
        <w:t>2015 TCPA Order</w:t>
      </w:r>
      <w:r w:rsidR="00E55E1D">
        <w:t xml:space="preserve">, 30 FCC </w:t>
      </w:r>
      <w:r w:rsidR="00E55E1D">
        <w:t>Rcd</w:t>
      </w:r>
      <w:r w:rsidR="00E55E1D">
        <w:t xml:space="preserve"> at 7978-84, paras. 25-37</w:t>
      </w:r>
      <w:r w:rsidR="00AB1900">
        <w:t>.</w:t>
      </w:r>
    </w:p>
  </w:footnote>
  <w:footnote w:id="57">
    <w:p w:rsidR="00087A40" w14:paraId="6E61FF8D" w14:textId="0B45A8E9">
      <w:pPr>
        <w:pStyle w:val="FootnoteText"/>
      </w:pPr>
      <w:r>
        <w:rPr>
          <w:rStyle w:val="FootnoteReference"/>
        </w:rPr>
        <w:footnoteRef/>
      </w:r>
      <w:r>
        <w:t xml:space="preserve"> </w:t>
      </w:r>
      <w:r w:rsidR="00AB1900">
        <w:rPr>
          <w:i/>
          <w:iCs/>
        </w:rPr>
        <w:t>2020 Broadnet Order</w:t>
      </w:r>
      <w:r w:rsidR="00AB1900">
        <w:t xml:space="preserve">, 35 FCC </w:t>
      </w:r>
      <w:r w:rsidR="00AB1900">
        <w:t>Rcd</w:t>
      </w:r>
      <w:r w:rsidRPr="00087A40">
        <w:t xml:space="preserve"> at 15057, 15062, paras. 15, 28.</w:t>
      </w:r>
    </w:p>
  </w:footnote>
  <w:footnote w:id="58">
    <w:p w:rsidR="00226BA0" w14:paraId="5A20CEBB" w14:textId="2D9012FF">
      <w:pPr>
        <w:pStyle w:val="FootnoteText"/>
      </w:pPr>
      <w:r>
        <w:rPr>
          <w:rStyle w:val="FootnoteReference"/>
        </w:rPr>
        <w:footnoteRef/>
      </w:r>
      <w:r>
        <w:t xml:space="preserve"> </w:t>
      </w:r>
      <w:r w:rsidR="0032420C">
        <w:t>T</w:t>
      </w:r>
      <w:r w:rsidR="00B158A0">
        <w:t>he TCPA does not define “residential telephone line</w:t>
      </w:r>
      <w:r w:rsidR="0032420C">
        <w:t>.</w:t>
      </w:r>
      <w:r w:rsidR="00B158A0">
        <w:t xml:space="preserve">” </w:t>
      </w:r>
      <w:r w:rsidR="0032420C">
        <w:t>W</w:t>
      </w:r>
      <w:r w:rsidR="00B158A0">
        <w:t>e</w:t>
      </w:r>
      <w:r w:rsidR="006D7792">
        <w:t xml:space="preserve"> note that</w:t>
      </w:r>
      <w:r w:rsidR="00DD036D">
        <w:t xml:space="preserve"> </w:t>
      </w:r>
      <w:r w:rsidR="0032420C">
        <w:t xml:space="preserve">a </w:t>
      </w:r>
      <w:r w:rsidR="00CC01E8">
        <w:t xml:space="preserve">number assigned to a </w:t>
      </w:r>
      <w:r w:rsidR="00A96904">
        <w:t xml:space="preserve">wireless </w:t>
      </w:r>
      <w:r w:rsidR="00CC01E8">
        <w:t>service is not a “residential telephone line</w:t>
      </w:r>
      <w:r w:rsidR="00DD036D">
        <w:t xml:space="preserve">” under section 64.1200 of our rules. </w:t>
      </w:r>
      <w:r w:rsidR="00DD036D">
        <w:rPr>
          <w:i/>
          <w:iCs/>
        </w:rPr>
        <w:t>Compare</w:t>
      </w:r>
      <w:r w:rsidR="00DD036D">
        <w:t xml:space="preserve"> 47 CFR § 64.1200(a)(1)</w:t>
      </w:r>
      <w:r w:rsidR="00CC3622">
        <w:t>-(2)</w:t>
      </w:r>
      <w:r w:rsidR="00DD036D">
        <w:t xml:space="preserve"> </w:t>
      </w:r>
      <w:r w:rsidR="00DD036D">
        <w:rPr>
          <w:i/>
          <w:iCs/>
        </w:rPr>
        <w:t>with</w:t>
      </w:r>
      <w:r w:rsidR="00CC3622">
        <w:t xml:space="preserve"> 47 CFR § 64.1200(a)(3).</w:t>
      </w:r>
    </w:p>
  </w:footnote>
  <w:footnote w:id="59">
    <w:p w:rsidR="00635F09" w:rsidRPr="003713C3" w:rsidP="00635F09" w14:paraId="6551A49F" w14:textId="01D4A4BB">
      <w:pPr>
        <w:pStyle w:val="FootnoteText"/>
      </w:pPr>
      <w:r>
        <w:rPr>
          <w:rStyle w:val="FootnoteReference"/>
        </w:rPr>
        <w:footnoteRef/>
      </w:r>
      <w:r>
        <w:t xml:space="preserve"> </w:t>
      </w:r>
      <w:r>
        <w:rPr>
          <w:i/>
          <w:iCs/>
        </w:rPr>
        <w:t xml:space="preserve">See </w:t>
      </w:r>
      <w:r>
        <w:t xml:space="preserve">47 CFR </w:t>
      </w:r>
      <w:r w:rsidRPr="00A44A8A">
        <w:t>§</w:t>
      </w:r>
      <w:r>
        <w:t xml:space="preserve"> 64.1200(a)(3)(ii)-(iii).  We note that the Commission recently amended its rules to limit</w:t>
      </w:r>
      <w:r w:rsidRPr="003713C3">
        <w:t xml:space="preserve"> the number of exempted calls that can be made to a residential line to three artificial or prerecorded voice calls within any consecutive </w:t>
      </w:r>
      <w:r>
        <w:t>30</w:t>
      </w:r>
      <w:r w:rsidRPr="003713C3">
        <w:t>-day period for th</w:t>
      </w:r>
      <w:r>
        <w:t>ree</w:t>
      </w:r>
      <w:r w:rsidRPr="003713C3">
        <w:t xml:space="preserve"> </w:t>
      </w:r>
      <w:r>
        <w:t xml:space="preserve">categories of </w:t>
      </w:r>
      <w:r w:rsidRPr="003713C3">
        <w:t>exemptions</w:t>
      </w:r>
      <w:r>
        <w:t xml:space="preserve">.  This amendment has not, however, gone into effect.  </w:t>
      </w:r>
      <w:r>
        <w:rPr>
          <w:i/>
          <w:iCs/>
        </w:rPr>
        <w:t xml:space="preserve">See </w:t>
      </w:r>
      <w:r w:rsidRPr="003713C3">
        <w:rPr>
          <w:i/>
          <w:iCs/>
        </w:rPr>
        <w:t>Rules and Regulations Implementing the Telephone Consumer Protection Act of 1991</w:t>
      </w:r>
      <w:r w:rsidRPr="003713C3">
        <w:t xml:space="preserve">, CG Docket No. 02-278, Report and Order, 35 FCC </w:t>
      </w:r>
      <w:r w:rsidRPr="003713C3">
        <w:t>Rcd</w:t>
      </w:r>
      <w:r w:rsidRPr="003713C3">
        <w:t xml:space="preserve"> 15188</w:t>
      </w:r>
      <w:r w:rsidRPr="003713C3">
        <w:rPr>
          <w:snapToGrid w:val="0"/>
          <w:kern w:val="28"/>
          <w:sz w:val="22"/>
        </w:rPr>
        <w:t xml:space="preserve"> </w:t>
      </w:r>
      <w:r w:rsidRPr="003713C3">
        <w:t>at 15194, 15197, 15198, paras. 15, 28, 33</w:t>
      </w:r>
      <w:r>
        <w:t xml:space="preserve"> (2020).</w:t>
      </w:r>
    </w:p>
  </w:footnote>
  <w:footnote w:id="60">
    <w:p w:rsidR="00635F09" w:rsidRPr="00601DA6" w:rsidP="00635F09" w14:paraId="0825432E" w14:textId="1569A189">
      <w:pPr>
        <w:pStyle w:val="FootnoteText"/>
      </w:pPr>
      <w:r>
        <w:rPr>
          <w:rStyle w:val="FootnoteReference"/>
        </w:rPr>
        <w:footnoteRef/>
      </w:r>
      <w:r>
        <w:t xml:space="preserve"> </w:t>
      </w:r>
      <w:r>
        <w:rPr>
          <w:i/>
          <w:iCs/>
        </w:rPr>
        <w:t xml:space="preserve">See </w:t>
      </w:r>
      <w:r>
        <w:t xml:space="preserve">47 CFR </w:t>
      </w:r>
      <w:r w:rsidRPr="00A44A8A">
        <w:t>§</w:t>
      </w:r>
      <w:r>
        <w:t xml:space="preserve"> 64.1200(a)(3)(iii).  The term “advertisement” is defined to mean “</w:t>
      </w:r>
      <w:r w:rsidRPr="00A44A8A">
        <w:t>any material advertising the commercial availability or quality of any property, goods, or services.</w:t>
      </w:r>
      <w:r>
        <w:t xml:space="preserve">”  </w:t>
      </w:r>
      <w:r w:rsidRPr="00A44A8A">
        <w:t>47 CFR § 64.1200</w:t>
      </w:r>
      <w:r>
        <w:t>(f)(1).  The term “telemarketing” is defined as “</w:t>
      </w:r>
      <w:r w:rsidRPr="00A44A8A">
        <w:t>the initiation of a telephone call or message for the purpose of encouraging the purchase or rental of, or investment in, property, goods, or services, which is transmitted to any person</w:t>
      </w:r>
      <w:r>
        <w:t xml:space="preserve">.”  47 </w:t>
      </w:r>
      <w:r w:rsidRPr="00A44A8A">
        <w:t>CFR</w:t>
      </w:r>
      <w:r w:rsidR="00510DC2">
        <w:t> </w:t>
      </w:r>
      <w:r w:rsidRPr="00A44A8A">
        <w:t>§</w:t>
      </w:r>
      <w:r>
        <w:t> </w:t>
      </w:r>
      <w:r w:rsidRPr="00A44A8A">
        <w:t>64.1200(f)(</w:t>
      </w:r>
      <w:r>
        <w:t xml:space="preserve">13).  HHS indicates that Medicaid and CHIP managed care entities may not include marketing or marketplace activities as defined by Medicaid-related managed care regulations in their automated calls and text messages or prerecorded voice calls.  </w:t>
      </w:r>
      <w:r>
        <w:rPr>
          <w:i/>
          <w:iCs/>
        </w:rPr>
        <w:t xml:space="preserve">See </w:t>
      </w:r>
      <w:r>
        <w:t xml:space="preserve">HHS Letter at 7 (citing 42 CFR </w:t>
      </w:r>
      <w:r w:rsidRPr="00E209C3">
        <w:t xml:space="preserve">§ </w:t>
      </w:r>
      <w:r>
        <w:t>438.104).</w:t>
      </w:r>
    </w:p>
  </w:footnote>
  <w:footnote w:id="61">
    <w:p w:rsidR="00635F09" w:rsidRPr="00192A6C" w:rsidP="00635F09" w14:paraId="188EDFE7" w14:textId="77777777">
      <w:pPr>
        <w:pStyle w:val="FootnoteText"/>
      </w:pPr>
      <w:r>
        <w:rPr>
          <w:rStyle w:val="FootnoteReference"/>
        </w:rPr>
        <w:footnoteRef/>
      </w:r>
      <w:r>
        <w:t xml:space="preserve"> </w:t>
      </w:r>
      <w:r>
        <w:rPr>
          <w:i/>
          <w:iCs/>
        </w:rPr>
        <w:t xml:space="preserve">See </w:t>
      </w:r>
      <w:r>
        <w:t xml:space="preserve">47 </w:t>
      </w:r>
      <w:r w:rsidRPr="003C0B4A">
        <w:t>CFR § 64.1200(</w:t>
      </w:r>
      <w:r>
        <w:t>b).  All artificial or prerecorded message calls must, “[a]t the beginning of the message, state clearly the identity of the business, individual, or other entity that is responsible for initiating the call.”  In addition, “[d]</w:t>
      </w:r>
      <w:r>
        <w:t>uring</w:t>
      </w:r>
      <w:r>
        <w:t xml:space="preserve"> or after the message,” such a call must “state clearly the telephone number (other than that of the </w:t>
      </w:r>
      <w:r>
        <w:t>autodialer</w:t>
      </w:r>
      <w:r>
        <w:t xml:space="preserve"> or prerecorded message player that placed the call) of such business, other entity, or individual.”  </w:t>
      </w:r>
      <w:r>
        <w:rPr>
          <w:i/>
          <w:iCs/>
        </w:rPr>
        <w:t>Id.</w:t>
      </w:r>
      <w:r>
        <w:t xml:space="preserve"> </w:t>
      </w:r>
      <w:r w:rsidRPr="00192A6C">
        <w:t>§</w:t>
      </w:r>
      <w:r>
        <w:t> </w:t>
      </w:r>
      <w:r w:rsidRPr="00192A6C">
        <w:t>64.1200(b)</w:t>
      </w:r>
      <w:r>
        <w:t>(1), (2).  There are additional requirements for artificial or prerecorded voice calls that include telemarketing but those requirements are not applicable in this context.</w:t>
      </w:r>
    </w:p>
  </w:footnote>
  <w:footnote w:id="62">
    <w:p w:rsidR="00F01178" w:rsidRPr="00715F25" w14:paraId="45BBBD14" w14:textId="7F2564BD">
      <w:pPr>
        <w:pStyle w:val="FootnoteText"/>
      </w:pPr>
      <w:r>
        <w:rPr>
          <w:rStyle w:val="FootnoteReference"/>
        </w:rPr>
        <w:footnoteRef/>
      </w:r>
      <w:r>
        <w:t xml:space="preserve"> We caution, however, that a text message sent using a peer-to-peer platform requires consumer consent unless it “is not capable of dialing such numbers without a person actively and affirmatively manually dialing each one.”</w:t>
      </w:r>
      <w:r w:rsidR="00DF3743">
        <w:t xml:space="preserve">  </w:t>
      </w:r>
      <w:r w:rsidR="00DF3743">
        <w:rPr>
          <w:i/>
          <w:iCs/>
        </w:rPr>
        <w:t>See, e.g.</w:t>
      </w:r>
      <w:r w:rsidR="00DF3743">
        <w:t xml:space="preserve">, </w:t>
      </w:r>
      <w:r w:rsidR="00715F25">
        <w:rPr>
          <w:i/>
          <w:iCs/>
        </w:rPr>
        <w:t>Rules and Regulations Implementing the Telephone Consumer Protection Act of 1991, P2P Alliance Petition for Clarification</w:t>
      </w:r>
      <w:r w:rsidR="00715F25">
        <w:t xml:space="preserve">, CG Docket No. 02-278, </w:t>
      </w:r>
      <w:r w:rsidR="000A5AD6">
        <w:t xml:space="preserve">Declaratory Ruling, </w:t>
      </w:r>
      <w:r w:rsidR="00715F25">
        <w:t xml:space="preserve">35 FCC </w:t>
      </w:r>
      <w:r w:rsidR="00715F25">
        <w:t>Rcd</w:t>
      </w:r>
      <w:r w:rsidR="00715F25">
        <w:t xml:space="preserve"> 6526 at 6528, para. 8 (2020).</w:t>
      </w:r>
    </w:p>
  </w:footnote>
  <w:footnote w:id="63">
    <w:p w:rsidR="00B035AE" w14:paraId="52480A56" w14:textId="560FC6F7">
      <w:pPr>
        <w:pStyle w:val="FootnoteText"/>
      </w:pPr>
      <w:r>
        <w:rPr>
          <w:rStyle w:val="FootnoteReference"/>
        </w:rPr>
        <w:footnoteRef/>
      </w:r>
      <w:r>
        <w:t xml:space="preserve"> </w:t>
      </w:r>
      <w:r w:rsidR="006D580C">
        <w:t>We decline to address whether</w:t>
      </w:r>
      <w:r w:rsidR="00E2328A">
        <w:t xml:space="preserve"> HHS and its partners must comply with</w:t>
      </w:r>
      <w:r w:rsidR="00192696">
        <w:t xml:space="preserve"> any legal requirements outside of the TCPA</w:t>
      </w:r>
      <w:r w:rsidR="00AE74B3">
        <w:t xml:space="preserve"> if </w:t>
      </w:r>
      <w:r w:rsidR="000675CA">
        <w:t xml:space="preserve">they </w:t>
      </w:r>
      <w:r w:rsidR="00AE74B3">
        <w:t xml:space="preserve">opt to send notices via e-mail or direct mail. </w:t>
      </w:r>
      <w:r w:rsidR="006D580C">
        <w:t xml:space="preserve"> </w:t>
      </w:r>
    </w:p>
  </w:footnote>
  <w:footnote w:id="64">
    <w:p w:rsidR="00E54088" w:rsidRPr="003159DF" w:rsidP="00E54088" w14:paraId="62335AA3" w14:textId="4D56EEA7">
      <w:pPr>
        <w:pStyle w:val="FootnoteText"/>
      </w:pPr>
      <w:r>
        <w:rPr>
          <w:rStyle w:val="FootnoteReference"/>
        </w:rPr>
        <w:footnoteRef/>
      </w:r>
      <w:r>
        <w:t xml:space="preserve"> </w:t>
      </w:r>
      <w:r>
        <w:rPr>
          <w:i/>
          <w:iCs/>
        </w:rPr>
        <w:t xml:space="preserve">See </w:t>
      </w:r>
      <w:r>
        <w:t>NCLC et al. Reply Comments at 4-8.</w:t>
      </w:r>
      <w:r w:rsidR="003159DF">
        <w:t xml:space="preserve"> </w:t>
      </w:r>
      <w:r w:rsidR="003159DF">
        <w:rPr>
          <w:i/>
          <w:iCs/>
        </w:rPr>
        <w:t>See also</w:t>
      </w:r>
      <w:r w:rsidR="003159DF">
        <w:t xml:space="preserve"> 47 </w:t>
      </w:r>
      <w:r w:rsidR="006D1362">
        <w:t>U.S.C. § 227(b)(2)(C) (</w:t>
      </w:r>
      <w:r w:rsidR="00001AC7">
        <w:t>permitting the Commission to exempt, by rule or order, “calls to a telephone number</w:t>
      </w:r>
      <w:r w:rsidR="000367EB">
        <w:t xml:space="preserve"> assigned to a cellular telephone service</w:t>
      </w:r>
      <w:r w:rsidR="00DD4213">
        <w:t xml:space="preserve"> that are not charged to the called party,”</w:t>
      </w:r>
      <w:r w:rsidR="002E5580">
        <w:t xml:space="preserve"> subject to any conditions set by the Commission).</w:t>
      </w:r>
      <w:r w:rsidR="00E8298B">
        <w:t xml:space="preserve"> </w:t>
      </w:r>
    </w:p>
  </w:footnote>
  <w:footnote w:id="65">
    <w:p w:rsidR="00E54088" w:rsidP="00E54088" w14:paraId="67290EDB" w14:textId="77777777">
      <w:pPr>
        <w:pStyle w:val="FootnoteText"/>
      </w:pPr>
      <w:r>
        <w:rPr>
          <w:rStyle w:val="FootnoteReference"/>
        </w:rPr>
        <w:footnoteRef/>
      </w:r>
      <w:r>
        <w:t xml:space="preserve"> </w:t>
      </w:r>
      <w:r>
        <w:rPr>
          <w:i/>
          <w:iCs/>
        </w:rPr>
        <w:t>See, e.g.</w:t>
      </w:r>
      <w:r>
        <w:t xml:space="preserve">, CMMS/HHS Reply Comments at 2; </w:t>
      </w:r>
      <w:r>
        <w:rPr>
          <w:i/>
          <w:iCs/>
        </w:rPr>
        <w:t xml:space="preserve">HHS July 13 ex </w:t>
      </w:r>
      <w:r>
        <w:rPr>
          <w:i/>
          <w:iCs/>
        </w:rPr>
        <w:t>parte</w:t>
      </w:r>
      <w:r>
        <w:t xml:space="preserve"> at 2 (noting the resource challenges involved in compliance with additional safeguards including potential cost restrictions).</w:t>
      </w:r>
    </w:p>
  </w:footnote>
  <w:footnote w:id="66">
    <w:p w:rsidR="002B1BD1" w14:paraId="32B9A919" w14:textId="5A5C4AF6">
      <w:pPr>
        <w:pStyle w:val="FootnoteText"/>
      </w:pPr>
      <w:r>
        <w:rPr>
          <w:rStyle w:val="FootnoteReference"/>
        </w:rPr>
        <w:footnoteRef/>
      </w:r>
      <w:r w:rsidR="006B2F78">
        <w:t xml:space="preserve"> </w:t>
      </w:r>
      <w:r w:rsidRPr="006B2F78" w:rsidR="006B2F78">
        <w:t>Section 227(b)(2)(C) authorizes the Commission to adopt, by rule or order, exemptions from the prohibition on calls to “a</w:t>
      </w:r>
      <w:r w:rsidRPr="006B2F78" w:rsidR="006B2F78">
        <w:rPr>
          <w:snapToGrid w:val="0"/>
          <w:kern w:val="28"/>
          <w:sz w:val="22"/>
        </w:rPr>
        <w:t xml:space="preserve"> </w:t>
      </w:r>
      <w:r w:rsidRPr="006B2F78" w:rsidR="006B2F78">
        <w:t>telephone number assigned to a cellular telephone service that are not charged to the called party, subject to such conditions as the Commission may prescribe as necessary in the interests of the privacy rights this section is intended to protect.</w:t>
      </w:r>
      <w:r w:rsidR="004A1DBC">
        <w:t xml:space="preserve">”  47 U.S.C. </w:t>
      </w:r>
      <w:r w:rsidRPr="004A1DBC" w:rsidR="004A1DBC">
        <w:t>§ 227(b)(2)(C).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E0F78B" w14:textId="16B791DC">
    <w:pPr>
      <w:pStyle w:val="Header"/>
      <w:rPr>
        <w:b w:val="0"/>
      </w:rPr>
    </w:pPr>
    <w:r>
      <w:tab/>
      <w:t>Federal Communications Commission</w:t>
    </w:r>
    <w:r>
      <w:tab/>
    </w:r>
    <w:r w:rsidR="00C671BD">
      <w:t>DA 2</w:t>
    </w:r>
    <w:r w:rsidR="00DF3743">
      <w:t>3</w:t>
    </w:r>
    <w:r w:rsidR="00C671BD">
      <w:t>-</w:t>
    </w:r>
    <w:r w:rsidR="001839ED">
      <w:t>62</w:t>
    </w:r>
  </w:p>
  <w:p w:rsidR="00D25FB5" w14:paraId="2A8563DE" w14:textId="068BBDF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p w:rsidR="00D25FB5" w14:paraId="5A55035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B5284F7" w14:textId="3F11D0A7">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tab/>
      <w:t>Federal Communications Commission</w:t>
    </w:r>
    <w:r>
      <w:tab/>
    </w:r>
    <w:r w:rsidR="00120B44">
      <w:t>DA 2</w:t>
    </w:r>
    <w:r w:rsidR="00DF3743">
      <w:t>3</w:t>
    </w:r>
    <w:r w:rsidR="00120B44">
      <w:t>-</w:t>
    </w:r>
    <w:r w:rsidR="001839ED">
      <w:t>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DA22C5"/>
    <w:multiLevelType w:val="hybridMultilevel"/>
    <w:tmpl w:val="9B6A9F8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88"/>
    <w:rsid w:val="0000100C"/>
    <w:rsid w:val="00001AC7"/>
    <w:rsid w:val="00002567"/>
    <w:rsid w:val="00002AB5"/>
    <w:rsid w:val="00004024"/>
    <w:rsid w:val="0000615F"/>
    <w:rsid w:val="00011945"/>
    <w:rsid w:val="00012927"/>
    <w:rsid w:val="00026392"/>
    <w:rsid w:val="000333C4"/>
    <w:rsid w:val="0003590D"/>
    <w:rsid w:val="00036039"/>
    <w:rsid w:val="000367EB"/>
    <w:rsid w:val="00037D45"/>
    <w:rsid w:val="00037F90"/>
    <w:rsid w:val="000404AA"/>
    <w:rsid w:val="000464E4"/>
    <w:rsid w:val="000503F0"/>
    <w:rsid w:val="0005233B"/>
    <w:rsid w:val="0005267E"/>
    <w:rsid w:val="0005374C"/>
    <w:rsid w:val="00054D4C"/>
    <w:rsid w:val="00055BA0"/>
    <w:rsid w:val="00055E3F"/>
    <w:rsid w:val="00061BC0"/>
    <w:rsid w:val="000642ED"/>
    <w:rsid w:val="00066A7C"/>
    <w:rsid w:val="000675CA"/>
    <w:rsid w:val="0007285E"/>
    <w:rsid w:val="00075B92"/>
    <w:rsid w:val="00075BAC"/>
    <w:rsid w:val="00080628"/>
    <w:rsid w:val="00080F7D"/>
    <w:rsid w:val="0008497E"/>
    <w:rsid w:val="00085358"/>
    <w:rsid w:val="00085B17"/>
    <w:rsid w:val="000875BF"/>
    <w:rsid w:val="00087A40"/>
    <w:rsid w:val="000919AA"/>
    <w:rsid w:val="00092CAC"/>
    <w:rsid w:val="00096D8C"/>
    <w:rsid w:val="000A0F46"/>
    <w:rsid w:val="000A1582"/>
    <w:rsid w:val="000A4428"/>
    <w:rsid w:val="000A4E1F"/>
    <w:rsid w:val="000A5AD6"/>
    <w:rsid w:val="000B097A"/>
    <w:rsid w:val="000B2243"/>
    <w:rsid w:val="000B366C"/>
    <w:rsid w:val="000B5EF4"/>
    <w:rsid w:val="000C0B65"/>
    <w:rsid w:val="000C668B"/>
    <w:rsid w:val="000D147F"/>
    <w:rsid w:val="000D165D"/>
    <w:rsid w:val="000D2168"/>
    <w:rsid w:val="000D2195"/>
    <w:rsid w:val="000D4099"/>
    <w:rsid w:val="000D49E3"/>
    <w:rsid w:val="000D4A0F"/>
    <w:rsid w:val="000D7008"/>
    <w:rsid w:val="000D7BAF"/>
    <w:rsid w:val="000E04BF"/>
    <w:rsid w:val="000E05FE"/>
    <w:rsid w:val="000E1AA5"/>
    <w:rsid w:val="000E3D42"/>
    <w:rsid w:val="000E5C72"/>
    <w:rsid w:val="001001E1"/>
    <w:rsid w:val="001035F6"/>
    <w:rsid w:val="00120052"/>
    <w:rsid w:val="001200E4"/>
    <w:rsid w:val="00120B44"/>
    <w:rsid w:val="00122BD5"/>
    <w:rsid w:val="001256F2"/>
    <w:rsid w:val="00125B8E"/>
    <w:rsid w:val="00133F79"/>
    <w:rsid w:val="00137CFC"/>
    <w:rsid w:val="00140B5A"/>
    <w:rsid w:val="0014621D"/>
    <w:rsid w:val="00151960"/>
    <w:rsid w:val="001522EB"/>
    <w:rsid w:val="001524C8"/>
    <w:rsid w:val="001526B4"/>
    <w:rsid w:val="0015305F"/>
    <w:rsid w:val="00153631"/>
    <w:rsid w:val="00161C9B"/>
    <w:rsid w:val="00165A4B"/>
    <w:rsid w:val="00167B3E"/>
    <w:rsid w:val="00174659"/>
    <w:rsid w:val="00175EC2"/>
    <w:rsid w:val="00177708"/>
    <w:rsid w:val="001807AC"/>
    <w:rsid w:val="001839ED"/>
    <w:rsid w:val="001848D9"/>
    <w:rsid w:val="00185040"/>
    <w:rsid w:val="00192696"/>
    <w:rsid w:val="00192A6C"/>
    <w:rsid w:val="00193DEC"/>
    <w:rsid w:val="00194A66"/>
    <w:rsid w:val="001961D0"/>
    <w:rsid w:val="001A04BD"/>
    <w:rsid w:val="001A05A1"/>
    <w:rsid w:val="001A520D"/>
    <w:rsid w:val="001A55B4"/>
    <w:rsid w:val="001B2ADF"/>
    <w:rsid w:val="001B5F28"/>
    <w:rsid w:val="001B7B4C"/>
    <w:rsid w:val="001C1E0A"/>
    <w:rsid w:val="001C49C3"/>
    <w:rsid w:val="001C62DA"/>
    <w:rsid w:val="001C6718"/>
    <w:rsid w:val="001C6FCE"/>
    <w:rsid w:val="001C7C0D"/>
    <w:rsid w:val="001D01AB"/>
    <w:rsid w:val="001D39A5"/>
    <w:rsid w:val="001D430B"/>
    <w:rsid w:val="001D472F"/>
    <w:rsid w:val="001D6A68"/>
    <w:rsid w:val="001D6BCF"/>
    <w:rsid w:val="001E01CA"/>
    <w:rsid w:val="001E21D1"/>
    <w:rsid w:val="001E5EE0"/>
    <w:rsid w:val="001F2961"/>
    <w:rsid w:val="001F3174"/>
    <w:rsid w:val="001F3723"/>
    <w:rsid w:val="001F464E"/>
    <w:rsid w:val="001F7B4A"/>
    <w:rsid w:val="00201354"/>
    <w:rsid w:val="00201CBD"/>
    <w:rsid w:val="0021165F"/>
    <w:rsid w:val="00212417"/>
    <w:rsid w:val="00212532"/>
    <w:rsid w:val="00212969"/>
    <w:rsid w:val="002149FF"/>
    <w:rsid w:val="00216924"/>
    <w:rsid w:val="002206D8"/>
    <w:rsid w:val="00220CCE"/>
    <w:rsid w:val="002238A7"/>
    <w:rsid w:val="00223955"/>
    <w:rsid w:val="00226BA0"/>
    <w:rsid w:val="00230255"/>
    <w:rsid w:val="002355B0"/>
    <w:rsid w:val="0023573A"/>
    <w:rsid w:val="00240699"/>
    <w:rsid w:val="002433C5"/>
    <w:rsid w:val="00243B4A"/>
    <w:rsid w:val="002447F3"/>
    <w:rsid w:val="00244C56"/>
    <w:rsid w:val="0024582C"/>
    <w:rsid w:val="00246EBC"/>
    <w:rsid w:val="002521A8"/>
    <w:rsid w:val="00252DF4"/>
    <w:rsid w:val="0026386D"/>
    <w:rsid w:val="0026478F"/>
    <w:rsid w:val="002650AA"/>
    <w:rsid w:val="00267DE8"/>
    <w:rsid w:val="00272E94"/>
    <w:rsid w:val="00275CF5"/>
    <w:rsid w:val="002762DC"/>
    <w:rsid w:val="00276440"/>
    <w:rsid w:val="00282D28"/>
    <w:rsid w:val="0028301F"/>
    <w:rsid w:val="00283BE8"/>
    <w:rsid w:val="00284211"/>
    <w:rsid w:val="00285017"/>
    <w:rsid w:val="00285912"/>
    <w:rsid w:val="00291807"/>
    <w:rsid w:val="0029211D"/>
    <w:rsid w:val="00292B66"/>
    <w:rsid w:val="00293201"/>
    <w:rsid w:val="00293A32"/>
    <w:rsid w:val="00295393"/>
    <w:rsid w:val="00295E54"/>
    <w:rsid w:val="002963DD"/>
    <w:rsid w:val="002A01AA"/>
    <w:rsid w:val="002A2D2E"/>
    <w:rsid w:val="002A59A2"/>
    <w:rsid w:val="002B1BD1"/>
    <w:rsid w:val="002B28AD"/>
    <w:rsid w:val="002B4197"/>
    <w:rsid w:val="002B5FB1"/>
    <w:rsid w:val="002B7C1A"/>
    <w:rsid w:val="002C00E8"/>
    <w:rsid w:val="002C489D"/>
    <w:rsid w:val="002C601B"/>
    <w:rsid w:val="002D0ABA"/>
    <w:rsid w:val="002D0B86"/>
    <w:rsid w:val="002D5005"/>
    <w:rsid w:val="002D5398"/>
    <w:rsid w:val="002D72AE"/>
    <w:rsid w:val="002E5580"/>
    <w:rsid w:val="002E6108"/>
    <w:rsid w:val="002E6E00"/>
    <w:rsid w:val="002E6E69"/>
    <w:rsid w:val="002E7AFB"/>
    <w:rsid w:val="002F69D7"/>
    <w:rsid w:val="002F7F5A"/>
    <w:rsid w:val="003015B8"/>
    <w:rsid w:val="00302290"/>
    <w:rsid w:val="003042C5"/>
    <w:rsid w:val="00307FC5"/>
    <w:rsid w:val="0031116D"/>
    <w:rsid w:val="0031207B"/>
    <w:rsid w:val="003136AF"/>
    <w:rsid w:val="003141B6"/>
    <w:rsid w:val="003159DF"/>
    <w:rsid w:val="003167CD"/>
    <w:rsid w:val="0032420C"/>
    <w:rsid w:val="003248F4"/>
    <w:rsid w:val="00325F9A"/>
    <w:rsid w:val="00336AEB"/>
    <w:rsid w:val="00343749"/>
    <w:rsid w:val="00344072"/>
    <w:rsid w:val="00344AD8"/>
    <w:rsid w:val="00344BA5"/>
    <w:rsid w:val="003458A2"/>
    <w:rsid w:val="00346CBC"/>
    <w:rsid w:val="003503D6"/>
    <w:rsid w:val="00354619"/>
    <w:rsid w:val="00362B22"/>
    <w:rsid w:val="0036310B"/>
    <w:rsid w:val="003641D5"/>
    <w:rsid w:val="003643E1"/>
    <w:rsid w:val="003660ED"/>
    <w:rsid w:val="00370034"/>
    <w:rsid w:val="00371268"/>
    <w:rsid w:val="003713C3"/>
    <w:rsid w:val="00383D58"/>
    <w:rsid w:val="00384CC4"/>
    <w:rsid w:val="00391786"/>
    <w:rsid w:val="00391A05"/>
    <w:rsid w:val="00391F69"/>
    <w:rsid w:val="00395ABE"/>
    <w:rsid w:val="0039709D"/>
    <w:rsid w:val="003A37E7"/>
    <w:rsid w:val="003A62B4"/>
    <w:rsid w:val="003A7B92"/>
    <w:rsid w:val="003B0550"/>
    <w:rsid w:val="003B2F92"/>
    <w:rsid w:val="003B694F"/>
    <w:rsid w:val="003B6C8F"/>
    <w:rsid w:val="003C0B4A"/>
    <w:rsid w:val="003C32D0"/>
    <w:rsid w:val="003D08CB"/>
    <w:rsid w:val="003D2156"/>
    <w:rsid w:val="003D298F"/>
    <w:rsid w:val="003D2D35"/>
    <w:rsid w:val="003D4EF2"/>
    <w:rsid w:val="003D51F7"/>
    <w:rsid w:val="003D6F82"/>
    <w:rsid w:val="003E2D21"/>
    <w:rsid w:val="003E45CB"/>
    <w:rsid w:val="003E55A7"/>
    <w:rsid w:val="003E575A"/>
    <w:rsid w:val="003E7AFC"/>
    <w:rsid w:val="003F103C"/>
    <w:rsid w:val="003F144B"/>
    <w:rsid w:val="003F145E"/>
    <w:rsid w:val="003F171C"/>
    <w:rsid w:val="003F1DCD"/>
    <w:rsid w:val="003F3D18"/>
    <w:rsid w:val="003F3D3B"/>
    <w:rsid w:val="003F4153"/>
    <w:rsid w:val="004026D5"/>
    <w:rsid w:val="0041252C"/>
    <w:rsid w:val="00412FC5"/>
    <w:rsid w:val="00413896"/>
    <w:rsid w:val="00414493"/>
    <w:rsid w:val="004156BE"/>
    <w:rsid w:val="00417CDC"/>
    <w:rsid w:val="00422276"/>
    <w:rsid w:val="004242F1"/>
    <w:rsid w:val="00430D4B"/>
    <w:rsid w:val="004339D3"/>
    <w:rsid w:val="00435394"/>
    <w:rsid w:val="00436808"/>
    <w:rsid w:val="00436AC0"/>
    <w:rsid w:val="00443228"/>
    <w:rsid w:val="004438BE"/>
    <w:rsid w:val="00445A00"/>
    <w:rsid w:val="00450716"/>
    <w:rsid w:val="00451B0F"/>
    <w:rsid w:val="00451C12"/>
    <w:rsid w:val="00461F25"/>
    <w:rsid w:val="00462B0D"/>
    <w:rsid w:val="00463056"/>
    <w:rsid w:val="00475CF8"/>
    <w:rsid w:val="00483AA6"/>
    <w:rsid w:val="00485600"/>
    <w:rsid w:val="00486BEC"/>
    <w:rsid w:val="0049008B"/>
    <w:rsid w:val="00492AEE"/>
    <w:rsid w:val="004937B5"/>
    <w:rsid w:val="00493A6B"/>
    <w:rsid w:val="00494C8E"/>
    <w:rsid w:val="00497A80"/>
    <w:rsid w:val="00497AED"/>
    <w:rsid w:val="004A035D"/>
    <w:rsid w:val="004A1DBC"/>
    <w:rsid w:val="004A36FB"/>
    <w:rsid w:val="004A4425"/>
    <w:rsid w:val="004A5678"/>
    <w:rsid w:val="004A5A06"/>
    <w:rsid w:val="004A7177"/>
    <w:rsid w:val="004A7DBD"/>
    <w:rsid w:val="004A7FAC"/>
    <w:rsid w:val="004B3BDC"/>
    <w:rsid w:val="004C0392"/>
    <w:rsid w:val="004C114C"/>
    <w:rsid w:val="004C2EE3"/>
    <w:rsid w:val="004C3FEA"/>
    <w:rsid w:val="004C50BD"/>
    <w:rsid w:val="004C5193"/>
    <w:rsid w:val="004C603F"/>
    <w:rsid w:val="004C7200"/>
    <w:rsid w:val="004D0626"/>
    <w:rsid w:val="004E4868"/>
    <w:rsid w:val="004E4A22"/>
    <w:rsid w:val="004F0CE0"/>
    <w:rsid w:val="004F2C54"/>
    <w:rsid w:val="004F31F1"/>
    <w:rsid w:val="004F32FF"/>
    <w:rsid w:val="004F4D92"/>
    <w:rsid w:val="004F5373"/>
    <w:rsid w:val="004F728F"/>
    <w:rsid w:val="00503096"/>
    <w:rsid w:val="00504D89"/>
    <w:rsid w:val="00510DC2"/>
    <w:rsid w:val="00511968"/>
    <w:rsid w:val="00513524"/>
    <w:rsid w:val="00513747"/>
    <w:rsid w:val="00515259"/>
    <w:rsid w:val="00520378"/>
    <w:rsid w:val="00520FA8"/>
    <w:rsid w:val="00521A2B"/>
    <w:rsid w:val="00523269"/>
    <w:rsid w:val="00523AB2"/>
    <w:rsid w:val="005250C0"/>
    <w:rsid w:val="00525858"/>
    <w:rsid w:val="00527CAE"/>
    <w:rsid w:val="00533DF9"/>
    <w:rsid w:val="0053463B"/>
    <w:rsid w:val="00535549"/>
    <w:rsid w:val="005359CC"/>
    <w:rsid w:val="00543160"/>
    <w:rsid w:val="00545909"/>
    <w:rsid w:val="00546351"/>
    <w:rsid w:val="00546C0B"/>
    <w:rsid w:val="00547691"/>
    <w:rsid w:val="00551592"/>
    <w:rsid w:val="005534D7"/>
    <w:rsid w:val="00553DF3"/>
    <w:rsid w:val="0055614C"/>
    <w:rsid w:val="00556601"/>
    <w:rsid w:val="005628C6"/>
    <w:rsid w:val="005630DB"/>
    <w:rsid w:val="00563B56"/>
    <w:rsid w:val="00565DA7"/>
    <w:rsid w:val="00566D06"/>
    <w:rsid w:val="005706DC"/>
    <w:rsid w:val="005710DC"/>
    <w:rsid w:val="00572915"/>
    <w:rsid w:val="00574416"/>
    <w:rsid w:val="005752C0"/>
    <w:rsid w:val="005815CC"/>
    <w:rsid w:val="005826D4"/>
    <w:rsid w:val="0058322D"/>
    <w:rsid w:val="005851DE"/>
    <w:rsid w:val="00587ED1"/>
    <w:rsid w:val="0059044B"/>
    <w:rsid w:val="00591AA1"/>
    <w:rsid w:val="005944DE"/>
    <w:rsid w:val="005968C0"/>
    <w:rsid w:val="005970B5"/>
    <w:rsid w:val="005979E5"/>
    <w:rsid w:val="005A6E33"/>
    <w:rsid w:val="005A6F36"/>
    <w:rsid w:val="005B0900"/>
    <w:rsid w:val="005B0B58"/>
    <w:rsid w:val="005B23CD"/>
    <w:rsid w:val="005B3726"/>
    <w:rsid w:val="005B49CA"/>
    <w:rsid w:val="005B651D"/>
    <w:rsid w:val="005C0BCB"/>
    <w:rsid w:val="005C5A82"/>
    <w:rsid w:val="005C5BBB"/>
    <w:rsid w:val="005D288F"/>
    <w:rsid w:val="005D3C41"/>
    <w:rsid w:val="005E082B"/>
    <w:rsid w:val="005E14C2"/>
    <w:rsid w:val="005E2CBF"/>
    <w:rsid w:val="005E4FE3"/>
    <w:rsid w:val="005E7DF9"/>
    <w:rsid w:val="005F015D"/>
    <w:rsid w:val="005F200F"/>
    <w:rsid w:val="005F3728"/>
    <w:rsid w:val="005F4133"/>
    <w:rsid w:val="005F72BB"/>
    <w:rsid w:val="00601DA6"/>
    <w:rsid w:val="006034F7"/>
    <w:rsid w:val="0060734C"/>
    <w:rsid w:val="006075CE"/>
    <w:rsid w:val="00607635"/>
    <w:rsid w:val="00607BA5"/>
    <w:rsid w:val="006107E9"/>
    <w:rsid w:val="0061180A"/>
    <w:rsid w:val="00614C83"/>
    <w:rsid w:val="00614EC3"/>
    <w:rsid w:val="006159AE"/>
    <w:rsid w:val="00615BB8"/>
    <w:rsid w:val="00616937"/>
    <w:rsid w:val="00617267"/>
    <w:rsid w:val="006178F1"/>
    <w:rsid w:val="00622E2A"/>
    <w:rsid w:val="00623432"/>
    <w:rsid w:val="00623AE1"/>
    <w:rsid w:val="00625457"/>
    <w:rsid w:val="00626EB6"/>
    <w:rsid w:val="00627780"/>
    <w:rsid w:val="00631C05"/>
    <w:rsid w:val="0063223E"/>
    <w:rsid w:val="00632E1D"/>
    <w:rsid w:val="006334B5"/>
    <w:rsid w:val="00633D93"/>
    <w:rsid w:val="00635F09"/>
    <w:rsid w:val="006377BA"/>
    <w:rsid w:val="00641E9F"/>
    <w:rsid w:val="00642ACF"/>
    <w:rsid w:val="00643ABF"/>
    <w:rsid w:val="006447B5"/>
    <w:rsid w:val="006500DF"/>
    <w:rsid w:val="00651224"/>
    <w:rsid w:val="006516BF"/>
    <w:rsid w:val="00651ADC"/>
    <w:rsid w:val="00653CA6"/>
    <w:rsid w:val="00655BCC"/>
    <w:rsid w:val="00655CA5"/>
    <w:rsid w:val="00655D03"/>
    <w:rsid w:val="00655FD9"/>
    <w:rsid w:val="00656205"/>
    <w:rsid w:val="0065707C"/>
    <w:rsid w:val="00660FE5"/>
    <w:rsid w:val="0066409F"/>
    <w:rsid w:val="006647F7"/>
    <w:rsid w:val="00665BC5"/>
    <w:rsid w:val="0066657A"/>
    <w:rsid w:val="006726CD"/>
    <w:rsid w:val="00674B20"/>
    <w:rsid w:val="00677555"/>
    <w:rsid w:val="0067765B"/>
    <w:rsid w:val="0068007B"/>
    <w:rsid w:val="00682D61"/>
    <w:rsid w:val="00683388"/>
    <w:rsid w:val="00683F84"/>
    <w:rsid w:val="006844B8"/>
    <w:rsid w:val="0068504A"/>
    <w:rsid w:val="00690579"/>
    <w:rsid w:val="00695137"/>
    <w:rsid w:val="006A11B6"/>
    <w:rsid w:val="006A2D2F"/>
    <w:rsid w:val="006A6A81"/>
    <w:rsid w:val="006B0DFC"/>
    <w:rsid w:val="006B1865"/>
    <w:rsid w:val="006B187B"/>
    <w:rsid w:val="006B2F78"/>
    <w:rsid w:val="006B4538"/>
    <w:rsid w:val="006C730B"/>
    <w:rsid w:val="006D06B4"/>
    <w:rsid w:val="006D1362"/>
    <w:rsid w:val="006D2CBA"/>
    <w:rsid w:val="006D580C"/>
    <w:rsid w:val="006D60BC"/>
    <w:rsid w:val="006D7792"/>
    <w:rsid w:val="006D7D2D"/>
    <w:rsid w:val="006E27AC"/>
    <w:rsid w:val="006E5DEB"/>
    <w:rsid w:val="006F022D"/>
    <w:rsid w:val="006F0D48"/>
    <w:rsid w:val="006F1D13"/>
    <w:rsid w:val="006F1E22"/>
    <w:rsid w:val="006F1E7C"/>
    <w:rsid w:val="006F54DC"/>
    <w:rsid w:val="006F618A"/>
    <w:rsid w:val="006F7393"/>
    <w:rsid w:val="0070011F"/>
    <w:rsid w:val="00700145"/>
    <w:rsid w:val="0070224F"/>
    <w:rsid w:val="00706859"/>
    <w:rsid w:val="00707DFC"/>
    <w:rsid w:val="007102B5"/>
    <w:rsid w:val="007114E8"/>
    <w:rsid w:val="007115F7"/>
    <w:rsid w:val="00714F0B"/>
    <w:rsid w:val="00715F25"/>
    <w:rsid w:val="00723C24"/>
    <w:rsid w:val="00726002"/>
    <w:rsid w:val="00727A80"/>
    <w:rsid w:val="00730558"/>
    <w:rsid w:val="007309AF"/>
    <w:rsid w:val="00731AED"/>
    <w:rsid w:val="007336DD"/>
    <w:rsid w:val="00734BF6"/>
    <w:rsid w:val="00734D1E"/>
    <w:rsid w:val="00740635"/>
    <w:rsid w:val="007463F6"/>
    <w:rsid w:val="00746C40"/>
    <w:rsid w:val="0076240C"/>
    <w:rsid w:val="00762C0C"/>
    <w:rsid w:val="00764258"/>
    <w:rsid w:val="00767DA4"/>
    <w:rsid w:val="00772A6B"/>
    <w:rsid w:val="00772D7B"/>
    <w:rsid w:val="00776F29"/>
    <w:rsid w:val="00783880"/>
    <w:rsid w:val="00783AB1"/>
    <w:rsid w:val="007843A2"/>
    <w:rsid w:val="00784E6F"/>
    <w:rsid w:val="00785689"/>
    <w:rsid w:val="0078672B"/>
    <w:rsid w:val="00787D1A"/>
    <w:rsid w:val="00790E53"/>
    <w:rsid w:val="007912B2"/>
    <w:rsid w:val="0079207A"/>
    <w:rsid w:val="00792468"/>
    <w:rsid w:val="00793C6E"/>
    <w:rsid w:val="00794478"/>
    <w:rsid w:val="00794E60"/>
    <w:rsid w:val="00796746"/>
    <w:rsid w:val="0079754B"/>
    <w:rsid w:val="007A1E6D"/>
    <w:rsid w:val="007A7C31"/>
    <w:rsid w:val="007B0702"/>
    <w:rsid w:val="007B0EB2"/>
    <w:rsid w:val="007C586D"/>
    <w:rsid w:val="007C7190"/>
    <w:rsid w:val="007D3480"/>
    <w:rsid w:val="007D3800"/>
    <w:rsid w:val="007D4D52"/>
    <w:rsid w:val="007E1B2D"/>
    <w:rsid w:val="007E1FBF"/>
    <w:rsid w:val="007E2652"/>
    <w:rsid w:val="007E3421"/>
    <w:rsid w:val="007E354C"/>
    <w:rsid w:val="007E42CD"/>
    <w:rsid w:val="007E516F"/>
    <w:rsid w:val="007E6FB7"/>
    <w:rsid w:val="007E7626"/>
    <w:rsid w:val="007F0362"/>
    <w:rsid w:val="007F1977"/>
    <w:rsid w:val="007F1B7A"/>
    <w:rsid w:val="007F6602"/>
    <w:rsid w:val="007F6A2E"/>
    <w:rsid w:val="00802851"/>
    <w:rsid w:val="008051F4"/>
    <w:rsid w:val="00806168"/>
    <w:rsid w:val="00806666"/>
    <w:rsid w:val="00810B6F"/>
    <w:rsid w:val="00810FAD"/>
    <w:rsid w:val="00812705"/>
    <w:rsid w:val="00814AB6"/>
    <w:rsid w:val="0081519C"/>
    <w:rsid w:val="00816A40"/>
    <w:rsid w:val="00822CE0"/>
    <w:rsid w:val="00824E91"/>
    <w:rsid w:val="0082518D"/>
    <w:rsid w:val="00833195"/>
    <w:rsid w:val="00834D52"/>
    <w:rsid w:val="008364DB"/>
    <w:rsid w:val="00841AB1"/>
    <w:rsid w:val="008424D8"/>
    <w:rsid w:val="00843E84"/>
    <w:rsid w:val="00845DFF"/>
    <w:rsid w:val="00847269"/>
    <w:rsid w:val="008516DE"/>
    <w:rsid w:val="00851B9C"/>
    <w:rsid w:val="008600F9"/>
    <w:rsid w:val="0086479B"/>
    <w:rsid w:val="00864801"/>
    <w:rsid w:val="008667A6"/>
    <w:rsid w:val="00871C32"/>
    <w:rsid w:val="00872D25"/>
    <w:rsid w:val="008763FB"/>
    <w:rsid w:val="00880B87"/>
    <w:rsid w:val="00880FA0"/>
    <w:rsid w:val="0089009C"/>
    <w:rsid w:val="00891E65"/>
    <w:rsid w:val="008935E8"/>
    <w:rsid w:val="00893DF0"/>
    <w:rsid w:val="00895E16"/>
    <w:rsid w:val="00896448"/>
    <w:rsid w:val="008A0C29"/>
    <w:rsid w:val="008A1A29"/>
    <w:rsid w:val="008A6624"/>
    <w:rsid w:val="008B187D"/>
    <w:rsid w:val="008B283E"/>
    <w:rsid w:val="008B2E1C"/>
    <w:rsid w:val="008B500C"/>
    <w:rsid w:val="008B72FD"/>
    <w:rsid w:val="008C0B1F"/>
    <w:rsid w:val="008C1CA1"/>
    <w:rsid w:val="008C35FB"/>
    <w:rsid w:val="008C393A"/>
    <w:rsid w:val="008C40E4"/>
    <w:rsid w:val="008C6087"/>
    <w:rsid w:val="008C6465"/>
    <w:rsid w:val="008C68F1"/>
    <w:rsid w:val="008D3919"/>
    <w:rsid w:val="008D3FFA"/>
    <w:rsid w:val="008D7235"/>
    <w:rsid w:val="008E20E3"/>
    <w:rsid w:val="008E394D"/>
    <w:rsid w:val="008E50CA"/>
    <w:rsid w:val="008F12FC"/>
    <w:rsid w:val="008F27BD"/>
    <w:rsid w:val="008F327C"/>
    <w:rsid w:val="008F445B"/>
    <w:rsid w:val="008F5067"/>
    <w:rsid w:val="008F575A"/>
    <w:rsid w:val="008F5DF2"/>
    <w:rsid w:val="009056ED"/>
    <w:rsid w:val="009060F8"/>
    <w:rsid w:val="009106AF"/>
    <w:rsid w:val="00911B13"/>
    <w:rsid w:val="00915601"/>
    <w:rsid w:val="00915D60"/>
    <w:rsid w:val="00916F9B"/>
    <w:rsid w:val="00920932"/>
    <w:rsid w:val="0092147F"/>
    <w:rsid w:val="00921803"/>
    <w:rsid w:val="00921D03"/>
    <w:rsid w:val="009246B9"/>
    <w:rsid w:val="00926503"/>
    <w:rsid w:val="0093165C"/>
    <w:rsid w:val="00932E4A"/>
    <w:rsid w:val="00937FFC"/>
    <w:rsid w:val="009425A3"/>
    <w:rsid w:val="00943F38"/>
    <w:rsid w:val="009465B0"/>
    <w:rsid w:val="009467B6"/>
    <w:rsid w:val="00947629"/>
    <w:rsid w:val="00947834"/>
    <w:rsid w:val="00955957"/>
    <w:rsid w:val="00957E1D"/>
    <w:rsid w:val="009619FE"/>
    <w:rsid w:val="00962FE8"/>
    <w:rsid w:val="00964D41"/>
    <w:rsid w:val="00965418"/>
    <w:rsid w:val="009726D8"/>
    <w:rsid w:val="00973C86"/>
    <w:rsid w:val="00973EB9"/>
    <w:rsid w:val="00976F92"/>
    <w:rsid w:val="0098114A"/>
    <w:rsid w:val="009812E7"/>
    <w:rsid w:val="00982A07"/>
    <w:rsid w:val="009878ED"/>
    <w:rsid w:val="00994F50"/>
    <w:rsid w:val="00996462"/>
    <w:rsid w:val="00997F6A"/>
    <w:rsid w:val="009A205D"/>
    <w:rsid w:val="009A61EB"/>
    <w:rsid w:val="009B100A"/>
    <w:rsid w:val="009B2190"/>
    <w:rsid w:val="009B576F"/>
    <w:rsid w:val="009B7586"/>
    <w:rsid w:val="009C1DB5"/>
    <w:rsid w:val="009C635D"/>
    <w:rsid w:val="009D5D1A"/>
    <w:rsid w:val="009D71C8"/>
    <w:rsid w:val="009D7308"/>
    <w:rsid w:val="009E636D"/>
    <w:rsid w:val="009E67ED"/>
    <w:rsid w:val="009E6E01"/>
    <w:rsid w:val="009E7D9B"/>
    <w:rsid w:val="009F0784"/>
    <w:rsid w:val="009F2753"/>
    <w:rsid w:val="009F312D"/>
    <w:rsid w:val="009F65B1"/>
    <w:rsid w:val="009F6F71"/>
    <w:rsid w:val="009F7566"/>
    <w:rsid w:val="009F76DB"/>
    <w:rsid w:val="00A015D2"/>
    <w:rsid w:val="00A019C0"/>
    <w:rsid w:val="00A01FDA"/>
    <w:rsid w:val="00A020B8"/>
    <w:rsid w:val="00A02358"/>
    <w:rsid w:val="00A02B79"/>
    <w:rsid w:val="00A046EF"/>
    <w:rsid w:val="00A04922"/>
    <w:rsid w:val="00A04CDE"/>
    <w:rsid w:val="00A108F0"/>
    <w:rsid w:val="00A1248E"/>
    <w:rsid w:val="00A15316"/>
    <w:rsid w:val="00A1749D"/>
    <w:rsid w:val="00A208B7"/>
    <w:rsid w:val="00A220EC"/>
    <w:rsid w:val="00A224E3"/>
    <w:rsid w:val="00A247B7"/>
    <w:rsid w:val="00A26D83"/>
    <w:rsid w:val="00A31C9C"/>
    <w:rsid w:val="00A32854"/>
    <w:rsid w:val="00A32C3B"/>
    <w:rsid w:val="00A408DA"/>
    <w:rsid w:val="00A44A8A"/>
    <w:rsid w:val="00A45F4F"/>
    <w:rsid w:val="00A509D4"/>
    <w:rsid w:val="00A50A49"/>
    <w:rsid w:val="00A52BAA"/>
    <w:rsid w:val="00A53FF3"/>
    <w:rsid w:val="00A56DFB"/>
    <w:rsid w:val="00A57EB6"/>
    <w:rsid w:val="00A600A9"/>
    <w:rsid w:val="00A60D58"/>
    <w:rsid w:val="00A63038"/>
    <w:rsid w:val="00A6309D"/>
    <w:rsid w:val="00A736EE"/>
    <w:rsid w:val="00A77347"/>
    <w:rsid w:val="00A808BA"/>
    <w:rsid w:val="00A80B23"/>
    <w:rsid w:val="00A8296F"/>
    <w:rsid w:val="00A860C1"/>
    <w:rsid w:val="00A86872"/>
    <w:rsid w:val="00A86B61"/>
    <w:rsid w:val="00A91CAC"/>
    <w:rsid w:val="00A952DB"/>
    <w:rsid w:val="00A96904"/>
    <w:rsid w:val="00AA09F6"/>
    <w:rsid w:val="00AA0C3C"/>
    <w:rsid w:val="00AA1D10"/>
    <w:rsid w:val="00AA30B9"/>
    <w:rsid w:val="00AA55B7"/>
    <w:rsid w:val="00AA5B9E"/>
    <w:rsid w:val="00AA690A"/>
    <w:rsid w:val="00AA6C5B"/>
    <w:rsid w:val="00AA7FB4"/>
    <w:rsid w:val="00AB1900"/>
    <w:rsid w:val="00AB2407"/>
    <w:rsid w:val="00AB24B0"/>
    <w:rsid w:val="00AB31E3"/>
    <w:rsid w:val="00AB35A6"/>
    <w:rsid w:val="00AB3E47"/>
    <w:rsid w:val="00AB4FAC"/>
    <w:rsid w:val="00AB53DF"/>
    <w:rsid w:val="00AB772A"/>
    <w:rsid w:val="00AB7C00"/>
    <w:rsid w:val="00AC21EA"/>
    <w:rsid w:val="00AC7480"/>
    <w:rsid w:val="00AE328E"/>
    <w:rsid w:val="00AE36AA"/>
    <w:rsid w:val="00AE74B3"/>
    <w:rsid w:val="00AE7E28"/>
    <w:rsid w:val="00AF1507"/>
    <w:rsid w:val="00AF39F9"/>
    <w:rsid w:val="00AF479D"/>
    <w:rsid w:val="00B003F5"/>
    <w:rsid w:val="00B02992"/>
    <w:rsid w:val="00B035AE"/>
    <w:rsid w:val="00B03FBF"/>
    <w:rsid w:val="00B07E5C"/>
    <w:rsid w:val="00B11627"/>
    <w:rsid w:val="00B140D8"/>
    <w:rsid w:val="00B158A0"/>
    <w:rsid w:val="00B20BB7"/>
    <w:rsid w:val="00B2168A"/>
    <w:rsid w:val="00B24303"/>
    <w:rsid w:val="00B247D5"/>
    <w:rsid w:val="00B255CE"/>
    <w:rsid w:val="00B26D60"/>
    <w:rsid w:val="00B26F67"/>
    <w:rsid w:val="00B34BFA"/>
    <w:rsid w:val="00B3596E"/>
    <w:rsid w:val="00B37773"/>
    <w:rsid w:val="00B37E6C"/>
    <w:rsid w:val="00B4324E"/>
    <w:rsid w:val="00B507DA"/>
    <w:rsid w:val="00B56348"/>
    <w:rsid w:val="00B60702"/>
    <w:rsid w:val="00B61355"/>
    <w:rsid w:val="00B61DE1"/>
    <w:rsid w:val="00B631BD"/>
    <w:rsid w:val="00B6522F"/>
    <w:rsid w:val="00B67C61"/>
    <w:rsid w:val="00B74DCB"/>
    <w:rsid w:val="00B7502F"/>
    <w:rsid w:val="00B771B9"/>
    <w:rsid w:val="00B7739D"/>
    <w:rsid w:val="00B811F7"/>
    <w:rsid w:val="00B85CEC"/>
    <w:rsid w:val="00B86B7C"/>
    <w:rsid w:val="00B87009"/>
    <w:rsid w:val="00B8762F"/>
    <w:rsid w:val="00B9005A"/>
    <w:rsid w:val="00B92A9B"/>
    <w:rsid w:val="00B97714"/>
    <w:rsid w:val="00BA0D6B"/>
    <w:rsid w:val="00BA28B3"/>
    <w:rsid w:val="00BA5DC6"/>
    <w:rsid w:val="00BA5F8F"/>
    <w:rsid w:val="00BA6196"/>
    <w:rsid w:val="00BA75BE"/>
    <w:rsid w:val="00BB12BC"/>
    <w:rsid w:val="00BB4D45"/>
    <w:rsid w:val="00BB4EA4"/>
    <w:rsid w:val="00BC38A6"/>
    <w:rsid w:val="00BC5942"/>
    <w:rsid w:val="00BC6D8C"/>
    <w:rsid w:val="00BD1BD0"/>
    <w:rsid w:val="00BD23C1"/>
    <w:rsid w:val="00BD692B"/>
    <w:rsid w:val="00BD6B3A"/>
    <w:rsid w:val="00BD730C"/>
    <w:rsid w:val="00BE13F7"/>
    <w:rsid w:val="00BE1D34"/>
    <w:rsid w:val="00BE2E80"/>
    <w:rsid w:val="00BF0DF9"/>
    <w:rsid w:val="00BF2661"/>
    <w:rsid w:val="00BF32CD"/>
    <w:rsid w:val="00BF79F5"/>
    <w:rsid w:val="00BF7EF4"/>
    <w:rsid w:val="00C01400"/>
    <w:rsid w:val="00C01EB4"/>
    <w:rsid w:val="00C0348A"/>
    <w:rsid w:val="00C045DA"/>
    <w:rsid w:val="00C046EF"/>
    <w:rsid w:val="00C101AA"/>
    <w:rsid w:val="00C102B6"/>
    <w:rsid w:val="00C2184D"/>
    <w:rsid w:val="00C22541"/>
    <w:rsid w:val="00C24B86"/>
    <w:rsid w:val="00C2558C"/>
    <w:rsid w:val="00C2781A"/>
    <w:rsid w:val="00C27831"/>
    <w:rsid w:val="00C34006"/>
    <w:rsid w:val="00C3487A"/>
    <w:rsid w:val="00C367AC"/>
    <w:rsid w:val="00C36B4C"/>
    <w:rsid w:val="00C37A52"/>
    <w:rsid w:val="00C4101F"/>
    <w:rsid w:val="00C41803"/>
    <w:rsid w:val="00C426B1"/>
    <w:rsid w:val="00C439FE"/>
    <w:rsid w:val="00C44593"/>
    <w:rsid w:val="00C45C6E"/>
    <w:rsid w:val="00C46674"/>
    <w:rsid w:val="00C46FAA"/>
    <w:rsid w:val="00C47BE1"/>
    <w:rsid w:val="00C512B8"/>
    <w:rsid w:val="00C513BF"/>
    <w:rsid w:val="00C52090"/>
    <w:rsid w:val="00C5430D"/>
    <w:rsid w:val="00C54CAA"/>
    <w:rsid w:val="00C61925"/>
    <w:rsid w:val="00C66160"/>
    <w:rsid w:val="00C671BD"/>
    <w:rsid w:val="00C71BB3"/>
    <w:rsid w:val="00C721AC"/>
    <w:rsid w:val="00C77708"/>
    <w:rsid w:val="00C81781"/>
    <w:rsid w:val="00C8240F"/>
    <w:rsid w:val="00C906C4"/>
    <w:rsid w:val="00C908EB"/>
    <w:rsid w:val="00C90D6A"/>
    <w:rsid w:val="00C91B52"/>
    <w:rsid w:val="00C92952"/>
    <w:rsid w:val="00C96CD8"/>
    <w:rsid w:val="00C97F47"/>
    <w:rsid w:val="00CA065A"/>
    <w:rsid w:val="00CA1A67"/>
    <w:rsid w:val="00CA1BFA"/>
    <w:rsid w:val="00CA1F74"/>
    <w:rsid w:val="00CA247E"/>
    <w:rsid w:val="00CA4D2C"/>
    <w:rsid w:val="00CA61B4"/>
    <w:rsid w:val="00CA6D21"/>
    <w:rsid w:val="00CA7D22"/>
    <w:rsid w:val="00CB15C4"/>
    <w:rsid w:val="00CC01A2"/>
    <w:rsid w:val="00CC01E8"/>
    <w:rsid w:val="00CC01F7"/>
    <w:rsid w:val="00CC2F73"/>
    <w:rsid w:val="00CC3622"/>
    <w:rsid w:val="00CC5563"/>
    <w:rsid w:val="00CC59BD"/>
    <w:rsid w:val="00CC72B6"/>
    <w:rsid w:val="00CD10E4"/>
    <w:rsid w:val="00CD315F"/>
    <w:rsid w:val="00CD46D3"/>
    <w:rsid w:val="00CD4EF9"/>
    <w:rsid w:val="00CD53FB"/>
    <w:rsid w:val="00CE4206"/>
    <w:rsid w:val="00CE4C95"/>
    <w:rsid w:val="00CE658F"/>
    <w:rsid w:val="00CE773E"/>
    <w:rsid w:val="00CE7F2B"/>
    <w:rsid w:val="00CF7973"/>
    <w:rsid w:val="00D00E60"/>
    <w:rsid w:val="00D0218D"/>
    <w:rsid w:val="00D03A2C"/>
    <w:rsid w:val="00D03AD7"/>
    <w:rsid w:val="00D06001"/>
    <w:rsid w:val="00D1318D"/>
    <w:rsid w:val="00D13258"/>
    <w:rsid w:val="00D15A05"/>
    <w:rsid w:val="00D1624C"/>
    <w:rsid w:val="00D23515"/>
    <w:rsid w:val="00D25FB5"/>
    <w:rsid w:val="00D26EB8"/>
    <w:rsid w:val="00D30FDD"/>
    <w:rsid w:val="00D3591B"/>
    <w:rsid w:val="00D3787A"/>
    <w:rsid w:val="00D44223"/>
    <w:rsid w:val="00D44271"/>
    <w:rsid w:val="00D45985"/>
    <w:rsid w:val="00D47DE9"/>
    <w:rsid w:val="00D50BA5"/>
    <w:rsid w:val="00D51178"/>
    <w:rsid w:val="00D54FA9"/>
    <w:rsid w:val="00D56742"/>
    <w:rsid w:val="00D5734D"/>
    <w:rsid w:val="00D62DBA"/>
    <w:rsid w:val="00D64BA3"/>
    <w:rsid w:val="00D66023"/>
    <w:rsid w:val="00D66672"/>
    <w:rsid w:val="00D7013F"/>
    <w:rsid w:val="00D82B4C"/>
    <w:rsid w:val="00D84CCE"/>
    <w:rsid w:val="00D86623"/>
    <w:rsid w:val="00D87AD8"/>
    <w:rsid w:val="00D87E37"/>
    <w:rsid w:val="00D91BC9"/>
    <w:rsid w:val="00D92367"/>
    <w:rsid w:val="00D92B02"/>
    <w:rsid w:val="00D93A14"/>
    <w:rsid w:val="00D95198"/>
    <w:rsid w:val="00D957C7"/>
    <w:rsid w:val="00D95E44"/>
    <w:rsid w:val="00DA24DF"/>
    <w:rsid w:val="00DA2529"/>
    <w:rsid w:val="00DA25D1"/>
    <w:rsid w:val="00DB130A"/>
    <w:rsid w:val="00DB170E"/>
    <w:rsid w:val="00DB2EBB"/>
    <w:rsid w:val="00DB3532"/>
    <w:rsid w:val="00DB7D2E"/>
    <w:rsid w:val="00DC10A1"/>
    <w:rsid w:val="00DC1C3F"/>
    <w:rsid w:val="00DC483F"/>
    <w:rsid w:val="00DC6367"/>
    <w:rsid w:val="00DC655F"/>
    <w:rsid w:val="00DC758F"/>
    <w:rsid w:val="00DD036D"/>
    <w:rsid w:val="00DD0B59"/>
    <w:rsid w:val="00DD4213"/>
    <w:rsid w:val="00DD6794"/>
    <w:rsid w:val="00DD7EBD"/>
    <w:rsid w:val="00DE3015"/>
    <w:rsid w:val="00DE5EC4"/>
    <w:rsid w:val="00DE75EE"/>
    <w:rsid w:val="00DF193D"/>
    <w:rsid w:val="00DF3743"/>
    <w:rsid w:val="00DF5E21"/>
    <w:rsid w:val="00DF62B6"/>
    <w:rsid w:val="00DF7D3F"/>
    <w:rsid w:val="00E06488"/>
    <w:rsid w:val="00E06B3C"/>
    <w:rsid w:val="00E07225"/>
    <w:rsid w:val="00E127ED"/>
    <w:rsid w:val="00E209C3"/>
    <w:rsid w:val="00E2328A"/>
    <w:rsid w:val="00E25956"/>
    <w:rsid w:val="00E274F1"/>
    <w:rsid w:val="00E33CF4"/>
    <w:rsid w:val="00E33DD0"/>
    <w:rsid w:val="00E40CDD"/>
    <w:rsid w:val="00E45635"/>
    <w:rsid w:val="00E4770B"/>
    <w:rsid w:val="00E50313"/>
    <w:rsid w:val="00E50D5E"/>
    <w:rsid w:val="00E511F2"/>
    <w:rsid w:val="00E51554"/>
    <w:rsid w:val="00E54088"/>
    <w:rsid w:val="00E5409F"/>
    <w:rsid w:val="00E54C56"/>
    <w:rsid w:val="00E55E1D"/>
    <w:rsid w:val="00E60AD7"/>
    <w:rsid w:val="00E6735A"/>
    <w:rsid w:val="00E71190"/>
    <w:rsid w:val="00E75055"/>
    <w:rsid w:val="00E7725F"/>
    <w:rsid w:val="00E8298B"/>
    <w:rsid w:val="00E837BF"/>
    <w:rsid w:val="00E84AE7"/>
    <w:rsid w:val="00E87EF8"/>
    <w:rsid w:val="00E95385"/>
    <w:rsid w:val="00E957C7"/>
    <w:rsid w:val="00E97A23"/>
    <w:rsid w:val="00EA31A9"/>
    <w:rsid w:val="00EA40E6"/>
    <w:rsid w:val="00EA5728"/>
    <w:rsid w:val="00EA63E2"/>
    <w:rsid w:val="00EA66F4"/>
    <w:rsid w:val="00EB4955"/>
    <w:rsid w:val="00EB64EA"/>
    <w:rsid w:val="00EC5057"/>
    <w:rsid w:val="00EC53ED"/>
    <w:rsid w:val="00EC59D5"/>
    <w:rsid w:val="00EC77CA"/>
    <w:rsid w:val="00EC7A6B"/>
    <w:rsid w:val="00ED0425"/>
    <w:rsid w:val="00ED1462"/>
    <w:rsid w:val="00ED2A6F"/>
    <w:rsid w:val="00ED33E9"/>
    <w:rsid w:val="00ED6047"/>
    <w:rsid w:val="00ED6BBD"/>
    <w:rsid w:val="00EE1CA8"/>
    <w:rsid w:val="00EE3FAA"/>
    <w:rsid w:val="00EE6488"/>
    <w:rsid w:val="00EF20F7"/>
    <w:rsid w:val="00EF779E"/>
    <w:rsid w:val="00F005BD"/>
    <w:rsid w:val="00F01178"/>
    <w:rsid w:val="00F021FA"/>
    <w:rsid w:val="00F11B7D"/>
    <w:rsid w:val="00F1514C"/>
    <w:rsid w:val="00F17B96"/>
    <w:rsid w:val="00F210A5"/>
    <w:rsid w:val="00F25152"/>
    <w:rsid w:val="00F25645"/>
    <w:rsid w:val="00F256C6"/>
    <w:rsid w:val="00F3097E"/>
    <w:rsid w:val="00F32B47"/>
    <w:rsid w:val="00F32CEB"/>
    <w:rsid w:val="00F335FA"/>
    <w:rsid w:val="00F33C33"/>
    <w:rsid w:val="00F3613C"/>
    <w:rsid w:val="00F400A6"/>
    <w:rsid w:val="00F46557"/>
    <w:rsid w:val="00F512D2"/>
    <w:rsid w:val="00F57789"/>
    <w:rsid w:val="00F57C4F"/>
    <w:rsid w:val="00F60AE1"/>
    <w:rsid w:val="00F624E9"/>
    <w:rsid w:val="00F62E97"/>
    <w:rsid w:val="00F6416D"/>
    <w:rsid w:val="00F64209"/>
    <w:rsid w:val="00F65092"/>
    <w:rsid w:val="00F66673"/>
    <w:rsid w:val="00F730F7"/>
    <w:rsid w:val="00F73D9B"/>
    <w:rsid w:val="00F82D23"/>
    <w:rsid w:val="00F85537"/>
    <w:rsid w:val="00F874C5"/>
    <w:rsid w:val="00F91823"/>
    <w:rsid w:val="00F924EA"/>
    <w:rsid w:val="00F92E61"/>
    <w:rsid w:val="00F931DE"/>
    <w:rsid w:val="00F93BF5"/>
    <w:rsid w:val="00F968F2"/>
    <w:rsid w:val="00FA4F24"/>
    <w:rsid w:val="00FA63B1"/>
    <w:rsid w:val="00FA6F40"/>
    <w:rsid w:val="00FA7813"/>
    <w:rsid w:val="00FB2B70"/>
    <w:rsid w:val="00FB3D0A"/>
    <w:rsid w:val="00FB562E"/>
    <w:rsid w:val="00FB56AF"/>
    <w:rsid w:val="00FC18EF"/>
    <w:rsid w:val="00FC3DC5"/>
    <w:rsid w:val="00FC5084"/>
    <w:rsid w:val="00FD01F0"/>
    <w:rsid w:val="00FD04DE"/>
    <w:rsid w:val="00FD13FF"/>
    <w:rsid w:val="00FD4032"/>
    <w:rsid w:val="00FD7C7D"/>
    <w:rsid w:val="00FE5A43"/>
    <w:rsid w:val="00FE5F90"/>
    <w:rsid w:val="00FE7500"/>
    <w:rsid w:val="00FF2E9A"/>
    <w:rsid w:val="00FF3E37"/>
    <w:rsid w:val="00FF3FD1"/>
    <w:rsid w:val="00FF4ECD"/>
    <w:rsid w:val="00FF5621"/>
    <w:rsid w:val="00FF7996"/>
    <w:rsid w:val="54707C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80B7F1"/>
  <w15:chartTrackingRefBased/>
  <w15:docId w15:val="{33192C69-C049-4290-B8EB-C2DA5466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36FB"/>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4A36F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4A36FB"/>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4A36FB"/>
    <w:pPr>
      <w:keepNext/>
      <w:numPr>
        <w:ilvl w:val="2"/>
        <w:numId w:val="3"/>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qFormat/>
    <w:rsid w:val="004A36FB"/>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4A36FB"/>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4A36FB"/>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4A36F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A36FB"/>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4A36F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A36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36FB"/>
  </w:style>
  <w:style w:type="paragraph" w:customStyle="1" w:styleId="ParaNum">
    <w:name w:val="ParaNum"/>
    <w:basedOn w:val="Normal"/>
    <w:link w:val="ParaNumChar1"/>
    <w:rsid w:val="004A36FB"/>
    <w:pPr>
      <w:numPr>
        <w:numId w:val="2"/>
      </w:numPr>
      <w:tabs>
        <w:tab w:val="clear" w:pos="1080"/>
        <w:tab w:val="num" w:pos="1440"/>
      </w:tabs>
      <w:spacing w:after="120"/>
    </w:pPr>
  </w:style>
  <w:style w:type="paragraph" w:styleId="EndnoteText">
    <w:name w:val="endnote text"/>
    <w:basedOn w:val="Normal"/>
    <w:semiHidden/>
    <w:rsid w:val="004A36FB"/>
    <w:rPr>
      <w:sz w:val="20"/>
    </w:rPr>
  </w:style>
  <w:style w:type="character" w:styleId="EndnoteReference">
    <w:name w:val="endnote reference"/>
    <w:semiHidden/>
    <w:rsid w:val="004A36FB"/>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4A36F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A36FB"/>
    <w:rPr>
      <w:rFonts w:ascii="Times New Roman" w:hAnsi="Times New Roman"/>
      <w:dstrike w:val="0"/>
      <w:color w:val="auto"/>
      <w:sz w:val="20"/>
      <w:vertAlign w:val="superscript"/>
    </w:rPr>
  </w:style>
  <w:style w:type="paragraph" w:styleId="TOC1">
    <w:name w:val="toc 1"/>
    <w:basedOn w:val="Normal"/>
    <w:next w:val="Normal"/>
    <w:semiHidden/>
    <w:rsid w:val="004A36F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A36FB"/>
    <w:pPr>
      <w:tabs>
        <w:tab w:val="left" w:pos="720"/>
        <w:tab w:val="right" w:leader="dot" w:pos="9360"/>
      </w:tabs>
      <w:suppressAutoHyphens/>
      <w:ind w:left="720" w:right="720" w:hanging="360"/>
    </w:pPr>
    <w:rPr>
      <w:noProof/>
    </w:rPr>
  </w:style>
  <w:style w:type="paragraph" w:styleId="TOC3">
    <w:name w:val="toc 3"/>
    <w:basedOn w:val="Normal"/>
    <w:next w:val="Normal"/>
    <w:semiHidden/>
    <w:rsid w:val="004A36F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A36F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A36F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A36F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A36F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A36F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A36F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A36FB"/>
    <w:pPr>
      <w:tabs>
        <w:tab w:val="right" w:pos="9360"/>
      </w:tabs>
      <w:suppressAutoHyphens/>
    </w:pPr>
  </w:style>
  <w:style w:type="character" w:customStyle="1" w:styleId="EquationCaption">
    <w:name w:val="_Equation Caption"/>
    <w:rsid w:val="004A36FB"/>
  </w:style>
  <w:style w:type="paragraph" w:styleId="Header">
    <w:name w:val="header"/>
    <w:basedOn w:val="Normal"/>
    <w:autoRedefine/>
    <w:rsid w:val="004A36FB"/>
    <w:pPr>
      <w:tabs>
        <w:tab w:val="center" w:pos="4680"/>
        <w:tab w:val="right" w:pos="9360"/>
      </w:tabs>
    </w:pPr>
    <w:rPr>
      <w:b/>
    </w:rPr>
  </w:style>
  <w:style w:type="paragraph" w:styleId="Footer">
    <w:name w:val="footer"/>
    <w:basedOn w:val="Normal"/>
    <w:link w:val="FooterChar"/>
    <w:uiPriority w:val="99"/>
    <w:rsid w:val="004A36FB"/>
    <w:pPr>
      <w:tabs>
        <w:tab w:val="center" w:pos="4320"/>
        <w:tab w:val="right" w:pos="8640"/>
      </w:tabs>
    </w:pPr>
  </w:style>
  <w:style w:type="character" w:styleId="PageNumber">
    <w:name w:val="page number"/>
    <w:basedOn w:val="DefaultParagraphFont"/>
    <w:rsid w:val="004A36FB"/>
  </w:style>
  <w:style w:type="paragraph" w:styleId="BlockText">
    <w:name w:val="Block Text"/>
    <w:basedOn w:val="Normal"/>
    <w:rsid w:val="004A36FB"/>
    <w:pPr>
      <w:spacing w:after="240"/>
      <w:ind w:left="1440" w:right="1440"/>
    </w:pPr>
  </w:style>
  <w:style w:type="paragraph" w:customStyle="1" w:styleId="Paratitle">
    <w:name w:val="Para title"/>
    <w:basedOn w:val="Normal"/>
    <w:rsid w:val="004A36FB"/>
    <w:pPr>
      <w:tabs>
        <w:tab w:val="center" w:pos="9270"/>
      </w:tabs>
      <w:spacing w:after="240"/>
    </w:pPr>
    <w:rPr>
      <w:spacing w:val="-2"/>
    </w:rPr>
  </w:style>
  <w:style w:type="paragraph" w:customStyle="1" w:styleId="Bullet">
    <w:name w:val="Bullet"/>
    <w:basedOn w:val="Normal"/>
    <w:rsid w:val="004A36FB"/>
    <w:pPr>
      <w:tabs>
        <w:tab w:val="left" w:pos="2160"/>
      </w:tabs>
      <w:spacing w:after="220"/>
      <w:ind w:left="2160" w:hanging="720"/>
    </w:pPr>
  </w:style>
  <w:style w:type="paragraph" w:customStyle="1" w:styleId="TableFormat">
    <w:name w:val="TableFormat"/>
    <w:basedOn w:val="Bullet"/>
    <w:rsid w:val="004A36FB"/>
    <w:pPr>
      <w:tabs>
        <w:tab w:val="clear" w:pos="2160"/>
        <w:tab w:val="left" w:pos="5040"/>
      </w:tabs>
      <w:ind w:left="5040" w:hanging="3600"/>
    </w:pPr>
  </w:style>
  <w:style w:type="paragraph" w:customStyle="1" w:styleId="TOCTitle">
    <w:name w:val="TOC Title"/>
    <w:basedOn w:val="Normal"/>
    <w:rsid w:val="004A36F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36FB"/>
    <w:pPr>
      <w:jc w:val="center"/>
    </w:pPr>
    <w:rPr>
      <w:rFonts w:ascii="Times New Roman Bold" w:hAnsi="Times New Roman Bold"/>
      <w:b/>
      <w:bCs/>
      <w:caps/>
      <w:szCs w:val="22"/>
    </w:rPr>
  </w:style>
  <w:style w:type="character" w:styleId="Hyperlink">
    <w:name w:val="Hyperlink"/>
    <w:rsid w:val="004A36FB"/>
    <w:rPr>
      <w:color w:val="0000FF"/>
      <w:u w:val="single"/>
    </w:rPr>
  </w:style>
  <w:style w:type="character" w:customStyle="1" w:styleId="FooterChar">
    <w:name w:val="Footer Char"/>
    <w:link w:val="Footer"/>
    <w:uiPriority w:val="99"/>
    <w:rsid w:val="004A36FB"/>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locked/>
    <w:rsid w:val="00E54088"/>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E54088"/>
  </w:style>
  <w:style w:type="character" w:customStyle="1" w:styleId="ParaNumChar1">
    <w:name w:val="ParaNum Char1"/>
    <w:link w:val="ParaNum"/>
    <w:locked/>
    <w:rsid w:val="00E54088"/>
    <w:rPr>
      <w:snapToGrid w:val="0"/>
      <w:kern w:val="28"/>
      <w:sz w:val="22"/>
    </w:rPr>
  </w:style>
  <w:style w:type="character" w:styleId="CommentReference">
    <w:name w:val="annotation reference"/>
    <w:rsid w:val="00E54088"/>
    <w:rPr>
      <w:sz w:val="16"/>
      <w:szCs w:val="16"/>
    </w:rPr>
  </w:style>
  <w:style w:type="paragraph" w:styleId="CommentText">
    <w:name w:val="annotation text"/>
    <w:basedOn w:val="Normal"/>
    <w:link w:val="CommentTextChar"/>
    <w:rsid w:val="00E54088"/>
    <w:rPr>
      <w:sz w:val="20"/>
    </w:rPr>
  </w:style>
  <w:style w:type="character" w:customStyle="1" w:styleId="CommentTextChar">
    <w:name w:val="Comment Text Char"/>
    <w:link w:val="CommentText"/>
    <w:rsid w:val="00E54088"/>
    <w:rPr>
      <w:snapToGrid w:val="0"/>
      <w:kern w:val="28"/>
    </w:rPr>
  </w:style>
  <w:style w:type="paragraph" w:styleId="BalloonText">
    <w:name w:val="Balloon Text"/>
    <w:basedOn w:val="Normal"/>
    <w:link w:val="BalloonTextChar"/>
    <w:rsid w:val="00185040"/>
    <w:rPr>
      <w:sz w:val="18"/>
      <w:szCs w:val="18"/>
    </w:rPr>
  </w:style>
  <w:style w:type="character" w:customStyle="1" w:styleId="BalloonTextChar">
    <w:name w:val="Balloon Text Char"/>
    <w:link w:val="BalloonText"/>
    <w:rsid w:val="00185040"/>
    <w:rPr>
      <w:snapToGrid w:val="0"/>
      <w:kern w:val="28"/>
      <w:sz w:val="18"/>
      <w:szCs w:val="18"/>
    </w:rPr>
  </w:style>
  <w:style w:type="paragraph" w:styleId="CommentSubject">
    <w:name w:val="annotation subject"/>
    <w:basedOn w:val="CommentText"/>
    <w:next w:val="CommentText"/>
    <w:link w:val="CommentSubjectChar"/>
    <w:rsid w:val="00151960"/>
    <w:rPr>
      <w:b/>
      <w:bCs/>
    </w:rPr>
  </w:style>
  <w:style w:type="character" w:customStyle="1" w:styleId="CommentSubjectChar">
    <w:name w:val="Comment Subject Char"/>
    <w:link w:val="CommentSubject"/>
    <w:rsid w:val="00151960"/>
    <w:rPr>
      <w:b/>
      <w:bCs/>
      <w:snapToGrid w:val="0"/>
      <w:kern w:val="28"/>
    </w:rPr>
  </w:style>
  <w:style w:type="paragraph" w:styleId="Revision">
    <w:name w:val="Revision"/>
    <w:hidden/>
    <w:uiPriority w:val="99"/>
    <w:semiHidden/>
    <w:rsid w:val="00C46FAA"/>
    <w:rPr>
      <w:snapToGrid w:val="0"/>
      <w:kern w:val="28"/>
      <w:sz w:val="22"/>
    </w:rPr>
  </w:style>
  <w:style w:type="character" w:styleId="UnresolvedMention">
    <w:name w:val="Unresolved Mention"/>
    <w:basedOn w:val="DefaultParagraphFont"/>
    <w:uiPriority w:val="99"/>
    <w:semiHidden/>
    <w:unhideWhenUsed/>
    <w:rsid w:val="00700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www.washingtonpost.com/health/2022/03/14/medicaid-loss-of-coverage/" TargetMode="External" /><Relationship Id="rId2" Type="http://schemas.openxmlformats.org/officeDocument/2006/relationships/hyperlink" Target="https://www.fcc.gov/covid-scams" TargetMode="External" /><Relationship Id="rId3" Type="http://schemas.openxmlformats.org/officeDocument/2006/relationships/hyperlink" Target="http://www.reassigned.u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