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2A3A" w14:paraId="2ED8C48F" w14:textId="77777777">
      <w:pPr>
        <w:jc w:val="right"/>
        <w:rPr>
          <w:sz w:val="24"/>
        </w:rPr>
      </w:pPr>
    </w:p>
    <w:p w:rsidR="003E2A3A" w14:paraId="1887D7A5" w14:textId="6FDFBA54">
      <w:pPr>
        <w:jc w:val="right"/>
        <w:rPr>
          <w:b/>
          <w:sz w:val="24"/>
        </w:rPr>
      </w:pPr>
      <w:r w:rsidRPr="00AB062A">
        <w:rPr>
          <w:b/>
          <w:sz w:val="24"/>
        </w:rPr>
        <w:t xml:space="preserve">DA </w:t>
      </w:r>
      <w:r w:rsidRPr="00AB062A" w:rsidR="00AB062A">
        <w:rPr>
          <w:b/>
          <w:sz w:val="24"/>
        </w:rPr>
        <w:t>23</w:t>
      </w:r>
      <w:r w:rsidRPr="00AB062A">
        <w:rPr>
          <w:b/>
          <w:sz w:val="24"/>
        </w:rPr>
        <w:t>-</w:t>
      </w:r>
      <w:r w:rsidR="007766FA">
        <w:rPr>
          <w:b/>
          <w:sz w:val="24"/>
        </w:rPr>
        <w:t>660</w:t>
      </w:r>
    </w:p>
    <w:p w:rsidR="003E2A3A" w14:paraId="2E689F59" w14:textId="54EC0B8D">
      <w:pPr>
        <w:spacing w:before="60"/>
        <w:jc w:val="right"/>
        <w:rPr>
          <w:b/>
          <w:sz w:val="24"/>
        </w:rPr>
      </w:pPr>
      <w:r>
        <w:rPr>
          <w:b/>
          <w:sz w:val="24"/>
        </w:rPr>
        <w:t xml:space="preserve">Released:  </w:t>
      </w:r>
      <w:r w:rsidR="009375D3">
        <w:rPr>
          <w:b/>
          <w:sz w:val="24"/>
        </w:rPr>
        <w:t xml:space="preserve">August </w:t>
      </w:r>
      <w:r w:rsidR="00D77DDB">
        <w:rPr>
          <w:b/>
          <w:sz w:val="24"/>
        </w:rPr>
        <w:t>04</w:t>
      </w:r>
      <w:r w:rsidR="009375D3">
        <w:rPr>
          <w:b/>
          <w:sz w:val="24"/>
        </w:rPr>
        <w:t>, 2023</w:t>
      </w:r>
    </w:p>
    <w:p w:rsidR="003E2A3A" w14:paraId="7EB5DAF7" w14:textId="77777777">
      <w:pPr>
        <w:jc w:val="right"/>
        <w:rPr>
          <w:sz w:val="24"/>
        </w:rPr>
      </w:pPr>
    </w:p>
    <w:p w:rsidR="003E2A3A" w:rsidP="032311F2" w14:paraId="219E3A6E" w14:textId="2E2A98DC">
      <w:pPr>
        <w:spacing w:after="240"/>
        <w:jc w:val="center"/>
        <w:rPr>
          <w:rFonts w:ascii="Times New Roman Bold" w:hAnsi="Times New Roman Bold"/>
          <w:b/>
          <w:bCs/>
          <w:caps/>
          <w:sz w:val="24"/>
          <w:szCs w:val="24"/>
        </w:rPr>
      </w:pPr>
      <w:r w:rsidRPr="032311F2">
        <w:rPr>
          <w:rFonts w:ascii="Times New Roman Bold" w:hAnsi="Times New Roman Bold"/>
          <w:b/>
          <w:bCs/>
          <w:caps/>
          <w:sz w:val="24"/>
          <w:szCs w:val="24"/>
        </w:rPr>
        <w:t xml:space="preserve">Wireless Telecommunications Bureau and Office of </w:t>
      </w:r>
      <w:r w:rsidR="00AB062A">
        <w:rPr>
          <w:rFonts w:ascii="Times New Roman Bold" w:hAnsi="Times New Roman Bold"/>
          <w:b/>
          <w:bCs/>
          <w:caps/>
          <w:sz w:val="24"/>
          <w:szCs w:val="24"/>
        </w:rPr>
        <w:t>NATIVE AFFAIRS AND POLICY</w:t>
      </w:r>
      <w:r w:rsidRPr="032311F2">
        <w:rPr>
          <w:rFonts w:ascii="Times New Roman Bold" w:hAnsi="Times New Roman Bold"/>
          <w:b/>
          <w:bCs/>
          <w:caps/>
          <w:sz w:val="24"/>
          <w:szCs w:val="24"/>
        </w:rPr>
        <w:t xml:space="preserve"> Seek Comment on</w:t>
      </w:r>
      <w:r w:rsidR="005876C8">
        <w:rPr>
          <w:rFonts w:ascii="Times New Roman Bold" w:hAnsi="Times New Roman Bold"/>
          <w:b/>
          <w:bCs/>
          <w:caps/>
          <w:sz w:val="24"/>
          <w:szCs w:val="24"/>
        </w:rPr>
        <w:t xml:space="preserve"> </w:t>
      </w:r>
      <w:r w:rsidR="00611228">
        <w:rPr>
          <w:rFonts w:ascii="Times New Roman Bold" w:hAnsi="Times New Roman Bold"/>
          <w:b/>
          <w:bCs/>
          <w:caps/>
          <w:sz w:val="24"/>
          <w:szCs w:val="24"/>
        </w:rPr>
        <w:t>TRIBAL</w:t>
      </w:r>
      <w:r w:rsidR="00FB7F79">
        <w:rPr>
          <w:rFonts w:ascii="Times New Roman Bold" w:hAnsi="Times New Roman Bold"/>
          <w:b/>
          <w:bCs/>
          <w:caps/>
          <w:sz w:val="24"/>
          <w:szCs w:val="24"/>
        </w:rPr>
        <w:t xml:space="preserve"> NATION</w:t>
      </w:r>
      <w:r w:rsidR="00611228">
        <w:rPr>
          <w:rFonts w:ascii="Times New Roman Bold" w:hAnsi="Times New Roman Bold"/>
          <w:b/>
          <w:bCs/>
          <w:caps/>
          <w:sz w:val="24"/>
          <w:szCs w:val="24"/>
        </w:rPr>
        <w:t xml:space="preserve"> AND </w:t>
      </w:r>
      <w:r w:rsidR="00566E7A">
        <w:rPr>
          <w:rFonts w:ascii="Times New Roman Bold" w:hAnsi="Times New Roman Bold"/>
          <w:b/>
          <w:bCs/>
          <w:caps/>
          <w:sz w:val="24"/>
          <w:szCs w:val="24"/>
        </w:rPr>
        <w:t>NATIVE</w:t>
      </w:r>
      <w:r w:rsidR="005876C8">
        <w:rPr>
          <w:rFonts w:ascii="Times New Roman Bold" w:hAnsi="Times New Roman Bold"/>
          <w:b/>
          <w:bCs/>
          <w:caps/>
          <w:sz w:val="24"/>
          <w:szCs w:val="24"/>
        </w:rPr>
        <w:t xml:space="preserve"> </w:t>
      </w:r>
      <w:r w:rsidR="00611228">
        <w:rPr>
          <w:rFonts w:ascii="Times New Roman Bold" w:hAnsi="Times New Roman Bold"/>
          <w:b/>
          <w:bCs/>
          <w:caps/>
          <w:sz w:val="24"/>
          <w:szCs w:val="24"/>
        </w:rPr>
        <w:t xml:space="preserve">HAWAIIAN </w:t>
      </w:r>
      <w:r w:rsidR="003D437C">
        <w:rPr>
          <w:rFonts w:ascii="Times New Roman Bold" w:hAnsi="Times New Roman Bold"/>
          <w:b/>
          <w:bCs/>
          <w:caps/>
          <w:sz w:val="24"/>
          <w:szCs w:val="24"/>
        </w:rPr>
        <w:t xml:space="preserve">ACCESS TO </w:t>
      </w:r>
      <w:r w:rsidR="003B5AAF">
        <w:rPr>
          <w:rFonts w:ascii="Times New Roman Bold" w:hAnsi="Times New Roman Bold"/>
          <w:b/>
          <w:bCs/>
          <w:caps/>
          <w:sz w:val="24"/>
          <w:szCs w:val="24"/>
        </w:rPr>
        <w:t>SPECTRUM</w:t>
      </w:r>
      <w:r w:rsidR="002A0E40">
        <w:rPr>
          <w:rFonts w:ascii="Times New Roman Bold" w:hAnsi="Times New Roman Bold"/>
          <w:b/>
          <w:bCs/>
          <w:caps/>
          <w:sz w:val="24"/>
          <w:szCs w:val="24"/>
        </w:rPr>
        <w:t xml:space="preserve"> and related data</w:t>
      </w:r>
    </w:p>
    <w:p w:rsidR="003E2A3A" w14:paraId="49B309D6" w14:textId="4592E6FD">
      <w:pPr>
        <w:jc w:val="center"/>
        <w:rPr>
          <w:b/>
          <w:sz w:val="24"/>
        </w:rPr>
      </w:pPr>
      <w:r>
        <w:rPr>
          <w:b/>
          <w:sz w:val="24"/>
        </w:rPr>
        <w:t>GN</w:t>
      </w:r>
      <w:r w:rsidRPr="00AB062A" w:rsidR="00D36E2B">
        <w:rPr>
          <w:b/>
          <w:sz w:val="24"/>
        </w:rPr>
        <w:t xml:space="preserve"> Docket No. </w:t>
      </w:r>
      <w:r w:rsidRPr="00AB062A" w:rsidR="00AB062A">
        <w:rPr>
          <w:b/>
          <w:sz w:val="24"/>
        </w:rPr>
        <w:t>23</w:t>
      </w:r>
      <w:r w:rsidRPr="00AB062A" w:rsidR="00D36E2B">
        <w:rPr>
          <w:b/>
          <w:sz w:val="24"/>
        </w:rPr>
        <w:t>-</w:t>
      </w:r>
      <w:r w:rsidR="004721F5">
        <w:rPr>
          <w:b/>
          <w:sz w:val="24"/>
        </w:rPr>
        <w:t>265</w:t>
      </w:r>
    </w:p>
    <w:p w:rsidR="003E2A3A" w14:paraId="748D3752" w14:textId="51532EB3">
      <w:bookmarkStart w:id="0" w:name="TOChere"/>
    </w:p>
    <w:p w:rsidR="00624C1D" w14:paraId="7F337179" w14:textId="612DD322">
      <w:pPr>
        <w:rPr>
          <w:b/>
          <w:bCs/>
        </w:rPr>
      </w:pPr>
      <w:r>
        <w:rPr>
          <w:b/>
          <w:bCs/>
        </w:rPr>
        <w:t xml:space="preserve">Comment Date: </w:t>
      </w:r>
      <w:r w:rsidR="000F5AB2">
        <w:rPr>
          <w:b/>
          <w:bCs/>
        </w:rPr>
        <w:t>November 30</w:t>
      </w:r>
      <w:r w:rsidRPr="00685A5F" w:rsidR="00565BA7">
        <w:rPr>
          <w:b/>
          <w:bCs/>
        </w:rPr>
        <w:t>, 2023</w:t>
      </w:r>
      <w:r w:rsidRPr="00694270" w:rsidR="00D0753F">
        <w:rPr>
          <w:b/>
        </w:rPr>
        <w:t xml:space="preserve"> </w:t>
      </w:r>
    </w:p>
    <w:p w:rsidR="003E2A3A" w14:paraId="68904A29" w14:textId="3BBC5037"/>
    <w:p w:rsidR="00932C30" w:rsidP="00684C7B" w14:paraId="6C6E165D" w14:textId="3609990B">
      <w:pPr>
        <w:spacing w:after="120"/>
        <w:ind w:firstLine="720"/>
      </w:pPr>
      <w:r>
        <w:t xml:space="preserve">Through this Public Notice, </w:t>
      </w:r>
      <w:r w:rsidR="00CF1580">
        <w:t>t</w:t>
      </w:r>
      <w:r w:rsidR="00624C1D">
        <w:t xml:space="preserve">he </w:t>
      </w:r>
      <w:r w:rsidRPr="00624C1D" w:rsidR="00624C1D">
        <w:t xml:space="preserve">Wireless Telecommunications Bureau and Office of </w:t>
      </w:r>
      <w:r w:rsidR="00AB062A">
        <w:t>Native Affairs and Policy</w:t>
      </w:r>
      <w:r w:rsidR="00624C1D">
        <w:t xml:space="preserve"> seek comment on </w:t>
      </w:r>
      <w:r w:rsidR="00B059A5">
        <w:t xml:space="preserve">ways in which the Commission can </w:t>
      </w:r>
      <w:r w:rsidR="00AD78A6">
        <w:t xml:space="preserve">improve its understanding of </w:t>
      </w:r>
      <w:r w:rsidR="00FE5F1F">
        <w:t>how and the extent to which</w:t>
      </w:r>
      <w:r w:rsidR="002A0E40">
        <w:t xml:space="preserve"> </w:t>
      </w:r>
      <w:r w:rsidR="007362E3">
        <w:t>Trib</w:t>
      </w:r>
      <w:r w:rsidR="003B5976">
        <w:t>al Nation</w:t>
      </w:r>
      <w:r w:rsidR="007362E3">
        <w:t>s</w:t>
      </w:r>
      <w:r w:rsidR="00052BAC">
        <w:t xml:space="preserve"> and </w:t>
      </w:r>
      <w:r w:rsidR="008E28D2">
        <w:t xml:space="preserve">the </w:t>
      </w:r>
      <w:r w:rsidR="007362E3">
        <w:t>Native Hawaiian</w:t>
      </w:r>
      <w:r w:rsidR="008E28D2">
        <w:t xml:space="preserve"> </w:t>
      </w:r>
      <w:r w:rsidR="006C6C86">
        <w:t>C</w:t>
      </w:r>
      <w:r w:rsidR="008E28D2">
        <w:t>ommunity</w:t>
      </w:r>
      <w:r w:rsidR="007362E3">
        <w:t xml:space="preserve"> </w:t>
      </w:r>
      <w:r w:rsidR="005E313F">
        <w:t xml:space="preserve">are able to access </w:t>
      </w:r>
      <w:r w:rsidR="000F5AB2">
        <w:t xml:space="preserve">wireless </w:t>
      </w:r>
      <w:r w:rsidR="005E313F">
        <w:t xml:space="preserve">spectrum </w:t>
      </w:r>
      <w:r w:rsidR="00FE5F1F">
        <w:t>today</w:t>
      </w:r>
      <w:r w:rsidR="00AB062A">
        <w:t>.</w:t>
      </w:r>
      <w:r>
        <w:rPr>
          <w:rStyle w:val="FootnoteReference"/>
        </w:rPr>
        <w:footnoteReference w:id="3"/>
      </w:r>
      <w:r w:rsidR="00912761">
        <w:t xml:space="preserve">  This information </w:t>
      </w:r>
      <w:r w:rsidR="00230DD2">
        <w:t xml:space="preserve">will be used </w:t>
      </w:r>
      <w:r w:rsidR="008768F6">
        <w:t>as</w:t>
      </w:r>
      <w:r w:rsidR="002304FA">
        <w:t xml:space="preserve"> the Commission</w:t>
      </w:r>
      <w:r w:rsidR="008768F6">
        <w:t xml:space="preserve"> develops and implements new and existing policy initiatives designed to </w:t>
      </w:r>
      <w:r w:rsidR="00044BEF">
        <w:t>increas</w:t>
      </w:r>
      <w:r w:rsidR="007B5EA6">
        <w:t>e</w:t>
      </w:r>
      <w:r w:rsidR="00044BEF">
        <w:t xml:space="preserve"> broadband connectivity in Tribal communities.</w:t>
      </w:r>
    </w:p>
    <w:p w:rsidR="00684C7B" w:rsidP="00684C7B" w14:paraId="4398AC9D" w14:textId="70403DA1">
      <w:pPr>
        <w:spacing w:after="120"/>
        <w:ind w:firstLine="720"/>
        <w:rPr>
          <w:szCs w:val="22"/>
        </w:rPr>
      </w:pPr>
      <w:r>
        <w:t xml:space="preserve">The Commission in 2019 created the 2.5 GHz Rural Tribal Priority Window </w:t>
      </w:r>
      <w:r w:rsidR="004757D3">
        <w:t xml:space="preserve">(Tribal Window) </w:t>
      </w:r>
      <w:r>
        <w:t xml:space="preserve">for eligible Tribal </w:t>
      </w:r>
      <w:r w:rsidR="00AA3699">
        <w:t xml:space="preserve">Nations and Native Hawaiian Community </w:t>
      </w:r>
      <w:r>
        <w:t xml:space="preserve">to gain </w:t>
      </w:r>
      <w:r w:rsidR="006E5A04">
        <w:t xml:space="preserve">licensed </w:t>
      </w:r>
      <w:r>
        <w:t>access to prime mid-band spectrum to deploy broadband and other next-generation wireless services to address the digital divide on rural Tribal lands.</w:t>
      </w:r>
      <w:r w:rsidR="00CA72FF">
        <w:t xml:space="preserve">  To date, 336 licenses</w:t>
      </w:r>
      <w:r w:rsidR="009B1A29">
        <w:t xml:space="preserve"> </w:t>
      </w:r>
      <w:r w:rsidR="00843949">
        <w:t xml:space="preserve">covering </w:t>
      </w:r>
      <w:r w:rsidR="00767601">
        <w:t>the rural Tribal lands of</w:t>
      </w:r>
      <w:r w:rsidR="00843949">
        <w:t xml:space="preserve"> </w:t>
      </w:r>
      <w:r w:rsidR="00AB6401">
        <w:t xml:space="preserve">more than </w:t>
      </w:r>
      <w:r w:rsidR="00843949">
        <w:t>350 Trib</w:t>
      </w:r>
      <w:r w:rsidR="00673CD5">
        <w:t>al Nation</w:t>
      </w:r>
      <w:r w:rsidR="00843949">
        <w:t xml:space="preserve">s </w:t>
      </w:r>
      <w:r w:rsidR="00246368">
        <w:t xml:space="preserve">based </w:t>
      </w:r>
      <w:r w:rsidR="00843949">
        <w:t xml:space="preserve">in 30 states </w:t>
      </w:r>
      <w:r w:rsidR="009B1A29">
        <w:t xml:space="preserve">have been granted </w:t>
      </w:r>
      <w:r w:rsidR="00A679C8">
        <w:t>through</w:t>
      </w:r>
      <w:r w:rsidR="009B1A29">
        <w:t xml:space="preserve"> applications received during the </w:t>
      </w:r>
      <w:r w:rsidR="004757D3">
        <w:t>Tribal W</w:t>
      </w:r>
      <w:r w:rsidR="009B1A29">
        <w:t>indow</w:t>
      </w:r>
      <w:r w:rsidR="007777B6">
        <w:t>,</w:t>
      </w:r>
      <w:r>
        <w:rPr>
          <w:rStyle w:val="FootnoteReference"/>
        </w:rPr>
        <w:footnoteReference w:id="4"/>
      </w:r>
      <w:r w:rsidR="007777B6">
        <w:t xml:space="preserve"> and </w:t>
      </w:r>
      <w:r w:rsidRPr="00C11CCC" w:rsidR="007777B6">
        <w:rPr>
          <w:szCs w:val="22"/>
        </w:rPr>
        <w:t>deployments using this spectrum are underway</w:t>
      </w:r>
      <w:r w:rsidR="00A679C8">
        <w:t>.</w:t>
      </w:r>
      <w:r>
        <w:rPr>
          <w:rStyle w:val="FootnoteReference"/>
        </w:rPr>
        <w:footnoteReference w:id="5"/>
      </w:r>
      <w:r w:rsidR="00B90D42">
        <w:t xml:space="preserve">  In contrast t</w:t>
      </w:r>
      <w:r w:rsidR="004757D3">
        <w:t xml:space="preserve">o information </w:t>
      </w:r>
      <w:r w:rsidR="00AD5C85">
        <w:t xml:space="preserve">compiled </w:t>
      </w:r>
      <w:r w:rsidR="004757D3">
        <w:t xml:space="preserve">prior to the Tribal Window, </w:t>
      </w:r>
      <w:r w:rsidRPr="0073250B" w:rsidR="0073250B">
        <w:rPr>
          <w:szCs w:val="22"/>
        </w:rPr>
        <w:t xml:space="preserve">the number of Tribes </w:t>
      </w:r>
      <w:r w:rsidR="00FF3424">
        <w:rPr>
          <w:szCs w:val="22"/>
        </w:rPr>
        <w:t xml:space="preserve">and Tribal entities </w:t>
      </w:r>
      <w:r w:rsidR="00F03A2C">
        <w:rPr>
          <w:szCs w:val="22"/>
        </w:rPr>
        <w:t>now</w:t>
      </w:r>
      <w:r w:rsidR="00500C69">
        <w:rPr>
          <w:szCs w:val="22"/>
        </w:rPr>
        <w:t xml:space="preserve"> </w:t>
      </w:r>
      <w:r w:rsidR="0065159D">
        <w:rPr>
          <w:szCs w:val="22"/>
        </w:rPr>
        <w:t>holding</w:t>
      </w:r>
      <w:r w:rsidRPr="0073250B" w:rsidR="0073250B">
        <w:rPr>
          <w:szCs w:val="22"/>
        </w:rPr>
        <w:t xml:space="preserve"> spectrum licenses has </w:t>
      </w:r>
      <w:r w:rsidR="001844A5">
        <w:rPr>
          <w:szCs w:val="22"/>
        </w:rPr>
        <w:t xml:space="preserve">significantly </w:t>
      </w:r>
      <w:r w:rsidRPr="0073250B" w:rsidR="0073250B">
        <w:rPr>
          <w:szCs w:val="22"/>
        </w:rPr>
        <w:t xml:space="preserve">increased </w:t>
      </w:r>
      <w:r w:rsidR="00AB6401">
        <w:rPr>
          <w:szCs w:val="22"/>
        </w:rPr>
        <w:t>as a result of this opportunity</w:t>
      </w:r>
      <w:r w:rsidR="00AD5C85">
        <w:rPr>
          <w:szCs w:val="22"/>
        </w:rPr>
        <w:t xml:space="preserve"> alone</w:t>
      </w:r>
      <w:r w:rsidR="0073250B">
        <w:rPr>
          <w:szCs w:val="22"/>
        </w:rPr>
        <w:t>.</w:t>
      </w:r>
      <w:r>
        <w:rPr>
          <w:rStyle w:val="FootnoteReference"/>
          <w:szCs w:val="22"/>
        </w:rPr>
        <w:footnoteReference w:id="6"/>
      </w:r>
    </w:p>
    <w:p w:rsidR="00BD30C3" w:rsidP="00684C7B" w14:paraId="0C59DFCC" w14:textId="658A57E3">
      <w:pPr>
        <w:spacing w:after="120"/>
        <w:ind w:firstLine="720"/>
        <w:rPr>
          <w:szCs w:val="22"/>
        </w:rPr>
      </w:pPr>
      <w:r>
        <w:rPr>
          <w:szCs w:val="22"/>
        </w:rPr>
        <w:t>W</w:t>
      </w:r>
      <w:r w:rsidR="00731D6A">
        <w:rPr>
          <w:szCs w:val="22"/>
        </w:rPr>
        <w:t>hile this represents progress, w</w:t>
      </w:r>
      <w:r>
        <w:rPr>
          <w:szCs w:val="22"/>
        </w:rPr>
        <w:t xml:space="preserve">e nonetheless recognize </w:t>
      </w:r>
      <w:r w:rsidRPr="00C11CCC" w:rsidR="007C590A">
        <w:rPr>
          <w:szCs w:val="22"/>
        </w:rPr>
        <w:t xml:space="preserve">the long-standing connectivity challenges facing </w:t>
      </w:r>
      <w:r w:rsidR="003D2890">
        <w:t>Trib</w:t>
      </w:r>
      <w:r w:rsidR="00FB1EE5">
        <w:t>al Nation</w:t>
      </w:r>
      <w:r w:rsidR="003D2890">
        <w:t>s</w:t>
      </w:r>
      <w:r w:rsidR="00FB1EE5">
        <w:t xml:space="preserve"> </w:t>
      </w:r>
      <w:r w:rsidR="003D2890">
        <w:t xml:space="preserve">and the Native Hawaiian </w:t>
      </w:r>
      <w:r w:rsidR="00BA2C5C">
        <w:t>C</w:t>
      </w:r>
      <w:r w:rsidR="003D2890">
        <w:t>ommunity</w:t>
      </w:r>
      <w:r w:rsidR="006D689C">
        <w:t xml:space="preserve"> and remain committed to </w:t>
      </w:r>
      <w:r w:rsidR="009C5596">
        <w:t>addressing this digital divide</w:t>
      </w:r>
      <w:r w:rsidR="0031360F">
        <w:rPr>
          <w:szCs w:val="22"/>
        </w:rPr>
        <w:t>.</w:t>
      </w:r>
      <w:r w:rsidR="00254B6D">
        <w:rPr>
          <w:szCs w:val="22"/>
        </w:rPr>
        <w:t xml:space="preserve">  </w:t>
      </w:r>
      <w:r w:rsidR="005D4F72">
        <w:rPr>
          <w:szCs w:val="22"/>
        </w:rPr>
        <w:t xml:space="preserve">In order to assess </w:t>
      </w:r>
      <w:r w:rsidR="00C23B0D">
        <w:rPr>
          <w:szCs w:val="22"/>
        </w:rPr>
        <w:t xml:space="preserve">current and future </w:t>
      </w:r>
      <w:r w:rsidR="00B33AE6">
        <w:rPr>
          <w:szCs w:val="22"/>
        </w:rPr>
        <w:t xml:space="preserve">policy efforts </w:t>
      </w:r>
      <w:r w:rsidR="004D649A">
        <w:rPr>
          <w:szCs w:val="22"/>
        </w:rPr>
        <w:t xml:space="preserve">relating to spectrum </w:t>
      </w:r>
      <w:r w:rsidR="00B33AE6">
        <w:rPr>
          <w:szCs w:val="22"/>
        </w:rPr>
        <w:t xml:space="preserve">designed to achieve this goal, we </w:t>
      </w:r>
      <w:r w:rsidR="00645F89">
        <w:rPr>
          <w:szCs w:val="22"/>
        </w:rPr>
        <w:t xml:space="preserve">seek </w:t>
      </w:r>
      <w:r w:rsidR="00E20CF8">
        <w:rPr>
          <w:szCs w:val="22"/>
        </w:rPr>
        <w:t>additional information about how</w:t>
      </w:r>
      <w:r w:rsidR="00645F89">
        <w:rPr>
          <w:szCs w:val="22"/>
        </w:rPr>
        <w:t xml:space="preserve"> Tribal Nations</w:t>
      </w:r>
      <w:r w:rsidR="00E20CF8">
        <w:rPr>
          <w:szCs w:val="22"/>
        </w:rPr>
        <w:t xml:space="preserve"> and </w:t>
      </w:r>
      <w:r w:rsidR="00645F89">
        <w:rPr>
          <w:szCs w:val="22"/>
        </w:rPr>
        <w:t xml:space="preserve">the Native Hawaiian </w:t>
      </w:r>
      <w:r w:rsidR="00BA2C5C">
        <w:rPr>
          <w:szCs w:val="22"/>
        </w:rPr>
        <w:t>C</w:t>
      </w:r>
      <w:r w:rsidR="00645F89">
        <w:rPr>
          <w:szCs w:val="22"/>
        </w:rPr>
        <w:t>ommunity</w:t>
      </w:r>
      <w:r w:rsidR="005D4F72">
        <w:rPr>
          <w:szCs w:val="22"/>
        </w:rPr>
        <w:t xml:space="preserve"> </w:t>
      </w:r>
      <w:r w:rsidR="007C2224">
        <w:rPr>
          <w:szCs w:val="22"/>
        </w:rPr>
        <w:t>ar</w:t>
      </w:r>
      <w:r w:rsidR="00E20CF8">
        <w:rPr>
          <w:szCs w:val="22"/>
        </w:rPr>
        <w:t>e accessing spectrum</w:t>
      </w:r>
      <w:r w:rsidR="00CF3B66">
        <w:rPr>
          <w:szCs w:val="22"/>
        </w:rPr>
        <w:t xml:space="preserve">, whether it be through </w:t>
      </w:r>
      <w:r w:rsidR="00BD5028">
        <w:rPr>
          <w:szCs w:val="22"/>
        </w:rPr>
        <w:t xml:space="preserve">direct </w:t>
      </w:r>
      <w:r w:rsidR="00CF3B66">
        <w:rPr>
          <w:szCs w:val="22"/>
        </w:rPr>
        <w:t>licens</w:t>
      </w:r>
      <w:r w:rsidR="00BD5028">
        <w:rPr>
          <w:szCs w:val="22"/>
        </w:rPr>
        <w:t>ing or other means</w:t>
      </w:r>
      <w:r w:rsidR="007C2224">
        <w:rPr>
          <w:szCs w:val="22"/>
        </w:rPr>
        <w:t>.</w:t>
      </w:r>
      <w:r w:rsidR="00BD5028">
        <w:rPr>
          <w:szCs w:val="22"/>
        </w:rPr>
        <w:t xml:space="preserve">  </w:t>
      </w:r>
    </w:p>
    <w:p w:rsidR="00C32378" w:rsidP="00684C7B" w14:paraId="52A9742A" w14:textId="1C08C6C9">
      <w:pPr>
        <w:spacing w:after="120"/>
        <w:ind w:firstLine="720"/>
        <w:rPr>
          <w:szCs w:val="22"/>
        </w:rPr>
      </w:pPr>
      <w:r>
        <w:rPr>
          <w:szCs w:val="22"/>
        </w:rPr>
        <w:t xml:space="preserve">With respect to </w:t>
      </w:r>
      <w:r w:rsidR="001B2BB6">
        <w:rPr>
          <w:szCs w:val="22"/>
        </w:rPr>
        <w:t xml:space="preserve">traditionally </w:t>
      </w:r>
      <w:r>
        <w:rPr>
          <w:szCs w:val="22"/>
        </w:rPr>
        <w:t>licensed spectrum, while we have compiled information about the licenses granted thus far through the Tribal Window at a dedicated webpage,</w:t>
      </w:r>
      <w:r>
        <w:rPr>
          <w:rStyle w:val="FootnoteReference"/>
          <w:szCs w:val="22"/>
        </w:rPr>
        <w:footnoteReference w:id="7"/>
      </w:r>
      <w:r>
        <w:rPr>
          <w:szCs w:val="22"/>
        </w:rPr>
        <w:t xml:space="preserve"> we recognize that Trib</w:t>
      </w:r>
      <w:r w:rsidR="00386522">
        <w:rPr>
          <w:szCs w:val="22"/>
        </w:rPr>
        <w:t>al Nation</w:t>
      </w:r>
      <w:r>
        <w:rPr>
          <w:szCs w:val="22"/>
        </w:rPr>
        <w:t xml:space="preserve">s and the Native Hawaiian </w:t>
      </w:r>
      <w:r w:rsidR="00BA2C5C">
        <w:rPr>
          <w:szCs w:val="22"/>
        </w:rPr>
        <w:t>C</w:t>
      </w:r>
      <w:r>
        <w:rPr>
          <w:szCs w:val="22"/>
        </w:rPr>
        <w:t xml:space="preserve">ommunity hold </w:t>
      </w:r>
      <w:r w:rsidR="0092423E">
        <w:rPr>
          <w:szCs w:val="22"/>
        </w:rPr>
        <w:t xml:space="preserve">spectrum </w:t>
      </w:r>
      <w:r>
        <w:rPr>
          <w:szCs w:val="22"/>
        </w:rPr>
        <w:t>licenses in other</w:t>
      </w:r>
      <w:r w:rsidR="0092423E">
        <w:rPr>
          <w:szCs w:val="22"/>
        </w:rPr>
        <w:t xml:space="preserve"> wireless</w:t>
      </w:r>
      <w:r>
        <w:rPr>
          <w:szCs w:val="22"/>
        </w:rPr>
        <w:t xml:space="preserve"> bands.  Our </w:t>
      </w:r>
      <w:r w:rsidR="0092423E">
        <w:rPr>
          <w:szCs w:val="22"/>
        </w:rPr>
        <w:t xml:space="preserve">wireless </w:t>
      </w:r>
      <w:r>
        <w:rPr>
          <w:szCs w:val="22"/>
        </w:rPr>
        <w:t>licensing application</w:t>
      </w:r>
      <w:r w:rsidR="0092423E">
        <w:rPr>
          <w:szCs w:val="22"/>
        </w:rPr>
        <w:t xml:space="preserve"> forms do not currently collect</w:t>
      </w:r>
      <w:r w:rsidR="002D1040">
        <w:rPr>
          <w:szCs w:val="22"/>
        </w:rPr>
        <w:t xml:space="preserve"> demographic or other identifying</w:t>
      </w:r>
      <w:r w:rsidR="0092423E">
        <w:rPr>
          <w:szCs w:val="22"/>
        </w:rPr>
        <w:t xml:space="preserve"> information from </w:t>
      </w:r>
      <w:r w:rsidR="002D1040">
        <w:rPr>
          <w:szCs w:val="22"/>
        </w:rPr>
        <w:t xml:space="preserve">Tribal or Native </w:t>
      </w:r>
      <w:r w:rsidR="003B4CA1">
        <w:rPr>
          <w:szCs w:val="22"/>
        </w:rPr>
        <w:t xml:space="preserve">Hawaiian </w:t>
      </w:r>
      <w:r w:rsidR="0092423E">
        <w:rPr>
          <w:szCs w:val="22"/>
        </w:rPr>
        <w:t xml:space="preserve">applicants, and as a result, our Universal Licensing System (ULS) </w:t>
      </w:r>
      <w:r w:rsidR="00027AED">
        <w:rPr>
          <w:szCs w:val="22"/>
        </w:rPr>
        <w:t>cannot identify</w:t>
      </w:r>
      <w:r w:rsidR="0092423E">
        <w:rPr>
          <w:szCs w:val="22"/>
        </w:rPr>
        <w:t xml:space="preserve"> license records </w:t>
      </w:r>
      <w:r w:rsidR="00027AED">
        <w:rPr>
          <w:szCs w:val="22"/>
        </w:rPr>
        <w:t>based on</w:t>
      </w:r>
      <w:r w:rsidR="0092423E">
        <w:rPr>
          <w:szCs w:val="22"/>
        </w:rPr>
        <w:t xml:space="preserve"> this type of applicant or demographic criteria.</w:t>
      </w:r>
      <w:r>
        <w:rPr>
          <w:rStyle w:val="FootnoteReference"/>
          <w:szCs w:val="22"/>
        </w:rPr>
        <w:footnoteReference w:id="8"/>
      </w:r>
      <w:r w:rsidR="0092423E">
        <w:rPr>
          <w:szCs w:val="22"/>
        </w:rPr>
        <w:t xml:space="preserve">  </w:t>
      </w:r>
    </w:p>
    <w:p w:rsidR="003027AC" w:rsidP="00684C7B" w14:paraId="636FD7B8" w14:textId="17BECFB5">
      <w:pPr>
        <w:spacing w:after="120"/>
        <w:ind w:firstLine="720"/>
        <w:rPr>
          <w:szCs w:val="22"/>
        </w:rPr>
      </w:pPr>
      <w:r>
        <w:rPr>
          <w:szCs w:val="22"/>
        </w:rPr>
        <w:t>We therefore</w:t>
      </w:r>
      <w:r w:rsidR="0092423E">
        <w:rPr>
          <w:szCs w:val="22"/>
        </w:rPr>
        <w:t xml:space="preserve"> seek comment on the potential addition of legal entity categories or demographic questions to our wireless licensing forms to more readily identify Tribal or Native </w:t>
      </w:r>
      <w:r w:rsidR="006B638C">
        <w:rPr>
          <w:szCs w:val="22"/>
        </w:rPr>
        <w:t xml:space="preserve">Hawaiian </w:t>
      </w:r>
      <w:r w:rsidR="0092423E">
        <w:rPr>
          <w:szCs w:val="22"/>
        </w:rPr>
        <w:t xml:space="preserve">applicants seeking </w:t>
      </w:r>
      <w:r w:rsidR="00C32378">
        <w:rPr>
          <w:szCs w:val="22"/>
        </w:rPr>
        <w:t>to</w:t>
      </w:r>
      <w:r>
        <w:rPr>
          <w:szCs w:val="22"/>
        </w:rPr>
        <w:t xml:space="preserve"> obtain,</w:t>
      </w:r>
      <w:r w:rsidR="00C32378">
        <w:rPr>
          <w:szCs w:val="22"/>
        </w:rPr>
        <w:t xml:space="preserve"> </w:t>
      </w:r>
      <w:r w:rsidR="0092423E">
        <w:rPr>
          <w:szCs w:val="22"/>
        </w:rPr>
        <w:t xml:space="preserve">or </w:t>
      </w:r>
      <w:r w:rsidR="00C32378">
        <w:rPr>
          <w:szCs w:val="22"/>
        </w:rPr>
        <w:t xml:space="preserve">currently </w:t>
      </w:r>
      <w:r w:rsidR="0092423E">
        <w:rPr>
          <w:szCs w:val="22"/>
        </w:rPr>
        <w:t>holding</w:t>
      </w:r>
      <w:r>
        <w:rPr>
          <w:szCs w:val="22"/>
        </w:rPr>
        <w:t>,</w:t>
      </w:r>
      <w:r w:rsidR="0092423E">
        <w:rPr>
          <w:szCs w:val="22"/>
        </w:rPr>
        <w:t xml:space="preserve"> spectrum licenses.  </w:t>
      </w:r>
      <w:r w:rsidR="004B74E6">
        <w:rPr>
          <w:szCs w:val="22"/>
        </w:rPr>
        <w:t>We seek comment on whether</w:t>
      </w:r>
      <w:r w:rsidR="00C32378">
        <w:rPr>
          <w:szCs w:val="22"/>
        </w:rPr>
        <w:t xml:space="preserve"> collection of this information </w:t>
      </w:r>
      <w:r w:rsidR="0003324B">
        <w:rPr>
          <w:szCs w:val="22"/>
        </w:rPr>
        <w:t xml:space="preserve">should </w:t>
      </w:r>
      <w:r w:rsidR="00C32378">
        <w:rPr>
          <w:szCs w:val="22"/>
        </w:rPr>
        <w:t>be mandatory or optional</w:t>
      </w:r>
      <w:r w:rsidR="0003324B">
        <w:rPr>
          <w:szCs w:val="22"/>
        </w:rPr>
        <w:t xml:space="preserve">.  We also seek comment on </w:t>
      </w:r>
      <w:r w:rsidR="00C32378">
        <w:rPr>
          <w:szCs w:val="22"/>
        </w:rPr>
        <w:t xml:space="preserve">what the resulting impacts on applicants or our licensing records </w:t>
      </w:r>
      <w:r w:rsidR="0003324B">
        <w:rPr>
          <w:szCs w:val="22"/>
        </w:rPr>
        <w:t xml:space="preserve">would be </w:t>
      </w:r>
      <w:r w:rsidR="00C32378">
        <w:rPr>
          <w:szCs w:val="22"/>
        </w:rPr>
        <w:t>depending on which approach we cho</w:t>
      </w:r>
      <w:r>
        <w:rPr>
          <w:szCs w:val="22"/>
        </w:rPr>
        <w:t>o</w:t>
      </w:r>
      <w:r w:rsidR="00C32378">
        <w:rPr>
          <w:szCs w:val="22"/>
        </w:rPr>
        <w:t>se</w:t>
      </w:r>
      <w:r w:rsidR="004B74E6">
        <w:rPr>
          <w:szCs w:val="22"/>
        </w:rPr>
        <w:t>.</w:t>
      </w:r>
      <w:r w:rsidR="00C32378">
        <w:rPr>
          <w:szCs w:val="22"/>
        </w:rPr>
        <w:t xml:space="preserve">  </w:t>
      </w:r>
      <w:r w:rsidR="0092423E">
        <w:rPr>
          <w:szCs w:val="22"/>
        </w:rPr>
        <w:t xml:space="preserve">For example, </w:t>
      </w:r>
      <w:r w:rsidR="00C32378">
        <w:rPr>
          <w:szCs w:val="22"/>
        </w:rPr>
        <w:t xml:space="preserve">if we added one or more Tribal or Native </w:t>
      </w:r>
      <w:r w:rsidR="004E00C3">
        <w:rPr>
          <w:szCs w:val="22"/>
        </w:rPr>
        <w:t xml:space="preserve">Hawaiian </w:t>
      </w:r>
      <w:r w:rsidR="00C32378">
        <w:rPr>
          <w:szCs w:val="22"/>
        </w:rPr>
        <w:t>categories to the Legal Entity Type questions on our licensing forms</w:t>
      </w:r>
      <w:r w:rsidR="0003324B">
        <w:rPr>
          <w:szCs w:val="22"/>
        </w:rPr>
        <w:t xml:space="preserve"> as </w:t>
      </w:r>
      <w:r w:rsidR="00C32378">
        <w:rPr>
          <w:szCs w:val="22"/>
        </w:rPr>
        <w:t xml:space="preserve">mandatory questions, would that potentially complicate our application processes </w:t>
      </w:r>
      <w:r w:rsidR="005824CE">
        <w:rPr>
          <w:szCs w:val="22"/>
        </w:rPr>
        <w:t>and/</w:t>
      </w:r>
      <w:r w:rsidR="00C32378">
        <w:rPr>
          <w:szCs w:val="22"/>
        </w:rPr>
        <w:t>or frustrate applicants?</w:t>
      </w:r>
      <w:r>
        <w:rPr>
          <w:rStyle w:val="FootnoteReference"/>
          <w:szCs w:val="22"/>
        </w:rPr>
        <w:footnoteReference w:id="9"/>
      </w:r>
      <w:r w:rsidR="00C32378">
        <w:rPr>
          <w:szCs w:val="22"/>
        </w:rPr>
        <w:t xml:space="preserve">  To the extent we utilized an optional approach, such as by adding one or more Tribal and Native</w:t>
      </w:r>
      <w:r w:rsidR="00453348">
        <w:rPr>
          <w:szCs w:val="22"/>
        </w:rPr>
        <w:t xml:space="preserve"> Hawaiian</w:t>
      </w:r>
      <w:r w:rsidR="00C32378">
        <w:rPr>
          <w:szCs w:val="22"/>
        </w:rPr>
        <w:t xml:space="preserve">-focused demographics questions to our forms, would that lead to a </w:t>
      </w:r>
      <w:r w:rsidR="005824CE">
        <w:rPr>
          <w:szCs w:val="22"/>
        </w:rPr>
        <w:t xml:space="preserve">more or </w:t>
      </w:r>
      <w:r w:rsidR="00C32378">
        <w:rPr>
          <w:szCs w:val="22"/>
        </w:rPr>
        <w:t>less robust response and data set?</w:t>
      </w:r>
      <w:r>
        <w:rPr>
          <w:rStyle w:val="FootnoteReference"/>
          <w:szCs w:val="22"/>
        </w:rPr>
        <w:footnoteReference w:id="10"/>
      </w:r>
      <w:r w:rsidR="005824CE">
        <w:rPr>
          <w:szCs w:val="22"/>
        </w:rPr>
        <w:t xml:space="preserve">  Under either approach, we seek comment on the appropriate categories, questions, and terminology that will recognize both the sovereign status of Tribal Nations, as well as the broad diversity </w:t>
      </w:r>
      <w:r w:rsidR="00447A34">
        <w:rPr>
          <w:szCs w:val="22"/>
        </w:rPr>
        <w:t xml:space="preserve">of Tribal Nations </w:t>
      </w:r>
      <w:r w:rsidR="005824CE">
        <w:rPr>
          <w:szCs w:val="22"/>
        </w:rPr>
        <w:t xml:space="preserve">and the Native Hawaiian </w:t>
      </w:r>
      <w:r w:rsidR="00944833">
        <w:rPr>
          <w:szCs w:val="22"/>
        </w:rPr>
        <w:t>C</w:t>
      </w:r>
      <w:r w:rsidR="005824CE">
        <w:rPr>
          <w:szCs w:val="22"/>
        </w:rPr>
        <w:t>ommunity.</w:t>
      </w:r>
      <w:r w:rsidR="00A1599B">
        <w:rPr>
          <w:szCs w:val="22"/>
        </w:rPr>
        <w:t xml:space="preserve">  For example, should we only collect </w:t>
      </w:r>
      <w:r w:rsidR="00AF1F0B">
        <w:rPr>
          <w:szCs w:val="22"/>
        </w:rPr>
        <w:t>identifying</w:t>
      </w:r>
      <w:r w:rsidR="00851F37">
        <w:rPr>
          <w:szCs w:val="22"/>
        </w:rPr>
        <w:t xml:space="preserve"> </w:t>
      </w:r>
      <w:r w:rsidR="00A1599B">
        <w:rPr>
          <w:szCs w:val="22"/>
        </w:rPr>
        <w:t xml:space="preserve">information </w:t>
      </w:r>
      <w:r w:rsidR="00851F37">
        <w:rPr>
          <w:szCs w:val="22"/>
        </w:rPr>
        <w:t xml:space="preserve">from </w:t>
      </w:r>
      <w:r w:rsidR="00A1599B">
        <w:rPr>
          <w:szCs w:val="22"/>
        </w:rPr>
        <w:t>Tribal Nations or government entities, or should we also solicit responses from non-government</w:t>
      </w:r>
      <w:r>
        <w:rPr>
          <w:szCs w:val="22"/>
        </w:rPr>
        <w:t>al Tribal</w:t>
      </w:r>
      <w:r w:rsidR="00A1599B">
        <w:rPr>
          <w:szCs w:val="22"/>
        </w:rPr>
        <w:t xml:space="preserve"> entities</w:t>
      </w:r>
      <w:r>
        <w:rPr>
          <w:szCs w:val="22"/>
        </w:rPr>
        <w:t>, such as businesses, or individual Tribal citizens</w:t>
      </w:r>
      <w:r w:rsidR="00A1599B">
        <w:rPr>
          <w:szCs w:val="22"/>
        </w:rPr>
        <w:t xml:space="preserve">?  </w:t>
      </w:r>
      <w:r w:rsidR="00027AED">
        <w:rPr>
          <w:szCs w:val="22"/>
        </w:rPr>
        <w:t xml:space="preserve">If we solicit responses from non-governmental Tribal entities, what criteria should we use to identify those entities (e.g., some minimum amount of Tribal control)?  </w:t>
      </w:r>
      <w:r w:rsidR="00A1599B">
        <w:rPr>
          <w:szCs w:val="22"/>
        </w:rPr>
        <w:t xml:space="preserve">How should we best collect </w:t>
      </w:r>
      <w:r>
        <w:rPr>
          <w:szCs w:val="22"/>
        </w:rPr>
        <w:t xml:space="preserve">applicant and licensing </w:t>
      </w:r>
      <w:r w:rsidR="00A1599B">
        <w:rPr>
          <w:szCs w:val="22"/>
        </w:rPr>
        <w:t xml:space="preserve">information </w:t>
      </w:r>
      <w:r>
        <w:rPr>
          <w:szCs w:val="22"/>
        </w:rPr>
        <w:t>from</w:t>
      </w:r>
      <w:r w:rsidR="00A1599B">
        <w:rPr>
          <w:szCs w:val="22"/>
        </w:rPr>
        <w:t xml:space="preserve"> the Native Hawaiian </w:t>
      </w:r>
      <w:r w:rsidR="00944833">
        <w:rPr>
          <w:szCs w:val="22"/>
        </w:rPr>
        <w:t>C</w:t>
      </w:r>
      <w:r w:rsidR="00A1599B">
        <w:rPr>
          <w:szCs w:val="22"/>
        </w:rPr>
        <w:t>ommunity, which does not currently have a government-to-government relationship with the United States?</w:t>
      </w:r>
      <w:r>
        <w:rPr>
          <w:rStyle w:val="FootnoteReference"/>
          <w:szCs w:val="22"/>
        </w:rPr>
        <w:footnoteReference w:id="11"/>
      </w:r>
    </w:p>
    <w:p w:rsidR="00B26703" w:rsidP="00684C7B" w14:paraId="487639B0" w14:textId="0D7ACF3F">
      <w:pPr>
        <w:spacing w:after="120"/>
        <w:ind w:firstLine="720"/>
        <w:rPr>
          <w:szCs w:val="22"/>
        </w:rPr>
      </w:pPr>
      <w:r>
        <w:rPr>
          <w:szCs w:val="22"/>
        </w:rPr>
        <w:t>We also seek comment on the extent to which Trib</w:t>
      </w:r>
      <w:r w:rsidR="00AC6BB9">
        <w:rPr>
          <w:szCs w:val="22"/>
        </w:rPr>
        <w:t>al Nation</w:t>
      </w:r>
      <w:r>
        <w:rPr>
          <w:szCs w:val="22"/>
        </w:rPr>
        <w:t xml:space="preserve">s and the Native Hawaiian </w:t>
      </w:r>
      <w:r w:rsidR="00944833">
        <w:rPr>
          <w:szCs w:val="22"/>
        </w:rPr>
        <w:t>C</w:t>
      </w:r>
      <w:r>
        <w:rPr>
          <w:szCs w:val="22"/>
        </w:rPr>
        <w:t>ommunity have been able to successfully access licensed spectrum through secondary market transactions</w:t>
      </w:r>
      <w:r w:rsidR="00F50595">
        <w:rPr>
          <w:szCs w:val="22"/>
        </w:rPr>
        <w:t xml:space="preserve"> in the recent past</w:t>
      </w:r>
      <w:r>
        <w:rPr>
          <w:szCs w:val="22"/>
        </w:rPr>
        <w:t xml:space="preserve">, including leasing arrangements </w:t>
      </w:r>
      <w:r w:rsidR="004B74E6">
        <w:rPr>
          <w:szCs w:val="22"/>
        </w:rPr>
        <w:t>and</w:t>
      </w:r>
      <w:r>
        <w:rPr>
          <w:szCs w:val="22"/>
        </w:rPr>
        <w:t xml:space="preserve"> the partitioning or disaggregation of licenses held by carriers or other non-Tribal entities.  </w:t>
      </w:r>
      <w:r w:rsidR="005B0827">
        <w:rPr>
          <w:szCs w:val="22"/>
        </w:rPr>
        <w:t>O</w:t>
      </w:r>
      <w:r>
        <w:rPr>
          <w:szCs w:val="22"/>
        </w:rPr>
        <w:t>ur new Enhanced Competition Incentive Program</w:t>
      </w:r>
      <w:r w:rsidR="00F50595">
        <w:rPr>
          <w:szCs w:val="22"/>
        </w:rPr>
        <w:t xml:space="preserve">, which </w:t>
      </w:r>
      <w:r w:rsidR="00577C47">
        <w:rPr>
          <w:szCs w:val="22"/>
        </w:rPr>
        <w:t>we anticipate launching</w:t>
      </w:r>
      <w:r w:rsidR="00F50595">
        <w:rPr>
          <w:szCs w:val="22"/>
        </w:rPr>
        <w:t xml:space="preserve"> later this year, </w:t>
      </w:r>
      <w:r w:rsidR="005B0827">
        <w:rPr>
          <w:szCs w:val="22"/>
        </w:rPr>
        <w:t>is designed to</w:t>
      </w:r>
      <w:r w:rsidR="00F50595">
        <w:rPr>
          <w:szCs w:val="22"/>
        </w:rPr>
        <w:t xml:space="preserve"> provide incentives that should spur greater </w:t>
      </w:r>
      <w:r w:rsidR="00F50595">
        <w:rPr>
          <w:szCs w:val="22"/>
        </w:rPr>
        <w:t>activity in this secondary market to the benefit of both Tribes and existing licensees.</w:t>
      </w:r>
      <w:r>
        <w:rPr>
          <w:rStyle w:val="FootnoteReference"/>
          <w:szCs w:val="22"/>
        </w:rPr>
        <w:footnoteReference w:id="12"/>
      </w:r>
      <w:r w:rsidR="00F50595">
        <w:rPr>
          <w:szCs w:val="22"/>
        </w:rPr>
        <w:t xml:space="preserve">  We plan to </w:t>
      </w:r>
      <w:r w:rsidR="004B74E6">
        <w:rPr>
          <w:szCs w:val="22"/>
        </w:rPr>
        <w:t>monitor the effectiveness of</w:t>
      </w:r>
      <w:r w:rsidR="00F50595">
        <w:rPr>
          <w:szCs w:val="22"/>
        </w:rPr>
        <w:t xml:space="preserve"> this program </w:t>
      </w:r>
      <w:r w:rsidR="0059077E">
        <w:rPr>
          <w:szCs w:val="22"/>
        </w:rPr>
        <w:t xml:space="preserve">for Tribal Nations </w:t>
      </w:r>
      <w:r w:rsidR="00F50595">
        <w:rPr>
          <w:szCs w:val="22"/>
        </w:rPr>
        <w:t>on a going forward basis,</w:t>
      </w:r>
      <w:r>
        <w:rPr>
          <w:rStyle w:val="FootnoteReference"/>
          <w:szCs w:val="22"/>
        </w:rPr>
        <w:footnoteReference w:id="13"/>
      </w:r>
      <w:r w:rsidR="00F50595">
        <w:rPr>
          <w:szCs w:val="22"/>
        </w:rPr>
        <w:t xml:space="preserve"> and seek comment here on the status quo in order to </w:t>
      </w:r>
      <w:r w:rsidR="00557B07">
        <w:rPr>
          <w:szCs w:val="22"/>
        </w:rPr>
        <w:t xml:space="preserve">develop </w:t>
      </w:r>
      <w:r w:rsidR="00F50595">
        <w:rPr>
          <w:szCs w:val="22"/>
        </w:rPr>
        <w:t>a baseline for future comparison.</w:t>
      </w:r>
    </w:p>
    <w:p w:rsidR="00CB67E9" w:rsidP="00CB67E9" w14:paraId="02EF9283" w14:textId="595D0483">
      <w:pPr>
        <w:spacing w:after="120"/>
        <w:ind w:firstLine="720"/>
        <w:rPr>
          <w:szCs w:val="22"/>
        </w:rPr>
      </w:pPr>
      <w:r>
        <w:rPr>
          <w:szCs w:val="22"/>
        </w:rPr>
        <w:t>We also note that there are a number of opportunities by which spectrum can be accessed without applying for a license, such as the General Authorized Access Tier of the Citizen’s Broadband Radio Service, and unlicensed use in White Spaces (470-614 MHz and 657-663 MHz band) and the 5 GHz band.</w:t>
      </w:r>
      <w:r>
        <w:rPr>
          <w:rStyle w:val="FootnoteReference"/>
          <w:szCs w:val="22"/>
        </w:rPr>
        <w:footnoteReference w:id="14"/>
      </w:r>
      <w:r>
        <w:rPr>
          <w:szCs w:val="22"/>
        </w:rPr>
        <w:t xml:space="preserve">  We seek comment on how we can evaluate the extent to which Tribal Nations and the Native Hawaiian Community are accessing spectrum through these opportunities as part of their network planning to enhance connectivity in their communities.  For example, should the Commission ask our Native Nations Communications Task Force to assist in compiling use case studies or lessons learned from existing and potential deployments?  Are there ways in which the Commission can expand awareness among Native communities about these services, or otherwise promote greater use thereof?</w:t>
      </w:r>
    </w:p>
    <w:p w:rsidR="00B26703" w:rsidP="00B26703" w14:paraId="2B42FF34" w14:textId="494A6401">
      <w:pPr>
        <w:spacing w:after="120"/>
        <w:ind w:firstLine="720"/>
        <w:rPr>
          <w:i/>
          <w:szCs w:val="22"/>
        </w:rPr>
      </w:pPr>
      <w:r>
        <w:rPr>
          <w:szCs w:val="22"/>
        </w:rPr>
        <w:t xml:space="preserve">In addition to soliciting written comments through this Public Notice, the </w:t>
      </w:r>
      <w:r w:rsidRPr="00624C1D">
        <w:t xml:space="preserve">Office of </w:t>
      </w:r>
      <w:r>
        <w:t xml:space="preserve">Native Affairs and Policy, with support from the Wireless Telecommunications Bureau, will conduct a contemporaneous outreach program </w:t>
      </w:r>
      <w:r w:rsidR="004B683A">
        <w:t>seeking</w:t>
      </w:r>
      <w:r>
        <w:t xml:space="preserve"> feedback from Trib</w:t>
      </w:r>
      <w:r w:rsidR="00E91CA4">
        <w:t>al Nation</w:t>
      </w:r>
      <w:r>
        <w:t xml:space="preserve">s and the Native Hawaiian </w:t>
      </w:r>
      <w:r w:rsidR="006C7CC5">
        <w:t>C</w:t>
      </w:r>
      <w:r>
        <w:t>ommunity.  We expect to make information available about related events and dates in the near future.</w:t>
      </w:r>
      <w:bookmarkEnd w:id="0"/>
    </w:p>
    <w:p w:rsidR="00607D1C" w:rsidRPr="00D0753F" w:rsidP="00B26703" w14:paraId="7C88C49C" w14:textId="68C23A6E">
      <w:pPr>
        <w:spacing w:after="120"/>
        <w:ind w:firstLine="720"/>
        <w:rPr>
          <w:szCs w:val="22"/>
        </w:rPr>
      </w:pPr>
      <w:r w:rsidRPr="00D0753F">
        <w:rPr>
          <w:i/>
          <w:szCs w:val="22"/>
        </w:rPr>
        <w:t>Filing Requirements</w:t>
      </w:r>
      <w:r w:rsidRPr="00D0753F">
        <w:rPr>
          <w:iCs/>
          <w:szCs w:val="22"/>
        </w:rPr>
        <w:t xml:space="preserve">.  </w:t>
      </w:r>
      <w:r w:rsidRPr="00D0753F">
        <w:rPr>
          <w:szCs w:val="22"/>
        </w:rPr>
        <w:t>Interested parties may file comments on or before the date indicated on the first page of this document.</w:t>
      </w:r>
      <w:r>
        <w:rPr>
          <w:rStyle w:val="FootnoteReference"/>
          <w:szCs w:val="22"/>
        </w:rPr>
        <w:footnoteReference w:id="15"/>
      </w:r>
      <w:r w:rsidRPr="00D0753F">
        <w:rPr>
          <w:szCs w:val="22"/>
        </w:rPr>
        <w:t xml:space="preserve">  All filings must refer to </w:t>
      </w:r>
      <w:r w:rsidR="008864F4">
        <w:rPr>
          <w:szCs w:val="22"/>
        </w:rPr>
        <w:t>GN</w:t>
      </w:r>
      <w:r w:rsidR="00AB062A">
        <w:rPr>
          <w:szCs w:val="22"/>
        </w:rPr>
        <w:t xml:space="preserve"> </w:t>
      </w:r>
      <w:r w:rsidRPr="00D0753F">
        <w:rPr>
          <w:szCs w:val="22"/>
        </w:rPr>
        <w:t xml:space="preserve">Docket No. </w:t>
      </w:r>
      <w:r w:rsidRPr="00AB062A" w:rsidR="00AB062A">
        <w:rPr>
          <w:szCs w:val="22"/>
        </w:rPr>
        <w:t>23</w:t>
      </w:r>
      <w:r w:rsidRPr="00AB062A">
        <w:rPr>
          <w:szCs w:val="22"/>
        </w:rPr>
        <w:t>-</w:t>
      </w:r>
      <w:r w:rsidRPr="004721F5" w:rsidR="004721F5">
        <w:rPr>
          <w:szCs w:val="22"/>
        </w:rPr>
        <w:t>265</w:t>
      </w:r>
      <w:r w:rsidRPr="004721F5">
        <w:rPr>
          <w:szCs w:val="22"/>
        </w:rPr>
        <w:t>.</w:t>
      </w:r>
      <w:r w:rsidRPr="00D0753F">
        <w:rPr>
          <w:szCs w:val="22"/>
        </w:rPr>
        <w:t xml:space="preserve">  Comments may be filed using the Commission’s Electronic Comment Filing System (ECFS).</w:t>
      </w:r>
      <w:r>
        <w:rPr>
          <w:rStyle w:val="FootnoteReference"/>
          <w:szCs w:val="22"/>
        </w:rPr>
        <w:footnoteReference w:id="16"/>
      </w:r>
      <w:r w:rsidRPr="00D0753F">
        <w:rPr>
          <w:szCs w:val="22"/>
        </w:rPr>
        <w:tab/>
      </w:r>
    </w:p>
    <w:p w:rsidR="00607D1C" w:rsidRPr="00E06DAD" w:rsidP="00607D1C" w14:paraId="25EB9D91" w14:textId="2E150A1A">
      <w:pPr>
        <w:pStyle w:val="ListParagraph"/>
        <w:widowControl/>
        <w:numPr>
          <w:ilvl w:val="0"/>
          <w:numId w:val="7"/>
        </w:numPr>
        <w:spacing w:after="120"/>
        <w:contextualSpacing w:val="0"/>
      </w:pPr>
      <w:r w:rsidRPr="00E06DAD">
        <w:t>Electronic Filers:  Comments may be filed electronically using the Internet by accessing ECFS:</w:t>
      </w:r>
      <w:r>
        <w:t xml:space="preserve">  </w:t>
      </w:r>
      <w:hyperlink r:id="rId5" w:history="1">
        <w:r w:rsidRPr="00CA74BB">
          <w:rPr>
            <w:rStyle w:val="Hyperlink"/>
          </w:rPr>
          <w:t>http://apps.fcc.gov/ecfs/</w:t>
        </w:r>
      </w:hyperlink>
      <w:r w:rsidRPr="00E06DAD">
        <w:t>.</w:t>
      </w:r>
      <w:r>
        <w:t xml:space="preserve"> </w:t>
      </w:r>
      <w:r w:rsidRPr="00E06DAD">
        <w:t xml:space="preserve">  </w:t>
      </w:r>
    </w:p>
    <w:p w:rsidR="00607D1C" w:rsidP="00607D1C" w14:paraId="5B08981E" w14:textId="1433EFC6">
      <w:pPr>
        <w:pStyle w:val="ListParagraph"/>
        <w:numPr>
          <w:ilvl w:val="0"/>
          <w:numId w:val="7"/>
        </w:numPr>
        <w:spacing w:after="120"/>
      </w:pPr>
      <w:r w:rsidRPr="00A117BD">
        <w:t xml:space="preserve">Paper Filers:  Parties who choose to file by paper must file an original and one copy of each filing. </w:t>
      </w:r>
      <w:r>
        <w:t xml:space="preserve"> </w:t>
      </w:r>
      <w:r w:rsidRPr="00607D1C">
        <w:t>If more than one docket or rulemaking number appears in the caption of this proceeding,</w:t>
      </w:r>
      <w:r>
        <w:t xml:space="preserve"> </w:t>
      </w:r>
      <w:r w:rsidRPr="00607D1C">
        <w:t>filers must submit two additional copies for each additional docket or rulemaking number.</w:t>
      </w:r>
    </w:p>
    <w:p w:rsidR="00577C47" w:rsidRPr="00E10087" w:rsidP="009269FE" w14:paraId="27823FD2" w14:textId="77777777">
      <w:pPr>
        <w:pStyle w:val="ListParagraph"/>
        <w:spacing w:after="120"/>
      </w:pPr>
    </w:p>
    <w:p w:rsidR="00607D1C" w:rsidRPr="00367935" w:rsidP="00607D1C" w14:paraId="73C0ABEF" w14:textId="75EF2130">
      <w:pPr>
        <w:pStyle w:val="ListParagraph"/>
        <w:widowControl/>
        <w:numPr>
          <w:ilvl w:val="0"/>
          <w:numId w:val="7"/>
        </w:numPr>
        <w:spacing w:after="120"/>
        <w:contextualSpacing w:val="0"/>
      </w:pPr>
      <w:r w:rsidRPr="00E10087">
        <w:t>Filings can be sent by commercial overnight courier, or by first-class or overnight U.S.</w:t>
      </w:r>
      <w:r>
        <w:t>-</w:t>
      </w:r>
      <w:r w:rsidRPr="00E10087">
        <w:t xml:space="preserve">Postal Service mail. </w:t>
      </w:r>
      <w:r>
        <w:t xml:space="preserve"> </w:t>
      </w:r>
      <w:r w:rsidRPr="00E10087">
        <w:t>All filings must be addressed to the Commission’s Secretary, Office of the Secretary, Federal Communications Commission.</w:t>
      </w:r>
    </w:p>
    <w:p w:rsidR="00607D1C" w:rsidRPr="00367935" w:rsidP="00607D1C" w14:paraId="4190E563" w14:textId="34399906">
      <w:pPr>
        <w:pStyle w:val="ListParagraph"/>
        <w:widowControl/>
        <w:numPr>
          <w:ilvl w:val="0"/>
          <w:numId w:val="7"/>
        </w:numPr>
        <w:spacing w:after="120"/>
        <w:contextualSpacing w:val="0"/>
      </w:pPr>
      <w:r w:rsidRPr="00367935">
        <w:t xml:space="preserve">Commercial overnight mail (other than U.S. Postal Service Express Mail and Priority Mail) must be sent to 9050 Junction Drive, Annapolis Junction, MD 20701. </w:t>
      </w:r>
      <w:r>
        <w:t xml:space="preserve"> U.S. Postal Service first-class, Express, and Priority mail must be addressed to 45 L Street, NE, Washington DC 20554.</w:t>
      </w:r>
    </w:p>
    <w:p w:rsidR="00607D1C" w:rsidP="00607D1C" w14:paraId="5F0350C4" w14:textId="77777777">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r w:rsidRPr="007F000A">
        <w:t xml:space="preserve">  </w:t>
      </w:r>
    </w:p>
    <w:p w:rsidR="00607D1C" w:rsidP="00607D1C" w14:paraId="7AAFEF37" w14:textId="40FDEBF1">
      <w:pPr>
        <w:widowControl/>
        <w:spacing w:after="120"/>
        <w:ind w:firstLine="720"/>
        <w:rPr>
          <w:szCs w:val="22"/>
        </w:rPr>
      </w:pPr>
      <w:r w:rsidRPr="00F83EBA">
        <w:rPr>
          <w:szCs w:val="22"/>
        </w:rPr>
        <w:t xml:space="preserve">People with Disabilities:  To request materials in accessible formats for people with disabilities (braille, large print, electronic files, audio format), send an e-mail to </w:t>
      </w:r>
      <w:hyperlink r:id="rId6" w:history="1">
        <w:r w:rsidRPr="00F83EBA">
          <w:rPr>
            <w:rStyle w:val="Hyperlink"/>
            <w:szCs w:val="22"/>
          </w:rPr>
          <w:t>fcc504@fcc.gov</w:t>
        </w:r>
      </w:hyperlink>
      <w:r w:rsidRPr="00F83EBA">
        <w:rPr>
          <w:szCs w:val="22"/>
        </w:rPr>
        <w:t xml:space="preserve"> or call the Consumer &amp; Governmental Affairs Bureau at 202-418-0530 (voice)</w:t>
      </w:r>
      <w:r>
        <w:rPr>
          <w:szCs w:val="22"/>
        </w:rPr>
        <w:t>.</w:t>
      </w:r>
    </w:p>
    <w:p w:rsidR="00607D1C" w:rsidRPr="00996CF0" w:rsidP="00BD6B36" w14:paraId="4A790A24" w14:textId="52615150">
      <w:pPr>
        <w:widowControl/>
        <w:autoSpaceDE w:val="0"/>
        <w:autoSpaceDN w:val="0"/>
        <w:adjustRightInd w:val="0"/>
        <w:spacing w:after="120"/>
        <w:ind w:firstLine="720"/>
        <w:rPr>
          <w:snapToGrid/>
          <w:color w:val="000000"/>
          <w:kern w:val="0"/>
          <w:szCs w:val="22"/>
        </w:rPr>
      </w:pPr>
      <w:r w:rsidRPr="00996CF0">
        <w:rPr>
          <w:i/>
          <w:szCs w:val="22"/>
        </w:rPr>
        <w:t>Ex Parte Rules</w:t>
      </w:r>
      <w:r w:rsidRPr="00996CF0">
        <w:rPr>
          <w:szCs w:val="22"/>
        </w:rPr>
        <w:t xml:space="preserve">.  </w:t>
      </w:r>
      <w:r w:rsidRPr="00996CF0" w:rsidR="00376C4A">
        <w:rPr>
          <w:snapToGrid/>
          <w:color w:val="000000"/>
          <w:kern w:val="0"/>
          <w:szCs w:val="22"/>
        </w:rPr>
        <w:t>This document is being released as part of a proceeding considered to be “exempt” for purposes of the Commission</w:t>
      </w:r>
      <w:r w:rsidRPr="00D0753F" w:rsidR="00997201">
        <w:rPr>
          <w:szCs w:val="22"/>
        </w:rPr>
        <w:t>’</w:t>
      </w:r>
      <w:r w:rsidRPr="00996CF0" w:rsidR="00376C4A">
        <w:rPr>
          <w:snapToGrid/>
          <w:color w:val="000000"/>
          <w:kern w:val="0"/>
          <w:szCs w:val="22"/>
        </w:rPr>
        <w:t xml:space="preserve">s </w:t>
      </w:r>
      <w:r w:rsidRPr="00996CF0" w:rsidR="00376C4A">
        <w:rPr>
          <w:i/>
          <w:iCs/>
          <w:snapToGrid/>
          <w:color w:val="000000"/>
          <w:kern w:val="0"/>
          <w:szCs w:val="22"/>
        </w:rPr>
        <w:t>ex parte</w:t>
      </w:r>
      <w:r w:rsidRPr="00996CF0" w:rsidR="00E75F52">
        <w:rPr>
          <w:i/>
          <w:iCs/>
          <w:snapToGrid/>
          <w:color w:val="000000"/>
          <w:kern w:val="0"/>
          <w:szCs w:val="22"/>
        </w:rPr>
        <w:t xml:space="preserve"> </w:t>
      </w:r>
      <w:r w:rsidRPr="00996CF0" w:rsidR="00376C4A">
        <w:rPr>
          <w:snapToGrid/>
          <w:color w:val="000000"/>
          <w:kern w:val="0"/>
          <w:szCs w:val="22"/>
        </w:rPr>
        <w:t>rules.</w:t>
      </w:r>
      <w:r>
        <w:rPr>
          <w:rStyle w:val="FootnoteReference"/>
          <w:snapToGrid/>
          <w:kern w:val="0"/>
          <w:szCs w:val="22"/>
        </w:rPr>
        <w:footnoteReference w:id="18"/>
      </w:r>
      <w:r w:rsidRPr="00996CF0" w:rsidR="00376C4A">
        <w:rPr>
          <w:snapToGrid/>
          <w:color w:val="000000"/>
          <w:kern w:val="0"/>
          <w:szCs w:val="22"/>
        </w:rPr>
        <w:t xml:space="preserve"> </w:t>
      </w:r>
      <w:r w:rsidRPr="00996CF0" w:rsidR="003F7AEF">
        <w:rPr>
          <w:snapToGrid/>
          <w:color w:val="000000"/>
          <w:kern w:val="0"/>
          <w:szCs w:val="22"/>
        </w:rPr>
        <w:t xml:space="preserve"> </w:t>
      </w:r>
      <w:r w:rsidRPr="00996CF0" w:rsidR="00376C4A">
        <w:rPr>
          <w:snapToGrid/>
          <w:color w:val="000000"/>
          <w:kern w:val="0"/>
          <w:szCs w:val="22"/>
        </w:rPr>
        <w:t>Participants in this proceeding should familiarize themselves with the Commission</w:t>
      </w:r>
      <w:r w:rsidRPr="00D0753F" w:rsidR="00EB2602">
        <w:rPr>
          <w:szCs w:val="22"/>
        </w:rPr>
        <w:t>’</w:t>
      </w:r>
      <w:r w:rsidRPr="00996CF0" w:rsidR="00376C4A">
        <w:rPr>
          <w:snapToGrid/>
          <w:color w:val="000000"/>
          <w:kern w:val="0"/>
          <w:szCs w:val="22"/>
        </w:rPr>
        <w:t xml:space="preserve">s </w:t>
      </w:r>
      <w:r w:rsidRPr="00996CF0" w:rsidR="00376C4A">
        <w:rPr>
          <w:i/>
          <w:iCs/>
          <w:snapToGrid/>
          <w:color w:val="000000"/>
          <w:kern w:val="0"/>
          <w:szCs w:val="22"/>
        </w:rPr>
        <w:t>ex parte</w:t>
      </w:r>
      <w:r w:rsidRPr="00996CF0" w:rsidR="00E75F52">
        <w:rPr>
          <w:i/>
          <w:iCs/>
          <w:snapToGrid/>
          <w:color w:val="000000"/>
          <w:kern w:val="0"/>
          <w:szCs w:val="22"/>
        </w:rPr>
        <w:t xml:space="preserve"> </w:t>
      </w:r>
      <w:r w:rsidRPr="00996CF0" w:rsidR="00376C4A">
        <w:rPr>
          <w:snapToGrid/>
          <w:color w:val="000000"/>
          <w:kern w:val="0"/>
          <w:szCs w:val="22"/>
        </w:rPr>
        <w:t>rules.</w:t>
      </w:r>
      <w:r>
        <w:rPr>
          <w:rStyle w:val="FootnoteReference"/>
          <w:snapToGrid/>
          <w:kern w:val="0"/>
          <w:szCs w:val="22"/>
        </w:rPr>
        <w:footnoteReference w:id="19"/>
      </w:r>
    </w:p>
    <w:p w:rsidR="001C2217" w:rsidP="001C2217" w14:paraId="73E02BA0" w14:textId="14B5A7D9">
      <w:pPr>
        <w:spacing w:after="120"/>
        <w:ind w:firstLine="720"/>
        <w:rPr>
          <w:szCs w:val="22"/>
        </w:rPr>
      </w:pPr>
      <w:r>
        <w:rPr>
          <w:szCs w:val="22"/>
        </w:rPr>
        <w:t>For further information</w:t>
      </w:r>
      <w:r w:rsidR="00F20BB8">
        <w:rPr>
          <w:szCs w:val="22"/>
        </w:rPr>
        <w:t xml:space="preserve"> regarding this proceeding</w:t>
      </w:r>
      <w:r>
        <w:rPr>
          <w:szCs w:val="22"/>
        </w:rPr>
        <w:t xml:space="preserve">, </w:t>
      </w:r>
      <w:r w:rsidR="00F20BB8">
        <w:rPr>
          <w:szCs w:val="22"/>
        </w:rPr>
        <w:t xml:space="preserve">please </w:t>
      </w:r>
      <w:r>
        <w:rPr>
          <w:szCs w:val="22"/>
        </w:rPr>
        <w:t xml:space="preserve">contact </w:t>
      </w:r>
      <w:r w:rsidR="00AB062A">
        <w:rPr>
          <w:szCs w:val="22"/>
        </w:rPr>
        <w:t>Susan Mort</w:t>
      </w:r>
      <w:r w:rsidR="00F20BB8">
        <w:rPr>
          <w:szCs w:val="22"/>
        </w:rPr>
        <w:t>,</w:t>
      </w:r>
      <w:r>
        <w:rPr>
          <w:szCs w:val="22"/>
        </w:rPr>
        <w:t xml:space="preserve"> Wireless Telecommunications Bureau at </w:t>
      </w:r>
      <w:hyperlink r:id="rId7" w:history="1">
        <w:r w:rsidRPr="00BC0018" w:rsidR="00AB062A">
          <w:rPr>
            <w:rStyle w:val="Hyperlink"/>
            <w:szCs w:val="22"/>
          </w:rPr>
          <w:t>Susan.Mort@fcc.gov</w:t>
        </w:r>
      </w:hyperlink>
      <w:r w:rsidR="00AB062A">
        <w:rPr>
          <w:szCs w:val="22"/>
        </w:rPr>
        <w:t xml:space="preserve"> or Bambi Kraus, Office of Native Affairs and Policy at </w:t>
      </w:r>
      <w:hyperlink r:id="rId8" w:history="1">
        <w:r w:rsidRPr="00A867E1" w:rsidR="00236412">
          <w:rPr>
            <w:rStyle w:val="Hyperlink"/>
            <w:szCs w:val="22"/>
          </w:rPr>
          <w:t>Bambi.Kraus@fcc.gov</w:t>
        </w:r>
      </w:hyperlink>
      <w:r>
        <w:rPr>
          <w:szCs w:val="22"/>
        </w:rPr>
        <w:t>.</w:t>
      </w:r>
      <w:r w:rsidR="00F20BB8">
        <w:rPr>
          <w:szCs w:val="22"/>
        </w:rPr>
        <w:t xml:space="preserve"> </w:t>
      </w:r>
    </w:p>
    <w:p w:rsidR="00607D1C" w:rsidP="00607D1C" w14:paraId="75F54059" w14:textId="77777777">
      <w:pPr>
        <w:autoSpaceDE w:val="0"/>
        <w:autoSpaceDN w:val="0"/>
        <w:adjustRightInd w:val="0"/>
        <w:rPr>
          <w:color w:val="000000"/>
          <w:szCs w:val="22"/>
        </w:rPr>
      </w:pPr>
    </w:p>
    <w:p w:rsidR="00607D1C" w:rsidRPr="00F20BB8" w:rsidP="00607D1C" w14:paraId="5CB27AA9" w14:textId="77777777">
      <w:pPr>
        <w:autoSpaceDE w:val="0"/>
        <w:autoSpaceDN w:val="0"/>
        <w:adjustRightInd w:val="0"/>
        <w:jc w:val="center"/>
        <w:rPr>
          <w:b/>
          <w:bCs/>
          <w:sz w:val="24"/>
        </w:rPr>
      </w:pPr>
      <w:r w:rsidRPr="00F20BB8">
        <w:rPr>
          <w:b/>
          <w:bCs/>
        </w:rPr>
        <w:t>- FCC -</w:t>
      </w:r>
      <w:r w:rsidRPr="00F20BB8">
        <w:rPr>
          <w:b/>
          <w:bCs/>
          <w:sz w:val="24"/>
        </w:rPr>
        <w:t xml:space="preserve"> </w:t>
      </w:r>
    </w:p>
    <w:p w:rsidR="009B4B2E" w14:paraId="1A86C8C3" w14:textId="368352DE">
      <w:pPr>
        <w:widowControl/>
      </w:pPr>
      <w:r>
        <w:br w:type="page"/>
      </w:r>
    </w:p>
    <w:p w:rsidR="0070691E" w:rsidRPr="00961F1D" w:rsidP="0070691E" w14:paraId="207A869E" w14:textId="77777777">
      <w:pPr>
        <w:spacing w:after="120"/>
        <w:jc w:val="center"/>
        <w:rPr>
          <w:b/>
          <w:snapToGrid/>
        </w:rPr>
      </w:pPr>
      <w:r w:rsidRPr="00961F1D">
        <w:rPr>
          <w:b/>
        </w:rPr>
        <w:t>APPENDIX A</w:t>
      </w:r>
    </w:p>
    <w:p w:rsidR="0008308B" w14:paraId="670ED33E" w14:textId="15F879D6"/>
    <w:p w:rsidR="00E943AD" w:rsidRPr="00A90937" w:rsidP="00A90937" w14:paraId="7866D5A3" w14:textId="17D8A332">
      <w:pPr>
        <w:jc w:val="center"/>
        <w:rPr>
          <w:b/>
          <w:bCs/>
        </w:rPr>
      </w:pPr>
      <w:r w:rsidRPr="00A90937">
        <w:rPr>
          <w:b/>
          <w:bCs/>
        </w:rPr>
        <w:t xml:space="preserve">CURRENT FCC FORM 601 </w:t>
      </w:r>
      <w:r w:rsidRPr="00A90937" w:rsidR="00FE60BD">
        <w:rPr>
          <w:b/>
          <w:bCs/>
        </w:rPr>
        <w:t>QUESTIONS</w:t>
      </w:r>
    </w:p>
    <w:p w:rsidR="00FE60BD" w14:paraId="6CF960D8" w14:textId="78DB657F"/>
    <w:p w:rsidR="00FE60BD" w14:paraId="13D1A57C" w14:textId="2FB3A124">
      <w:r>
        <w:t>Question 14:</w:t>
      </w:r>
    </w:p>
    <w:p w:rsidR="00E943AD" w14:paraId="4B667137" w14:textId="77777777"/>
    <w:p w:rsidR="00676E40" w14:paraId="4641BC2E" w14:textId="55E1932A">
      <w:r>
        <w:rPr>
          <w:noProof/>
          <w:snapToGrid/>
        </w:rPr>
        <w:drawing>
          <wp:inline distT="0" distB="0" distL="0" distR="0">
            <wp:extent cx="5943600" cy="67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a:stretch>
                      <a:fillRect/>
                    </a:stretch>
                  </pic:blipFill>
                  <pic:spPr>
                    <a:xfrm>
                      <a:off x="0" y="0"/>
                      <a:ext cx="5943600" cy="675005"/>
                    </a:xfrm>
                    <a:prstGeom prst="rect">
                      <a:avLst/>
                    </a:prstGeom>
                  </pic:spPr>
                </pic:pic>
              </a:graphicData>
            </a:graphic>
          </wp:inline>
        </w:drawing>
      </w:r>
    </w:p>
    <w:p w:rsidR="005B6C3E" w14:paraId="49D78B33" w14:textId="1C8B758F"/>
    <w:p w:rsidR="005B6C3E" w14:paraId="2D299F48" w14:textId="43CA0025"/>
    <w:p w:rsidR="00FE60BD" w14:paraId="37745360" w14:textId="023F1EBE"/>
    <w:p w:rsidR="00FE60BD" w14:paraId="4A8B235C" w14:textId="45CDBE36">
      <w:r>
        <w:t>Question 27:</w:t>
      </w:r>
    </w:p>
    <w:p w:rsidR="00A90937" w14:paraId="0106F8E2" w14:textId="77777777"/>
    <w:p w:rsidR="005B6C3E" w14:paraId="46C28061" w14:textId="3820E811">
      <w:r>
        <w:rPr>
          <w:noProof/>
          <w:snapToGrid/>
        </w:rPr>
        <w:drawing>
          <wp:inline distT="0" distB="0" distL="0" distR="0">
            <wp:extent cx="5943600" cy="11607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xmlns:r="http://schemas.openxmlformats.org/officeDocument/2006/relationships" r:embed="rId10"/>
                    <a:stretch>
                      <a:fillRect/>
                    </a:stretch>
                  </pic:blipFill>
                  <pic:spPr>
                    <a:xfrm>
                      <a:off x="0" y="0"/>
                      <a:ext cx="5943600" cy="1160780"/>
                    </a:xfrm>
                    <a:prstGeom prst="rect">
                      <a:avLst/>
                    </a:prstGeom>
                  </pic:spPr>
                </pic:pic>
              </a:graphicData>
            </a:graphic>
          </wp:inline>
        </w:drawing>
      </w:r>
    </w:p>
    <w:sectPr>
      <w:headerReference w:type="default" r:id="rId11"/>
      <w:footerReference w:type="even" r:id="rId12"/>
      <w:footerReference w:type="default" r:id="rId13"/>
      <w:head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5600B3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2A3A" w14:paraId="7400A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2A007093" w14:textId="27CE5D5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0A0A" w14:paraId="5BB1154A" w14:textId="77777777">
      <w:r>
        <w:separator/>
      </w:r>
    </w:p>
  </w:footnote>
  <w:footnote w:type="continuationSeparator" w:id="1">
    <w:p w:rsidR="00CE0A0A" w14:paraId="68DF5707" w14:textId="77777777">
      <w:pPr>
        <w:rPr>
          <w:sz w:val="20"/>
        </w:rPr>
      </w:pPr>
      <w:r>
        <w:rPr>
          <w:sz w:val="20"/>
        </w:rPr>
        <w:t xml:space="preserve">(Continued from previous page)  </w:t>
      </w:r>
      <w:r>
        <w:rPr>
          <w:sz w:val="20"/>
        </w:rPr>
        <w:separator/>
      </w:r>
    </w:p>
  </w:footnote>
  <w:footnote w:type="continuationNotice" w:id="2">
    <w:p w:rsidR="00CE0A0A" w14:paraId="26ED2FB8" w14:textId="77777777">
      <w:pPr>
        <w:jc w:val="right"/>
        <w:rPr>
          <w:sz w:val="20"/>
        </w:rPr>
      </w:pPr>
      <w:r>
        <w:rPr>
          <w:sz w:val="20"/>
        </w:rPr>
        <w:t>(continued….)</w:t>
      </w:r>
    </w:p>
  </w:footnote>
  <w:footnote w:id="3">
    <w:p w:rsidR="00C32ADE" w14:paraId="176D5655" w14:textId="707BB976">
      <w:pPr>
        <w:pStyle w:val="FootnoteText"/>
      </w:pPr>
      <w:r>
        <w:rPr>
          <w:rStyle w:val="FootnoteReference"/>
        </w:rPr>
        <w:footnoteRef/>
      </w:r>
      <w:r>
        <w:t xml:space="preserve"> </w:t>
      </w:r>
      <w:r w:rsidRPr="00073D84" w:rsidR="006F5AA8">
        <w:rPr>
          <w:i/>
          <w:iCs/>
        </w:rPr>
        <w:t>See</w:t>
      </w:r>
      <w:r w:rsidR="006F5AA8">
        <w:t xml:space="preserve"> 47 C.F.R. §73.7000 (</w:t>
      </w:r>
      <w:r w:rsidR="008B45B4">
        <w:t>“</w:t>
      </w:r>
      <w:r w:rsidRPr="009A6D07" w:rsidR="00900365">
        <w:rPr>
          <w:i/>
          <w:iCs/>
        </w:rPr>
        <w:t>Tribe</w:t>
      </w:r>
      <w:r w:rsidR="00900365">
        <w:t xml:space="preserve">.  </w:t>
      </w:r>
      <w:r w:rsidR="008B45B4">
        <w:t xml:space="preserve">Any Indian or Alaska Native </w:t>
      </w:r>
      <w:r w:rsidRPr="00073D84" w:rsidR="00073D84">
        <w:t>tribe</w:t>
      </w:r>
      <w:r w:rsidR="008B45B4">
        <w:t xml:space="preserve">, band, nation, pueblo, village or community which is acknowledged by the federal government to constitute a government-to-government relationship with the United </w:t>
      </w:r>
      <w:r w:rsidRPr="00073D84" w:rsidR="00073D84">
        <w:t>States</w:t>
      </w:r>
      <w:r w:rsidR="008B45B4">
        <w:t xml:space="preserve"> and eligible for the programs and services established by the United </w:t>
      </w:r>
      <w:r w:rsidRPr="00073D84" w:rsidR="00073D84">
        <w:t>States</w:t>
      </w:r>
      <w:r w:rsidR="008B45B4">
        <w:t xml:space="preserve"> for Indians.</w:t>
      </w:r>
      <w:r w:rsidR="00900365">
        <w:t xml:space="preserve">”).  </w:t>
      </w:r>
      <w:r w:rsidRPr="00491DF0" w:rsidR="00F65CF2">
        <w:rPr>
          <w:i/>
          <w:iCs/>
        </w:rPr>
        <w:t>See also</w:t>
      </w:r>
      <w:r w:rsidR="009637EE">
        <w:t xml:space="preserve"> Standard Operating Procedures Definitions, </w:t>
      </w:r>
      <w:r w:rsidR="0014558F">
        <w:t xml:space="preserve">US Department of the Interior, Office of Native Hawaiian Relations, </w:t>
      </w:r>
      <w:r w:rsidRPr="004C2D23" w:rsidR="0014558F">
        <w:rPr>
          <w:i/>
          <w:iCs/>
        </w:rPr>
        <w:t>available at</w:t>
      </w:r>
      <w:r w:rsidR="0014558F">
        <w:t xml:space="preserve"> </w:t>
      </w:r>
      <w:hyperlink r:id="rId1" w:history="1">
        <w:r w:rsidRPr="008F4D0A" w:rsidR="0084058A">
          <w:rPr>
            <w:rStyle w:val="Hyperlink"/>
          </w:rPr>
          <w:t>https://www.doi.gov/hawaiian/standard-operating-procedures-definitions</w:t>
        </w:r>
      </w:hyperlink>
      <w:r w:rsidR="0084058A">
        <w:t xml:space="preserve"> (“</w:t>
      </w:r>
      <w:r w:rsidRPr="009A6D07" w:rsidR="00F65CF2">
        <w:rPr>
          <w:rStyle w:val="Emphasis"/>
        </w:rPr>
        <w:t>Native Hawaiian Community (NHC)</w:t>
      </w:r>
      <w:r w:rsidR="00F65CF2">
        <w:t xml:space="preserve"> means the distinct Native Hawaiian indigenous political community that Congress, exercising its plenary power over Native American affairs, has recognized and with which Congress has implemented a special political and trust relationship.</w:t>
      </w:r>
      <w:r w:rsidR="0084058A">
        <w:t>”).</w:t>
      </w:r>
    </w:p>
  </w:footnote>
  <w:footnote w:id="4">
    <w:p w:rsidR="0054124A" w14:paraId="14B0AAD1" w14:textId="1BCCA549">
      <w:pPr>
        <w:pStyle w:val="FootnoteText"/>
      </w:pPr>
      <w:r>
        <w:rPr>
          <w:rStyle w:val="FootnoteReference"/>
        </w:rPr>
        <w:footnoteRef/>
      </w:r>
      <w:r>
        <w:t xml:space="preserve"> This </w:t>
      </w:r>
      <w:r w:rsidR="00BB60B3">
        <w:t>number</w:t>
      </w:r>
      <w:r>
        <w:t xml:space="preserve"> includes </w:t>
      </w:r>
      <w:r w:rsidR="00124339">
        <w:t>five</w:t>
      </w:r>
      <w:r>
        <w:t xml:space="preserve"> </w:t>
      </w:r>
      <w:r w:rsidR="007A3CD5">
        <w:t>licenses granted to</w:t>
      </w:r>
      <w:r>
        <w:t xml:space="preserve"> the Department of Hawaiian Homelands</w:t>
      </w:r>
      <w:r w:rsidR="00A1599B">
        <w:t>, a state agency in Hawaii,</w:t>
      </w:r>
      <w:r>
        <w:t xml:space="preserve"> on behalf of the Native Hawaiian </w:t>
      </w:r>
      <w:r w:rsidR="00BA2C5C">
        <w:t>C</w:t>
      </w:r>
      <w:r>
        <w:t>ommunity cover</w:t>
      </w:r>
      <w:r w:rsidR="007A3CD5">
        <w:t>ing</w:t>
      </w:r>
      <w:r>
        <w:t xml:space="preserve"> eligible Hawaiian Homelands.</w:t>
      </w:r>
      <w:r w:rsidR="00977D29">
        <w:t xml:space="preserve">  </w:t>
      </w:r>
      <w:r w:rsidR="00977D29">
        <w:rPr>
          <w:i/>
          <w:iCs/>
        </w:rPr>
        <w:t xml:space="preserve">See </w:t>
      </w:r>
      <w:r w:rsidR="00BB60B3">
        <w:t>call signs WRJS854, WRJS855, WRJS856, WRKV805, and WRKV806</w:t>
      </w:r>
      <w:r w:rsidR="00977D29">
        <w:t>.</w:t>
      </w:r>
    </w:p>
  </w:footnote>
  <w:footnote w:id="5">
    <w:p w:rsidR="001A46DD" w14:paraId="7E45DC80" w14:textId="6C342B76">
      <w:pPr>
        <w:pStyle w:val="FootnoteText"/>
      </w:pPr>
      <w:r>
        <w:rPr>
          <w:rStyle w:val="FootnoteReference"/>
        </w:rPr>
        <w:footnoteRef/>
      </w:r>
      <w:r>
        <w:t xml:space="preserve"> </w:t>
      </w:r>
      <w:r w:rsidRPr="008636EB" w:rsidR="00C8079F">
        <w:rPr>
          <w:i/>
          <w:iCs/>
        </w:rPr>
        <w:t>See</w:t>
      </w:r>
      <w:r w:rsidR="00C8079F">
        <w:rPr>
          <w:i/>
          <w:iCs/>
        </w:rPr>
        <w:t>,</w:t>
      </w:r>
      <w:r w:rsidRPr="008636EB" w:rsidR="00C8079F">
        <w:rPr>
          <w:i/>
          <w:iCs/>
        </w:rPr>
        <w:t xml:space="preserve"> e.g.</w:t>
      </w:r>
      <w:r w:rsidRPr="008636EB" w:rsidR="00C8079F">
        <w:t xml:space="preserve">, </w:t>
      </w:r>
      <w:r w:rsidR="007B3B14">
        <w:t xml:space="preserve">Emma Gautier, </w:t>
      </w:r>
      <w:r w:rsidRPr="007B3B14" w:rsidR="001C2217">
        <w:rPr>
          <w:i/>
          <w:iCs/>
        </w:rPr>
        <w:t>Rural Southeast Alaskan Tribes Leverage Spectrum for a Pilot Connecting Hard-to-Reach Communities</w:t>
      </w:r>
      <w:r w:rsidR="007B3B14">
        <w:t xml:space="preserve"> </w:t>
      </w:r>
      <w:r w:rsidRPr="00F80563" w:rsidR="007B3B14">
        <w:rPr>
          <w:rStyle w:val="normaltextrun"/>
        </w:rPr>
        <w:t xml:space="preserve">(Aug. </w:t>
      </w:r>
      <w:r w:rsidR="007B3B14">
        <w:rPr>
          <w:rStyle w:val="normaltextrun"/>
        </w:rPr>
        <w:t xml:space="preserve">24, </w:t>
      </w:r>
      <w:r w:rsidRPr="00F80563" w:rsidR="007B3B14">
        <w:rPr>
          <w:rStyle w:val="normaltextrun"/>
        </w:rPr>
        <w:t>2022)</w:t>
      </w:r>
      <w:r w:rsidR="007B3B14">
        <w:rPr>
          <w:rStyle w:val="normaltextrun"/>
        </w:rPr>
        <w:t xml:space="preserve">, </w:t>
      </w:r>
      <w:r w:rsidRPr="003C522C" w:rsidR="007B3B14">
        <w:rPr>
          <w:i/>
          <w:iCs/>
        </w:rPr>
        <w:t>available at</w:t>
      </w:r>
      <w:r w:rsidR="007B3B14">
        <w:rPr>
          <w:rStyle w:val="normaltextrun"/>
        </w:rPr>
        <w:t xml:space="preserve"> </w:t>
      </w:r>
      <w:hyperlink r:id="rId2" w:history="1">
        <w:r w:rsidRPr="00B872FA" w:rsidR="007B3B14">
          <w:rPr>
            <w:rStyle w:val="Hyperlink"/>
          </w:rPr>
          <w:t>https://muninetworks.org/content/rural-southeast-alaskan-tribes-leverage-spectrum-pilot-connecting-hard-reach-communities</w:t>
        </w:r>
      </w:hyperlink>
      <w:r w:rsidR="00C8079F">
        <w:t xml:space="preserve">; </w:t>
      </w:r>
      <w:r w:rsidR="000D395D">
        <w:t xml:space="preserve">Fabian Martinez, </w:t>
      </w:r>
      <w:r w:rsidRPr="005B7B5A" w:rsidR="000D395D">
        <w:rPr>
          <w:i/>
          <w:iCs/>
        </w:rPr>
        <w:t>Membership Receives Annual Update From Tribal Entities</w:t>
      </w:r>
      <w:r w:rsidR="000D395D">
        <w:t xml:space="preserve">, The Southern Ute Drum (Apr. 28, 2022), </w:t>
      </w:r>
      <w:r w:rsidRPr="005B7B5A" w:rsidR="000D395D">
        <w:rPr>
          <w:i/>
          <w:iCs/>
        </w:rPr>
        <w:t>available at</w:t>
      </w:r>
      <w:r w:rsidR="000D395D">
        <w:t xml:space="preserve"> </w:t>
      </w:r>
      <w:hyperlink r:id="rId3" w:tgtFrame="_blank" w:history="1">
        <w:r w:rsidRPr="00131B53" w:rsidR="000D395D">
          <w:rPr>
            <w:rStyle w:val="normaltextrun"/>
            <w:color w:val="0000FF"/>
            <w:u w:val="single"/>
          </w:rPr>
          <w:t>https://www.sudrum.com/top-stories/2022/04/28/membership-receives-annual-update-from-tribal-entities/</w:t>
        </w:r>
      </w:hyperlink>
      <w:r w:rsidRPr="002E6D32" w:rsidR="000D395D">
        <w:rPr>
          <w:rStyle w:val="normaltextrun"/>
          <w:color w:val="0000FF"/>
        </w:rPr>
        <w:t xml:space="preserve">; </w:t>
      </w:r>
      <w:r w:rsidR="00C8079F">
        <w:t xml:space="preserve">Karl Bode, </w:t>
      </w:r>
      <w:r w:rsidRPr="005B7B5A" w:rsidR="00C8079F">
        <w:rPr>
          <w:i/>
          <w:iCs/>
        </w:rPr>
        <w:t>Spurred by COVID-19, Colville Tribes Expand Free Wireless Service in Washington State</w:t>
      </w:r>
      <w:r w:rsidR="00C8079F">
        <w:rPr>
          <w:i/>
          <w:iCs/>
        </w:rPr>
        <w:t xml:space="preserve"> </w:t>
      </w:r>
      <w:r w:rsidRPr="005B7B5A" w:rsidR="00C8079F">
        <w:t>(Feb. 16, 2022)</w:t>
      </w:r>
      <w:r w:rsidR="00C8079F">
        <w:t xml:space="preserve">, </w:t>
      </w:r>
      <w:r w:rsidRPr="003C522C" w:rsidR="00C8079F">
        <w:rPr>
          <w:i/>
          <w:iCs/>
        </w:rPr>
        <w:t>available at</w:t>
      </w:r>
      <w:r w:rsidR="00C8079F">
        <w:t xml:space="preserve"> </w:t>
      </w:r>
      <w:hyperlink r:id="rId4" w:history="1">
        <w:r w:rsidRPr="0015489C" w:rsidR="00C8079F">
          <w:rPr>
            <w:rStyle w:val="Hyperlink"/>
          </w:rPr>
          <w:t>https://</w:t>
        </w:r>
        <w:r w:rsidRPr="00131B53" w:rsidR="00C8079F">
          <w:rPr>
            <w:rStyle w:val="Hyperlink"/>
          </w:rPr>
          <w:t>muninetworks</w:t>
        </w:r>
        <w:r w:rsidRPr="0015489C" w:rsidR="00C8079F">
          <w:rPr>
            <w:rStyle w:val="Hyperlink"/>
          </w:rPr>
          <w:t>.org/content/spurred-covid-19-colville-tribes-expand-free-wireless-service-washington-state</w:t>
        </w:r>
      </w:hyperlink>
      <w:r w:rsidR="00C8079F">
        <w:t>.</w:t>
      </w:r>
    </w:p>
  </w:footnote>
  <w:footnote w:id="6">
    <w:p w:rsidR="00E07AC6" w14:paraId="5AE0EED2" w14:textId="1ED7D81E">
      <w:pPr>
        <w:pStyle w:val="FootnoteText"/>
      </w:pPr>
      <w:r>
        <w:rPr>
          <w:rStyle w:val="FootnoteReference"/>
        </w:rPr>
        <w:footnoteRef/>
      </w:r>
      <w:r>
        <w:t xml:space="preserve"> </w:t>
      </w:r>
      <w:r w:rsidRPr="00534C07">
        <w:rPr>
          <w:i/>
          <w:iCs/>
        </w:rPr>
        <w:t>See</w:t>
      </w:r>
      <w:r>
        <w:t xml:space="preserve"> </w:t>
      </w:r>
      <w:r w:rsidR="00F80563">
        <w:t xml:space="preserve">U.S. Government Accountability Office, </w:t>
      </w:r>
      <w:r w:rsidR="0064791D">
        <w:t>Tribal Broadband: FCC Should Undertake Efforts to Better Promote Tribal Access to Spectrum</w:t>
      </w:r>
      <w:r w:rsidR="00BA5828">
        <w:t>, GAO 19-75</w:t>
      </w:r>
      <w:r w:rsidR="00534C07">
        <w:t xml:space="preserve"> at 1</w:t>
      </w:r>
      <w:r w:rsidR="008D240C">
        <w:t xml:space="preserve"> </w:t>
      </w:r>
      <w:r w:rsidR="00BA5828">
        <w:t xml:space="preserve">(2018) </w:t>
      </w:r>
      <w:r w:rsidR="008D240C">
        <w:t>(</w:t>
      </w:r>
      <w:r w:rsidRPr="008D240C" w:rsidR="008D240C">
        <w:rPr>
          <w:i/>
          <w:iCs/>
        </w:rPr>
        <w:t>GAO 19-75</w:t>
      </w:r>
      <w:r w:rsidR="008D240C">
        <w:t>)</w:t>
      </w:r>
      <w:r w:rsidR="00534C07">
        <w:t>.</w:t>
      </w:r>
    </w:p>
  </w:footnote>
  <w:footnote w:id="7">
    <w:p w:rsidR="002D1040" w14:paraId="4D584A76" w14:textId="3B0EACC1">
      <w:pPr>
        <w:pStyle w:val="FootnoteText"/>
      </w:pPr>
      <w:r>
        <w:rPr>
          <w:rStyle w:val="FootnoteReference"/>
        </w:rPr>
        <w:footnoteRef/>
      </w:r>
      <w:r>
        <w:t xml:space="preserve"> </w:t>
      </w:r>
      <w:r w:rsidRPr="000A1AFA" w:rsidR="00B613FE">
        <w:rPr>
          <w:i/>
          <w:iCs/>
        </w:rPr>
        <w:t>See</w:t>
      </w:r>
      <w:r w:rsidR="00B613FE">
        <w:t xml:space="preserve"> </w:t>
      </w:r>
      <w:r w:rsidRPr="009E4243" w:rsidR="00B613FE">
        <w:t>2.5 GHz Rural Tribal Application Details</w:t>
      </w:r>
      <w:r w:rsidR="00B613FE">
        <w:t>,</w:t>
      </w:r>
      <w:r w:rsidR="009E4243">
        <w:t xml:space="preserve"> </w:t>
      </w:r>
      <w:r w:rsidRPr="009E4243" w:rsidR="009E4243">
        <w:rPr>
          <w:i/>
          <w:iCs/>
        </w:rPr>
        <w:t>available at</w:t>
      </w:r>
      <w:r w:rsidR="00A049A6">
        <w:t xml:space="preserve"> </w:t>
      </w:r>
      <w:hyperlink r:id="rId5" w:history="1">
        <w:r w:rsidRPr="00B872FA" w:rsidR="00A049A6">
          <w:rPr>
            <w:rStyle w:val="Hyperlink"/>
          </w:rPr>
          <w:t>https://www.fcc.gov/25-ghz-rural-tribal-application-details</w:t>
        </w:r>
      </w:hyperlink>
      <w:r w:rsidR="00A049A6">
        <w:t>.</w:t>
      </w:r>
    </w:p>
  </w:footnote>
  <w:footnote w:id="8">
    <w:p w:rsidR="00FE7AB6" w14:paraId="4246114E" w14:textId="080427AF">
      <w:pPr>
        <w:pStyle w:val="FootnoteText"/>
      </w:pPr>
      <w:r>
        <w:rPr>
          <w:rStyle w:val="FootnoteReference"/>
        </w:rPr>
        <w:footnoteRef/>
      </w:r>
      <w:r>
        <w:t xml:space="preserve"> </w:t>
      </w:r>
      <w:r w:rsidRPr="00FE7AB6">
        <w:rPr>
          <w:i/>
          <w:iCs/>
        </w:rPr>
        <w:t>See</w:t>
      </w:r>
      <w:r>
        <w:t xml:space="preserve"> </w:t>
      </w:r>
      <w:r w:rsidRPr="008D240C">
        <w:rPr>
          <w:i/>
          <w:iCs/>
        </w:rPr>
        <w:t>GAO 19-75</w:t>
      </w:r>
      <w:r w:rsidR="002E5EA5">
        <w:t xml:space="preserve"> at 29</w:t>
      </w:r>
      <w:r>
        <w:rPr>
          <w:i/>
          <w:iCs/>
        </w:rPr>
        <w:t>.</w:t>
      </w:r>
    </w:p>
  </w:footnote>
  <w:footnote w:id="9">
    <w:p w:rsidR="00C32378" w14:paraId="365504CB" w14:textId="1143A274">
      <w:pPr>
        <w:pStyle w:val="FootnoteText"/>
      </w:pPr>
      <w:r>
        <w:rPr>
          <w:rStyle w:val="FootnoteReference"/>
        </w:rPr>
        <w:footnoteRef/>
      </w:r>
      <w:r>
        <w:t xml:space="preserve"> </w:t>
      </w:r>
      <w:r w:rsidRPr="00C32378">
        <w:rPr>
          <w:i/>
          <w:iCs/>
        </w:rPr>
        <w:t>See e.g.</w:t>
      </w:r>
      <w:r>
        <w:t>, FCC Form 601</w:t>
      </w:r>
      <w:r w:rsidR="00D703C8">
        <w:t>,</w:t>
      </w:r>
      <w:r w:rsidR="000E53C3">
        <w:t xml:space="preserve"> </w:t>
      </w:r>
      <w:r w:rsidRPr="000E53C3" w:rsidR="000E53C3">
        <w:rPr>
          <w:rStyle w:val="markedcontent"/>
        </w:rPr>
        <w:t>FCC Application for Radio Service Authorization: Wireless Telecommunications Bureau, Public Safety and Homeland Security Bureau</w:t>
      </w:r>
      <w:r w:rsidR="000E53C3">
        <w:rPr>
          <w:rStyle w:val="markedcontent"/>
        </w:rPr>
        <w:t xml:space="preserve"> at </w:t>
      </w:r>
      <w:r w:rsidR="000E53C3">
        <w:t>Question 14</w:t>
      </w:r>
      <w:r w:rsidR="00292C30">
        <w:t xml:space="preserve">, </w:t>
      </w:r>
      <w:r w:rsidRPr="000E53C3" w:rsidR="000E53C3">
        <w:rPr>
          <w:rStyle w:val="markedcontent"/>
        </w:rPr>
        <w:t>Applicant/Licensee Legal Entity Type,</w:t>
      </w:r>
      <w:r w:rsidRPr="000E53C3" w:rsidR="000E53C3">
        <w:t xml:space="preserve"> </w:t>
      </w:r>
      <w:r w:rsidRPr="000E53C3" w:rsidR="00D703C8">
        <w:rPr>
          <w:i/>
          <w:iCs/>
        </w:rPr>
        <w:t>available at</w:t>
      </w:r>
      <w:r w:rsidR="00D703C8">
        <w:t xml:space="preserve"> </w:t>
      </w:r>
      <w:hyperlink r:id="rId6" w:history="1">
        <w:r w:rsidRPr="00B872FA" w:rsidR="00D703C8">
          <w:rPr>
            <w:rStyle w:val="Hyperlink"/>
          </w:rPr>
          <w:t>https://www.fcc.gov/sites/default/files/fcc-form-601-main.pdf</w:t>
        </w:r>
      </w:hyperlink>
      <w:r w:rsidR="000E53C3">
        <w:t>.</w:t>
      </w:r>
      <w:r w:rsidR="00110D27">
        <w:t xml:space="preserve">  </w:t>
      </w:r>
      <w:r w:rsidRPr="00110D27" w:rsidR="00110D27">
        <w:rPr>
          <w:i/>
          <w:iCs/>
        </w:rPr>
        <w:t>See also</w:t>
      </w:r>
      <w:r w:rsidR="00110D27">
        <w:t xml:space="preserve"> Appendix A.</w:t>
      </w:r>
    </w:p>
  </w:footnote>
  <w:footnote w:id="10">
    <w:p w:rsidR="00C32378" w14:paraId="2E90E280" w14:textId="5EFD9AB4">
      <w:pPr>
        <w:pStyle w:val="FootnoteText"/>
      </w:pPr>
      <w:r>
        <w:rPr>
          <w:rStyle w:val="FootnoteReference"/>
        </w:rPr>
        <w:footnoteRef/>
      </w:r>
      <w:r>
        <w:t xml:space="preserve"> </w:t>
      </w:r>
      <w:r w:rsidRPr="00C32378" w:rsidR="00110D27">
        <w:rPr>
          <w:i/>
          <w:iCs/>
        </w:rPr>
        <w:t>See e.g.</w:t>
      </w:r>
      <w:r w:rsidR="00110D27">
        <w:t xml:space="preserve">, FCC Form 601, </w:t>
      </w:r>
      <w:r w:rsidRPr="000E53C3" w:rsidR="00110D27">
        <w:rPr>
          <w:rStyle w:val="markedcontent"/>
        </w:rPr>
        <w:t>FCC Application for Radio Service Authorization: Wireless Telecommunications Bureau, Public Safety and Homeland Security Bureau</w:t>
      </w:r>
      <w:r w:rsidR="00110D27">
        <w:rPr>
          <w:rStyle w:val="markedcontent"/>
        </w:rPr>
        <w:t xml:space="preserve"> at </w:t>
      </w:r>
      <w:r w:rsidR="0082424E">
        <w:t>Question 27, Demographics (Optional)</w:t>
      </w:r>
      <w:r w:rsidRPr="000E53C3" w:rsidR="00110D27">
        <w:rPr>
          <w:rStyle w:val="markedcontent"/>
        </w:rPr>
        <w:t>,</w:t>
      </w:r>
      <w:r w:rsidRPr="000E53C3" w:rsidR="00110D27">
        <w:t xml:space="preserve"> </w:t>
      </w:r>
      <w:r w:rsidRPr="000E53C3" w:rsidR="00110D27">
        <w:rPr>
          <w:i/>
          <w:iCs/>
        </w:rPr>
        <w:t>available at</w:t>
      </w:r>
      <w:r w:rsidR="00110D27">
        <w:t xml:space="preserve"> </w:t>
      </w:r>
      <w:hyperlink r:id="rId6" w:history="1">
        <w:r w:rsidRPr="00B872FA" w:rsidR="00110D27">
          <w:rPr>
            <w:rStyle w:val="Hyperlink"/>
          </w:rPr>
          <w:t>https://www.fcc.gov/sites/default/files/fcc-form-601-main.pdf</w:t>
        </w:r>
      </w:hyperlink>
      <w:r w:rsidR="00110D27">
        <w:t xml:space="preserve">.  </w:t>
      </w:r>
      <w:r w:rsidRPr="00110D27" w:rsidR="00110D27">
        <w:rPr>
          <w:i/>
          <w:iCs/>
        </w:rPr>
        <w:t>See also</w:t>
      </w:r>
      <w:r w:rsidR="00110D27">
        <w:t xml:space="preserve"> Appendix A</w:t>
      </w:r>
      <w:r w:rsidR="0082424E">
        <w:t>.</w:t>
      </w:r>
    </w:p>
  </w:footnote>
  <w:footnote w:id="11">
    <w:p w:rsidR="00A1599B" w14:paraId="617BBC3E" w14:textId="0B763836">
      <w:pPr>
        <w:pStyle w:val="FootnoteText"/>
      </w:pPr>
      <w:r>
        <w:rPr>
          <w:rStyle w:val="FootnoteReference"/>
        </w:rPr>
        <w:footnoteRef/>
      </w:r>
      <w:r>
        <w:t xml:space="preserve"> We note that during the Tribal Window, the Department of Hawaiian Homelands, a state agency in Hawaii, was granted a waiver to apply for 2.5 GHz licenses covering </w:t>
      </w:r>
      <w:r w:rsidR="003027AC">
        <w:t>eligible Hawaiian Homelands</w:t>
      </w:r>
      <w:r w:rsidR="00B613FE">
        <w:t xml:space="preserve"> on behalf of the Native Hawaiian </w:t>
      </w:r>
      <w:r w:rsidR="00ED7C1F">
        <w:t>C</w:t>
      </w:r>
      <w:r w:rsidR="00B613FE">
        <w:t>ommunity</w:t>
      </w:r>
      <w:r w:rsidR="003027AC">
        <w:t xml:space="preserve">.  </w:t>
      </w:r>
      <w:r w:rsidRPr="00A049A6" w:rsidR="00A049A6">
        <w:rPr>
          <w:i/>
          <w:iCs/>
        </w:rPr>
        <w:t>See In the Matter of Department of Hawaiian Homelands, Request for Waiver to File as an Eligible Entity in the 2.5 GHz Rural Tribal Priority Window</w:t>
      </w:r>
      <w:r w:rsidR="00A049A6">
        <w:t>, 35 FCC Rcd 2820 (</w:t>
      </w:r>
      <w:r w:rsidR="00BB60B3">
        <w:t xml:space="preserve">WTB </w:t>
      </w:r>
      <w:r w:rsidR="00A049A6">
        <w:t>2020).</w:t>
      </w:r>
    </w:p>
  </w:footnote>
  <w:footnote w:id="12">
    <w:p w:rsidR="00B613FE" w14:paraId="6AF1D8DA" w14:textId="3CD6DF61">
      <w:pPr>
        <w:pStyle w:val="FootnoteText"/>
      </w:pPr>
      <w:r>
        <w:rPr>
          <w:rStyle w:val="FootnoteReference"/>
        </w:rPr>
        <w:footnoteRef/>
      </w:r>
      <w:r>
        <w:t xml:space="preserve"> </w:t>
      </w:r>
      <w:r w:rsidRPr="00B613FE">
        <w:rPr>
          <w:i/>
          <w:iCs/>
        </w:rPr>
        <w:t>Partitioning, Disaggregation, and Leasing of Spectrum</w:t>
      </w:r>
      <w:r>
        <w:t>, WT Docket No. 19-38, Report and Order and Second Further Notice of Proposed Rulemaking, FCC</w:t>
      </w:r>
      <w:r w:rsidR="004B74E6">
        <w:t xml:space="preserve"> </w:t>
      </w:r>
      <w:r>
        <w:t>22-53 (Jul. 18, 2022).</w:t>
      </w:r>
    </w:p>
  </w:footnote>
  <w:footnote w:id="13">
    <w:p w:rsidR="004B74E6" w14:paraId="35719588" w14:textId="38BC686F">
      <w:pPr>
        <w:pStyle w:val="FootnoteText"/>
      </w:pPr>
      <w:r>
        <w:rPr>
          <w:rStyle w:val="FootnoteReference"/>
        </w:rPr>
        <w:footnoteRef/>
      </w:r>
      <w:r>
        <w:t xml:space="preserve"> </w:t>
      </w:r>
      <w:r w:rsidRPr="004B74E6">
        <w:rPr>
          <w:i/>
          <w:iCs/>
        </w:rPr>
        <w:t>Id</w:t>
      </w:r>
      <w:r>
        <w:t>. at para. 100.</w:t>
      </w:r>
    </w:p>
  </w:footnote>
  <w:footnote w:id="14">
    <w:p w:rsidR="00CB67E9" w:rsidP="00CB67E9" w14:paraId="5E3B963E" w14:textId="77777777">
      <w:pPr>
        <w:pStyle w:val="FootnoteText"/>
      </w:pPr>
      <w:r>
        <w:rPr>
          <w:rStyle w:val="FootnoteReference"/>
        </w:rPr>
        <w:footnoteRef/>
      </w:r>
      <w:r>
        <w:t xml:space="preserve"> </w:t>
      </w:r>
      <w:r w:rsidRPr="009A6D07">
        <w:rPr>
          <w:i/>
          <w:iCs/>
        </w:rPr>
        <w:t>See</w:t>
      </w:r>
      <w:r>
        <w:rPr>
          <w:i/>
          <w:iCs/>
        </w:rPr>
        <w:t xml:space="preserve"> e.g.,</w:t>
      </w:r>
      <w:r>
        <w:t xml:space="preserve"> 3.5 GHz Band Overview, </w:t>
      </w:r>
      <w:r w:rsidRPr="007B62E5">
        <w:rPr>
          <w:i/>
          <w:iCs/>
        </w:rPr>
        <w:t>available at</w:t>
      </w:r>
      <w:r>
        <w:t xml:space="preserve"> </w:t>
      </w:r>
      <w:hyperlink r:id="rId7" w:history="1">
        <w:r w:rsidRPr="008F4D0A">
          <w:rPr>
            <w:rStyle w:val="Hyperlink"/>
          </w:rPr>
          <w:t>https://www.fcc.gov/wireless/bureau-divisions/mobility-division/35-ghz-band/35-ghz-band-overview</w:t>
        </w:r>
      </w:hyperlink>
      <w:r>
        <w:t xml:space="preserve">; White Space, </w:t>
      </w:r>
      <w:r w:rsidRPr="009A6D07">
        <w:rPr>
          <w:i/>
          <w:iCs/>
        </w:rPr>
        <w:t>available at</w:t>
      </w:r>
      <w:r>
        <w:t xml:space="preserve"> </w:t>
      </w:r>
      <w:hyperlink r:id="rId8" w:history="1">
        <w:r w:rsidRPr="008F4D0A">
          <w:rPr>
            <w:rStyle w:val="Hyperlink"/>
          </w:rPr>
          <w:t>https://www.fcc.gov/general/white-space</w:t>
        </w:r>
      </w:hyperlink>
      <w:r>
        <w:t>.</w:t>
      </w:r>
    </w:p>
  </w:footnote>
  <w:footnote w:id="15">
    <w:p w:rsidR="00607D1C" w:rsidP="00607D1C" w14:paraId="461887A0" w14:textId="48B3987B">
      <w:pPr>
        <w:pStyle w:val="FootnoteText"/>
      </w:pPr>
      <w:r w:rsidRPr="00DC5F58">
        <w:rPr>
          <w:rStyle w:val="FootnoteReference"/>
        </w:rPr>
        <w:footnoteRef/>
      </w:r>
      <w:r w:rsidRPr="00DC5F58">
        <w:t xml:space="preserve"> </w:t>
      </w:r>
      <w:r w:rsidRPr="00D36E2B">
        <w:rPr>
          <w:i/>
          <w:iCs/>
        </w:rPr>
        <w:t xml:space="preserve">See </w:t>
      </w:r>
      <w:r w:rsidRPr="00D36E2B">
        <w:t>47 CFR §§ 1.2, 1.405, and 1.419.</w:t>
      </w:r>
    </w:p>
  </w:footnote>
  <w:footnote w:id="16">
    <w:p w:rsidR="00607D1C" w14:paraId="64F07106" w14:textId="2CED7E5A">
      <w:pPr>
        <w:pStyle w:val="FootnoteText"/>
      </w:pPr>
      <w:r>
        <w:rPr>
          <w:rStyle w:val="FootnoteReference"/>
        </w:rPr>
        <w:footnoteRef/>
      </w:r>
      <w:r>
        <w:t xml:space="preserve"> </w:t>
      </w:r>
      <w:r w:rsidRPr="00DC5F58">
        <w:rPr>
          <w:i/>
        </w:rPr>
        <w:t>See Electronic Filing of Documents in Rulemaking Proceedings</w:t>
      </w:r>
      <w:r w:rsidRPr="00DC5F58">
        <w:t>, 63 FR 24121</w:t>
      </w:r>
      <w:r>
        <w:t>-01</w:t>
      </w:r>
      <w:r w:rsidRPr="00DC5F58">
        <w:t xml:space="preserve"> (1998).</w:t>
      </w:r>
    </w:p>
  </w:footnote>
  <w:footnote w:id="17">
    <w:p w:rsidR="00607D1C" w:rsidRPr="00E06DAD" w:rsidP="00607D1C" w14:paraId="3617E3FC" w14:textId="410C2293">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w:t>
      </w:r>
      <w:r>
        <w:t>.</w:t>
      </w:r>
      <w:r w:rsidRPr="00E06DAD">
        <w:t xml:space="preserve"> 19, 2020)</w:t>
      </w:r>
      <w:r>
        <w:t xml:space="preserve">, </w:t>
      </w:r>
      <w:hyperlink r:id="rId9"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 w:id="18">
    <w:p w:rsidR="003F7AEF" w:rsidRPr="003F7AEF" w14:paraId="4165DA2B" w14:textId="24F22E9F">
      <w:pPr>
        <w:pStyle w:val="FootnoteText"/>
      </w:pPr>
      <w:r>
        <w:rPr>
          <w:rStyle w:val="FootnoteReference"/>
        </w:rPr>
        <w:footnoteRef/>
      </w:r>
      <w:r>
        <w:t xml:space="preserve"> </w:t>
      </w:r>
      <w:r>
        <w:rPr>
          <w:rFonts w:ascii="TimesNewRomanPS-ItalicMT" w:hAnsi="TimesNewRomanPS-ItalicMT" w:cs="TimesNewRomanPS-ItalicMT"/>
          <w:i/>
          <w:iCs/>
          <w:color w:val="000000"/>
        </w:rPr>
        <w:t xml:space="preserve">See </w:t>
      </w:r>
      <w:r w:rsidRPr="003F7AEF">
        <w:rPr>
          <w:rFonts w:ascii="TimesNewRomanPSMT" w:hAnsi="TimesNewRomanPSMT" w:cs="TimesNewRomanPSMT"/>
        </w:rPr>
        <w:t>47 CFR § 1.1204(b</w:t>
      </w:r>
      <w:r w:rsidR="00FC06E3">
        <w:rPr>
          <w:rFonts w:ascii="TimesNewRomanPSMT" w:hAnsi="TimesNewRomanPSMT" w:cs="TimesNewRomanPSMT"/>
        </w:rPr>
        <w:t>)</w:t>
      </w:r>
      <w:r w:rsidRPr="003F7AEF">
        <w:rPr>
          <w:rFonts w:ascii="TimesNewRomanPSMT" w:hAnsi="TimesNewRomanPSMT" w:cs="TimesNewRomanPSMT"/>
        </w:rPr>
        <w:t>.</w:t>
      </w:r>
    </w:p>
  </w:footnote>
  <w:footnote w:id="19">
    <w:p w:rsidR="00A94E2D" w:rsidRPr="00A94E2D" w14:paraId="7C8AA08E" w14:textId="322F6CED">
      <w:pPr>
        <w:pStyle w:val="FootnoteText"/>
      </w:pPr>
      <w:r>
        <w:rPr>
          <w:rStyle w:val="FootnoteReference"/>
        </w:rPr>
        <w:footnoteRef/>
      </w:r>
      <w:r>
        <w:t xml:space="preserve"> </w:t>
      </w:r>
      <w:r w:rsidR="009A039F">
        <w:rPr>
          <w:snapToGrid w:val="0"/>
        </w:rPr>
        <w:t xml:space="preserve">47 CFR §§ 1.1200 </w:t>
      </w:r>
      <w:r w:rsidR="009A039F">
        <w:rPr>
          <w:i/>
          <w:iCs/>
          <w:snapToGrid w:val="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7048FFD1" w14:textId="5C61A203">
    <w:pPr>
      <w:tabs>
        <w:tab w:val="center" w:pos="4680"/>
        <w:tab w:val="right" w:pos="9360"/>
      </w:tabs>
    </w:pPr>
    <w:r>
      <w:rPr>
        <w:b/>
      </w:rPr>
      <w:tab/>
      <w:t>Federal Communications Commission</w:t>
    </w:r>
    <w:r>
      <w:rPr>
        <w:b/>
      </w:rPr>
      <w:tab/>
    </w:r>
    <w:r w:rsidR="00AB062A">
      <w:rPr>
        <w:b/>
      </w:rPr>
      <w:t>DA 23-</w:t>
    </w:r>
    <w:r w:rsidR="007766FA">
      <w:rPr>
        <w:b/>
      </w:rPr>
      <w:t>660</w:t>
    </w:r>
  </w:p>
  <w:p w:rsidR="003E2A3A" w14:paraId="3B8AE817" w14:textId="0A6F4AD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00EDAC2D" w14:textId="346FE1C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0B128B8"/>
    <w:multiLevelType w:val="hybridMultilevel"/>
    <w:tmpl w:val="67F6A7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8B"/>
    <w:rsid w:val="00002AFB"/>
    <w:rsid w:val="00027AED"/>
    <w:rsid w:val="0003324B"/>
    <w:rsid w:val="00036ADF"/>
    <w:rsid w:val="00036E87"/>
    <w:rsid w:val="000372F3"/>
    <w:rsid w:val="00044BEF"/>
    <w:rsid w:val="00052BAC"/>
    <w:rsid w:val="00057800"/>
    <w:rsid w:val="000705A7"/>
    <w:rsid w:val="00073D84"/>
    <w:rsid w:val="0008308B"/>
    <w:rsid w:val="000A1AFA"/>
    <w:rsid w:val="000D0CB1"/>
    <w:rsid w:val="000D395D"/>
    <w:rsid w:val="000E47ED"/>
    <w:rsid w:val="000E53C3"/>
    <w:rsid w:val="000F5AB2"/>
    <w:rsid w:val="00110D27"/>
    <w:rsid w:val="00120D50"/>
    <w:rsid w:val="00124339"/>
    <w:rsid w:val="00131B53"/>
    <w:rsid w:val="0014511C"/>
    <w:rsid w:val="0014558F"/>
    <w:rsid w:val="00150CB8"/>
    <w:rsid w:val="0015489C"/>
    <w:rsid w:val="001844A5"/>
    <w:rsid w:val="00192B49"/>
    <w:rsid w:val="001A46DD"/>
    <w:rsid w:val="001B2BB6"/>
    <w:rsid w:val="001C07D6"/>
    <w:rsid w:val="001C2217"/>
    <w:rsid w:val="001C4773"/>
    <w:rsid w:val="001C5391"/>
    <w:rsid w:val="0021015E"/>
    <w:rsid w:val="0021537F"/>
    <w:rsid w:val="00217CF5"/>
    <w:rsid w:val="002304FA"/>
    <w:rsid w:val="00230DD2"/>
    <w:rsid w:val="00236412"/>
    <w:rsid w:val="00246368"/>
    <w:rsid w:val="00254B6D"/>
    <w:rsid w:val="00281834"/>
    <w:rsid w:val="00292C30"/>
    <w:rsid w:val="0029406A"/>
    <w:rsid w:val="00294D85"/>
    <w:rsid w:val="002A0E40"/>
    <w:rsid w:val="002B5990"/>
    <w:rsid w:val="002C53B3"/>
    <w:rsid w:val="002D04F1"/>
    <w:rsid w:val="002D1040"/>
    <w:rsid w:val="002E03DE"/>
    <w:rsid w:val="002E5CDE"/>
    <w:rsid w:val="002E5EA5"/>
    <w:rsid w:val="002E6D32"/>
    <w:rsid w:val="00300248"/>
    <w:rsid w:val="003027AC"/>
    <w:rsid w:val="003109A1"/>
    <w:rsid w:val="0031360F"/>
    <w:rsid w:val="00341E7B"/>
    <w:rsid w:val="00357414"/>
    <w:rsid w:val="00367935"/>
    <w:rsid w:val="00376C4A"/>
    <w:rsid w:val="00386522"/>
    <w:rsid w:val="003B4CA1"/>
    <w:rsid w:val="003B5976"/>
    <w:rsid w:val="003B5AAF"/>
    <w:rsid w:val="003C0B99"/>
    <w:rsid w:val="003C522C"/>
    <w:rsid w:val="003D0375"/>
    <w:rsid w:val="003D2890"/>
    <w:rsid w:val="003D2BE3"/>
    <w:rsid w:val="003D30C0"/>
    <w:rsid w:val="003D437C"/>
    <w:rsid w:val="003E121B"/>
    <w:rsid w:val="003E2A3A"/>
    <w:rsid w:val="003F7AEF"/>
    <w:rsid w:val="004264D6"/>
    <w:rsid w:val="004317CC"/>
    <w:rsid w:val="00437C0E"/>
    <w:rsid w:val="00443301"/>
    <w:rsid w:val="00447A34"/>
    <w:rsid w:val="00452889"/>
    <w:rsid w:val="00453348"/>
    <w:rsid w:val="004721F5"/>
    <w:rsid w:val="004757D3"/>
    <w:rsid w:val="004850BB"/>
    <w:rsid w:val="00490477"/>
    <w:rsid w:val="00491DF0"/>
    <w:rsid w:val="004A2446"/>
    <w:rsid w:val="004B1FA0"/>
    <w:rsid w:val="004B683A"/>
    <w:rsid w:val="004B6A95"/>
    <w:rsid w:val="004B74E6"/>
    <w:rsid w:val="004C2D23"/>
    <w:rsid w:val="004D0335"/>
    <w:rsid w:val="004D3EE0"/>
    <w:rsid w:val="004D649A"/>
    <w:rsid w:val="004E00C3"/>
    <w:rsid w:val="004F13CC"/>
    <w:rsid w:val="00500C69"/>
    <w:rsid w:val="00534C07"/>
    <w:rsid w:val="0054124A"/>
    <w:rsid w:val="00546E12"/>
    <w:rsid w:val="005569FA"/>
    <w:rsid w:val="00557B07"/>
    <w:rsid w:val="00565BA7"/>
    <w:rsid w:val="00566E7A"/>
    <w:rsid w:val="00567F56"/>
    <w:rsid w:val="00577C47"/>
    <w:rsid w:val="005824CE"/>
    <w:rsid w:val="005876C8"/>
    <w:rsid w:val="0059077E"/>
    <w:rsid w:val="005A3063"/>
    <w:rsid w:val="005B0827"/>
    <w:rsid w:val="005B6C3E"/>
    <w:rsid w:val="005B7B5A"/>
    <w:rsid w:val="005C2835"/>
    <w:rsid w:val="005C2A7F"/>
    <w:rsid w:val="005C6B76"/>
    <w:rsid w:val="005D4F72"/>
    <w:rsid w:val="005D72D7"/>
    <w:rsid w:val="005D7F4B"/>
    <w:rsid w:val="005E313F"/>
    <w:rsid w:val="005E5AE4"/>
    <w:rsid w:val="005E7DD4"/>
    <w:rsid w:val="0060427D"/>
    <w:rsid w:val="00607D1C"/>
    <w:rsid w:val="00611228"/>
    <w:rsid w:val="00624C1D"/>
    <w:rsid w:val="006301C1"/>
    <w:rsid w:val="00636219"/>
    <w:rsid w:val="00636858"/>
    <w:rsid w:val="00645F89"/>
    <w:rsid w:val="00647478"/>
    <w:rsid w:val="0064791D"/>
    <w:rsid w:val="0065159D"/>
    <w:rsid w:val="00673CD5"/>
    <w:rsid w:val="00676E40"/>
    <w:rsid w:val="00680710"/>
    <w:rsid w:val="00684C7B"/>
    <w:rsid w:val="00685A5F"/>
    <w:rsid w:val="00693526"/>
    <w:rsid w:val="00694270"/>
    <w:rsid w:val="00694BA4"/>
    <w:rsid w:val="006B638C"/>
    <w:rsid w:val="006C2AC9"/>
    <w:rsid w:val="006C6C86"/>
    <w:rsid w:val="006C7218"/>
    <w:rsid w:val="006C7CC5"/>
    <w:rsid w:val="006D273B"/>
    <w:rsid w:val="006D53D2"/>
    <w:rsid w:val="006D689C"/>
    <w:rsid w:val="006E5A04"/>
    <w:rsid w:val="006E6B49"/>
    <w:rsid w:val="006E7D0A"/>
    <w:rsid w:val="006F5AA8"/>
    <w:rsid w:val="0070691E"/>
    <w:rsid w:val="00731D6A"/>
    <w:rsid w:val="0073250B"/>
    <w:rsid w:val="007362E3"/>
    <w:rsid w:val="00742E6F"/>
    <w:rsid w:val="007635F3"/>
    <w:rsid w:val="00767601"/>
    <w:rsid w:val="007766FA"/>
    <w:rsid w:val="007777B6"/>
    <w:rsid w:val="0079279F"/>
    <w:rsid w:val="00793642"/>
    <w:rsid w:val="007A3CD5"/>
    <w:rsid w:val="007B3B14"/>
    <w:rsid w:val="007B5E46"/>
    <w:rsid w:val="007B5EA6"/>
    <w:rsid w:val="007B62E5"/>
    <w:rsid w:val="007C2224"/>
    <w:rsid w:val="007C590A"/>
    <w:rsid w:val="007D5A11"/>
    <w:rsid w:val="007D6D82"/>
    <w:rsid w:val="007F000A"/>
    <w:rsid w:val="0082424E"/>
    <w:rsid w:val="0084058A"/>
    <w:rsid w:val="00843949"/>
    <w:rsid w:val="00851F37"/>
    <w:rsid w:val="008636EB"/>
    <w:rsid w:val="00865EF8"/>
    <w:rsid w:val="00866114"/>
    <w:rsid w:val="00874AAF"/>
    <w:rsid w:val="008768F6"/>
    <w:rsid w:val="00877B0A"/>
    <w:rsid w:val="00883554"/>
    <w:rsid w:val="008864F4"/>
    <w:rsid w:val="00887EB1"/>
    <w:rsid w:val="00894749"/>
    <w:rsid w:val="008B2E13"/>
    <w:rsid w:val="008B45B4"/>
    <w:rsid w:val="008D240C"/>
    <w:rsid w:val="008E1183"/>
    <w:rsid w:val="008E28D2"/>
    <w:rsid w:val="008F4D0A"/>
    <w:rsid w:val="00900365"/>
    <w:rsid w:val="009050C2"/>
    <w:rsid w:val="00912761"/>
    <w:rsid w:val="00923F0E"/>
    <w:rsid w:val="0092423E"/>
    <w:rsid w:val="009269FE"/>
    <w:rsid w:val="00932C30"/>
    <w:rsid w:val="009375D3"/>
    <w:rsid w:val="00944833"/>
    <w:rsid w:val="00961F1D"/>
    <w:rsid w:val="009637EE"/>
    <w:rsid w:val="009677E1"/>
    <w:rsid w:val="00967F98"/>
    <w:rsid w:val="00977D29"/>
    <w:rsid w:val="00996CF0"/>
    <w:rsid w:val="00997201"/>
    <w:rsid w:val="009A039F"/>
    <w:rsid w:val="009A3994"/>
    <w:rsid w:val="009A6D07"/>
    <w:rsid w:val="009B1A29"/>
    <w:rsid w:val="009B4B2E"/>
    <w:rsid w:val="009B692B"/>
    <w:rsid w:val="009C5596"/>
    <w:rsid w:val="009C6B21"/>
    <w:rsid w:val="009D1515"/>
    <w:rsid w:val="009D1FE9"/>
    <w:rsid w:val="009D3E61"/>
    <w:rsid w:val="009E4243"/>
    <w:rsid w:val="009E5DA6"/>
    <w:rsid w:val="009F1C5C"/>
    <w:rsid w:val="009F6EB5"/>
    <w:rsid w:val="00A049A6"/>
    <w:rsid w:val="00A117BD"/>
    <w:rsid w:val="00A1599B"/>
    <w:rsid w:val="00A20F8C"/>
    <w:rsid w:val="00A267F8"/>
    <w:rsid w:val="00A44C57"/>
    <w:rsid w:val="00A463E0"/>
    <w:rsid w:val="00A679C8"/>
    <w:rsid w:val="00A70ED8"/>
    <w:rsid w:val="00A7170D"/>
    <w:rsid w:val="00A81682"/>
    <w:rsid w:val="00A867E1"/>
    <w:rsid w:val="00A90937"/>
    <w:rsid w:val="00A94E2D"/>
    <w:rsid w:val="00A970B5"/>
    <w:rsid w:val="00AA3699"/>
    <w:rsid w:val="00AB062A"/>
    <w:rsid w:val="00AB6401"/>
    <w:rsid w:val="00AC6BB9"/>
    <w:rsid w:val="00AD5C85"/>
    <w:rsid w:val="00AD78A6"/>
    <w:rsid w:val="00AF191E"/>
    <w:rsid w:val="00AF1F0B"/>
    <w:rsid w:val="00B059A5"/>
    <w:rsid w:val="00B21F23"/>
    <w:rsid w:val="00B24EDD"/>
    <w:rsid w:val="00B26703"/>
    <w:rsid w:val="00B33AE6"/>
    <w:rsid w:val="00B367D0"/>
    <w:rsid w:val="00B40EEF"/>
    <w:rsid w:val="00B41E0D"/>
    <w:rsid w:val="00B52073"/>
    <w:rsid w:val="00B53A65"/>
    <w:rsid w:val="00B613FE"/>
    <w:rsid w:val="00B72E20"/>
    <w:rsid w:val="00B7439C"/>
    <w:rsid w:val="00B83687"/>
    <w:rsid w:val="00B83C65"/>
    <w:rsid w:val="00B872FA"/>
    <w:rsid w:val="00B90D42"/>
    <w:rsid w:val="00BA2C5C"/>
    <w:rsid w:val="00BA5828"/>
    <w:rsid w:val="00BB3A64"/>
    <w:rsid w:val="00BB60B3"/>
    <w:rsid w:val="00BC0018"/>
    <w:rsid w:val="00BD30C3"/>
    <w:rsid w:val="00BD5028"/>
    <w:rsid w:val="00BD6B36"/>
    <w:rsid w:val="00BE268F"/>
    <w:rsid w:val="00BF58D4"/>
    <w:rsid w:val="00C11CCC"/>
    <w:rsid w:val="00C14C2A"/>
    <w:rsid w:val="00C15BFF"/>
    <w:rsid w:val="00C23B0D"/>
    <w:rsid w:val="00C24882"/>
    <w:rsid w:val="00C32378"/>
    <w:rsid w:val="00C32ADE"/>
    <w:rsid w:val="00C6082D"/>
    <w:rsid w:val="00C65BA4"/>
    <w:rsid w:val="00C8079F"/>
    <w:rsid w:val="00C86F4A"/>
    <w:rsid w:val="00CA09ED"/>
    <w:rsid w:val="00CA72FF"/>
    <w:rsid w:val="00CA74BB"/>
    <w:rsid w:val="00CB67E9"/>
    <w:rsid w:val="00CD5962"/>
    <w:rsid w:val="00CE0A0A"/>
    <w:rsid w:val="00CF1580"/>
    <w:rsid w:val="00CF3B66"/>
    <w:rsid w:val="00D0515C"/>
    <w:rsid w:val="00D0753F"/>
    <w:rsid w:val="00D24C1B"/>
    <w:rsid w:val="00D340CF"/>
    <w:rsid w:val="00D36E2B"/>
    <w:rsid w:val="00D4180C"/>
    <w:rsid w:val="00D434A7"/>
    <w:rsid w:val="00D60223"/>
    <w:rsid w:val="00D64748"/>
    <w:rsid w:val="00D703C8"/>
    <w:rsid w:val="00D77DDB"/>
    <w:rsid w:val="00D8512B"/>
    <w:rsid w:val="00D871A3"/>
    <w:rsid w:val="00DA3A13"/>
    <w:rsid w:val="00DA7BD0"/>
    <w:rsid w:val="00DC5F58"/>
    <w:rsid w:val="00DF7238"/>
    <w:rsid w:val="00E06DAD"/>
    <w:rsid w:val="00E07AC6"/>
    <w:rsid w:val="00E10087"/>
    <w:rsid w:val="00E110B8"/>
    <w:rsid w:val="00E13931"/>
    <w:rsid w:val="00E13ADD"/>
    <w:rsid w:val="00E16535"/>
    <w:rsid w:val="00E20A6E"/>
    <w:rsid w:val="00E20CF8"/>
    <w:rsid w:val="00E4640C"/>
    <w:rsid w:val="00E52045"/>
    <w:rsid w:val="00E54A43"/>
    <w:rsid w:val="00E556D4"/>
    <w:rsid w:val="00E63DCD"/>
    <w:rsid w:val="00E74023"/>
    <w:rsid w:val="00E74296"/>
    <w:rsid w:val="00E75F52"/>
    <w:rsid w:val="00E91CA4"/>
    <w:rsid w:val="00E943AD"/>
    <w:rsid w:val="00E9611B"/>
    <w:rsid w:val="00EB2602"/>
    <w:rsid w:val="00EB3A49"/>
    <w:rsid w:val="00ED7C1F"/>
    <w:rsid w:val="00EF37C5"/>
    <w:rsid w:val="00F03A2C"/>
    <w:rsid w:val="00F20BB8"/>
    <w:rsid w:val="00F31291"/>
    <w:rsid w:val="00F41047"/>
    <w:rsid w:val="00F50595"/>
    <w:rsid w:val="00F65CF2"/>
    <w:rsid w:val="00F80563"/>
    <w:rsid w:val="00F83EBA"/>
    <w:rsid w:val="00F94021"/>
    <w:rsid w:val="00F95326"/>
    <w:rsid w:val="00FB1EE5"/>
    <w:rsid w:val="00FB7F79"/>
    <w:rsid w:val="00FC06E3"/>
    <w:rsid w:val="00FD25E5"/>
    <w:rsid w:val="00FE5F1F"/>
    <w:rsid w:val="00FE60BD"/>
    <w:rsid w:val="00FE7AB6"/>
    <w:rsid w:val="00FF3424"/>
    <w:rsid w:val="032311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F95AA1"/>
  <w15:chartTrackingRefBased/>
  <w15:docId w15:val="{3BA55037-CDB6-4E1B-85F4-088F62F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FollowedHyperlink">
    <w:name w:val="FollowedHyperlink"/>
    <w:uiPriority w:val="99"/>
    <w:semiHidden/>
    <w:unhideWhenUsed/>
    <w:rsid w:val="00E4640C"/>
    <w:rPr>
      <w:color w:val="954F72"/>
      <w:u w:val="single"/>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uiPriority w:val="99"/>
    <w:rsid w:val="00607D1C"/>
  </w:style>
  <w:style w:type="paragraph" w:styleId="ListParagraph">
    <w:name w:val="List Paragraph"/>
    <w:basedOn w:val="Normal"/>
    <w:uiPriority w:val="34"/>
    <w:qFormat/>
    <w:rsid w:val="00607D1C"/>
    <w:pPr>
      <w:ind w:left="720"/>
      <w:contextualSpacing/>
    </w:pPr>
  </w:style>
  <w:style w:type="paragraph" w:styleId="Revision">
    <w:name w:val="Revision"/>
    <w:hidden/>
    <w:uiPriority w:val="99"/>
    <w:semiHidden/>
    <w:rsid w:val="00B52073"/>
    <w:rPr>
      <w:snapToGrid w:val="0"/>
      <w:kern w:val="28"/>
      <w:sz w:val="22"/>
    </w:rPr>
  </w:style>
  <w:style w:type="character" w:styleId="CommentReference">
    <w:name w:val="annotation reference"/>
    <w:basedOn w:val="DefaultParagraphFont"/>
    <w:uiPriority w:val="99"/>
    <w:semiHidden/>
    <w:unhideWhenUsed/>
    <w:rsid w:val="00E13931"/>
    <w:rPr>
      <w:sz w:val="16"/>
      <w:szCs w:val="16"/>
    </w:rPr>
  </w:style>
  <w:style w:type="paragraph" w:styleId="CommentText">
    <w:name w:val="annotation text"/>
    <w:basedOn w:val="Normal"/>
    <w:link w:val="CommentTextChar"/>
    <w:uiPriority w:val="99"/>
    <w:unhideWhenUsed/>
    <w:rsid w:val="00E13931"/>
    <w:rPr>
      <w:sz w:val="20"/>
    </w:rPr>
  </w:style>
  <w:style w:type="character" w:customStyle="1" w:styleId="CommentTextChar">
    <w:name w:val="Comment Text Char"/>
    <w:basedOn w:val="DefaultParagraphFont"/>
    <w:link w:val="CommentText"/>
    <w:uiPriority w:val="99"/>
    <w:rsid w:val="00E13931"/>
    <w:rPr>
      <w:snapToGrid w:val="0"/>
      <w:kern w:val="28"/>
    </w:rPr>
  </w:style>
  <w:style w:type="paragraph" w:styleId="CommentSubject">
    <w:name w:val="annotation subject"/>
    <w:basedOn w:val="CommentText"/>
    <w:next w:val="CommentText"/>
    <w:link w:val="CommentSubjectChar"/>
    <w:uiPriority w:val="99"/>
    <w:semiHidden/>
    <w:unhideWhenUsed/>
    <w:rsid w:val="00E13931"/>
    <w:rPr>
      <w:b/>
      <w:bCs/>
    </w:rPr>
  </w:style>
  <w:style w:type="character" w:customStyle="1" w:styleId="CommentSubjectChar">
    <w:name w:val="Comment Subject Char"/>
    <w:basedOn w:val="CommentTextChar"/>
    <w:link w:val="CommentSubject"/>
    <w:uiPriority w:val="99"/>
    <w:semiHidden/>
    <w:rsid w:val="00E13931"/>
    <w:rPr>
      <w:b/>
      <w:bCs/>
      <w:snapToGrid w:val="0"/>
      <w:kern w:val="28"/>
    </w:rPr>
  </w:style>
  <w:style w:type="character" w:styleId="PlaceholderText">
    <w:name w:val="Placeholder Text"/>
    <w:basedOn w:val="DefaultParagraphFont"/>
    <w:uiPriority w:val="99"/>
    <w:semiHidden/>
    <w:rsid w:val="007635F3"/>
    <w:rPr>
      <w:color w:val="808080"/>
    </w:rPr>
  </w:style>
  <w:style w:type="character" w:customStyle="1" w:styleId="normaltextrun">
    <w:name w:val="normaltextrun"/>
    <w:basedOn w:val="DefaultParagraphFont"/>
    <w:rsid w:val="00C8079F"/>
  </w:style>
  <w:style w:type="character" w:customStyle="1" w:styleId="markedcontent">
    <w:name w:val="markedcontent"/>
    <w:basedOn w:val="DefaultParagraphFont"/>
    <w:rsid w:val="000E53C3"/>
  </w:style>
  <w:style w:type="character" w:styleId="Emphasis">
    <w:name w:val="Emphasis"/>
    <w:basedOn w:val="DefaultParagraphFont"/>
    <w:uiPriority w:val="20"/>
    <w:qFormat/>
    <w:rsid w:val="00F65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Susan.Mort@fcc.gov" TargetMode="External" /><Relationship Id="rId8" Type="http://schemas.openxmlformats.org/officeDocument/2006/relationships/hyperlink" Target="mailto:Bambi.Kraus@fcc.gov" TargetMode="Externa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s://www.doi.gov/hawaiian/standard-operating-procedures-definitions" TargetMode="External" /><Relationship Id="rId2" Type="http://schemas.openxmlformats.org/officeDocument/2006/relationships/hyperlink" Target="https://muninetworks.org/content/rural-southeast-alaskan-tribes-leverage-spectrum-pilot-connecting-hard-reach-communities" TargetMode="External" /><Relationship Id="rId3" Type="http://schemas.openxmlformats.org/officeDocument/2006/relationships/hyperlink" Target="https://www.sudrum.com/top-stories/2022/04/28/membership-receives-annual-update-from-tribal-entities/" TargetMode="External" /><Relationship Id="rId4" Type="http://schemas.openxmlformats.org/officeDocument/2006/relationships/hyperlink" Target="https://muninetworks.org/content/spurred-covid-19-colville-tribes-expand-free-wireless-service-washington-state" TargetMode="External" /><Relationship Id="rId5" Type="http://schemas.openxmlformats.org/officeDocument/2006/relationships/hyperlink" Target="https://www.fcc.gov/25-ghz-rural-tribal-application-details" TargetMode="External" /><Relationship Id="rId6" Type="http://schemas.openxmlformats.org/officeDocument/2006/relationships/hyperlink" Target="https://www.fcc.gov/sites/default/files/fcc-form-601-main.pdf" TargetMode="External" /><Relationship Id="rId7" Type="http://schemas.openxmlformats.org/officeDocument/2006/relationships/hyperlink" Target="https://www.fcc.gov/wireless/bureau-divisions/mobility-division/35-ghz-band/35-ghz-band-overview" TargetMode="External" /><Relationship Id="rId8" Type="http://schemas.openxmlformats.org/officeDocument/2006/relationships/hyperlink" Target="https://www.fcc.gov/general/white-space" TargetMode="External" /><Relationship Id="rId9"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