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5418C" w:rsidP="00554ECE" w14:paraId="5213EB9B" w14:textId="77777777">
      <w:pPr>
        <w:tabs>
          <w:tab w:val="left" w:pos="540"/>
        </w:tabs>
        <w:ind w:left="6480" w:hanging="720"/>
      </w:pPr>
      <w:r>
        <w:tab/>
      </w:r>
    </w:p>
    <w:p w:rsidR="0095418C" w:rsidP="00554ECE" w14:paraId="4E17412A" w14:textId="3D372D62">
      <w:pPr>
        <w:tabs>
          <w:tab w:val="left" w:pos="540"/>
        </w:tabs>
        <w:ind w:left="6480" w:hanging="720"/>
      </w:pPr>
      <w:r>
        <w:tab/>
      </w:r>
      <w:r w:rsidRPr="000A6AF4">
        <w:t>DA 23-</w:t>
      </w:r>
      <w:r w:rsidRPr="000A6AF4" w:rsidR="000A6AF4">
        <w:t>667</w:t>
      </w:r>
    </w:p>
    <w:p w:rsidR="00554ECE" w:rsidRPr="00FF4F74" w:rsidP="00554ECE" w14:paraId="4477D946" w14:textId="6D2BCBD6">
      <w:pPr>
        <w:tabs>
          <w:tab w:val="left" w:pos="540"/>
        </w:tabs>
        <w:ind w:left="6480" w:hanging="720"/>
        <w:rPr>
          <w:i/>
        </w:rPr>
      </w:pPr>
      <w:r>
        <w:tab/>
      </w:r>
      <w:r>
        <w:rPr>
          <w:i/>
        </w:rPr>
        <w:t xml:space="preserve">In </w:t>
      </w:r>
      <w:r w:rsidRPr="00FF4F74">
        <w:rPr>
          <w:i/>
        </w:rPr>
        <w:t>Reply Refer to:</w:t>
      </w:r>
    </w:p>
    <w:p w:rsidR="00554ECE" w:rsidP="00554ECE" w14:paraId="44D72CDE" w14:textId="40D49C5A">
      <w:r w:rsidRPr="00FF4F74">
        <w:tab/>
      </w:r>
      <w:r w:rsidRPr="00FF4F74">
        <w:tab/>
      </w:r>
      <w:r w:rsidRPr="00FF4F74">
        <w:tab/>
      </w:r>
      <w:r w:rsidRPr="00FF4F74">
        <w:tab/>
      </w:r>
      <w:r w:rsidRPr="00FF4F74">
        <w:tab/>
      </w:r>
      <w:r w:rsidRPr="00FF4F74">
        <w:tab/>
      </w:r>
      <w:r w:rsidRPr="00FF4F74">
        <w:tab/>
      </w:r>
      <w:r w:rsidRPr="00FF4F74">
        <w:tab/>
      </w:r>
      <w:r w:rsidRPr="00FF4F74">
        <w:tab/>
      </w:r>
      <w:r w:rsidRPr="00DE7292">
        <w:t>1800B3-RFS</w:t>
      </w:r>
      <w:r w:rsidR="0095418C">
        <w:t>/</w:t>
      </w:r>
      <w:r w:rsidRPr="00BE1923" w:rsidR="0095418C">
        <w:t>T</w:t>
      </w:r>
      <w:r w:rsidR="00336454">
        <w:t>S</w:t>
      </w:r>
      <w:r w:rsidRPr="00BE1923" w:rsidR="0095418C">
        <w:t>N</w:t>
      </w:r>
    </w:p>
    <w:p w:rsidR="00294CC7" w:rsidP="00294CC7" w14:paraId="2FCF309E" w14:textId="27EE185F">
      <w:r>
        <w:t>Central Florida Educational Foundation, Inc.</w:t>
      </w:r>
    </w:p>
    <w:p w:rsidR="00294CC7" w:rsidRPr="00294CC7" w:rsidP="00294CC7" w14:paraId="0D3863AA" w14:textId="7429B03A">
      <w:bookmarkStart w:id="0" w:name="_Hlk138684293"/>
      <w:r>
        <w:t xml:space="preserve">c/o </w:t>
      </w:r>
      <w:r w:rsidRPr="00294CC7" w:rsidR="00926D91">
        <w:t>William J Getz</w:t>
      </w:r>
      <w:r w:rsidR="00926D91">
        <w:t xml:space="preserve">, </w:t>
      </w:r>
      <w:r w:rsidRPr="00294CC7" w:rsidR="00926D91">
        <w:t>Consulting Engineer</w:t>
      </w:r>
    </w:p>
    <w:bookmarkEnd w:id="0"/>
    <w:p w:rsidR="00294CC7" w:rsidP="00294CC7" w14:paraId="463F0F4E" w14:textId="311D6C61">
      <w:r w:rsidRPr="00294CC7">
        <w:t>Carl T. Jones Corporation</w:t>
      </w:r>
    </w:p>
    <w:p w:rsidR="00294CC7" w:rsidRPr="00294CC7" w:rsidP="00294CC7" w14:paraId="287FB933" w14:textId="77777777">
      <w:r w:rsidRPr="00294CC7">
        <w:t>7901 Yarnwood Ct</w:t>
      </w:r>
    </w:p>
    <w:p w:rsidR="00294CC7" w:rsidP="00294CC7" w14:paraId="613D96E6" w14:textId="18ED680B">
      <w:r w:rsidRPr="00294CC7">
        <w:t>Springfield, VA 22153</w:t>
      </w:r>
    </w:p>
    <w:p w:rsidR="00294CC7" w:rsidP="00294CC7" w14:paraId="394C6E63" w14:textId="27B17244">
      <w:r>
        <w:t xml:space="preserve">Email:  </w:t>
      </w:r>
      <w:hyperlink r:id="rId5" w:history="1">
        <w:r w:rsidRPr="00B24277">
          <w:rPr>
            <w:rStyle w:val="Hyperlink"/>
          </w:rPr>
          <w:t>wgetz@ctjc.com</w:t>
        </w:r>
      </w:hyperlink>
    </w:p>
    <w:p w:rsidR="00294CC7" w:rsidP="00294CC7" w14:paraId="005B14E7" w14:textId="77777777"/>
    <w:p w:rsidR="00294CC7" w:rsidRPr="00294CC7" w:rsidP="00294CC7" w14:paraId="4C3066DE" w14:textId="747A4FB2">
      <w:r>
        <w:t>Central Florida Educational Foundation, Inc.</w:t>
      </w:r>
    </w:p>
    <w:p w:rsidR="00294CC7" w:rsidRPr="00294CC7" w:rsidP="00294CC7" w14:paraId="77E73D32" w14:textId="0A5B7D5A">
      <w:r w:rsidRPr="00294CC7">
        <w:t xml:space="preserve">c/o </w:t>
      </w:r>
      <w:r w:rsidR="008E4934">
        <w:t>Davina S. Sashkin, Esq.</w:t>
      </w:r>
    </w:p>
    <w:p w:rsidR="00294CC7" w:rsidP="00294CC7" w14:paraId="6FEA1445" w14:textId="7D238C3D">
      <w:r w:rsidRPr="00294CC7">
        <w:t>Baker &amp; Hostetler LLP</w:t>
      </w:r>
    </w:p>
    <w:p w:rsidR="00294CC7" w:rsidRPr="00294CC7" w:rsidP="00294CC7" w14:paraId="3890BA07" w14:textId="77777777">
      <w:r w:rsidRPr="00294CC7">
        <w:t>1050 Connecticut Avenue, NW</w:t>
      </w:r>
    </w:p>
    <w:p w:rsidR="00294CC7" w:rsidRPr="00294CC7" w:rsidP="00294CC7" w14:paraId="08DE322A" w14:textId="77777777">
      <w:r w:rsidRPr="00294CC7">
        <w:t>Suite 1100</w:t>
      </w:r>
    </w:p>
    <w:p w:rsidR="00294CC7" w:rsidP="00294CC7" w14:paraId="31836DFF" w14:textId="129860AB">
      <w:r w:rsidRPr="00294CC7">
        <w:t>Washington, DC 20036</w:t>
      </w:r>
    </w:p>
    <w:p w:rsidR="00294CC7" w:rsidP="00294CC7" w14:paraId="7A968098" w14:textId="0540132A">
      <w:r>
        <w:t xml:space="preserve">Email:  </w:t>
      </w:r>
      <w:hyperlink r:id="rId6" w:history="1">
        <w:r w:rsidRPr="00B24277">
          <w:rPr>
            <w:rStyle w:val="Hyperlink"/>
          </w:rPr>
          <w:t>dsashkin@bakerlaw.com</w:t>
        </w:r>
      </w:hyperlink>
    </w:p>
    <w:p w:rsidR="00554ECE" w:rsidP="00554ECE" w14:paraId="7C2AB4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F346E">
        <w:rPr>
          <w:szCs w:val="22"/>
        </w:rPr>
        <w:tab/>
      </w:r>
      <w:r w:rsidRPr="004F346E">
        <w:rPr>
          <w:szCs w:val="22"/>
        </w:rPr>
        <w:tab/>
      </w:r>
      <w:r w:rsidRPr="004F346E">
        <w:rPr>
          <w:szCs w:val="22"/>
        </w:rPr>
        <w:tab/>
      </w:r>
      <w:r w:rsidRPr="004F346E">
        <w:rPr>
          <w:szCs w:val="22"/>
        </w:rPr>
        <w:tab/>
      </w:r>
      <w:r w:rsidRPr="004F346E">
        <w:rPr>
          <w:szCs w:val="22"/>
        </w:rPr>
        <w:tab/>
        <w:t xml:space="preserve">                   </w:t>
      </w:r>
    </w:p>
    <w:p w:rsidR="00315D41" w:rsidP="00554ECE" w14:paraId="0129A91F" w14:textId="2EF8C7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   Re:</w:t>
      </w:r>
      <w:r>
        <w:rPr>
          <w:szCs w:val="22"/>
        </w:rPr>
        <w:tab/>
      </w:r>
      <w:r w:rsidRPr="00315D41">
        <w:rPr>
          <w:szCs w:val="22"/>
        </w:rPr>
        <w:t>WCYZ</w:t>
      </w:r>
      <w:r w:rsidRPr="00F647D4" w:rsidR="00F647D4">
        <w:rPr>
          <w:szCs w:val="22"/>
        </w:rPr>
        <w:t>(FM),</w:t>
      </w:r>
      <w:r>
        <w:rPr>
          <w:szCs w:val="22"/>
        </w:rPr>
        <w:t xml:space="preserve"> Silver Springs Shore, FL</w:t>
      </w:r>
      <w:r w:rsidRPr="00F647D4" w:rsidR="00F647D4">
        <w:rPr>
          <w:szCs w:val="22"/>
        </w:rPr>
        <w:t xml:space="preserve"> </w:t>
      </w:r>
      <w:r>
        <w:rPr>
          <w:szCs w:val="22"/>
        </w:rPr>
        <w:tab/>
      </w:r>
    </w:p>
    <w:p w:rsidR="00554ECE" w:rsidP="00554ECE" w14:paraId="6E3D8186" w14:textId="3DC9F7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 xml:space="preserve">Facility ID No. </w:t>
      </w:r>
      <w:r w:rsidRPr="00315D41">
        <w:rPr>
          <w:szCs w:val="22"/>
        </w:rPr>
        <w:t>191546</w:t>
      </w:r>
    </w:p>
    <w:p w:rsidR="00554ECE" w:rsidP="00554ECE" w14:paraId="1253B810" w14:textId="13E76DA7">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File No. </w:t>
      </w:r>
      <w:r w:rsidRPr="00315D41" w:rsidR="00315D41">
        <w:rPr>
          <w:szCs w:val="22"/>
        </w:rPr>
        <w:t>0000204932</w:t>
      </w:r>
    </w:p>
    <w:p w:rsidR="00554ECE" w:rsidRPr="004F346E" w:rsidP="00554ECE" w14:paraId="30C90A64" w14:textId="1865FC03">
      <w:pPr>
        <w:rPr>
          <w:szCs w:val="22"/>
        </w:rPr>
      </w:pPr>
      <w:r>
        <w:rPr>
          <w:szCs w:val="22"/>
        </w:rPr>
        <w:t>Dear</w:t>
      </w:r>
      <w:r w:rsidR="00294CC7">
        <w:rPr>
          <w:szCs w:val="22"/>
        </w:rPr>
        <w:t xml:space="preserve"> C</w:t>
      </w:r>
      <w:r w:rsidR="00315D41">
        <w:rPr>
          <w:szCs w:val="22"/>
        </w:rPr>
        <w:t>ounsel</w:t>
      </w:r>
      <w:r>
        <w:rPr>
          <w:szCs w:val="22"/>
        </w:rPr>
        <w:t>:</w:t>
      </w:r>
    </w:p>
    <w:p w:rsidR="00554ECE" w:rsidRPr="004F346E" w:rsidP="00554ECE" w14:paraId="2BA06A3B" w14:textId="77777777">
      <w:pPr>
        <w:rPr>
          <w:szCs w:val="22"/>
        </w:rPr>
      </w:pPr>
    </w:p>
    <w:p w:rsidR="00554ECE" w:rsidRPr="00B23BEC" w:rsidP="00554ECE" w14:paraId="44183359" w14:textId="6F3D8490">
      <w:pPr>
        <w:tabs>
          <w:tab w:val="left" w:pos="720"/>
          <w:tab w:val="left" w:pos="5670"/>
          <w:tab w:val="left" w:pos="7380"/>
        </w:tabs>
        <w:suppressAutoHyphens/>
        <w:rPr>
          <w:szCs w:val="22"/>
        </w:rPr>
      </w:pPr>
      <w:r>
        <w:rPr>
          <w:szCs w:val="22"/>
        </w:rPr>
        <w:tab/>
      </w:r>
      <w:r w:rsidRPr="00B23BEC">
        <w:rPr>
          <w:szCs w:val="22"/>
        </w:rPr>
        <w:t>This letter refers to the minor change application</w:t>
      </w:r>
      <w:r>
        <w:rPr>
          <w:szCs w:val="22"/>
        </w:rPr>
        <w:t xml:space="preserve"> (Application)</w:t>
      </w:r>
      <w:r w:rsidR="00F647D4">
        <w:rPr>
          <w:szCs w:val="22"/>
        </w:rPr>
        <w:t xml:space="preserve"> </w:t>
      </w:r>
      <w:r w:rsidR="009F3A99">
        <w:rPr>
          <w:szCs w:val="22"/>
        </w:rPr>
        <w:t xml:space="preserve">filed on behalf </w:t>
      </w:r>
      <w:r>
        <w:rPr>
          <w:szCs w:val="22"/>
        </w:rPr>
        <w:t xml:space="preserve">of </w:t>
      </w:r>
      <w:r w:rsidRPr="00F647D4" w:rsidR="00F647D4">
        <w:rPr>
          <w:szCs w:val="22"/>
        </w:rPr>
        <w:t>Central Florida Educational Foundation, Inc</w:t>
      </w:r>
      <w:r w:rsidR="00F647D4">
        <w:rPr>
          <w:szCs w:val="22"/>
        </w:rPr>
        <w:t>.</w:t>
      </w:r>
      <w:r w:rsidRPr="00F647D4" w:rsidR="00F647D4">
        <w:rPr>
          <w:szCs w:val="22"/>
        </w:rPr>
        <w:t xml:space="preserve"> </w:t>
      </w:r>
      <w:r>
        <w:rPr>
          <w:szCs w:val="22"/>
        </w:rPr>
        <w:t>(</w:t>
      </w:r>
      <w:r w:rsidR="00F647D4">
        <w:rPr>
          <w:szCs w:val="22"/>
        </w:rPr>
        <w:t>CFEF</w:t>
      </w:r>
      <w:r>
        <w:rPr>
          <w:szCs w:val="22"/>
        </w:rPr>
        <w:t xml:space="preserve">), licensee of Station </w:t>
      </w:r>
      <w:r w:rsidR="00F647D4">
        <w:rPr>
          <w:szCs w:val="22"/>
        </w:rPr>
        <w:t>W</w:t>
      </w:r>
      <w:r w:rsidR="00315D41">
        <w:rPr>
          <w:szCs w:val="22"/>
        </w:rPr>
        <w:t>CYZ</w:t>
      </w:r>
      <w:r>
        <w:rPr>
          <w:szCs w:val="22"/>
        </w:rPr>
        <w:t>(FM), Channel 25</w:t>
      </w:r>
      <w:r w:rsidR="00315D41">
        <w:rPr>
          <w:szCs w:val="22"/>
        </w:rPr>
        <w:t>9</w:t>
      </w:r>
      <w:r w:rsidR="00F647D4">
        <w:rPr>
          <w:szCs w:val="22"/>
        </w:rPr>
        <w:t>A</w:t>
      </w:r>
      <w:r>
        <w:rPr>
          <w:szCs w:val="22"/>
        </w:rPr>
        <w:t xml:space="preserve">, </w:t>
      </w:r>
      <w:r w:rsidR="00315D41">
        <w:rPr>
          <w:szCs w:val="22"/>
        </w:rPr>
        <w:t>Silver Springs Shore</w:t>
      </w:r>
      <w:r w:rsidR="00F647D4">
        <w:rPr>
          <w:szCs w:val="22"/>
        </w:rPr>
        <w:t>, Florida</w:t>
      </w:r>
      <w:r w:rsidR="009F4F6E">
        <w:rPr>
          <w:szCs w:val="22"/>
        </w:rPr>
        <w:t xml:space="preserve"> (WCYZ)</w:t>
      </w:r>
      <w:r>
        <w:rPr>
          <w:szCs w:val="22"/>
        </w:rPr>
        <w:t>.  The Application proposes a community of license modification for W</w:t>
      </w:r>
      <w:r w:rsidR="00315D41">
        <w:rPr>
          <w:szCs w:val="22"/>
        </w:rPr>
        <w:t>CYZ</w:t>
      </w:r>
      <w:r w:rsidR="00294CC7">
        <w:rPr>
          <w:szCs w:val="22"/>
        </w:rPr>
        <w:t xml:space="preserve"> </w:t>
      </w:r>
      <w:r w:rsidR="009F4F6E">
        <w:rPr>
          <w:szCs w:val="22"/>
        </w:rPr>
        <w:t>to relocate</w:t>
      </w:r>
      <w:r>
        <w:rPr>
          <w:szCs w:val="22"/>
        </w:rPr>
        <w:t xml:space="preserve"> </w:t>
      </w:r>
      <w:r w:rsidR="001242F8">
        <w:rPr>
          <w:szCs w:val="22"/>
        </w:rPr>
        <w:t xml:space="preserve">the sole local transmission service </w:t>
      </w:r>
      <w:r>
        <w:rPr>
          <w:szCs w:val="22"/>
        </w:rPr>
        <w:t xml:space="preserve">from </w:t>
      </w:r>
      <w:r w:rsidR="00315D41">
        <w:rPr>
          <w:szCs w:val="22"/>
        </w:rPr>
        <w:t>Silver Springs Shore</w:t>
      </w:r>
      <w:r w:rsidR="00F647D4">
        <w:rPr>
          <w:szCs w:val="22"/>
        </w:rPr>
        <w:t>, Florida</w:t>
      </w:r>
      <w:r>
        <w:rPr>
          <w:szCs w:val="22"/>
        </w:rPr>
        <w:t>, to</w:t>
      </w:r>
      <w:r w:rsidR="00F647D4">
        <w:rPr>
          <w:szCs w:val="22"/>
        </w:rPr>
        <w:t xml:space="preserve"> </w:t>
      </w:r>
      <w:r w:rsidR="00315D41">
        <w:rPr>
          <w:szCs w:val="22"/>
        </w:rPr>
        <w:t>Ocala</w:t>
      </w:r>
      <w:r w:rsidR="00F647D4">
        <w:rPr>
          <w:szCs w:val="22"/>
        </w:rPr>
        <w:t>, Florida</w:t>
      </w:r>
      <w:r w:rsidR="00050EAF">
        <w:rPr>
          <w:szCs w:val="22"/>
        </w:rPr>
        <w:t xml:space="preserve">, </w:t>
      </w:r>
      <w:r>
        <w:rPr>
          <w:szCs w:val="22"/>
        </w:rPr>
        <w:t xml:space="preserve">as </w:t>
      </w:r>
      <w:r w:rsidR="00CD2199">
        <w:rPr>
          <w:szCs w:val="22"/>
        </w:rPr>
        <w:t>Ocala</w:t>
      </w:r>
      <w:r>
        <w:rPr>
          <w:szCs w:val="22"/>
        </w:rPr>
        <w:t xml:space="preserve">’s </w:t>
      </w:r>
      <w:r w:rsidR="00315D41">
        <w:rPr>
          <w:szCs w:val="22"/>
        </w:rPr>
        <w:t>sixth</w:t>
      </w:r>
      <w:r w:rsidR="00050EAF">
        <w:rPr>
          <w:szCs w:val="22"/>
        </w:rPr>
        <w:t xml:space="preserve"> </w:t>
      </w:r>
      <w:r>
        <w:rPr>
          <w:szCs w:val="22"/>
        </w:rPr>
        <w:t>local service.  For the reasons discussed below, we request that you amend the Application.</w:t>
      </w:r>
    </w:p>
    <w:p w:rsidR="00554ECE" w:rsidRPr="004F346E" w:rsidP="00554ECE" w14:paraId="6F76B5F8" w14:textId="77777777">
      <w:pPr>
        <w:tabs>
          <w:tab w:val="left" w:pos="9270"/>
        </w:tabs>
        <w:ind w:right="-90"/>
        <w:rPr>
          <w:szCs w:val="22"/>
        </w:rPr>
      </w:pPr>
    </w:p>
    <w:p w:rsidR="00554ECE" w:rsidP="00554ECE" w14:paraId="382FE6BA" w14:textId="57DD5574">
      <w:pPr>
        <w:ind w:firstLine="720"/>
        <w:rPr>
          <w:i/>
          <w:szCs w:val="22"/>
        </w:rPr>
      </w:pPr>
      <w:r w:rsidRPr="004F346E">
        <w:rPr>
          <w:b/>
          <w:szCs w:val="22"/>
        </w:rPr>
        <w:t xml:space="preserve">Background.  </w:t>
      </w:r>
      <w:r w:rsidRPr="004F346E">
        <w:rPr>
          <w:szCs w:val="22"/>
        </w:rPr>
        <w:t>Th</w:t>
      </w:r>
      <w:r>
        <w:rPr>
          <w:szCs w:val="22"/>
        </w:rPr>
        <w:t>e</w:t>
      </w:r>
      <w:r w:rsidRPr="004F346E">
        <w:rPr>
          <w:szCs w:val="22"/>
        </w:rPr>
        <w:t xml:space="preserve"> </w:t>
      </w:r>
      <w:r>
        <w:rPr>
          <w:szCs w:val="22"/>
        </w:rPr>
        <w:t>Application</w:t>
      </w:r>
      <w:r w:rsidRPr="004F346E">
        <w:rPr>
          <w:szCs w:val="22"/>
        </w:rPr>
        <w:t xml:space="preserve"> was file</w:t>
      </w:r>
      <w:r>
        <w:rPr>
          <w:szCs w:val="22"/>
        </w:rPr>
        <w:t xml:space="preserve">d pursuant to </w:t>
      </w:r>
      <w:r w:rsidR="00F81D5D">
        <w:rPr>
          <w:szCs w:val="22"/>
        </w:rPr>
        <w:t xml:space="preserve">section </w:t>
      </w:r>
      <w:r>
        <w:rPr>
          <w:szCs w:val="22"/>
        </w:rPr>
        <w:t xml:space="preserve">73.3573(g) of the Commission’s </w:t>
      </w:r>
      <w:r w:rsidR="00294CC7">
        <w:rPr>
          <w:szCs w:val="22"/>
        </w:rPr>
        <w:t>r</w:t>
      </w:r>
      <w:r w:rsidRPr="004F346E">
        <w:rPr>
          <w:szCs w:val="22"/>
        </w:rPr>
        <w:t>ules</w:t>
      </w:r>
      <w:r>
        <w:rPr>
          <w:szCs w:val="22"/>
        </w:rPr>
        <w:t>, which sets forth the requirements for modif</w:t>
      </w:r>
      <w:r w:rsidR="000B7C90">
        <w:rPr>
          <w:szCs w:val="22"/>
        </w:rPr>
        <w:t>ying</w:t>
      </w:r>
      <w:r>
        <w:rPr>
          <w:szCs w:val="22"/>
        </w:rPr>
        <w:t xml:space="preserve"> an FM Station license to specify a new </w:t>
      </w:r>
      <w:r w:rsidRPr="004F346E">
        <w:rPr>
          <w:szCs w:val="22"/>
        </w:rPr>
        <w:t>community of license with</w:t>
      </w:r>
      <w:r>
        <w:rPr>
          <w:szCs w:val="22"/>
        </w:rPr>
        <w:t xml:space="preserve">out providing an opportunity for </w:t>
      </w:r>
      <w:r w:rsidRPr="004F346E">
        <w:rPr>
          <w:szCs w:val="22"/>
        </w:rPr>
        <w:t>competing expression</w:t>
      </w:r>
      <w:r>
        <w:rPr>
          <w:szCs w:val="22"/>
        </w:rPr>
        <w:t>s</w:t>
      </w:r>
      <w:r w:rsidRPr="004F346E">
        <w:rPr>
          <w:szCs w:val="22"/>
        </w:rPr>
        <w:t xml:space="preserve"> of interest.</w:t>
      </w:r>
      <w:r>
        <w:rPr>
          <w:rStyle w:val="FootnoteReference"/>
          <w:szCs w:val="22"/>
        </w:rPr>
        <w:footnoteReference w:id="2"/>
      </w:r>
      <w:r w:rsidRPr="004F346E">
        <w:rPr>
          <w:szCs w:val="22"/>
        </w:rPr>
        <w:t xml:space="preserve">  </w:t>
      </w:r>
      <w:r>
        <w:rPr>
          <w:szCs w:val="22"/>
        </w:rPr>
        <w:t xml:space="preserve">Among other requirements, an applicant for such a minor modification must demonstrate that the proposed change of community constitutes a </w:t>
      </w:r>
      <w:r w:rsidRPr="004F346E">
        <w:rPr>
          <w:szCs w:val="22"/>
        </w:rPr>
        <w:t>preferential arrangement of allotments.</w:t>
      </w:r>
      <w:r>
        <w:rPr>
          <w:rStyle w:val="FootnoteReference"/>
          <w:szCs w:val="22"/>
        </w:rPr>
        <w:footnoteReference w:id="3"/>
      </w:r>
      <w:r w:rsidRPr="004F346E">
        <w:rPr>
          <w:szCs w:val="22"/>
        </w:rPr>
        <w:t xml:space="preserve">  We make this determination using the FM allotment priorities set forth in </w:t>
      </w:r>
      <w:r w:rsidRPr="004F346E">
        <w:rPr>
          <w:i/>
          <w:szCs w:val="22"/>
        </w:rPr>
        <w:t>Revision of FM Assignment Policies and Procedures.</w:t>
      </w:r>
      <w:r>
        <w:rPr>
          <w:rStyle w:val="FootnoteReference"/>
          <w:iCs/>
          <w:szCs w:val="22"/>
        </w:rPr>
        <w:footnoteReference w:id="4"/>
      </w:r>
      <w:r>
        <w:rPr>
          <w:i/>
          <w:szCs w:val="22"/>
        </w:rPr>
        <w:t xml:space="preserve">  </w:t>
      </w:r>
    </w:p>
    <w:p w:rsidR="00554ECE" w:rsidP="00554ECE" w14:paraId="20B33C52" w14:textId="77777777">
      <w:pPr>
        <w:tabs>
          <w:tab w:val="left" w:pos="720"/>
          <w:tab w:val="left" w:pos="5670"/>
          <w:tab w:val="left" w:pos="7380"/>
        </w:tabs>
        <w:suppressAutoHyphens/>
        <w:rPr>
          <w:i/>
          <w:szCs w:val="22"/>
        </w:rPr>
      </w:pPr>
    </w:p>
    <w:p w:rsidR="00F647D4" w:rsidP="00F83C3C" w14:paraId="121D2A22" w14:textId="1BF7DD51">
      <w:pPr>
        <w:tabs>
          <w:tab w:val="left" w:pos="720"/>
          <w:tab w:val="left" w:pos="9270"/>
        </w:tabs>
        <w:ind w:right="-90"/>
        <w:rPr>
          <w:szCs w:val="22"/>
        </w:rPr>
      </w:pPr>
      <w:r>
        <w:rPr>
          <w:szCs w:val="22"/>
        </w:rPr>
        <w:tab/>
      </w:r>
      <w:r w:rsidR="00E03DA6">
        <w:rPr>
          <w:szCs w:val="22"/>
        </w:rPr>
        <w:t>A</w:t>
      </w:r>
      <w:r w:rsidR="00983083">
        <w:rPr>
          <w:szCs w:val="22"/>
        </w:rPr>
        <w:t xml:space="preserve">pplicant states that </w:t>
      </w:r>
      <w:r w:rsidRPr="00CB5C14" w:rsidR="00CB5C14">
        <w:rPr>
          <w:szCs w:val="22"/>
        </w:rPr>
        <w:t xml:space="preserve">both the current community of </w:t>
      </w:r>
      <w:r w:rsidR="00CB5C14">
        <w:rPr>
          <w:szCs w:val="22"/>
        </w:rPr>
        <w:t>Silver Spring</w:t>
      </w:r>
      <w:r w:rsidR="00275B4A">
        <w:rPr>
          <w:szCs w:val="22"/>
        </w:rPr>
        <w:t>s</w:t>
      </w:r>
      <w:r w:rsidR="00CB5C14">
        <w:rPr>
          <w:szCs w:val="22"/>
        </w:rPr>
        <w:t xml:space="preserve"> Shore (2020 U.S. Census population of</w:t>
      </w:r>
      <w:r w:rsidRPr="00CB5C14" w:rsidR="00CB5C14">
        <w:t xml:space="preserve"> </w:t>
      </w:r>
      <w:r w:rsidRPr="00CB5C14" w:rsidR="00CB5C14">
        <w:rPr>
          <w:szCs w:val="22"/>
        </w:rPr>
        <w:t>24,846</w:t>
      </w:r>
      <w:r w:rsidR="00CB5C14">
        <w:rPr>
          <w:szCs w:val="22"/>
        </w:rPr>
        <w:t xml:space="preserve"> persons) </w:t>
      </w:r>
      <w:r w:rsidRPr="00CB5C14" w:rsidR="00CB5C14">
        <w:rPr>
          <w:szCs w:val="22"/>
        </w:rPr>
        <w:t>and proposed</w:t>
      </w:r>
      <w:r w:rsidR="00CB5C14">
        <w:rPr>
          <w:szCs w:val="22"/>
        </w:rPr>
        <w:t xml:space="preserve"> </w:t>
      </w:r>
      <w:r w:rsidRPr="00CB5C14" w:rsidR="00CB5C14">
        <w:rPr>
          <w:szCs w:val="22"/>
        </w:rPr>
        <w:t xml:space="preserve">community of </w:t>
      </w:r>
      <w:r w:rsidR="00CB5C14">
        <w:rPr>
          <w:szCs w:val="22"/>
        </w:rPr>
        <w:t>Ocala</w:t>
      </w:r>
      <w:r w:rsidR="008D4E05">
        <w:rPr>
          <w:szCs w:val="22"/>
        </w:rPr>
        <w:t xml:space="preserve"> </w:t>
      </w:r>
      <w:r w:rsidR="00CB5C14">
        <w:rPr>
          <w:szCs w:val="22"/>
        </w:rPr>
        <w:t xml:space="preserve">(2020 U.S. Census population of </w:t>
      </w:r>
      <w:r w:rsidRPr="00DC1C06" w:rsidR="00DC1C06">
        <w:rPr>
          <w:szCs w:val="22"/>
        </w:rPr>
        <w:t>63,591</w:t>
      </w:r>
      <w:r w:rsidR="00DC1C06">
        <w:rPr>
          <w:szCs w:val="22"/>
        </w:rPr>
        <w:t xml:space="preserve"> persons)</w:t>
      </w:r>
      <w:r w:rsidRPr="00CB5C14" w:rsidR="00CB5C14">
        <w:rPr>
          <w:szCs w:val="22"/>
        </w:rPr>
        <w:t xml:space="preserve"> are located within the Ocala, </w:t>
      </w:r>
      <w:r w:rsidR="004F1662">
        <w:rPr>
          <w:szCs w:val="22"/>
        </w:rPr>
        <w:t>Florida</w:t>
      </w:r>
      <w:r w:rsidRPr="00CB5C14" w:rsidR="00CB5C14">
        <w:rPr>
          <w:szCs w:val="22"/>
        </w:rPr>
        <w:t>, Urbanized Area</w:t>
      </w:r>
      <w:r w:rsidR="00DC1C06">
        <w:rPr>
          <w:szCs w:val="22"/>
        </w:rPr>
        <w:t xml:space="preserve"> (</w:t>
      </w:r>
      <w:r w:rsidR="004F1662">
        <w:rPr>
          <w:szCs w:val="22"/>
        </w:rPr>
        <w:t xml:space="preserve">Ocala </w:t>
      </w:r>
      <w:r w:rsidR="00DC1C06">
        <w:rPr>
          <w:szCs w:val="22"/>
        </w:rPr>
        <w:t xml:space="preserve">UA).  </w:t>
      </w:r>
      <w:r w:rsidR="002A2B92">
        <w:rPr>
          <w:szCs w:val="22"/>
        </w:rPr>
        <w:t xml:space="preserve">Applicant claims that </w:t>
      </w:r>
      <w:r w:rsidRPr="00F83C3C" w:rsidR="002A2B92">
        <w:rPr>
          <w:szCs w:val="22"/>
        </w:rPr>
        <w:t xml:space="preserve">pursuant to </w:t>
      </w:r>
      <w:r w:rsidRPr="00F83C3C" w:rsidR="002A2B92">
        <w:rPr>
          <w:i/>
          <w:iCs/>
          <w:szCs w:val="22"/>
        </w:rPr>
        <w:t>Rural Radio</w:t>
      </w:r>
      <w:r w:rsidR="002A2B92">
        <w:rPr>
          <w:szCs w:val="22"/>
        </w:rPr>
        <w:t>,</w:t>
      </w:r>
      <w:r>
        <w:rPr>
          <w:rStyle w:val="FootnoteReference"/>
          <w:szCs w:val="22"/>
        </w:rPr>
        <w:footnoteReference w:id="5"/>
      </w:r>
      <w:r w:rsidRPr="00F83C3C" w:rsidR="002A2B92">
        <w:rPr>
          <w:szCs w:val="22"/>
        </w:rPr>
        <w:t xml:space="preserve"> the proposed</w:t>
      </w:r>
      <w:r w:rsidR="002A2B92">
        <w:rPr>
          <w:szCs w:val="22"/>
        </w:rPr>
        <w:t xml:space="preserve"> </w:t>
      </w:r>
      <w:r w:rsidRPr="00F83C3C" w:rsidR="002A2B92">
        <w:rPr>
          <w:szCs w:val="22"/>
        </w:rPr>
        <w:t>WCYZ</w:t>
      </w:r>
      <w:r w:rsidR="002A2B92">
        <w:rPr>
          <w:szCs w:val="22"/>
        </w:rPr>
        <w:t xml:space="preserve"> </w:t>
      </w:r>
      <w:r w:rsidR="00DA522F">
        <w:rPr>
          <w:szCs w:val="22"/>
        </w:rPr>
        <w:t xml:space="preserve">community </w:t>
      </w:r>
      <w:r w:rsidR="002A2B92">
        <w:rPr>
          <w:szCs w:val="22"/>
        </w:rPr>
        <w:t xml:space="preserve">of license change is considered an intra-urbanized move within the Ocala UA that </w:t>
      </w:r>
      <w:r w:rsidRPr="00F83C3C" w:rsidR="002A2B92">
        <w:rPr>
          <w:szCs w:val="22"/>
        </w:rPr>
        <w:t xml:space="preserve">represents </w:t>
      </w:r>
      <w:r w:rsidR="00EE31E7">
        <w:rPr>
          <w:szCs w:val="22"/>
        </w:rPr>
        <w:t xml:space="preserve">a </w:t>
      </w:r>
      <w:r w:rsidR="002A2B92">
        <w:rPr>
          <w:szCs w:val="22"/>
        </w:rPr>
        <w:t>p</w:t>
      </w:r>
      <w:r w:rsidRPr="00F83C3C" w:rsidR="002A2B92">
        <w:rPr>
          <w:szCs w:val="22"/>
        </w:rPr>
        <w:t>referential arrangement of</w:t>
      </w:r>
      <w:r w:rsidR="002A2B92">
        <w:rPr>
          <w:szCs w:val="22"/>
        </w:rPr>
        <w:t xml:space="preserve"> </w:t>
      </w:r>
      <w:r w:rsidRPr="00F83C3C" w:rsidR="002A2B92">
        <w:rPr>
          <w:szCs w:val="22"/>
        </w:rPr>
        <w:t>allotments over the current WCYZ facility</w:t>
      </w:r>
      <w:r w:rsidR="002A2B92">
        <w:rPr>
          <w:szCs w:val="22"/>
        </w:rPr>
        <w:t xml:space="preserve">.  </w:t>
      </w:r>
      <w:r w:rsidRPr="00585193" w:rsidR="00585193">
        <w:rPr>
          <w:szCs w:val="22"/>
        </w:rPr>
        <w:t>Applicant argues that although there are no technical changes, the proposal represents a preferred arrangement of allotments under Priority (4) of the four allotment priorities</w:t>
      </w:r>
      <w:r w:rsidR="00E03DA6">
        <w:rPr>
          <w:szCs w:val="22"/>
        </w:rPr>
        <w:t xml:space="preserve"> </w:t>
      </w:r>
      <w:r w:rsidRPr="00585193" w:rsidR="00585193">
        <w:rPr>
          <w:szCs w:val="22"/>
        </w:rPr>
        <w:t>because</w:t>
      </w:r>
      <w:r w:rsidR="003A0CA1">
        <w:rPr>
          <w:szCs w:val="22"/>
        </w:rPr>
        <w:t xml:space="preserve">, under </w:t>
      </w:r>
      <w:r w:rsidRPr="00BA7A4A" w:rsidR="003A0CA1">
        <w:rPr>
          <w:i/>
          <w:iCs/>
          <w:szCs w:val="22"/>
        </w:rPr>
        <w:t>Rural Radio</w:t>
      </w:r>
      <w:r w:rsidR="003A0CA1">
        <w:rPr>
          <w:szCs w:val="22"/>
        </w:rPr>
        <w:t>,</w:t>
      </w:r>
      <w:r w:rsidRPr="00585193" w:rsidR="00585193">
        <w:rPr>
          <w:szCs w:val="22"/>
        </w:rPr>
        <w:t xml:space="preserve"> WCYZ is already presumed to service the Ocala UA and it would </w:t>
      </w:r>
      <w:r w:rsidR="003A0CA1">
        <w:rPr>
          <w:szCs w:val="22"/>
        </w:rPr>
        <w:t xml:space="preserve">moreover </w:t>
      </w:r>
      <w:r w:rsidRPr="00585193" w:rsidR="00585193">
        <w:rPr>
          <w:szCs w:val="22"/>
        </w:rPr>
        <w:t>provide a</w:t>
      </w:r>
      <w:r w:rsidR="00232436">
        <w:rPr>
          <w:szCs w:val="22"/>
        </w:rPr>
        <w:t>n additional</w:t>
      </w:r>
      <w:r w:rsidRPr="00585193" w:rsidR="00585193">
        <w:rPr>
          <w:szCs w:val="22"/>
        </w:rPr>
        <w:t xml:space="preserve"> local service to Ocala, a community over 2.5 times the population of its current community of license of Silver Springs Shore</w:t>
      </w:r>
      <w:r w:rsidR="00585193">
        <w:rPr>
          <w:i/>
          <w:iCs/>
          <w:szCs w:val="22"/>
        </w:rPr>
        <w:t>.</w:t>
      </w:r>
      <w:r>
        <w:rPr>
          <w:rStyle w:val="FootnoteReference"/>
          <w:szCs w:val="22"/>
        </w:rPr>
        <w:footnoteReference w:id="6"/>
      </w:r>
      <w:r w:rsidR="00585193">
        <w:rPr>
          <w:i/>
          <w:iCs/>
          <w:szCs w:val="22"/>
        </w:rPr>
        <w:t xml:space="preserve">   </w:t>
      </w:r>
      <w:r w:rsidR="00BC7570">
        <w:rPr>
          <w:szCs w:val="22"/>
        </w:rPr>
        <w:t xml:space="preserve">  </w:t>
      </w:r>
      <w:r w:rsidR="00CD5F77">
        <w:rPr>
          <w:szCs w:val="22"/>
        </w:rPr>
        <w:tab/>
      </w:r>
    </w:p>
    <w:p w:rsidR="00F647D4" w:rsidP="00554ECE" w14:paraId="2F0BA8E4" w14:textId="77777777">
      <w:pPr>
        <w:tabs>
          <w:tab w:val="left" w:pos="720"/>
          <w:tab w:val="left" w:pos="9270"/>
        </w:tabs>
        <w:ind w:right="-90"/>
        <w:rPr>
          <w:szCs w:val="22"/>
        </w:rPr>
      </w:pPr>
    </w:p>
    <w:p w:rsidR="008D3F64" w:rsidP="004C0016" w14:paraId="35AA94D6" w14:textId="40E99CD4">
      <w:pPr>
        <w:autoSpaceDE w:val="0"/>
        <w:autoSpaceDN w:val="0"/>
        <w:adjustRightInd w:val="0"/>
        <w:ind w:firstLine="720"/>
        <w:rPr>
          <w:szCs w:val="22"/>
        </w:rPr>
      </w:pPr>
      <w:r w:rsidRPr="00A859AE">
        <w:rPr>
          <w:b/>
          <w:szCs w:val="22"/>
        </w:rPr>
        <w:t xml:space="preserve">Discussion.  </w:t>
      </w:r>
      <w:r w:rsidRPr="00A859AE" w:rsidR="00F44B61">
        <w:rPr>
          <w:szCs w:val="22"/>
        </w:rPr>
        <w:t xml:space="preserve">Under Priority </w:t>
      </w:r>
      <w:r w:rsidR="00F44B61">
        <w:rPr>
          <w:szCs w:val="22"/>
        </w:rPr>
        <w:t>(</w:t>
      </w:r>
      <w:r w:rsidRPr="00A859AE" w:rsidR="00F44B61">
        <w:rPr>
          <w:szCs w:val="22"/>
        </w:rPr>
        <w:t>4</w:t>
      </w:r>
      <w:r w:rsidR="00F44B61">
        <w:rPr>
          <w:szCs w:val="22"/>
        </w:rPr>
        <w:t>)</w:t>
      </w:r>
      <w:r w:rsidRPr="00A859AE" w:rsidR="00F44B61">
        <w:rPr>
          <w:szCs w:val="22"/>
        </w:rPr>
        <w:t xml:space="preserve">, we may take into account </w:t>
      </w:r>
      <w:r w:rsidRPr="00A859AE" w:rsidR="00F44B61">
        <w:rPr>
          <w:color w:val="000000"/>
          <w:szCs w:val="22"/>
        </w:rPr>
        <w:t>the number of aural servi</w:t>
      </w:r>
      <w:r w:rsidR="00F44B61">
        <w:rPr>
          <w:color w:val="000000"/>
          <w:szCs w:val="22"/>
        </w:rPr>
        <w:t>c</w:t>
      </w:r>
      <w:r w:rsidRPr="00A859AE" w:rsidR="00F44B61">
        <w:rPr>
          <w:color w:val="000000"/>
          <w:szCs w:val="22"/>
        </w:rPr>
        <w:t>es received in the proposed service area, the number of local services, the need for or lack of public radio service and other matters relevant to the public interest such as the relative size of the proposed communities and their growth rate.</w:t>
      </w:r>
      <w:r>
        <w:rPr>
          <w:rStyle w:val="FootnoteReference"/>
          <w:color w:val="000000"/>
          <w:szCs w:val="22"/>
        </w:rPr>
        <w:footnoteReference w:id="7"/>
      </w:r>
      <w:r w:rsidR="00F44B61">
        <w:rPr>
          <w:color w:val="000000"/>
          <w:szCs w:val="22"/>
        </w:rPr>
        <w:t xml:space="preserve">  </w:t>
      </w:r>
      <w:r w:rsidRPr="004143EC" w:rsidR="004143EC">
        <w:rPr>
          <w:bCs/>
          <w:szCs w:val="22"/>
        </w:rPr>
        <w:t>Here, there is no change in W</w:t>
      </w:r>
      <w:r w:rsidR="00DC1C06">
        <w:rPr>
          <w:bCs/>
          <w:szCs w:val="22"/>
        </w:rPr>
        <w:t>CYZ</w:t>
      </w:r>
      <w:r w:rsidRPr="004143EC" w:rsidR="004143EC">
        <w:rPr>
          <w:bCs/>
          <w:szCs w:val="22"/>
        </w:rPr>
        <w:t xml:space="preserve">’s transmitter site and both the move-in and move-out communities are located within </w:t>
      </w:r>
      <w:r w:rsidR="002A2B92">
        <w:rPr>
          <w:bCs/>
          <w:szCs w:val="22"/>
        </w:rPr>
        <w:t>the</w:t>
      </w:r>
      <w:r w:rsidRPr="004143EC" w:rsidR="004143EC">
        <w:rPr>
          <w:bCs/>
          <w:szCs w:val="22"/>
        </w:rPr>
        <w:t xml:space="preserve"> </w:t>
      </w:r>
      <w:r w:rsidR="00DC1C06">
        <w:rPr>
          <w:bCs/>
          <w:szCs w:val="22"/>
        </w:rPr>
        <w:t>Ocala</w:t>
      </w:r>
      <w:r w:rsidRPr="004143EC" w:rsidR="004143EC">
        <w:rPr>
          <w:bCs/>
          <w:szCs w:val="22"/>
        </w:rPr>
        <w:t xml:space="preserve"> UA.</w:t>
      </w:r>
      <w:r w:rsidR="004143EC">
        <w:rPr>
          <w:bCs/>
          <w:szCs w:val="22"/>
        </w:rPr>
        <w:t xml:space="preserve">  </w:t>
      </w:r>
      <w:r w:rsidRPr="00E03DA6" w:rsidR="00E03DA6">
        <w:rPr>
          <w:bCs/>
          <w:szCs w:val="22"/>
        </w:rPr>
        <w:t xml:space="preserve">A staff engineering analysis confirms that </w:t>
      </w:r>
      <w:r w:rsidR="00F2512B">
        <w:rPr>
          <w:bCs/>
          <w:szCs w:val="22"/>
        </w:rPr>
        <w:t>the WCYZ facilities, whether under the current or the</w:t>
      </w:r>
      <w:r w:rsidRPr="00E03DA6" w:rsidR="00E03DA6">
        <w:rPr>
          <w:bCs/>
          <w:szCs w:val="22"/>
        </w:rPr>
        <w:t xml:space="preserve"> proposed community of license</w:t>
      </w:r>
      <w:r w:rsidR="00F2512B">
        <w:rPr>
          <w:bCs/>
          <w:szCs w:val="22"/>
        </w:rPr>
        <w:t>,</w:t>
      </w:r>
      <w:r w:rsidRPr="00E03DA6" w:rsidR="00E03DA6">
        <w:rPr>
          <w:bCs/>
          <w:szCs w:val="22"/>
        </w:rPr>
        <w:t xml:space="preserve"> cover 72.5% of the Ocala UA</w:t>
      </w:r>
      <w:r w:rsidR="00E03DA6">
        <w:rPr>
          <w:bCs/>
          <w:szCs w:val="22"/>
        </w:rPr>
        <w:t xml:space="preserve">.  </w:t>
      </w:r>
      <w:r w:rsidR="00041E4F">
        <w:rPr>
          <w:szCs w:val="22"/>
        </w:rPr>
        <w:t>We disagree with applicant</w:t>
      </w:r>
      <w:r w:rsidR="00B5512E">
        <w:rPr>
          <w:szCs w:val="22"/>
        </w:rPr>
        <w:t>’s</w:t>
      </w:r>
      <w:r w:rsidR="00041E4F">
        <w:rPr>
          <w:szCs w:val="22"/>
        </w:rPr>
        <w:t xml:space="preserve"> claim that its community of license proposal </w:t>
      </w:r>
      <w:r w:rsidR="00CF5129">
        <w:rPr>
          <w:szCs w:val="22"/>
        </w:rPr>
        <w:t>represents a preferential arrangement of allotments</w:t>
      </w:r>
      <w:r w:rsidR="00041E4F">
        <w:rPr>
          <w:szCs w:val="22"/>
        </w:rPr>
        <w:t xml:space="preserve"> under Priority (4) </w:t>
      </w:r>
      <w:r w:rsidR="00CF5129">
        <w:rPr>
          <w:szCs w:val="22"/>
        </w:rPr>
        <w:t xml:space="preserve">merely </w:t>
      </w:r>
      <w:r w:rsidR="00041E4F">
        <w:rPr>
          <w:szCs w:val="22"/>
        </w:rPr>
        <w:t xml:space="preserve">because </w:t>
      </w:r>
      <w:r w:rsidR="0019737B">
        <w:rPr>
          <w:szCs w:val="22"/>
        </w:rPr>
        <w:t>the identical facilities</w:t>
      </w:r>
      <w:r w:rsidR="00041E4F">
        <w:rPr>
          <w:szCs w:val="22"/>
        </w:rPr>
        <w:t xml:space="preserve"> </w:t>
      </w:r>
      <w:r w:rsidR="0019737B">
        <w:rPr>
          <w:szCs w:val="22"/>
        </w:rPr>
        <w:t>would be labeled as</w:t>
      </w:r>
      <w:r w:rsidR="00CF5129">
        <w:rPr>
          <w:szCs w:val="22"/>
        </w:rPr>
        <w:t xml:space="preserve"> </w:t>
      </w:r>
      <w:r w:rsidR="00041E4F">
        <w:rPr>
          <w:szCs w:val="22"/>
        </w:rPr>
        <w:t xml:space="preserve">a local </w:t>
      </w:r>
      <w:r w:rsidR="00CF5129">
        <w:rPr>
          <w:szCs w:val="22"/>
        </w:rPr>
        <w:t xml:space="preserve">transmission </w:t>
      </w:r>
      <w:r w:rsidR="00041E4F">
        <w:rPr>
          <w:szCs w:val="22"/>
        </w:rPr>
        <w:t>service to the larger community of</w:t>
      </w:r>
      <w:r w:rsidR="00DC1C06">
        <w:rPr>
          <w:szCs w:val="22"/>
        </w:rPr>
        <w:t xml:space="preserve"> Ocala</w:t>
      </w:r>
      <w:r w:rsidR="00041E4F">
        <w:rPr>
          <w:szCs w:val="22"/>
        </w:rPr>
        <w:t xml:space="preserve">, which already has </w:t>
      </w:r>
      <w:r w:rsidR="00DC1C06">
        <w:rPr>
          <w:szCs w:val="22"/>
        </w:rPr>
        <w:t>five</w:t>
      </w:r>
      <w:r w:rsidR="00041E4F">
        <w:rPr>
          <w:szCs w:val="22"/>
        </w:rPr>
        <w:t xml:space="preserve"> local services.</w:t>
      </w:r>
      <w:r w:rsidR="008D4E05">
        <w:rPr>
          <w:szCs w:val="22"/>
        </w:rPr>
        <w:t xml:space="preserve">  </w:t>
      </w:r>
      <w:r w:rsidR="00D56118">
        <w:rPr>
          <w:szCs w:val="22"/>
        </w:rPr>
        <w:t xml:space="preserve">CFEF </w:t>
      </w:r>
      <w:r w:rsidR="00951B6C">
        <w:rPr>
          <w:szCs w:val="22"/>
        </w:rPr>
        <w:t xml:space="preserve">argues that, under </w:t>
      </w:r>
      <w:r w:rsidRPr="00BA7A4A" w:rsidR="00951B6C">
        <w:rPr>
          <w:i/>
          <w:iCs/>
          <w:szCs w:val="22"/>
        </w:rPr>
        <w:t>Rural Radio</w:t>
      </w:r>
      <w:r w:rsidR="00951B6C">
        <w:rPr>
          <w:szCs w:val="22"/>
        </w:rPr>
        <w:t xml:space="preserve">, </w:t>
      </w:r>
      <w:r w:rsidRPr="00951B6C" w:rsidR="00951B6C">
        <w:rPr>
          <w:szCs w:val="22"/>
        </w:rPr>
        <w:t>“</w:t>
      </w:r>
      <w:r w:rsidRPr="00BA7A4A" w:rsidR="00951B6C">
        <w:rPr>
          <w:szCs w:val="22"/>
        </w:rPr>
        <w:t>the applicant proposing an urban-to-urban move must demonstrate from which</w:t>
      </w:r>
      <w:r w:rsidR="00951B6C">
        <w:rPr>
          <w:szCs w:val="22"/>
        </w:rPr>
        <w:t xml:space="preserve"> </w:t>
      </w:r>
      <w:r w:rsidRPr="00BA7A4A" w:rsidR="00951B6C">
        <w:rPr>
          <w:szCs w:val="22"/>
        </w:rPr>
        <w:t>of the two communities the station would provide service to a greater area and population within</w:t>
      </w:r>
      <w:r w:rsidR="00951B6C">
        <w:rPr>
          <w:szCs w:val="22"/>
        </w:rPr>
        <w:t xml:space="preserve"> </w:t>
      </w:r>
      <w:r w:rsidRPr="00BA7A4A" w:rsidR="00951B6C">
        <w:rPr>
          <w:szCs w:val="22"/>
        </w:rPr>
        <w:t>the Urbanized Area.</w:t>
      </w:r>
      <w:r w:rsidR="00951B6C">
        <w:rPr>
          <w:szCs w:val="22"/>
        </w:rPr>
        <w:t>”</w:t>
      </w:r>
      <w:r>
        <w:rPr>
          <w:rStyle w:val="FootnoteReference"/>
          <w:szCs w:val="22"/>
        </w:rPr>
        <w:footnoteReference w:id="8"/>
      </w:r>
      <w:r w:rsidR="00951B6C">
        <w:rPr>
          <w:szCs w:val="22"/>
        </w:rPr>
        <w:t xml:space="preserve">  It then m</w:t>
      </w:r>
      <w:r w:rsidR="00E7170D">
        <w:rPr>
          <w:szCs w:val="22"/>
        </w:rPr>
        <w:t>akes the unwarranted logical leap to state that “[t]</w:t>
      </w:r>
      <w:r w:rsidRPr="00BA7A4A" w:rsidR="00951B6C">
        <w:rPr>
          <w:szCs w:val="22"/>
        </w:rPr>
        <w:t>his proposal presents a preferred arrangement of allotments under FM</w:t>
      </w:r>
      <w:r w:rsidR="00E7170D">
        <w:rPr>
          <w:szCs w:val="22"/>
        </w:rPr>
        <w:t xml:space="preserve"> </w:t>
      </w:r>
      <w:r w:rsidRPr="00BA7A4A" w:rsidR="00951B6C">
        <w:rPr>
          <w:szCs w:val="22"/>
        </w:rPr>
        <w:t>Allotment Priority (4) because WCYZ(FM) [already presumed to be radio service to the Ocala</w:t>
      </w:r>
      <w:r w:rsidR="000A71CA">
        <w:rPr>
          <w:szCs w:val="22"/>
        </w:rPr>
        <w:t xml:space="preserve"> </w:t>
      </w:r>
      <w:r w:rsidRPr="00BA7A4A" w:rsidR="000A71CA">
        <w:rPr>
          <w:szCs w:val="22"/>
        </w:rPr>
        <w:t xml:space="preserve">Urbanized Area pursuant to </w:t>
      </w:r>
      <w:r w:rsidRPr="00BA7A4A" w:rsidR="000A71CA">
        <w:rPr>
          <w:i/>
          <w:iCs/>
          <w:szCs w:val="22"/>
        </w:rPr>
        <w:t>Rural Radio</w:t>
      </w:r>
      <w:r w:rsidRPr="00BA7A4A" w:rsidR="000A71CA">
        <w:rPr>
          <w:szCs w:val="22"/>
        </w:rPr>
        <w:t>] would provide a local service to a community over 2.5</w:t>
      </w:r>
      <w:r w:rsidR="000A71CA">
        <w:rPr>
          <w:szCs w:val="22"/>
        </w:rPr>
        <w:t xml:space="preserve"> </w:t>
      </w:r>
      <w:r w:rsidRPr="00BA7A4A" w:rsidR="000A71CA">
        <w:rPr>
          <w:szCs w:val="22"/>
        </w:rPr>
        <w:t>times the population of its current community of license.</w:t>
      </w:r>
      <w:r w:rsidR="000A71CA">
        <w:rPr>
          <w:szCs w:val="22"/>
        </w:rPr>
        <w:t>”</w:t>
      </w:r>
      <w:r>
        <w:rPr>
          <w:rStyle w:val="FootnoteReference"/>
          <w:szCs w:val="22"/>
        </w:rPr>
        <w:footnoteReference w:id="9"/>
      </w:r>
      <w:r w:rsidR="007E067D">
        <w:rPr>
          <w:szCs w:val="22"/>
        </w:rPr>
        <w:t xml:space="preserve">  This misreads </w:t>
      </w:r>
      <w:r w:rsidRPr="00BA7A4A" w:rsidR="007E067D">
        <w:rPr>
          <w:i/>
          <w:iCs/>
          <w:szCs w:val="22"/>
        </w:rPr>
        <w:t>Rural Radio</w:t>
      </w:r>
      <w:r w:rsidR="007E067D">
        <w:rPr>
          <w:szCs w:val="22"/>
        </w:rPr>
        <w:t xml:space="preserve"> </w:t>
      </w:r>
      <w:r w:rsidR="00E13EBD">
        <w:rPr>
          <w:szCs w:val="22"/>
        </w:rPr>
        <w:t>by confusing</w:t>
      </w:r>
      <w:r w:rsidR="007E067D">
        <w:rPr>
          <w:szCs w:val="22"/>
        </w:rPr>
        <w:t xml:space="preserve"> the Priority</w:t>
      </w:r>
      <w:r w:rsidR="00F07429">
        <w:rPr>
          <w:szCs w:val="22"/>
        </w:rPr>
        <w:t xml:space="preserve"> </w:t>
      </w:r>
      <w:r w:rsidR="007E067D">
        <w:rPr>
          <w:szCs w:val="22"/>
        </w:rPr>
        <w:t xml:space="preserve">(3) standard (population of the community of license) </w:t>
      </w:r>
      <w:r w:rsidR="00E13EBD">
        <w:rPr>
          <w:szCs w:val="22"/>
        </w:rPr>
        <w:t>with the</w:t>
      </w:r>
      <w:r w:rsidR="007E067D">
        <w:rPr>
          <w:szCs w:val="22"/>
        </w:rPr>
        <w:t xml:space="preserve"> Priority</w:t>
      </w:r>
      <w:r w:rsidR="00F07429">
        <w:rPr>
          <w:szCs w:val="22"/>
        </w:rPr>
        <w:t xml:space="preserve"> </w:t>
      </w:r>
      <w:r w:rsidR="007E067D">
        <w:rPr>
          <w:szCs w:val="22"/>
        </w:rPr>
        <w:t xml:space="preserve">(4) </w:t>
      </w:r>
      <w:r w:rsidR="00BA3380">
        <w:rPr>
          <w:szCs w:val="22"/>
        </w:rPr>
        <w:t>standard</w:t>
      </w:r>
      <w:r w:rsidR="007E067D">
        <w:rPr>
          <w:szCs w:val="22"/>
        </w:rPr>
        <w:t xml:space="preserve"> (</w:t>
      </w:r>
      <w:r w:rsidR="006B332B">
        <w:rPr>
          <w:szCs w:val="22"/>
        </w:rPr>
        <w:t xml:space="preserve">area and </w:t>
      </w:r>
      <w:r w:rsidR="00AF244C">
        <w:rPr>
          <w:szCs w:val="22"/>
        </w:rPr>
        <w:t>population receiving service from the station</w:t>
      </w:r>
      <w:r w:rsidR="00BA0CC7">
        <w:rPr>
          <w:szCs w:val="22"/>
        </w:rPr>
        <w:t xml:space="preserve">), and </w:t>
      </w:r>
      <w:r w:rsidR="002937DE">
        <w:rPr>
          <w:szCs w:val="22"/>
        </w:rPr>
        <w:t>we reject</w:t>
      </w:r>
      <w:r w:rsidR="00527E9F">
        <w:rPr>
          <w:szCs w:val="22"/>
        </w:rPr>
        <w:t xml:space="preserve"> this argument on that basis.</w:t>
      </w:r>
      <w:r w:rsidRPr="00951B6C" w:rsidR="00951B6C">
        <w:rPr>
          <w:szCs w:val="22"/>
        </w:rPr>
        <w:t xml:space="preserve"> </w:t>
      </w:r>
    </w:p>
    <w:p w:rsidR="008D3F64" w:rsidP="004C0016" w14:paraId="299B0CDA" w14:textId="77777777">
      <w:pPr>
        <w:autoSpaceDE w:val="0"/>
        <w:autoSpaceDN w:val="0"/>
        <w:adjustRightInd w:val="0"/>
        <w:ind w:firstLine="720"/>
        <w:rPr>
          <w:szCs w:val="22"/>
        </w:rPr>
      </w:pPr>
    </w:p>
    <w:p w:rsidR="00C503DB" w:rsidP="004C0016" w14:paraId="26947210" w14:textId="033E13B6">
      <w:pPr>
        <w:autoSpaceDE w:val="0"/>
        <w:autoSpaceDN w:val="0"/>
        <w:adjustRightInd w:val="0"/>
        <w:ind w:firstLine="720"/>
        <w:rPr>
          <w:szCs w:val="22"/>
        </w:rPr>
      </w:pPr>
      <w:r>
        <w:rPr>
          <w:szCs w:val="22"/>
        </w:rPr>
        <w:t xml:space="preserve">Moreover, </w:t>
      </w:r>
      <w:r w:rsidR="009C4F10">
        <w:rPr>
          <w:szCs w:val="22"/>
        </w:rPr>
        <w:t>CFEF’s position is self-contradictory.  It argue</w:t>
      </w:r>
      <w:r w:rsidR="0098243E">
        <w:rPr>
          <w:szCs w:val="22"/>
        </w:rPr>
        <w:t>s</w:t>
      </w:r>
      <w:r w:rsidR="009C4F10">
        <w:rPr>
          <w:szCs w:val="22"/>
        </w:rPr>
        <w:t xml:space="preserve"> that removing </w:t>
      </w:r>
      <w:r w:rsidR="001242F8">
        <w:rPr>
          <w:szCs w:val="22"/>
        </w:rPr>
        <w:t>the sole local transmission service</w:t>
      </w:r>
      <w:r w:rsidR="00C628F4">
        <w:rPr>
          <w:szCs w:val="22"/>
        </w:rPr>
        <w:t xml:space="preserve"> from Silver Springs Shore is allowed, because </w:t>
      </w:r>
      <w:r w:rsidR="00813582">
        <w:rPr>
          <w:szCs w:val="22"/>
        </w:rPr>
        <w:t xml:space="preserve">under </w:t>
      </w:r>
      <w:r w:rsidRPr="00BA7A4A" w:rsidR="00813582">
        <w:rPr>
          <w:i/>
          <w:iCs/>
          <w:szCs w:val="22"/>
        </w:rPr>
        <w:t>Rural Radio</w:t>
      </w:r>
      <w:r w:rsidR="00813582">
        <w:rPr>
          <w:szCs w:val="22"/>
        </w:rPr>
        <w:t xml:space="preserve"> WCYZ is presumed to serve the entire Ocala UA</w:t>
      </w:r>
      <w:r w:rsidR="007F1937">
        <w:rPr>
          <w:szCs w:val="22"/>
        </w:rPr>
        <w:t xml:space="preserve"> and thus the community change from Silver Springs Shore to Ocala is an “intra-urban” move</w:t>
      </w:r>
      <w:r w:rsidR="00813582">
        <w:rPr>
          <w:szCs w:val="22"/>
        </w:rPr>
        <w:t>.</w:t>
      </w:r>
      <w:r>
        <w:rPr>
          <w:rStyle w:val="FootnoteReference"/>
          <w:szCs w:val="22"/>
        </w:rPr>
        <w:footnoteReference w:id="10"/>
      </w:r>
      <w:r w:rsidR="00813582">
        <w:rPr>
          <w:szCs w:val="22"/>
        </w:rPr>
        <w:t xml:space="preserve">  Having correctly </w:t>
      </w:r>
      <w:r w:rsidR="0098243E">
        <w:rPr>
          <w:szCs w:val="22"/>
        </w:rPr>
        <w:t xml:space="preserve">stated this principle, however, CFEF then attempts to flip the coin to contend that </w:t>
      </w:r>
      <w:r w:rsidR="00743D6E">
        <w:rPr>
          <w:szCs w:val="22"/>
        </w:rPr>
        <w:t xml:space="preserve">re-labeling WCYZ as an Ocala </w:t>
      </w:r>
      <w:r w:rsidR="008E4DAC">
        <w:rPr>
          <w:szCs w:val="22"/>
        </w:rPr>
        <w:t>station</w:t>
      </w:r>
      <w:r w:rsidR="00743D6E">
        <w:rPr>
          <w:szCs w:val="22"/>
        </w:rPr>
        <w:t xml:space="preserve"> is preferred because Ocala is the larger community.</w:t>
      </w:r>
      <w:r w:rsidR="00AD4A92">
        <w:rPr>
          <w:szCs w:val="22"/>
        </w:rPr>
        <w:t xml:space="preserve">  CFEF cannot have it both ways:  either </w:t>
      </w:r>
      <w:r w:rsidR="005033D0">
        <w:rPr>
          <w:szCs w:val="22"/>
        </w:rPr>
        <w:t xml:space="preserve">WCYZ serves the entire Ocala UA, no matter what the community of license, or </w:t>
      </w:r>
      <w:r w:rsidR="00452FB8">
        <w:rPr>
          <w:szCs w:val="22"/>
        </w:rPr>
        <w:t>it serves an individual community within the UA, in which</w:t>
      </w:r>
      <w:r w:rsidR="0015044D">
        <w:rPr>
          <w:szCs w:val="22"/>
        </w:rPr>
        <w:t xml:space="preserve"> case Commission policy favors retention of the sole local </w:t>
      </w:r>
      <w:r w:rsidR="002946BD">
        <w:rPr>
          <w:szCs w:val="22"/>
        </w:rPr>
        <w:t xml:space="preserve">transmission </w:t>
      </w:r>
      <w:r w:rsidR="0015044D">
        <w:rPr>
          <w:szCs w:val="22"/>
        </w:rPr>
        <w:t>service</w:t>
      </w:r>
      <w:r w:rsidR="006512B3">
        <w:rPr>
          <w:szCs w:val="22"/>
        </w:rPr>
        <w:t xml:space="preserve"> at Silver Springs Shore</w:t>
      </w:r>
      <w:r w:rsidR="0015044D">
        <w:rPr>
          <w:szCs w:val="22"/>
        </w:rPr>
        <w:t>.</w:t>
      </w:r>
      <w:r>
        <w:rPr>
          <w:rStyle w:val="FootnoteReference"/>
          <w:szCs w:val="22"/>
        </w:rPr>
        <w:footnoteReference w:id="11"/>
      </w:r>
      <w:r w:rsidR="00E329C3">
        <w:rPr>
          <w:szCs w:val="22"/>
        </w:rPr>
        <w:t xml:space="preserve">  In </w:t>
      </w:r>
      <w:r w:rsidR="000E770E">
        <w:rPr>
          <w:szCs w:val="22"/>
        </w:rPr>
        <w:t>neither case can it be said that a move to Ocala represents a preferential arrangement of allotments</w:t>
      </w:r>
      <w:r w:rsidR="00577AA5">
        <w:rPr>
          <w:szCs w:val="22"/>
        </w:rPr>
        <w:t xml:space="preserve"> based solely on the relative sizes of two communities in the same Urbanized Area</w:t>
      </w:r>
      <w:r w:rsidR="003B4E53">
        <w:rPr>
          <w:szCs w:val="22"/>
        </w:rPr>
        <w:t xml:space="preserve"> being served</w:t>
      </w:r>
      <w:r w:rsidR="00577AA5">
        <w:rPr>
          <w:szCs w:val="22"/>
        </w:rPr>
        <w:t>.</w:t>
      </w:r>
      <w:r w:rsidR="00E329C3">
        <w:rPr>
          <w:szCs w:val="22"/>
        </w:rPr>
        <w:t xml:space="preserve"> </w:t>
      </w:r>
      <w:r w:rsidR="0098243E">
        <w:rPr>
          <w:szCs w:val="22"/>
        </w:rPr>
        <w:t xml:space="preserve"> </w:t>
      </w:r>
    </w:p>
    <w:p w:rsidR="00C503DB" w:rsidP="004C0016" w14:paraId="69E5836B" w14:textId="77777777">
      <w:pPr>
        <w:autoSpaceDE w:val="0"/>
        <w:autoSpaceDN w:val="0"/>
        <w:adjustRightInd w:val="0"/>
        <w:ind w:firstLine="720"/>
        <w:rPr>
          <w:szCs w:val="22"/>
        </w:rPr>
      </w:pPr>
    </w:p>
    <w:p w:rsidR="002B65B6" w:rsidRPr="002B65B6" w:rsidP="008000E6" w14:paraId="45A8055F" w14:textId="77777777">
      <w:pPr>
        <w:ind w:firstLine="720"/>
        <w:rPr>
          <w:szCs w:val="22"/>
        </w:rPr>
      </w:pPr>
      <w:r>
        <w:rPr>
          <w:szCs w:val="22"/>
        </w:rPr>
        <w:t xml:space="preserve">Finally, it bears repeating that the Application proposes no technical </w:t>
      </w:r>
      <w:r w:rsidR="00BE5EBC">
        <w:rPr>
          <w:szCs w:val="22"/>
        </w:rPr>
        <w:t xml:space="preserve">change in WCYZ’s facilities.  CFEF </w:t>
      </w:r>
      <w:r w:rsidR="0033677C">
        <w:rPr>
          <w:szCs w:val="22"/>
        </w:rPr>
        <w:t>contends</w:t>
      </w:r>
      <w:r w:rsidR="00BE5EBC">
        <w:rPr>
          <w:szCs w:val="22"/>
        </w:rPr>
        <w:t xml:space="preserve"> </w:t>
      </w:r>
      <w:r w:rsidRPr="00BE5EBC" w:rsidR="00BE5EBC">
        <w:rPr>
          <w:szCs w:val="22"/>
        </w:rPr>
        <w:t xml:space="preserve">that </w:t>
      </w:r>
      <w:r w:rsidR="00BE5EBC">
        <w:rPr>
          <w:szCs w:val="22"/>
        </w:rPr>
        <w:t>“</w:t>
      </w:r>
      <w:r w:rsidRPr="00BA7A4A" w:rsidR="00BE5EBC">
        <w:rPr>
          <w:szCs w:val="22"/>
        </w:rPr>
        <w:t xml:space="preserve">the proposed </w:t>
      </w:r>
      <w:r w:rsidR="00BE5EBC">
        <w:rPr>
          <w:szCs w:val="22"/>
        </w:rPr>
        <w:t>‘</w:t>
      </w:r>
      <w:r w:rsidRPr="00BA7A4A" w:rsidR="00BE5EBC">
        <w:rPr>
          <w:szCs w:val="22"/>
        </w:rPr>
        <w:t>intraurban</w:t>
      </w:r>
      <w:r w:rsidR="00BE5EBC">
        <w:rPr>
          <w:szCs w:val="22"/>
        </w:rPr>
        <w:t xml:space="preserve">’ </w:t>
      </w:r>
      <w:r w:rsidRPr="00BA7A4A" w:rsidR="00BE5EBC">
        <w:rPr>
          <w:szCs w:val="22"/>
        </w:rPr>
        <w:t>change in the WCYZ(FM) community of license represents a preferential arrangement of</w:t>
      </w:r>
      <w:r w:rsidR="00BE5EBC">
        <w:rPr>
          <w:szCs w:val="22"/>
        </w:rPr>
        <w:t xml:space="preserve"> </w:t>
      </w:r>
      <w:r w:rsidRPr="00BA7A4A" w:rsidR="00BE5EBC">
        <w:rPr>
          <w:szCs w:val="22"/>
        </w:rPr>
        <w:t>allotments over the current WCYZ(FM) facility.</w:t>
      </w:r>
      <w:r w:rsidR="004A59D1">
        <w:rPr>
          <w:szCs w:val="22"/>
        </w:rPr>
        <w:t>”</w:t>
      </w:r>
      <w:r>
        <w:rPr>
          <w:rStyle w:val="FootnoteReference"/>
          <w:szCs w:val="22"/>
        </w:rPr>
        <w:footnoteReference w:id="12"/>
      </w:r>
      <w:r w:rsidR="004A59D1">
        <w:rPr>
          <w:szCs w:val="22"/>
        </w:rPr>
        <w:t xml:space="preserve">  CFEF </w:t>
      </w:r>
      <w:r w:rsidR="0073567A">
        <w:rPr>
          <w:szCs w:val="22"/>
        </w:rPr>
        <w:t xml:space="preserve">thus </w:t>
      </w:r>
      <w:r w:rsidR="004A59D1">
        <w:rPr>
          <w:szCs w:val="22"/>
        </w:rPr>
        <w:t>argues, nonsensically, that its current facility represent a preferential arrangement of allotments over itself.</w:t>
      </w:r>
      <w:r w:rsidR="00594A6C">
        <w:rPr>
          <w:szCs w:val="22"/>
        </w:rPr>
        <w:t xml:space="preserve">  While a novel argument, it is not a convincing one.</w:t>
      </w:r>
      <w:r>
        <w:rPr>
          <w:szCs w:val="22"/>
        </w:rPr>
        <w:t xml:space="preserve">  </w:t>
      </w:r>
      <w:r w:rsidRPr="002B65B6">
        <w:rPr>
          <w:szCs w:val="22"/>
        </w:rPr>
        <w:t>In intra-urbanized area cases where we have found such a preferential arrangement of allotments, there has been some actual service improvement under Priority (4), principally greater population coverage.</w:t>
      </w:r>
      <w:r>
        <w:rPr>
          <w:szCs w:val="22"/>
          <w:vertAlign w:val="superscript"/>
        </w:rPr>
        <w:footnoteReference w:id="13"/>
      </w:r>
      <w:r w:rsidRPr="002B65B6">
        <w:rPr>
          <w:szCs w:val="22"/>
        </w:rPr>
        <w:t xml:space="preserve">  The mere desire to concentrate a station’s programming on one community in an urbanized area over another, without more, does not satisfy this criterion.</w:t>
      </w:r>
      <w:r>
        <w:rPr>
          <w:szCs w:val="22"/>
          <w:vertAlign w:val="superscript"/>
        </w:rPr>
        <w:footnoteReference w:id="14"/>
      </w:r>
    </w:p>
    <w:p w:rsidR="00041E4F" w:rsidRPr="008000E6" w:rsidP="008000E6" w14:paraId="7D312D88" w14:textId="557FBB1C">
      <w:pPr>
        <w:autoSpaceDE w:val="0"/>
        <w:autoSpaceDN w:val="0"/>
        <w:adjustRightInd w:val="0"/>
        <w:ind w:firstLine="720"/>
        <w:rPr>
          <w:bCs/>
          <w:szCs w:val="22"/>
        </w:rPr>
      </w:pPr>
      <w:r>
        <w:rPr>
          <w:szCs w:val="22"/>
        </w:rPr>
        <w:t xml:space="preserve"> </w:t>
      </w:r>
    </w:p>
    <w:p w:rsidR="005B3D8F" w:rsidP="006F783F" w14:paraId="4905272F" w14:textId="1FC8E052">
      <w:pPr>
        <w:tabs>
          <w:tab w:val="left" w:pos="720"/>
          <w:tab w:val="left" w:pos="1440"/>
          <w:tab w:val="left" w:pos="2270"/>
        </w:tabs>
        <w:rPr>
          <w:szCs w:val="22"/>
        </w:rPr>
      </w:pPr>
      <w:r>
        <w:rPr>
          <w:szCs w:val="22"/>
        </w:rPr>
        <w:tab/>
      </w:r>
      <w:r w:rsidRPr="00554ECE">
        <w:rPr>
          <w:b/>
          <w:bCs/>
          <w:szCs w:val="22"/>
        </w:rPr>
        <w:t>Conclusion.</w:t>
      </w:r>
      <w:r w:rsidR="00577E50">
        <w:rPr>
          <w:b/>
          <w:bCs/>
          <w:szCs w:val="22"/>
        </w:rPr>
        <w:t xml:space="preserve">  </w:t>
      </w:r>
      <w:r w:rsidR="00F47B9D">
        <w:rPr>
          <w:szCs w:val="22"/>
        </w:rPr>
        <w:t xml:space="preserve">CFEF’s Application, as submitted, seeking nothing more than </w:t>
      </w:r>
      <w:r w:rsidR="00710693">
        <w:rPr>
          <w:szCs w:val="22"/>
        </w:rPr>
        <w:t xml:space="preserve">to </w:t>
      </w:r>
      <w:r w:rsidR="00F47B9D">
        <w:rPr>
          <w:szCs w:val="22"/>
        </w:rPr>
        <w:t>plac</w:t>
      </w:r>
      <w:r w:rsidR="00710693">
        <w:rPr>
          <w:szCs w:val="22"/>
        </w:rPr>
        <w:t>e</w:t>
      </w:r>
      <w:r w:rsidR="00F47B9D">
        <w:rPr>
          <w:szCs w:val="22"/>
        </w:rPr>
        <w:t xml:space="preserve"> a new label on an FM facility that would serve exactly the same area and population as it does currently.  The </w:t>
      </w:r>
      <w:r w:rsidR="00D40338">
        <w:rPr>
          <w:szCs w:val="22"/>
        </w:rPr>
        <w:t>mere re-designation of</w:t>
      </w:r>
      <w:r w:rsidR="00E40D50">
        <w:rPr>
          <w:szCs w:val="22"/>
        </w:rPr>
        <w:t xml:space="preserve"> a facility as representing a different community of license, without more,</w:t>
      </w:r>
      <w:r w:rsidR="00F47B9D">
        <w:rPr>
          <w:szCs w:val="22"/>
        </w:rPr>
        <w:t xml:space="preserve"> does not present us with a preferential arrangement of allotments</w:t>
      </w:r>
      <w:r w:rsidR="00D905A4">
        <w:rPr>
          <w:szCs w:val="22"/>
        </w:rPr>
        <w:t xml:space="preserve">.  </w:t>
      </w:r>
      <w:r w:rsidR="00E40D50">
        <w:rPr>
          <w:szCs w:val="22"/>
        </w:rPr>
        <w:t>We therefor</w:t>
      </w:r>
      <w:r w:rsidR="0077294C">
        <w:rPr>
          <w:szCs w:val="22"/>
        </w:rPr>
        <w:t>e</w:t>
      </w:r>
      <w:r w:rsidR="00CA5232">
        <w:rPr>
          <w:szCs w:val="22"/>
        </w:rPr>
        <w:t xml:space="preserve"> </w:t>
      </w:r>
      <w:r w:rsidR="003317D2">
        <w:rPr>
          <w:szCs w:val="22"/>
        </w:rPr>
        <w:t>find that</w:t>
      </w:r>
      <w:r w:rsidR="00CA5232">
        <w:rPr>
          <w:szCs w:val="22"/>
        </w:rPr>
        <w:t xml:space="preserve"> </w:t>
      </w:r>
      <w:r w:rsidR="00E40D50">
        <w:rPr>
          <w:szCs w:val="22"/>
        </w:rPr>
        <w:t>the Application</w:t>
      </w:r>
      <w:r w:rsidR="00CA5232">
        <w:rPr>
          <w:szCs w:val="22"/>
        </w:rPr>
        <w:t xml:space="preserve"> as </w:t>
      </w:r>
      <w:r w:rsidR="003317D2">
        <w:rPr>
          <w:szCs w:val="22"/>
        </w:rPr>
        <w:t>submitted fails</w:t>
      </w:r>
      <w:r w:rsidR="00CA5232">
        <w:rPr>
          <w:szCs w:val="22"/>
        </w:rPr>
        <w:t xml:space="preserve"> to comply with section </w:t>
      </w:r>
      <w:r>
        <w:rPr>
          <w:szCs w:val="22"/>
        </w:rPr>
        <w:t>73.3573(g)(1) of our rules.</w:t>
      </w:r>
    </w:p>
    <w:p w:rsidR="005B3D8F" w:rsidP="006F783F" w14:paraId="2B3572BA" w14:textId="77777777">
      <w:pPr>
        <w:tabs>
          <w:tab w:val="left" w:pos="720"/>
          <w:tab w:val="left" w:pos="1440"/>
          <w:tab w:val="left" w:pos="2270"/>
        </w:tabs>
        <w:rPr>
          <w:szCs w:val="22"/>
        </w:rPr>
      </w:pPr>
    </w:p>
    <w:p w:rsidR="00554ECE" w:rsidRPr="00554ECE" w:rsidP="006F783F" w14:paraId="60AF2A1B" w14:textId="1E853EEB">
      <w:pPr>
        <w:tabs>
          <w:tab w:val="left" w:pos="720"/>
          <w:tab w:val="left" w:pos="1440"/>
          <w:tab w:val="left" w:pos="2270"/>
        </w:tabs>
        <w:rPr>
          <w:szCs w:val="22"/>
        </w:rPr>
      </w:pPr>
      <w:r>
        <w:rPr>
          <w:szCs w:val="22"/>
        </w:rPr>
        <w:tab/>
      </w:r>
      <w:r w:rsidRPr="00554ECE">
        <w:rPr>
          <w:szCs w:val="22"/>
        </w:rPr>
        <w:t xml:space="preserve">Pursuant to </w:t>
      </w:r>
      <w:r w:rsidR="00490BDA">
        <w:rPr>
          <w:szCs w:val="22"/>
        </w:rPr>
        <w:t>section</w:t>
      </w:r>
      <w:r w:rsidRPr="00554ECE">
        <w:rPr>
          <w:szCs w:val="22"/>
        </w:rPr>
        <w:t xml:space="preserve"> 73.3522(c)(2)</w:t>
      </w:r>
      <w:r w:rsidR="00490BDA">
        <w:rPr>
          <w:szCs w:val="22"/>
        </w:rPr>
        <w:t xml:space="preserve"> of </w:t>
      </w:r>
      <w:r w:rsidR="00093B70">
        <w:rPr>
          <w:szCs w:val="22"/>
        </w:rPr>
        <w:t>the</w:t>
      </w:r>
      <w:r w:rsidR="00490BDA">
        <w:rPr>
          <w:szCs w:val="22"/>
        </w:rPr>
        <w:t xml:space="preserve"> rules</w:t>
      </w:r>
      <w:r w:rsidRPr="00554ECE">
        <w:rPr>
          <w:szCs w:val="22"/>
        </w:rPr>
        <w:t xml:space="preserve">, </w:t>
      </w:r>
      <w:r w:rsidR="00490BDA">
        <w:rPr>
          <w:szCs w:val="22"/>
        </w:rPr>
        <w:t>“</w:t>
      </w:r>
      <w:r w:rsidRPr="00554ECE">
        <w:rPr>
          <w:szCs w:val="22"/>
        </w:rPr>
        <w:t>an applicant whose application is found to meet the minimum filing requirements but nevertheless is not complete and acceptable shall have the opportunity in the 30-day period specified in the FCC staff's deficiency letter to correct all deficiencies in the tenderability and acceptability of the underlying application, including any deficiency not specifically identified by the staff.</w:t>
      </w:r>
      <w:r w:rsidR="00B44D24">
        <w:rPr>
          <w:szCs w:val="22"/>
        </w:rPr>
        <w:t>”</w:t>
      </w:r>
      <w:r>
        <w:rPr>
          <w:rStyle w:val="FootnoteReference"/>
          <w:szCs w:val="22"/>
        </w:rPr>
        <w:footnoteReference w:id="15"/>
      </w:r>
      <w:r w:rsidRPr="00554ECE">
        <w:rPr>
          <w:szCs w:val="22"/>
        </w:rPr>
        <w:t xml:space="preserve">  Additionally, </w:t>
      </w:r>
      <w:r w:rsidR="006A29C5">
        <w:rPr>
          <w:szCs w:val="22"/>
        </w:rPr>
        <w:t>section</w:t>
      </w:r>
      <w:r w:rsidRPr="00554ECE">
        <w:rPr>
          <w:szCs w:val="22"/>
        </w:rPr>
        <w:t xml:space="preserve"> 73.3564 states that </w:t>
      </w:r>
      <w:r w:rsidR="006A29C5">
        <w:rPr>
          <w:szCs w:val="22"/>
        </w:rPr>
        <w:t>“</w:t>
      </w:r>
      <w:r w:rsidRPr="00554ECE">
        <w:rPr>
          <w:szCs w:val="22"/>
        </w:rPr>
        <w:t>[a]</w:t>
      </w:r>
      <w:r w:rsidRPr="00554ECE" w:rsidR="006F64DB">
        <w:rPr>
          <w:szCs w:val="22"/>
        </w:rPr>
        <w:t>pplications</w:t>
      </w:r>
      <w:r w:rsidRPr="00554ECE">
        <w:rPr>
          <w:szCs w:val="22"/>
        </w:rPr>
        <w:t xml:space="preserve"> with uncorrected tender and/or acceptance defects remaining after the opportunity for corrective amendment will be dismissed with no further opportunity for amendment.</w:t>
      </w:r>
      <w:r w:rsidR="006A29C5">
        <w:rPr>
          <w:szCs w:val="22"/>
        </w:rPr>
        <w:t>”</w:t>
      </w:r>
      <w:r>
        <w:rPr>
          <w:rStyle w:val="FootnoteReference"/>
          <w:szCs w:val="22"/>
        </w:rPr>
        <w:footnoteReference w:id="16"/>
      </w:r>
      <w:r w:rsidRPr="00554ECE">
        <w:rPr>
          <w:szCs w:val="22"/>
        </w:rPr>
        <w:t xml:space="preserve">    This letter constitutes your opportunity for corrective amendment pursuant to </w:t>
      </w:r>
      <w:r w:rsidR="00514754">
        <w:rPr>
          <w:szCs w:val="22"/>
        </w:rPr>
        <w:t>section</w:t>
      </w:r>
      <w:r w:rsidRPr="00554ECE">
        <w:rPr>
          <w:szCs w:val="22"/>
        </w:rPr>
        <w:t xml:space="preserve"> 73.3522.</w:t>
      </w:r>
    </w:p>
    <w:p w:rsidR="00554ECE" w:rsidRPr="00554ECE" w:rsidP="00554ECE" w14:paraId="3AEF294C" w14:textId="77777777">
      <w:pPr>
        <w:rPr>
          <w:szCs w:val="22"/>
        </w:rPr>
      </w:pPr>
    </w:p>
    <w:p w:rsidR="00554ECE" w:rsidP="00554ECE" w14:paraId="264C1C69" w14:textId="5CA310C2">
      <w:pPr>
        <w:ind w:firstLine="720"/>
        <w:rPr>
          <w:szCs w:val="22"/>
        </w:rPr>
      </w:pPr>
      <w:r w:rsidRPr="00554ECE">
        <w:rPr>
          <w:szCs w:val="22"/>
        </w:rPr>
        <w:t xml:space="preserve">Further action on the subject application will be withheld for a period of thirty days from the date of this letter to provide the applicant an opportunity to respond.  Failure to correct all tender and acceptance defects within thirty days from the date of this letter will result in the dismissal of the application with no further opportunity for corrective amendment pursuant to </w:t>
      </w:r>
      <w:r w:rsidR="003D5D4A">
        <w:rPr>
          <w:szCs w:val="22"/>
        </w:rPr>
        <w:t>section</w:t>
      </w:r>
      <w:r w:rsidRPr="00554ECE">
        <w:rPr>
          <w:szCs w:val="22"/>
        </w:rPr>
        <w:t xml:space="preserve"> 73.3564(a)(3).</w:t>
      </w:r>
      <w:r>
        <w:rPr>
          <w:rStyle w:val="FootnoteReference"/>
          <w:szCs w:val="22"/>
        </w:rPr>
        <w:footnoteReference w:id="17"/>
      </w:r>
      <w:r w:rsidRPr="00554ECE">
        <w:rPr>
          <w:szCs w:val="22"/>
        </w:rPr>
        <w:t xml:space="preserve">  Furthermore, failure to respond within 30 days will result in the dismissal of the application pursuant to </w:t>
      </w:r>
      <w:r w:rsidR="003D5D4A">
        <w:rPr>
          <w:szCs w:val="22"/>
        </w:rPr>
        <w:t>section</w:t>
      </w:r>
      <w:r w:rsidRPr="00554ECE">
        <w:rPr>
          <w:szCs w:val="22"/>
        </w:rPr>
        <w:t xml:space="preserve"> 73.3568.</w:t>
      </w:r>
      <w:r>
        <w:rPr>
          <w:rStyle w:val="FootnoteReference"/>
          <w:szCs w:val="22"/>
        </w:rPr>
        <w:footnoteReference w:id="18"/>
      </w:r>
    </w:p>
    <w:p w:rsidR="00554ECE" w:rsidP="00554ECE" w14:paraId="33C141EF" w14:textId="77777777">
      <w:pPr>
        <w:tabs>
          <w:tab w:val="left" w:pos="9270"/>
        </w:tabs>
        <w:ind w:right="-90" w:firstLine="720"/>
        <w:rPr>
          <w:szCs w:val="22"/>
        </w:rPr>
      </w:pPr>
    </w:p>
    <w:p w:rsidR="00554ECE" w:rsidRPr="004F346E" w:rsidP="00554ECE" w14:paraId="180B4139" w14:textId="77777777">
      <w:pPr>
        <w:rPr>
          <w:szCs w:val="22"/>
        </w:rPr>
      </w:pPr>
      <w:r>
        <w:rPr>
          <w:szCs w:val="22"/>
        </w:rPr>
        <w:t xml:space="preserve">  </w:t>
      </w:r>
      <w:r w:rsidRPr="004F346E">
        <w:rPr>
          <w:szCs w:val="22"/>
        </w:rPr>
        <w:tab/>
      </w:r>
      <w:r w:rsidRPr="004F346E">
        <w:rPr>
          <w:szCs w:val="22"/>
        </w:rPr>
        <w:tab/>
      </w:r>
      <w:r w:rsidRPr="004F346E">
        <w:rPr>
          <w:szCs w:val="22"/>
        </w:rPr>
        <w:tab/>
      </w:r>
      <w:r w:rsidRPr="004F346E">
        <w:rPr>
          <w:szCs w:val="22"/>
        </w:rPr>
        <w:tab/>
      </w:r>
      <w:r w:rsidRPr="004F346E">
        <w:rPr>
          <w:szCs w:val="22"/>
        </w:rPr>
        <w:tab/>
      </w:r>
      <w:r w:rsidRPr="004F346E">
        <w:rPr>
          <w:szCs w:val="22"/>
        </w:rPr>
        <w:tab/>
      </w:r>
      <w:r w:rsidRPr="004F346E">
        <w:rPr>
          <w:szCs w:val="22"/>
        </w:rPr>
        <w:tab/>
      </w:r>
      <w:r w:rsidRPr="004F346E">
        <w:rPr>
          <w:szCs w:val="22"/>
        </w:rPr>
        <w:tab/>
        <w:t>Sincerely,</w:t>
      </w:r>
    </w:p>
    <w:p w:rsidR="00554ECE" w:rsidP="00554ECE" w14:paraId="02D1E18E" w14:textId="77777777">
      <w:pPr>
        <w:ind w:right="-90"/>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554ECE" w:rsidP="00554ECE" w14:paraId="48C6C0C1" w14:textId="77777777">
      <w:pPr>
        <w:ind w:right="-90"/>
        <w:rPr>
          <w:szCs w:val="22"/>
        </w:rPr>
      </w:pPr>
    </w:p>
    <w:p w:rsidR="00554ECE" w:rsidP="00554ECE" w14:paraId="0BDD807D" w14:textId="77777777">
      <w:pPr>
        <w:ind w:right="-90"/>
        <w:rPr>
          <w:szCs w:val="22"/>
        </w:rPr>
      </w:pPr>
    </w:p>
    <w:p w:rsidR="00554ECE" w:rsidRPr="00FB4613" w:rsidP="00554ECE" w14:paraId="4B96F3C1" w14:textId="77777777">
      <w:pPr>
        <w:ind w:right="-90"/>
        <w:rPr>
          <w:szCs w:val="22"/>
        </w:rPr>
      </w:pPr>
      <w:r>
        <w:rPr>
          <w:szCs w:val="22"/>
        </w:rPr>
        <w:tab/>
      </w:r>
      <w:r>
        <w:rPr>
          <w:szCs w:val="22"/>
        </w:rPr>
        <w:tab/>
      </w:r>
      <w:r w:rsidRPr="007C3C55">
        <w:rPr>
          <w:szCs w:val="22"/>
        </w:rPr>
        <w:tab/>
      </w:r>
      <w:r w:rsidRPr="007C3C55">
        <w:rPr>
          <w:szCs w:val="22"/>
        </w:rPr>
        <w:tab/>
      </w:r>
      <w:r w:rsidRPr="007C3C55">
        <w:rPr>
          <w:szCs w:val="22"/>
        </w:rPr>
        <w:tab/>
      </w:r>
      <w:r w:rsidRPr="007C3C55">
        <w:rPr>
          <w:szCs w:val="22"/>
        </w:rPr>
        <w:tab/>
      </w:r>
      <w:r w:rsidRPr="007C3C55">
        <w:rPr>
          <w:szCs w:val="22"/>
        </w:rPr>
        <w:tab/>
      </w:r>
      <w:r w:rsidRPr="007C3C55">
        <w:rPr>
          <w:szCs w:val="22"/>
        </w:rPr>
        <w:tab/>
      </w:r>
      <w:r w:rsidRPr="00BA7A4A">
        <w:rPr>
          <w:szCs w:val="22"/>
        </w:rPr>
        <w:t>Nazifa Sawez</w:t>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t>Assistant Chief</w:t>
      </w:r>
    </w:p>
    <w:p w:rsidR="00554ECE" w:rsidRPr="00FB4613" w:rsidP="00554ECE" w14:paraId="791223BA" w14:textId="77777777">
      <w:pPr>
        <w:ind w:left="5040" w:right="-90" w:firstLine="720"/>
        <w:rPr>
          <w:szCs w:val="22"/>
        </w:rPr>
      </w:pPr>
      <w:r w:rsidRPr="00FB4613">
        <w:rPr>
          <w:szCs w:val="22"/>
        </w:rPr>
        <w:t>Audio Division</w:t>
      </w:r>
    </w:p>
    <w:p w:rsidR="00554ECE" w:rsidRPr="00FB4613" w:rsidP="00554ECE" w14:paraId="47F196FF" w14:textId="77777777">
      <w:pPr>
        <w:ind w:right="-90"/>
        <w:rPr>
          <w:szCs w:val="22"/>
        </w:rPr>
      </w:pP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r>
      <w:r w:rsidRPr="00FB4613">
        <w:rPr>
          <w:szCs w:val="22"/>
        </w:rPr>
        <w:tab/>
        <w:t xml:space="preserve">Media Bureau </w:t>
      </w:r>
    </w:p>
    <w:p w:rsidR="00554ECE" w:rsidP="00554ECE" w14:paraId="1A3A9B5E" w14:textId="77777777">
      <w:pPr>
        <w:ind w:right="-90"/>
        <w:rPr>
          <w:szCs w:val="22"/>
        </w:rPr>
      </w:pPr>
    </w:p>
    <w:p w:rsidR="00554ECE" w:rsidRPr="00554ECE" w:rsidP="00554ECE" w14:paraId="18D84046" w14:textId="77777777">
      <w:pPr>
        <w:ind w:firstLine="720"/>
        <w:rPr>
          <w:szCs w:val="22"/>
        </w:rPr>
      </w:pPr>
    </w:p>
    <w:sectPr w:rsidSect="000E0167">
      <w:footerReference w:type="default" r:id="rId7"/>
      <w:headerReference w:type="first" r:id="rId8"/>
      <w:footerReference w:type="first" r:id="rId9"/>
      <w:pgSz w:w="12240" w:h="15840" w:code="1"/>
      <w:pgMar w:top="1987"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0DB" w:rsidP="00B710DB" w14:paraId="4908C76C" w14:textId="544EE504">
    <w:pPr>
      <w:pStyle w:val="Footer"/>
      <w:tabs>
        <w:tab w:val="left" w:pos="3910"/>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0DB" w14:paraId="0E8ABC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4540" w14:paraId="65A81A32" w14:textId="77777777">
      <w:r>
        <w:separator/>
      </w:r>
    </w:p>
  </w:footnote>
  <w:footnote w:type="continuationSeparator" w:id="1">
    <w:p w:rsidR="006C4540" w14:paraId="4E2FDAAA" w14:textId="77777777">
      <w:r>
        <w:continuationSeparator/>
      </w:r>
    </w:p>
  </w:footnote>
  <w:footnote w:id="2">
    <w:p w:rsidR="000B7C90" w:rsidRPr="000E6B47" w:rsidP="000B7C90" w14:paraId="2170FF69" w14:textId="77777777">
      <w:pPr>
        <w:pStyle w:val="FootnoteText"/>
      </w:pPr>
    </w:p>
    <w:p w:rsidR="000B7C90" w:rsidRPr="00BA7A4A" w:rsidP="00BA7A4A" w14:paraId="070317CB" w14:textId="72944624">
      <w:pPr>
        <w:pStyle w:val="FootnoteText"/>
        <w:spacing w:after="120"/>
        <w:rPr>
          <w:sz w:val="20"/>
        </w:rPr>
      </w:pPr>
      <w:r w:rsidRPr="00BA7A4A">
        <w:rPr>
          <w:rStyle w:val="FootnoteReference"/>
          <w:sz w:val="20"/>
        </w:rPr>
        <w:footnoteRef/>
      </w:r>
      <w:r w:rsidRPr="00BA7A4A">
        <w:rPr>
          <w:sz w:val="20"/>
        </w:rPr>
        <w:t xml:space="preserve"> </w:t>
      </w:r>
      <w:r w:rsidRPr="00BA7A4A">
        <w:rPr>
          <w:i/>
          <w:sz w:val="20"/>
        </w:rPr>
        <w:t xml:space="preserve">See </w:t>
      </w:r>
      <w:r w:rsidRPr="00BA7A4A">
        <w:rPr>
          <w:sz w:val="20"/>
        </w:rPr>
        <w:t xml:space="preserve">47 </w:t>
      </w:r>
      <w:r w:rsidRPr="00BA7A4A" w:rsidR="001A46AC">
        <w:rPr>
          <w:sz w:val="20"/>
        </w:rPr>
        <w:t>CFR</w:t>
      </w:r>
      <w:r w:rsidRPr="00BA7A4A">
        <w:rPr>
          <w:sz w:val="20"/>
        </w:rPr>
        <w:t xml:space="preserve"> § 73.3573(g).</w:t>
      </w:r>
      <w:r w:rsidRPr="00BA7A4A">
        <w:rPr>
          <w:i/>
          <w:sz w:val="20"/>
        </w:rPr>
        <w:t xml:space="preserve">  See also Modification of FM and TV Authorizations to Specify a New Community of License (Community of License), </w:t>
      </w:r>
      <w:r w:rsidRPr="00BA7A4A">
        <w:rPr>
          <w:sz w:val="20"/>
        </w:rPr>
        <w:t xml:space="preserve">Report and Order, 4 FCC </w:t>
      </w:r>
      <w:r w:rsidRPr="00BA7A4A">
        <w:rPr>
          <w:sz w:val="20"/>
        </w:rPr>
        <w:t>Rcd</w:t>
      </w:r>
      <w:r w:rsidRPr="00BA7A4A">
        <w:rPr>
          <w:sz w:val="20"/>
        </w:rPr>
        <w:t xml:space="preserve"> 4870 (1989), </w:t>
      </w:r>
      <w:r w:rsidRPr="00BA7A4A">
        <w:rPr>
          <w:i/>
          <w:sz w:val="20"/>
        </w:rPr>
        <w:t xml:space="preserve">recon. granted in part, </w:t>
      </w:r>
      <w:r w:rsidRPr="00BA7A4A">
        <w:rPr>
          <w:sz w:val="20"/>
        </w:rPr>
        <w:t xml:space="preserve">Memorandum Opinion and Order, 5 FCC </w:t>
      </w:r>
      <w:r w:rsidRPr="00BA7A4A">
        <w:rPr>
          <w:sz w:val="20"/>
        </w:rPr>
        <w:t>Rcd</w:t>
      </w:r>
      <w:r w:rsidRPr="00BA7A4A">
        <w:rPr>
          <w:sz w:val="20"/>
        </w:rPr>
        <w:t xml:space="preserve"> 7094 (1990).</w:t>
      </w:r>
    </w:p>
  </w:footnote>
  <w:footnote w:id="3">
    <w:p w:rsidR="003C65FE" w:rsidRPr="00BA7A4A" w:rsidP="00BA7A4A" w14:paraId="3C0D95D3" w14:textId="26DB72F1">
      <w:pPr>
        <w:pStyle w:val="FootnoteText"/>
        <w:spacing w:after="120"/>
        <w:rPr>
          <w:sz w:val="20"/>
        </w:rPr>
      </w:pPr>
      <w:r w:rsidRPr="00BA7A4A">
        <w:rPr>
          <w:rStyle w:val="FootnoteReference"/>
          <w:sz w:val="20"/>
        </w:rPr>
        <w:footnoteRef/>
      </w:r>
      <w:r w:rsidRPr="00BA7A4A">
        <w:rPr>
          <w:sz w:val="20"/>
        </w:rPr>
        <w:t xml:space="preserve"> </w:t>
      </w:r>
      <w:r w:rsidRPr="00BA7A4A" w:rsidR="001A46AC">
        <w:rPr>
          <w:sz w:val="20"/>
        </w:rPr>
        <w:t>47 CFR § 73.3573(g)(1).</w:t>
      </w:r>
    </w:p>
  </w:footnote>
  <w:footnote w:id="4">
    <w:p w:rsidR="00554ECE" w:rsidRPr="00BA7A4A" w:rsidP="00BA7A4A" w14:paraId="5E3F54A8" w14:textId="77777777">
      <w:pPr>
        <w:pStyle w:val="FootnoteText"/>
        <w:spacing w:after="120"/>
        <w:rPr>
          <w:sz w:val="20"/>
        </w:rPr>
      </w:pPr>
    </w:p>
    <w:p w:rsidR="00554ECE" w:rsidRPr="00BA7A4A" w:rsidP="00BA7A4A" w14:paraId="0E6AC777" w14:textId="4E9F5CFA">
      <w:pPr>
        <w:pStyle w:val="FootnoteText"/>
        <w:spacing w:after="120"/>
        <w:rPr>
          <w:sz w:val="20"/>
        </w:rPr>
      </w:pPr>
      <w:r w:rsidRPr="00BA7A4A">
        <w:rPr>
          <w:rStyle w:val="FootnoteReference"/>
          <w:sz w:val="20"/>
        </w:rPr>
        <w:footnoteRef/>
      </w:r>
      <w:r w:rsidRPr="00BA7A4A">
        <w:rPr>
          <w:sz w:val="20"/>
        </w:rPr>
        <w:t xml:space="preserve"> </w:t>
      </w:r>
      <w:r w:rsidRPr="00BA7A4A">
        <w:rPr>
          <w:i/>
          <w:sz w:val="20"/>
        </w:rPr>
        <w:t xml:space="preserve">Revision of FM Assignment Policies and Procedures, </w:t>
      </w:r>
      <w:r w:rsidRPr="00BA7A4A">
        <w:rPr>
          <w:sz w:val="20"/>
        </w:rPr>
        <w:t xml:space="preserve">Second Report and Order, 90 FCC 2d 88 (1982).  The FM allotment priorities are: (1) First fulltime aural service, (2) Second fulltime aural service, (3) First local service and (4) Other public interest matters.  Co-equal weight is given to Priorities (2) and (3). </w:t>
      </w:r>
    </w:p>
  </w:footnote>
  <w:footnote w:id="5">
    <w:p w:rsidR="002A2B92" w:rsidRPr="00BA7A4A" w:rsidP="00BA7A4A" w14:paraId="1B24711E" w14:textId="2E26FE75">
      <w:pPr>
        <w:pStyle w:val="FootnoteText"/>
        <w:spacing w:after="120"/>
        <w:rPr>
          <w:sz w:val="20"/>
        </w:rPr>
      </w:pPr>
      <w:r w:rsidRPr="00BA7A4A">
        <w:rPr>
          <w:rStyle w:val="FootnoteReference"/>
          <w:sz w:val="20"/>
        </w:rPr>
        <w:footnoteRef/>
      </w:r>
      <w:r w:rsidRPr="00BA7A4A">
        <w:rPr>
          <w:sz w:val="20"/>
        </w:rPr>
        <w:t xml:space="preserve"> </w:t>
      </w:r>
      <w:r w:rsidRPr="00BA7A4A">
        <w:rPr>
          <w:i/>
          <w:iCs/>
          <w:sz w:val="20"/>
        </w:rPr>
        <w:t>Citing Policies to Promote Rural Radio Service and to Streamline Allotment and Assignment Procedures</w:t>
      </w:r>
      <w:r w:rsidRPr="00BA7A4A">
        <w:rPr>
          <w:sz w:val="20"/>
        </w:rPr>
        <w:t xml:space="preserve">, Second Report and Order, First Order on Reconsideration, and Second Further Notice of Proposed Rulemaking, 26 FCC Rcd. 2556, 2567, </w:t>
      </w:r>
      <w:r w:rsidR="000C7D6A">
        <w:rPr>
          <w:sz w:val="20"/>
        </w:rPr>
        <w:t>para.</w:t>
      </w:r>
      <w:r w:rsidRPr="00BA7A4A">
        <w:rPr>
          <w:sz w:val="20"/>
        </w:rPr>
        <w:t xml:space="preserve"> 20 (2011) (</w:t>
      </w:r>
      <w:r w:rsidRPr="00BA7A4A">
        <w:rPr>
          <w:i/>
          <w:iCs/>
          <w:sz w:val="20"/>
        </w:rPr>
        <w:t>Rural Radio</w:t>
      </w:r>
      <w:r w:rsidRPr="00BA7A4A">
        <w:rPr>
          <w:sz w:val="20"/>
        </w:rPr>
        <w:t>) (establishing “a rebuttable presumption that, when the community proposed is located in an urbanized area or could, through a minor modification application, cover more than 50 percent of an urbanized area, we will treat the application, for section 307(b) purposes as proposing service to the entire urbanized area rather than the named community of license”).</w:t>
      </w:r>
    </w:p>
  </w:footnote>
  <w:footnote w:id="6">
    <w:p w:rsidR="00585193" w:rsidRPr="00BA7A4A" w:rsidP="00BA7A4A" w14:paraId="7C29DA52" w14:textId="28FC9670">
      <w:pPr>
        <w:pStyle w:val="FootnoteText"/>
        <w:spacing w:after="120"/>
        <w:rPr>
          <w:sz w:val="20"/>
        </w:rPr>
      </w:pPr>
      <w:r w:rsidRPr="00BA7A4A">
        <w:rPr>
          <w:rStyle w:val="FootnoteReference"/>
          <w:sz w:val="20"/>
        </w:rPr>
        <w:footnoteRef/>
      </w:r>
      <w:r w:rsidRPr="00BA7A4A">
        <w:rPr>
          <w:sz w:val="20"/>
        </w:rPr>
        <w:t xml:space="preserve"> </w:t>
      </w:r>
      <w:r w:rsidR="0046730E">
        <w:rPr>
          <w:sz w:val="20"/>
        </w:rPr>
        <w:t xml:space="preserve">Statement of </w:t>
      </w:r>
      <w:r w:rsidR="00D3777F">
        <w:rPr>
          <w:sz w:val="20"/>
        </w:rPr>
        <w:t xml:space="preserve">William J. Getz, attached to Application (Getz Statement) at 2-3.  </w:t>
      </w:r>
      <w:r w:rsidR="005E179E">
        <w:rPr>
          <w:sz w:val="20"/>
        </w:rPr>
        <w:t>CFEF cites in support of its claim</w:t>
      </w:r>
      <w:r w:rsidRPr="00BA7A4A" w:rsidR="00457A58">
        <w:rPr>
          <w:i/>
          <w:iCs/>
          <w:sz w:val="20"/>
        </w:rPr>
        <w:t xml:space="preserve"> </w:t>
      </w:r>
      <w:r w:rsidRPr="00BA7A4A">
        <w:rPr>
          <w:i/>
          <w:iCs/>
          <w:sz w:val="20"/>
        </w:rPr>
        <w:t xml:space="preserve">Gearhart, Madras, Manzanita, and Seaside, Oregon, </w:t>
      </w:r>
      <w:r w:rsidRPr="00BA7A4A">
        <w:rPr>
          <w:sz w:val="20"/>
        </w:rPr>
        <w:t>Report and Order, 26 FCC Rcd 10259,10263 (MB 2011);</w:t>
      </w:r>
      <w:r w:rsidRPr="00BA7A4A" w:rsidR="00193B8A">
        <w:rPr>
          <w:sz w:val="20"/>
        </w:rPr>
        <w:t xml:space="preserve"> </w:t>
      </w:r>
      <w:r w:rsidRPr="00BA7A4A" w:rsidR="00193B8A">
        <w:rPr>
          <w:i/>
          <w:iCs/>
          <w:sz w:val="20"/>
        </w:rPr>
        <w:t>see also</w:t>
      </w:r>
      <w:r w:rsidRPr="00BA7A4A" w:rsidR="00193B8A">
        <w:rPr>
          <w:sz w:val="20"/>
        </w:rPr>
        <w:t xml:space="preserve"> </w:t>
      </w:r>
      <w:r w:rsidRPr="00BA7A4A" w:rsidR="00193B8A">
        <w:rPr>
          <w:i/>
          <w:iCs/>
          <w:sz w:val="20"/>
        </w:rPr>
        <w:t>Policies to Promote Rural Radio Service and to Streamline Allotment and Assignment Procedures</w:t>
      </w:r>
      <w:r w:rsidRPr="00BA7A4A" w:rsidR="00193B8A">
        <w:rPr>
          <w:sz w:val="20"/>
        </w:rPr>
        <w:t>, Second Order on Reconsideration</w:t>
      </w:r>
      <w:r w:rsidRPr="00BA7A4A" w:rsidR="00F83C3C">
        <w:rPr>
          <w:sz w:val="20"/>
        </w:rPr>
        <w:t xml:space="preserve">, </w:t>
      </w:r>
      <w:r w:rsidRPr="00BA7A4A" w:rsidR="00193B8A">
        <w:rPr>
          <w:sz w:val="20"/>
        </w:rPr>
        <w:t>27 FCC Rcd 12829, 12841 (</w:t>
      </w:r>
      <w:r w:rsidRPr="00BA7A4A" w:rsidR="00193B8A">
        <w:rPr>
          <w:i/>
          <w:iCs/>
          <w:sz w:val="20"/>
        </w:rPr>
        <w:t>Rural Radio Second Order on Reconsideration</w:t>
      </w:r>
      <w:r w:rsidRPr="00BA7A4A" w:rsidR="00193B8A">
        <w:rPr>
          <w:sz w:val="20"/>
        </w:rPr>
        <w:t>)</w:t>
      </w:r>
      <w:r w:rsidRPr="00BA7A4A" w:rsidR="00E03DA6">
        <w:rPr>
          <w:sz w:val="20"/>
        </w:rPr>
        <w:t xml:space="preserve"> (stating that an applicant proposing an urban-to-urban move must demonstrate from which of the two communities the station would provide service to a greater area and population within the Urbanized Area)</w:t>
      </w:r>
      <w:r w:rsidR="003F4E12">
        <w:rPr>
          <w:sz w:val="20"/>
        </w:rPr>
        <w:t>.</w:t>
      </w:r>
    </w:p>
  </w:footnote>
  <w:footnote w:id="7">
    <w:p w:rsidR="00F44B61" w:rsidRPr="00BA7A4A" w:rsidP="00BA7A4A" w14:paraId="6471A1E7" w14:textId="088F32F0">
      <w:pPr>
        <w:pStyle w:val="FootnoteText"/>
        <w:spacing w:after="120"/>
        <w:rPr>
          <w:sz w:val="20"/>
        </w:rPr>
      </w:pPr>
      <w:r w:rsidRPr="00BA7A4A">
        <w:rPr>
          <w:rStyle w:val="FootnoteReference"/>
          <w:sz w:val="20"/>
        </w:rPr>
        <w:footnoteRef/>
      </w:r>
      <w:r w:rsidRPr="00BA7A4A">
        <w:rPr>
          <w:sz w:val="20"/>
        </w:rPr>
        <w:t xml:space="preserve"> </w:t>
      </w:r>
      <w:r w:rsidRPr="00BA7A4A">
        <w:rPr>
          <w:i/>
          <w:sz w:val="20"/>
        </w:rPr>
        <w:t xml:space="preserve">See Revision of FM Assignment Policies and Procedures, </w:t>
      </w:r>
      <w:r w:rsidRPr="00BA7A4A">
        <w:rPr>
          <w:sz w:val="20"/>
        </w:rPr>
        <w:t>90 FCC 2d at 92 n.8.</w:t>
      </w:r>
    </w:p>
  </w:footnote>
  <w:footnote w:id="8">
    <w:p w:rsidR="00985F11" w:rsidRPr="00BA7A4A" w:rsidP="00BA7A4A" w14:paraId="1E3BB1AA" w14:textId="276535DD">
      <w:pPr>
        <w:pStyle w:val="FootnoteText"/>
        <w:spacing w:after="120"/>
        <w:rPr>
          <w:sz w:val="20"/>
        </w:rPr>
      </w:pPr>
      <w:r>
        <w:rPr>
          <w:rStyle w:val="FootnoteReference"/>
        </w:rPr>
        <w:footnoteRef/>
      </w:r>
      <w:r>
        <w:t xml:space="preserve"> </w:t>
      </w:r>
      <w:r w:rsidR="00414E46">
        <w:rPr>
          <w:sz w:val="20"/>
        </w:rPr>
        <w:t xml:space="preserve">Getz </w:t>
      </w:r>
      <w:r w:rsidR="00D3777F">
        <w:rPr>
          <w:sz w:val="20"/>
        </w:rPr>
        <w:t>Statement</w:t>
      </w:r>
      <w:r w:rsidR="00414E46">
        <w:rPr>
          <w:sz w:val="20"/>
        </w:rPr>
        <w:t xml:space="preserve"> at </w:t>
      </w:r>
      <w:r w:rsidR="00920A5B">
        <w:rPr>
          <w:sz w:val="20"/>
        </w:rPr>
        <w:t>2.</w:t>
      </w:r>
    </w:p>
  </w:footnote>
  <w:footnote w:id="9">
    <w:p w:rsidR="00997763" w:rsidRPr="00BA7A4A" w:rsidP="00BA7A4A" w14:paraId="29B4C6CE" w14:textId="5974CBA6">
      <w:pPr>
        <w:pStyle w:val="FootnoteText"/>
        <w:spacing w:after="120"/>
        <w:rPr>
          <w:sz w:val="20"/>
        </w:rPr>
      </w:pPr>
      <w:r>
        <w:rPr>
          <w:rStyle w:val="FootnoteReference"/>
        </w:rPr>
        <w:footnoteRef/>
      </w:r>
      <w:r>
        <w:t xml:space="preserve"> </w:t>
      </w:r>
      <w:r w:rsidRPr="00BA7A4A">
        <w:rPr>
          <w:i/>
          <w:iCs/>
          <w:sz w:val="20"/>
        </w:rPr>
        <w:t>Id</w:t>
      </w:r>
      <w:r>
        <w:rPr>
          <w:sz w:val="20"/>
        </w:rPr>
        <w:t>. at 2-3.</w:t>
      </w:r>
    </w:p>
  </w:footnote>
  <w:footnote w:id="10">
    <w:p w:rsidR="00577AA5" w:rsidRPr="00BA7A4A" w:rsidP="00BA7A4A" w14:paraId="3CF290DC" w14:textId="6732BEE5">
      <w:pPr>
        <w:pStyle w:val="FootnoteText"/>
        <w:spacing w:after="120"/>
        <w:rPr>
          <w:sz w:val="20"/>
        </w:rPr>
      </w:pPr>
      <w:r>
        <w:rPr>
          <w:rStyle w:val="FootnoteReference"/>
        </w:rPr>
        <w:footnoteRef/>
      </w:r>
      <w:r>
        <w:t xml:space="preserve"> </w:t>
      </w:r>
      <w:r w:rsidRPr="00BA7A4A" w:rsidR="007F1937">
        <w:rPr>
          <w:i/>
          <w:iCs/>
          <w:sz w:val="20"/>
        </w:rPr>
        <w:t>Id</w:t>
      </w:r>
      <w:r w:rsidR="007F1937">
        <w:rPr>
          <w:sz w:val="20"/>
        </w:rPr>
        <w:t>. at 2.</w:t>
      </w:r>
    </w:p>
  </w:footnote>
  <w:footnote w:id="11">
    <w:p w:rsidR="00684562" w:rsidRPr="00BA7A4A" w:rsidP="00BA7A4A" w14:paraId="186E24D7" w14:textId="636F569C">
      <w:pPr>
        <w:pStyle w:val="FootnoteText"/>
        <w:spacing w:after="120"/>
        <w:rPr>
          <w:sz w:val="20"/>
        </w:rPr>
      </w:pPr>
      <w:r>
        <w:rPr>
          <w:rStyle w:val="FootnoteReference"/>
        </w:rPr>
        <w:footnoteRef/>
      </w:r>
      <w:r>
        <w:t xml:space="preserve"> </w:t>
      </w:r>
      <w:r w:rsidRPr="00BA7A4A" w:rsidR="004D2B61">
        <w:rPr>
          <w:i/>
          <w:iCs/>
          <w:sz w:val="20"/>
        </w:rPr>
        <w:t>Rural Radio</w:t>
      </w:r>
      <w:r w:rsidR="004D2B61">
        <w:rPr>
          <w:sz w:val="20"/>
        </w:rPr>
        <w:t xml:space="preserve">, 26 FCC </w:t>
      </w:r>
      <w:r w:rsidR="004D2B61">
        <w:rPr>
          <w:sz w:val="20"/>
        </w:rPr>
        <w:t>Rcd</w:t>
      </w:r>
      <w:r w:rsidR="004D2B61">
        <w:rPr>
          <w:sz w:val="20"/>
        </w:rPr>
        <w:t xml:space="preserve"> at </w:t>
      </w:r>
      <w:r w:rsidR="00374D29">
        <w:rPr>
          <w:sz w:val="20"/>
        </w:rPr>
        <w:t>2578 n.106.</w:t>
      </w:r>
    </w:p>
  </w:footnote>
  <w:footnote w:id="12">
    <w:p w:rsidR="00594A6C" w:rsidRPr="00BA7A4A" w:rsidP="00BA7A4A" w14:paraId="5DAF06EB" w14:textId="70DCE232">
      <w:pPr>
        <w:pStyle w:val="FootnoteText"/>
        <w:spacing w:after="120"/>
        <w:rPr>
          <w:sz w:val="20"/>
        </w:rPr>
      </w:pPr>
      <w:r>
        <w:rPr>
          <w:rStyle w:val="FootnoteReference"/>
        </w:rPr>
        <w:footnoteRef/>
      </w:r>
      <w:r>
        <w:t xml:space="preserve"> </w:t>
      </w:r>
      <w:r>
        <w:rPr>
          <w:sz w:val="20"/>
        </w:rPr>
        <w:t>Getz Statement at 2.</w:t>
      </w:r>
    </w:p>
  </w:footnote>
  <w:footnote w:id="13">
    <w:p w:rsidR="002B65B6" w:rsidRPr="008000E6" w:rsidP="002B65B6" w14:paraId="70F1D7F1" w14:textId="77777777">
      <w:pPr>
        <w:pStyle w:val="FootnoteText"/>
        <w:rPr>
          <w:color w:val="3D3D3D"/>
          <w:sz w:val="20"/>
          <w:shd w:val="clear" w:color="auto" w:fill="FFFFFF"/>
        </w:rPr>
      </w:pPr>
      <w:r w:rsidRPr="008000E6">
        <w:rPr>
          <w:rStyle w:val="FootnoteReference"/>
          <w:sz w:val="20"/>
        </w:rPr>
        <w:footnoteRef/>
      </w:r>
      <w:r w:rsidRPr="008000E6">
        <w:rPr>
          <w:sz w:val="20"/>
        </w:rPr>
        <w:t xml:space="preserve"> </w:t>
      </w:r>
      <w:r w:rsidRPr="008000E6">
        <w:rPr>
          <w:i/>
          <w:iCs/>
          <w:sz w:val="20"/>
        </w:rPr>
        <w:t>See, e.g., Call Commc’ns Group, Inc.</w:t>
      </w:r>
      <w:r w:rsidRPr="008000E6">
        <w:rPr>
          <w:sz w:val="20"/>
        </w:rPr>
        <w:t xml:space="preserve">, Letter Decision, DA 23-112, at 1 n.1 (MB rel. Feb. 8, 2023) (net service gain of 374,131 represented a preferential arrangement of allotments); </w:t>
      </w:r>
      <w:r w:rsidRPr="008000E6">
        <w:rPr>
          <w:i/>
          <w:iCs/>
          <w:sz w:val="20"/>
        </w:rPr>
        <w:t>Repp,</w:t>
      </w:r>
      <w:r w:rsidRPr="008000E6">
        <w:rPr>
          <w:sz w:val="20"/>
        </w:rPr>
        <w:t xml:space="preserve"> 27 FCC </w:t>
      </w:r>
      <w:r w:rsidRPr="008000E6">
        <w:rPr>
          <w:sz w:val="20"/>
        </w:rPr>
        <w:t>Rcd</w:t>
      </w:r>
      <w:r w:rsidRPr="008000E6">
        <w:rPr>
          <w:sz w:val="20"/>
        </w:rPr>
        <w:t xml:space="preserve"> at 13094 (application proposed</w:t>
      </w:r>
      <w:r w:rsidRPr="008000E6">
        <w:rPr>
          <w:color w:val="3D3D3D"/>
          <w:sz w:val="20"/>
          <w:shd w:val="clear" w:color="auto" w:fill="FFFFFF"/>
        </w:rPr>
        <w:t xml:space="preserve"> a preferential arrangement of allotments under Priority (4) because the intra-urbanized area move would provide a net gain in reception service of 260,726 persons); </w:t>
      </w:r>
      <w:r w:rsidRPr="008000E6">
        <w:rPr>
          <w:i/>
          <w:iCs/>
          <w:color w:val="3D3D3D"/>
          <w:sz w:val="20"/>
          <w:bdr w:val="none" w:sz="0" w:space="0" w:color="auto" w:frame="1"/>
          <w:shd w:val="clear" w:color="auto" w:fill="FFFFFF"/>
        </w:rPr>
        <w:t xml:space="preserve">Emmis Austin Radio Broadcasting, L.P.; Educational Media Foundation; San Antonio Radio Works, LLC, </w:t>
      </w:r>
      <w:r w:rsidRPr="008000E6">
        <w:rPr>
          <w:color w:val="3D3D3D"/>
          <w:sz w:val="20"/>
          <w:bdr w:val="none" w:sz="0" w:space="0" w:color="auto" w:frame="1"/>
          <w:shd w:val="clear" w:color="auto" w:fill="FFFFFF"/>
        </w:rPr>
        <w:t>Letter Decision</w:t>
      </w:r>
      <w:r w:rsidRPr="008000E6">
        <w:rPr>
          <w:i/>
          <w:iCs/>
          <w:color w:val="3D3D3D"/>
          <w:sz w:val="20"/>
          <w:bdr w:val="none" w:sz="0" w:space="0" w:color="auto" w:frame="1"/>
          <w:shd w:val="clear" w:color="auto" w:fill="FFFFFF"/>
        </w:rPr>
        <w:t xml:space="preserve">, </w:t>
      </w:r>
      <w:r w:rsidRPr="008000E6">
        <w:rPr>
          <w:color w:val="3D3D3D"/>
          <w:sz w:val="20"/>
          <w:shd w:val="clear" w:color="auto" w:fill="FFFFFF"/>
        </w:rPr>
        <w:t xml:space="preserve">35 FCC </w:t>
      </w:r>
      <w:r w:rsidRPr="008000E6">
        <w:rPr>
          <w:color w:val="3D3D3D"/>
          <w:sz w:val="20"/>
          <w:shd w:val="clear" w:color="auto" w:fill="FFFFFF"/>
        </w:rPr>
        <w:t>Rcd</w:t>
      </w:r>
      <w:r w:rsidRPr="008000E6">
        <w:rPr>
          <w:color w:val="3D3D3D"/>
          <w:sz w:val="20"/>
          <w:shd w:val="clear" w:color="auto" w:fill="FFFFFF"/>
        </w:rPr>
        <w:t xml:space="preserve"> 556, 562 (MB 2020) (stating net gain in the reception service serves the public interest); </w:t>
      </w:r>
      <w:r w:rsidRPr="008000E6">
        <w:rPr>
          <w:i/>
          <w:iCs/>
          <w:color w:val="3D3D3D"/>
          <w:sz w:val="20"/>
          <w:shd w:val="clear" w:color="auto" w:fill="FFFFFF"/>
        </w:rPr>
        <w:t>Lawrence N. Cohn, Esq., James A. Koerner, Esq.</w:t>
      </w:r>
      <w:r w:rsidRPr="008000E6">
        <w:rPr>
          <w:color w:val="3D3D3D"/>
          <w:sz w:val="20"/>
          <w:shd w:val="clear" w:color="auto" w:fill="FFFFFF"/>
        </w:rPr>
        <w:t xml:space="preserve">, Letter Decision, 29 FCC </w:t>
      </w:r>
      <w:r w:rsidRPr="008000E6">
        <w:rPr>
          <w:color w:val="3D3D3D"/>
          <w:sz w:val="20"/>
          <w:shd w:val="clear" w:color="auto" w:fill="FFFFFF"/>
        </w:rPr>
        <w:t>Rcd</w:t>
      </w:r>
      <w:r w:rsidRPr="008000E6">
        <w:rPr>
          <w:color w:val="3D3D3D"/>
          <w:sz w:val="20"/>
          <w:shd w:val="clear" w:color="auto" w:fill="FFFFFF"/>
        </w:rPr>
        <w:t xml:space="preserve"> 4799, 4803 (MB 2014) (stating that the benefits of providing an additional service to more than 1.3 million listeners outweigh the identified service losses)..</w:t>
      </w:r>
    </w:p>
    <w:p w:rsidR="002B65B6" w:rsidRPr="008000E6" w:rsidP="002B65B6" w14:paraId="08F63157" w14:textId="77777777">
      <w:pPr>
        <w:pStyle w:val="FootnoteText"/>
        <w:rPr>
          <w:sz w:val="20"/>
        </w:rPr>
      </w:pPr>
    </w:p>
  </w:footnote>
  <w:footnote w:id="14">
    <w:p w:rsidR="002B65B6" w:rsidRPr="008000E6" w:rsidP="002B65B6" w14:paraId="67CF8296" w14:textId="77777777">
      <w:pPr>
        <w:pStyle w:val="FootnoteText"/>
        <w:rPr>
          <w:sz w:val="20"/>
        </w:rPr>
      </w:pPr>
      <w:r w:rsidRPr="008000E6">
        <w:rPr>
          <w:rStyle w:val="FootnoteReference"/>
          <w:sz w:val="20"/>
        </w:rPr>
        <w:footnoteRef/>
      </w:r>
      <w:r w:rsidRPr="008000E6">
        <w:rPr>
          <w:sz w:val="20"/>
        </w:rPr>
        <w:t xml:space="preserve"> </w:t>
      </w:r>
      <w:r w:rsidRPr="008000E6">
        <w:rPr>
          <w:i/>
          <w:iCs/>
          <w:color w:val="3D3D3D"/>
          <w:sz w:val="20"/>
          <w:bdr w:val="none" w:sz="0" w:space="0" w:color="auto" w:frame="1"/>
          <w:shd w:val="clear" w:color="auto" w:fill="FFFFFF"/>
        </w:rPr>
        <w:t xml:space="preserve">See, </w:t>
      </w:r>
      <w:r w:rsidRPr="008000E6">
        <w:rPr>
          <w:i/>
          <w:iCs/>
          <w:color w:val="3D3D3D"/>
          <w:sz w:val="20"/>
          <w:shd w:val="clear" w:color="auto" w:fill="FFFFFF"/>
        </w:rPr>
        <w:t>Southwest FM Broadcasting Co. Inc</w:t>
      </w:r>
      <w:r w:rsidRPr="008000E6">
        <w:rPr>
          <w:color w:val="3D3D3D"/>
          <w:sz w:val="20"/>
          <w:shd w:val="clear" w:color="auto" w:fill="FFFFFF"/>
        </w:rPr>
        <w:t xml:space="preserve">., Memorandum Opinion and Order, 30 FCC </w:t>
      </w:r>
      <w:r w:rsidRPr="008000E6">
        <w:rPr>
          <w:color w:val="3D3D3D"/>
          <w:sz w:val="20"/>
          <w:shd w:val="clear" w:color="auto" w:fill="FFFFFF"/>
        </w:rPr>
        <w:t>Rcd</w:t>
      </w:r>
      <w:r w:rsidRPr="008000E6">
        <w:rPr>
          <w:color w:val="3D3D3D"/>
          <w:sz w:val="20"/>
          <w:shd w:val="clear" w:color="auto" w:fill="FFFFFF"/>
        </w:rPr>
        <w:t xml:space="preserve"> 7692, 7693, para. 3 (2015) (noting that the Commission explicitly stated in the </w:t>
      </w:r>
      <w:r w:rsidRPr="008000E6">
        <w:rPr>
          <w:i/>
          <w:iCs/>
          <w:color w:val="3D3D3D"/>
          <w:sz w:val="20"/>
          <w:shd w:val="clear" w:color="auto" w:fill="FFFFFF"/>
        </w:rPr>
        <w:t>Rural Radio</w:t>
      </w:r>
      <w:r w:rsidRPr="008000E6">
        <w:rPr>
          <w:color w:val="3D3D3D"/>
          <w:sz w:val="20"/>
          <w:shd w:val="clear" w:color="auto" w:fill="FFFFFF"/>
        </w:rPr>
        <w:t xml:space="preserve"> proceeding that a station proposing to move within the same urbanized area is required to make a showing under Priority 4 “by demonstrating from which of the two communities the station would provide service to a greater area and population within the urbanized area.”). </w:t>
      </w:r>
    </w:p>
    <w:p w:rsidR="002B65B6" w:rsidP="002B65B6" w14:paraId="1ED1A63C" w14:textId="77777777">
      <w:pPr>
        <w:pStyle w:val="FootnoteText"/>
      </w:pPr>
    </w:p>
  </w:footnote>
  <w:footnote w:id="15">
    <w:p w:rsidR="00B44D24" w:rsidRPr="00BA7A4A" w:rsidP="00BA7A4A" w14:paraId="41DD3876" w14:textId="632A0464">
      <w:pPr>
        <w:pStyle w:val="FootnoteText"/>
        <w:spacing w:after="120"/>
        <w:rPr>
          <w:sz w:val="20"/>
        </w:rPr>
      </w:pPr>
      <w:r w:rsidRPr="00BA7A4A">
        <w:rPr>
          <w:rStyle w:val="FootnoteReference"/>
          <w:sz w:val="20"/>
        </w:rPr>
        <w:footnoteRef/>
      </w:r>
      <w:r w:rsidRPr="00BA7A4A">
        <w:rPr>
          <w:sz w:val="20"/>
        </w:rPr>
        <w:t xml:space="preserve"> 47 CFR § 73.3522(c)(2).</w:t>
      </w:r>
    </w:p>
  </w:footnote>
  <w:footnote w:id="16">
    <w:p w:rsidR="006A29C5" w:rsidRPr="00BA7A4A" w:rsidP="00BA7A4A" w14:paraId="42C1A1E7" w14:textId="1BFAA398">
      <w:pPr>
        <w:pStyle w:val="FootnoteText"/>
        <w:spacing w:after="120"/>
        <w:rPr>
          <w:sz w:val="20"/>
        </w:rPr>
      </w:pPr>
      <w:r w:rsidRPr="00BA7A4A">
        <w:rPr>
          <w:rStyle w:val="FootnoteReference"/>
          <w:sz w:val="20"/>
        </w:rPr>
        <w:footnoteRef/>
      </w:r>
      <w:r w:rsidRPr="00BA7A4A">
        <w:rPr>
          <w:sz w:val="20"/>
        </w:rPr>
        <w:t xml:space="preserve"> </w:t>
      </w:r>
      <w:r w:rsidRPr="00BA7A4A">
        <w:rPr>
          <w:i/>
          <w:iCs/>
          <w:sz w:val="20"/>
        </w:rPr>
        <w:t>Id</w:t>
      </w:r>
      <w:r w:rsidRPr="00BA7A4A">
        <w:rPr>
          <w:sz w:val="20"/>
        </w:rPr>
        <w:t xml:space="preserve">. § </w:t>
      </w:r>
      <w:r w:rsidRPr="00BA7A4A" w:rsidR="00514754">
        <w:rPr>
          <w:sz w:val="20"/>
        </w:rPr>
        <w:t xml:space="preserve">73.3564.  </w:t>
      </w:r>
      <w:r w:rsidRPr="00BA7A4A" w:rsidR="00514754">
        <w:rPr>
          <w:i/>
          <w:iCs/>
          <w:sz w:val="20"/>
        </w:rPr>
        <w:t>See</w:t>
      </w:r>
      <w:r w:rsidRPr="00BA7A4A" w:rsidR="00514754">
        <w:rPr>
          <w:sz w:val="20"/>
        </w:rPr>
        <w:t xml:space="preserve"> Appendix B in the Report and Order in MM Docket No. 91-347.</w:t>
      </w:r>
    </w:p>
  </w:footnote>
  <w:footnote w:id="17">
    <w:p w:rsidR="003D5D4A" w:rsidRPr="00BA7A4A" w:rsidP="00BA7A4A" w14:paraId="45743314" w14:textId="17FC4C8D">
      <w:pPr>
        <w:pStyle w:val="FootnoteText"/>
        <w:spacing w:after="120"/>
        <w:rPr>
          <w:sz w:val="20"/>
        </w:rPr>
      </w:pPr>
      <w:r w:rsidRPr="00BA7A4A">
        <w:rPr>
          <w:rStyle w:val="FootnoteReference"/>
          <w:sz w:val="20"/>
        </w:rPr>
        <w:footnoteRef/>
      </w:r>
      <w:r w:rsidRPr="00BA7A4A">
        <w:rPr>
          <w:sz w:val="20"/>
        </w:rPr>
        <w:t xml:space="preserve"> 47 CFR § 73.3564(a)(3).</w:t>
      </w:r>
    </w:p>
  </w:footnote>
  <w:footnote w:id="18">
    <w:p w:rsidR="003D5D4A" w:rsidRPr="00BA7A4A" w:rsidP="00BA7A4A" w14:paraId="2BCD9898" w14:textId="25F637C5">
      <w:pPr>
        <w:pStyle w:val="FootnoteText"/>
        <w:spacing w:after="120"/>
        <w:rPr>
          <w:sz w:val="20"/>
        </w:rPr>
      </w:pPr>
      <w:r w:rsidRPr="00BA7A4A">
        <w:rPr>
          <w:rStyle w:val="FootnoteReference"/>
          <w:sz w:val="20"/>
        </w:rPr>
        <w:footnoteRef/>
      </w:r>
      <w:r w:rsidRPr="00BA7A4A">
        <w:rPr>
          <w:sz w:val="20"/>
        </w:rPr>
        <w:t xml:space="preserve"> </w:t>
      </w:r>
      <w:r w:rsidRPr="00BA7A4A">
        <w:rPr>
          <w:i/>
          <w:iCs/>
          <w:sz w:val="20"/>
        </w:rPr>
        <w:t>Id</w:t>
      </w:r>
      <w:r w:rsidRPr="00BA7A4A">
        <w:rPr>
          <w:sz w:val="20"/>
        </w:rPr>
        <w:t>. § 73.3568.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1FB9ED45" w14:textId="6A9E6EF6">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082176344" name="Picture 2082176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176344"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3AD02EB5"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F9CA9E6" w14:textId="77777777">
    <w:pPr>
      <w:pStyle w:val="Header"/>
      <w:tabs>
        <w:tab w:val="clear" w:pos="4320"/>
      </w:tabs>
      <w:jc w:val="center"/>
    </w:pPr>
  </w:p>
  <w:p w:rsidR="002B54DB" w14:paraId="182EB5B9" w14:textId="77777777">
    <w:pPr>
      <w:pStyle w:val="Header"/>
      <w:tabs>
        <w:tab w:val="clear" w:pos="4320"/>
      </w:tabs>
      <w:jc w:val="center"/>
    </w:pPr>
  </w:p>
  <w:p w:rsidR="002B54DB" w14:paraId="52FE3387" w14:textId="6EB62FA8">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0A6AF4">
      <w:rPr>
        <w:noProof/>
        <w:sz w:val="24"/>
      </w:rPr>
      <w:t>August 8, 2023</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CE"/>
    <w:rsid w:val="00030630"/>
    <w:rsid w:val="00035EA3"/>
    <w:rsid w:val="00041E4F"/>
    <w:rsid w:val="00050EAF"/>
    <w:rsid w:val="0005752E"/>
    <w:rsid w:val="00062196"/>
    <w:rsid w:val="00072BF2"/>
    <w:rsid w:val="00093B70"/>
    <w:rsid w:val="000A6AF4"/>
    <w:rsid w:val="000A71CA"/>
    <w:rsid w:val="000A7711"/>
    <w:rsid w:val="000B2815"/>
    <w:rsid w:val="000B7C90"/>
    <w:rsid w:val="000C7D6A"/>
    <w:rsid w:val="000E0167"/>
    <w:rsid w:val="000E6B47"/>
    <w:rsid w:val="000E770E"/>
    <w:rsid w:val="001242F8"/>
    <w:rsid w:val="001333F1"/>
    <w:rsid w:val="0015044D"/>
    <w:rsid w:val="00193B8A"/>
    <w:rsid w:val="0019737B"/>
    <w:rsid w:val="001A46AC"/>
    <w:rsid w:val="001B2238"/>
    <w:rsid w:val="00204CE3"/>
    <w:rsid w:val="00232436"/>
    <w:rsid w:val="00273839"/>
    <w:rsid w:val="00275B4A"/>
    <w:rsid w:val="00280E5E"/>
    <w:rsid w:val="002937DE"/>
    <w:rsid w:val="002946BD"/>
    <w:rsid w:val="00294CC7"/>
    <w:rsid w:val="002A2B92"/>
    <w:rsid w:val="002B54DB"/>
    <w:rsid w:val="002B65B6"/>
    <w:rsid w:val="00315B76"/>
    <w:rsid w:val="00315D41"/>
    <w:rsid w:val="003317D2"/>
    <w:rsid w:val="00336454"/>
    <w:rsid w:val="0033677C"/>
    <w:rsid w:val="003546E3"/>
    <w:rsid w:val="00374D29"/>
    <w:rsid w:val="003A0CA1"/>
    <w:rsid w:val="003A72A6"/>
    <w:rsid w:val="003B4E53"/>
    <w:rsid w:val="003C65FE"/>
    <w:rsid w:val="003D5D4A"/>
    <w:rsid w:val="003F4E12"/>
    <w:rsid w:val="0041173C"/>
    <w:rsid w:val="004143EC"/>
    <w:rsid w:val="00414E46"/>
    <w:rsid w:val="00434089"/>
    <w:rsid w:val="00444428"/>
    <w:rsid w:val="00452FB8"/>
    <w:rsid w:val="00457A58"/>
    <w:rsid w:val="0046730E"/>
    <w:rsid w:val="00490BDA"/>
    <w:rsid w:val="004A59D1"/>
    <w:rsid w:val="004B7F9F"/>
    <w:rsid w:val="004C0016"/>
    <w:rsid w:val="004D2B61"/>
    <w:rsid w:val="004D3B53"/>
    <w:rsid w:val="004D69BD"/>
    <w:rsid w:val="004F1662"/>
    <w:rsid w:val="004F2297"/>
    <w:rsid w:val="004F346E"/>
    <w:rsid w:val="005033D0"/>
    <w:rsid w:val="00514754"/>
    <w:rsid w:val="00527E9F"/>
    <w:rsid w:val="00554ECE"/>
    <w:rsid w:val="00577AA5"/>
    <w:rsid w:val="00577E50"/>
    <w:rsid w:val="00585193"/>
    <w:rsid w:val="00594A6C"/>
    <w:rsid w:val="005B3D8F"/>
    <w:rsid w:val="005E179E"/>
    <w:rsid w:val="006512B3"/>
    <w:rsid w:val="006574A9"/>
    <w:rsid w:val="0067254F"/>
    <w:rsid w:val="00684562"/>
    <w:rsid w:val="006A29C5"/>
    <w:rsid w:val="006B332B"/>
    <w:rsid w:val="006C4540"/>
    <w:rsid w:val="006E534D"/>
    <w:rsid w:val="006E6C8F"/>
    <w:rsid w:val="006F64DB"/>
    <w:rsid w:val="006F783F"/>
    <w:rsid w:val="0070167B"/>
    <w:rsid w:val="00710693"/>
    <w:rsid w:val="00717E7C"/>
    <w:rsid w:val="00724800"/>
    <w:rsid w:val="0073567A"/>
    <w:rsid w:val="00743D6E"/>
    <w:rsid w:val="007544BA"/>
    <w:rsid w:val="0077294C"/>
    <w:rsid w:val="007C3C55"/>
    <w:rsid w:val="007E067D"/>
    <w:rsid w:val="007F1937"/>
    <w:rsid w:val="008000E6"/>
    <w:rsid w:val="00813582"/>
    <w:rsid w:val="00820F1E"/>
    <w:rsid w:val="00822A4A"/>
    <w:rsid w:val="00855A59"/>
    <w:rsid w:val="00867189"/>
    <w:rsid w:val="008A4F12"/>
    <w:rsid w:val="008B1432"/>
    <w:rsid w:val="008D3F64"/>
    <w:rsid w:val="008D4E05"/>
    <w:rsid w:val="008E0BB2"/>
    <w:rsid w:val="008E4934"/>
    <w:rsid w:val="008E4DAC"/>
    <w:rsid w:val="00920A5B"/>
    <w:rsid w:val="00926D91"/>
    <w:rsid w:val="00940DCC"/>
    <w:rsid w:val="00951B6C"/>
    <w:rsid w:val="0095418C"/>
    <w:rsid w:val="0098243E"/>
    <w:rsid w:val="00983083"/>
    <w:rsid w:val="00985F11"/>
    <w:rsid w:val="0099351A"/>
    <w:rsid w:val="00997763"/>
    <w:rsid w:val="009C4F10"/>
    <w:rsid w:val="009F3A99"/>
    <w:rsid w:val="009F4F6E"/>
    <w:rsid w:val="00A4189F"/>
    <w:rsid w:val="00A859AE"/>
    <w:rsid w:val="00AD4A92"/>
    <w:rsid w:val="00AF244C"/>
    <w:rsid w:val="00B23BEC"/>
    <w:rsid w:val="00B24277"/>
    <w:rsid w:val="00B44D24"/>
    <w:rsid w:val="00B53744"/>
    <w:rsid w:val="00B5512E"/>
    <w:rsid w:val="00B64143"/>
    <w:rsid w:val="00B710DB"/>
    <w:rsid w:val="00BA0CC7"/>
    <w:rsid w:val="00BA3380"/>
    <w:rsid w:val="00BA7A4A"/>
    <w:rsid w:val="00BC3093"/>
    <w:rsid w:val="00BC7570"/>
    <w:rsid w:val="00BE1923"/>
    <w:rsid w:val="00BE5EBC"/>
    <w:rsid w:val="00C0111F"/>
    <w:rsid w:val="00C149FC"/>
    <w:rsid w:val="00C503DB"/>
    <w:rsid w:val="00C628F4"/>
    <w:rsid w:val="00CA5232"/>
    <w:rsid w:val="00CB5C14"/>
    <w:rsid w:val="00CD2199"/>
    <w:rsid w:val="00CD5F77"/>
    <w:rsid w:val="00CF5129"/>
    <w:rsid w:val="00D01C48"/>
    <w:rsid w:val="00D05BDA"/>
    <w:rsid w:val="00D3777F"/>
    <w:rsid w:val="00D40338"/>
    <w:rsid w:val="00D56118"/>
    <w:rsid w:val="00D905A4"/>
    <w:rsid w:val="00DA522F"/>
    <w:rsid w:val="00DC1C06"/>
    <w:rsid w:val="00DE7292"/>
    <w:rsid w:val="00E03DA6"/>
    <w:rsid w:val="00E13EBD"/>
    <w:rsid w:val="00E329C3"/>
    <w:rsid w:val="00E40D50"/>
    <w:rsid w:val="00E7170D"/>
    <w:rsid w:val="00E84B02"/>
    <w:rsid w:val="00EC25C4"/>
    <w:rsid w:val="00ED0B87"/>
    <w:rsid w:val="00EE31E7"/>
    <w:rsid w:val="00F07429"/>
    <w:rsid w:val="00F2512B"/>
    <w:rsid w:val="00F44783"/>
    <w:rsid w:val="00F44B61"/>
    <w:rsid w:val="00F47B9D"/>
    <w:rsid w:val="00F56207"/>
    <w:rsid w:val="00F647D4"/>
    <w:rsid w:val="00F81D5D"/>
    <w:rsid w:val="00F83C3C"/>
    <w:rsid w:val="00FB4613"/>
    <w:rsid w:val="00FC3AB2"/>
    <w:rsid w:val="00FF4F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CA7522"/>
  <w15:chartTrackingRefBased/>
  <w15:docId w15:val="{770CD9CE-A8CB-43B9-B24A-82F3292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B6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aliases w:val="(NECG) Footnote Reference,Appel note de bas de p,Style 12,Style 124,Style 13,Style 3,fr,o"/>
    <w:uiPriority w:val="99"/>
    <w:semiHidden/>
    <w:rsid w:val="00554ECE"/>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basedOn w:val="Normal"/>
    <w:link w:val="FootnoteTextChar1"/>
    <w:semiHidden/>
    <w:rsid w:val="00554ECE"/>
  </w:style>
  <w:style w:type="character" w:customStyle="1" w:styleId="FootnoteTextChar">
    <w:name w:val="Footnote Text Char"/>
    <w:basedOn w:val="DefaultParagraphFont"/>
    <w:uiPriority w:val="99"/>
    <w:semiHidden/>
    <w:rsid w:val="00554ECE"/>
  </w:style>
  <w:style w:type="paragraph" w:styleId="NormalWeb">
    <w:name w:val="Normal (Web)"/>
    <w:basedOn w:val="Normal"/>
    <w:uiPriority w:val="99"/>
    <w:rsid w:val="00554ECE"/>
    <w:pPr>
      <w:spacing w:before="100" w:beforeAutospacing="1" w:after="100" w:afterAutospacing="1"/>
    </w:pPr>
    <w:rPr>
      <w:sz w:val="24"/>
      <w:szCs w:val="24"/>
    </w:rPr>
  </w:style>
  <w:style w:type="character" w:customStyle="1" w:styleId="FootnoteTextChar1">
    <w:name w:val="Footnote Text Char1"/>
    <w:aliases w:val="Footnote Text Char Char Char Char,Footnote Text Char Char Char Char Char Char,Footnote Text Char1 Char Char Char Char,Footnote Text Char1 Char1 Char,Footnote Text Char2 Char,Footnote Text Char2 Char Char Char Char Char Char,f Char"/>
    <w:link w:val="FootnoteText"/>
    <w:semiHidden/>
    <w:rsid w:val="00554ECE"/>
  </w:style>
  <w:style w:type="character" w:customStyle="1" w:styleId="cosearchterm">
    <w:name w:val="co_searchterm"/>
    <w:rsid w:val="00554ECE"/>
  </w:style>
  <w:style w:type="character" w:styleId="Hyperlink">
    <w:name w:val="Hyperlink"/>
    <w:basedOn w:val="DefaultParagraphFont"/>
    <w:uiPriority w:val="99"/>
    <w:unhideWhenUsed/>
    <w:rsid w:val="00294CC7"/>
    <w:rPr>
      <w:color w:val="0563C1" w:themeColor="hyperlink"/>
      <w:u w:val="single"/>
    </w:rPr>
  </w:style>
  <w:style w:type="character" w:styleId="UnresolvedMention">
    <w:name w:val="Unresolved Mention"/>
    <w:basedOn w:val="DefaultParagraphFont"/>
    <w:uiPriority w:val="99"/>
    <w:semiHidden/>
    <w:unhideWhenUsed/>
    <w:rsid w:val="00294CC7"/>
    <w:rPr>
      <w:color w:val="605E5C"/>
      <w:shd w:val="clear" w:color="auto" w:fill="E1DFDD"/>
    </w:rPr>
  </w:style>
  <w:style w:type="paragraph" w:styleId="Revision">
    <w:name w:val="Revision"/>
    <w:hidden/>
    <w:uiPriority w:val="99"/>
    <w:semiHidden/>
    <w:rsid w:val="00926D91"/>
  </w:style>
  <w:style w:type="character" w:styleId="CommentReference">
    <w:name w:val="annotation reference"/>
    <w:basedOn w:val="DefaultParagraphFont"/>
    <w:uiPriority w:val="99"/>
    <w:semiHidden/>
    <w:unhideWhenUsed/>
    <w:rsid w:val="00273839"/>
    <w:rPr>
      <w:sz w:val="16"/>
      <w:szCs w:val="16"/>
    </w:rPr>
  </w:style>
  <w:style w:type="paragraph" w:styleId="CommentText">
    <w:name w:val="annotation text"/>
    <w:basedOn w:val="Normal"/>
    <w:link w:val="CommentTextChar"/>
    <w:uiPriority w:val="99"/>
    <w:unhideWhenUsed/>
    <w:rsid w:val="00273839"/>
  </w:style>
  <w:style w:type="character" w:customStyle="1" w:styleId="CommentTextChar">
    <w:name w:val="Comment Text Char"/>
    <w:basedOn w:val="DefaultParagraphFont"/>
    <w:link w:val="CommentText"/>
    <w:uiPriority w:val="99"/>
    <w:rsid w:val="00273839"/>
  </w:style>
  <w:style w:type="paragraph" w:styleId="CommentSubject">
    <w:name w:val="annotation subject"/>
    <w:basedOn w:val="CommentText"/>
    <w:next w:val="CommentText"/>
    <w:link w:val="CommentSubjectChar"/>
    <w:uiPriority w:val="99"/>
    <w:semiHidden/>
    <w:unhideWhenUsed/>
    <w:rsid w:val="00273839"/>
    <w:rPr>
      <w:b/>
      <w:bCs/>
    </w:rPr>
  </w:style>
  <w:style w:type="character" w:customStyle="1" w:styleId="CommentSubjectChar">
    <w:name w:val="Comment Subject Char"/>
    <w:basedOn w:val="CommentTextChar"/>
    <w:link w:val="CommentSubject"/>
    <w:uiPriority w:val="99"/>
    <w:semiHidden/>
    <w:rsid w:val="00273839"/>
    <w:rPr>
      <w:b/>
      <w:bCs/>
    </w:rPr>
  </w:style>
  <w:style w:type="character" w:customStyle="1" w:styleId="FooterChar">
    <w:name w:val="Footer Char"/>
    <w:basedOn w:val="DefaultParagraphFont"/>
    <w:link w:val="Footer"/>
    <w:uiPriority w:val="99"/>
    <w:rsid w:val="00B710D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getz@ctjc.com" TargetMode="External" /><Relationship Id="rId6" Type="http://schemas.openxmlformats.org/officeDocument/2006/relationships/hyperlink" Target="mailto:dsashkin@bakerlaw.com"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