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5418C" w:rsidP="00554ECE" w14:paraId="5213EB9B" w14:textId="1A772FA2">
      <w:pPr>
        <w:tabs>
          <w:tab w:val="left" w:pos="540"/>
        </w:tabs>
        <w:ind w:left="6480" w:hanging="720"/>
        <w:rPr>
          <w:sz w:val="22"/>
        </w:rPr>
      </w:pPr>
      <w:r>
        <w:rPr>
          <w:sz w:val="22"/>
        </w:rPr>
        <w:tab/>
      </w:r>
    </w:p>
    <w:p w:rsidR="0095418C" w:rsidP="00554ECE" w14:paraId="4E17412A" w14:textId="540218FB">
      <w:pPr>
        <w:tabs>
          <w:tab w:val="left" w:pos="540"/>
        </w:tabs>
        <w:ind w:left="6480" w:hanging="720"/>
        <w:rPr>
          <w:sz w:val="22"/>
        </w:rPr>
      </w:pPr>
      <w:r>
        <w:rPr>
          <w:sz w:val="22"/>
        </w:rPr>
        <w:tab/>
        <w:t xml:space="preserve">DA </w:t>
      </w:r>
      <w:r w:rsidRPr="00836EA8">
        <w:rPr>
          <w:sz w:val="22"/>
        </w:rPr>
        <w:t>23-</w:t>
      </w:r>
      <w:r w:rsidR="00836EA8">
        <w:rPr>
          <w:sz w:val="22"/>
        </w:rPr>
        <w:t>668</w:t>
      </w:r>
    </w:p>
    <w:p w:rsidR="00554ECE" w:rsidRPr="00FF4F74" w:rsidP="00554ECE" w14:paraId="4477D946" w14:textId="6D2BCBD6">
      <w:pPr>
        <w:tabs>
          <w:tab w:val="left" w:pos="540"/>
        </w:tabs>
        <w:ind w:left="6480" w:hanging="720"/>
        <w:rPr>
          <w:i/>
          <w:sz w:val="22"/>
        </w:rPr>
      </w:pPr>
      <w:r>
        <w:rPr>
          <w:sz w:val="22"/>
        </w:rPr>
        <w:tab/>
      </w:r>
      <w:r>
        <w:rPr>
          <w:i/>
          <w:sz w:val="22"/>
        </w:rPr>
        <w:t xml:space="preserve">In </w:t>
      </w:r>
      <w:r w:rsidRPr="00FF4F74">
        <w:rPr>
          <w:i/>
          <w:sz w:val="22"/>
        </w:rPr>
        <w:t>Reply Refer to:</w:t>
      </w:r>
    </w:p>
    <w:p w:rsidR="00554ECE" w:rsidP="00554ECE" w14:paraId="44D72CDE" w14:textId="3C69EB0B">
      <w:pPr>
        <w:rPr>
          <w:sz w:val="22"/>
        </w:rPr>
      </w:pPr>
      <w:r w:rsidRPr="00FF4F74">
        <w:rPr>
          <w:sz w:val="22"/>
        </w:rPr>
        <w:tab/>
      </w:r>
      <w:r w:rsidRPr="00FF4F74">
        <w:rPr>
          <w:sz w:val="22"/>
        </w:rPr>
        <w:tab/>
      </w:r>
      <w:r w:rsidRPr="00FF4F74">
        <w:rPr>
          <w:sz w:val="22"/>
        </w:rPr>
        <w:tab/>
      </w:r>
      <w:r w:rsidRPr="00FF4F74">
        <w:rPr>
          <w:sz w:val="22"/>
        </w:rPr>
        <w:tab/>
      </w:r>
      <w:r w:rsidRPr="00FF4F74">
        <w:rPr>
          <w:sz w:val="22"/>
        </w:rPr>
        <w:tab/>
      </w:r>
      <w:r w:rsidRPr="00FF4F74">
        <w:rPr>
          <w:sz w:val="22"/>
        </w:rPr>
        <w:tab/>
      </w:r>
      <w:r w:rsidRPr="00FF4F74">
        <w:rPr>
          <w:sz w:val="22"/>
        </w:rPr>
        <w:tab/>
      </w:r>
      <w:r w:rsidRPr="00FF4F74">
        <w:rPr>
          <w:sz w:val="22"/>
        </w:rPr>
        <w:tab/>
      </w:r>
      <w:r w:rsidRPr="00FF4F74">
        <w:rPr>
          <w:sz w:val="22"/>
        </w:rPr>
        <w:tab/>
      </w:r>
      <w:r w:rsidRPr="00DE7292">
        <w:rPr>
          <w:sz w:val="22"/>
        </w:rPr>
        <w:t>1800B3-RFS</w:t>
      </w:r>
      <w:r w:rsidR="0095418C">
        <w:rPr>
          <w:sz w:val="22"/>
        </w:rPr>
        <w:t>/</w:t>
      </w:r>
      <w:r w:rsidRPr="00BE1923" w:rsidR="0095418C">
        <w:rPr>
          <w:sz w:val="22"/>
        </w:rPr>
        <w:t>T</w:t>
      </w:r>
      <w:r w:rsidR="00E005CB">
        <w:rPr>
          <w:sz w:val="22"/>
        </w:rPr>
        <w:t>S</w:t>
      </w:r>
      <w:r w:rsidRPr="00BE1923" w:rsidR="0095418C">
        <w:rPr>
          <w:sz w:val="22"/>
        </w:rPr>
        <w:t>N</w:t>
      </w:r>
    </w:p>
    <w:p w:rsidR="00294CC7" w:rsidRPr="00294CC7" w:rsidP="00294CC7" w14:paraId="4C3066DE" w14:textId="788CD9AE">
      <w:pPr>
        <w:rPr>
          <w:sz w:val="22"/>
        </w:rPr>
      </w:pPr>
      <w:r>
        <w:rPr>
          <w:sz w:val="22"/>
        </w:rPr>
        <w:t>Central Florida Educational Foundation, Inc.</w:t>
      </w:r>
      <w:r w:rsidR="0081440E">
        <w:rPr>
          <w:sz w:val="22"/>
        </w:rPr>
        <w:t xml:space="preserve"> </w:t>
      </w:r>
    </w:p>
    <w:p w:rsidR="00294CC7" w:rsidRPr="00294CC7" w:rsidP="00294CC7" w14:paraId="77E73D32" w14:textId="4E87EDBC">
      <w:pPr>
        <w:rPr>
          <w:sz w:val="22"/>
        </w:rPr>
      </w:pPr>
      <w:r w:rsidRPr="00294CC7">
        <w:rPr>
          <w:sz w:val="22"/>
        </w:rPr>
        <w:t xml:space="preserve">c/o </w:t>
      </w:r>
      <w:r w:rsidR="0081440E">
        <w:rPr>
          <w:sz w:val="22"/>
        </w:rPr>
        <w:t>Davina S. Sashkin, Esq.</w:t>
      </w:r>
    </w:p>
    <w:p w:rsidR="00294CC7" w:rsidP="00294CC7" w14:paraId="6FEA1445" w14:textId="7D238C3D">
      <w:pPr>
        <w:rPr>
          <w:sz w:val="22"/>
        </w:rPr>
      </w:pPr>
      <w:r w:rsidRPr="00294CC7">
        <w:rPr>
          <w:sz w:val="22"/>
        </w:rPr>
        <w:t>Baker &amp; Hostetler LLP</w:t>
      </w:r>
    </w:p>
    <w:p w:rsidR="00294CC7" w:rsidRPr="00294CC7" w:rsidP="00294CC7" w14:paraId="3890BA07" w14:textId="77777777">
      <w:pPr>
        <w:rPr>
          <w:sz w:val="22"/>
        </w:rPr>
      </w:pPr>
      <w:r w:rsidRPr="00294CC7">
        <w:rPr>
          <w:sz w:val="22"/>
        </w:rPr>
        <w:t>1050 Connecticut Avenue, NW</w:t>
      </w:r>
    </w:p>
    <w:p w:rsidR="00294CC7" w:rsidRPr="00294CC7" w:rsidP="00294CC7" w14:paraId="08DE322A" w14:textId="77777777">
      <w:pPr>
        <w:rPr>
          <w:sz w:val="22"/>
        </w:rPr>
      </w:pPr>
      <w:r w:rsidRPr="00294CC7">
        <w:rPr>
          <w:sz w:val="22"/>
        </w:rPr>
        <w:t>Suite 1100</w:t>
      </w:r>
    </w:p>
    <w:p w:rsidR="00294CC7" w:rsidP="00294CC7" w14:paraId="31836DFF" w14:textId="129860AB">
      <w:pPr>
        <w:rPr>
          <w:sz w:val="22"/>
        </w:rPr>
      </w:pPr>
      <w:r w:rsidRPr="00294CC7">
        <w:rPr>
          <w:sz w:val="22"/>
        </w:rPr>
        <w:t>Washington, DC 20036</w:t>
      </w:r>
    </w:p>
    <w:p w:rsidR="00294CC7" w:rsidP="00294CC7" w14:paraId="7A968098" w14:textId="0540132A">
      <w:pPr>
        <w:rPr>
          <w:sz w:val="22"/>
        </w:rPr>
      </w:pPr>
      <w:r>
        <w:rPr>
          <w:sz w:val="22"/>
        </w:rPr>
        <w:t xml:space="preserve">Email:  </w:t>
      </w:r>
      <w:hyperlink r:id="rId5" w:history="1">
        <w:r w:rsidRPr="00B24277">
          <w:rPr>
            <w:rStyle w:val="Hyperlink"/>
            <w:sz w:val="22"/>
          </w:rPr>
          <w:t>dsashkin@bakerlaw.com</w:t>
        </w:r>
      </w:hyperlink>
    </w:p>
    <w:p w:rsidR="00554ECE" w:rsidP="00554ECE" w14:paraId="7C2AB4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4F346E">
        <w:rPr>
          <w:sz w:val="22"/>
          <w:szCs w:val="22"/>
        </w:rPr>
        <w:tab/>
      </w:r>
      <w:r w:rsidRPr="004F346E">
        <w:rPr>
          <w:sz w:val="22"/>
          <w:szCs w:val="22"/>
        </w:rPr>
        <w:tab/>
      </w:r>
      <w:r w:rsidRPr="004F346E">
        <w:rPr>
          <w:sz w:val="22"/>
          <w:szCs w:val="22"/>
        </w:rPr>
        <w:tab/>
      </w:r>
      <w:r w:rsidRPr="004F346E">
        <w:rPr>
          <w:sz w:val="22"/>
          <w:szCs w:val="22"/>
        </w:rPr>
        <w:tab/>
      </w:r>
      <w:r w:rsidRPr="004F346E">
        <w:rPr>
          <w:sz w:val="22"/>
          <w:szCs w:val="22"/>
        </w:rPr>
        <w:tab/>
        <w:t xml:space="preserve">                   </w:t>
      </w:r>
    </w:p>
    <w:p w:rsidR="00554ECE" w:rsidP="00554ECE" w14:paraId="0D4D6C39" w14:textId="24EE3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Re:</w:t>
      </w:r>
      <w:r>
        <w:rPr>
          <w:sz w:val="22"/>
          <w:szCs w:val="22"/>
        </w:rPr>
        <w:tab/>
      </w:r>
      <w:r w:rsidRPr="00F647D4" w:rsidR="00F647D4">
        <w:rPr>
          <w:sz w:val="22"/>
          <w:szCs w:val="22"/>
        </w:rPr>
        <w:t xml:space="preserve">WHGV(FM), </w:t>
      </w:r>
      <w:r w:rsidR="00F647D4">
        <w:rPr>
          <w:sz w:val="22"/>
          <w:szCs w:val="22"/>
        </w:rPr>
        <w:t>La Crosse, FL</w:t>
      </w:r>
    </w:p>
    <w:p w:rsidR="00554ECE" w:rsidP="00554ECE" w14:paraId="6E3D8186" w14:textId="5AC11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Facility ID No. </w:t>
      </w:r>
      <w:r w:rsidRPr="00F647D4" w:rsidR="00F647D4">
        <w:rPr>
          <w:sz w:val="22"/>
          <w:szCs w:val="22"/>
        </w:rPr>
        <w:t>76433</w:t>
      </w:r>
    </w:p>
    <w:p w:rsidR="00554ECE" w:rsidP="00554ECE" w14:paraId="1253B810" w14:textId="78F564EE">
      <w:pPr>
        <w:tabs>
          <w:tab w:val="left" w:pos="-1440"/>
          <w:tab w:val="left" w:pos="-720"/>
          <w:tab w:val="left" w:pos="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File No. </w:t>
      </w:r>
      <w:r w:rsidRPr="00F647D4" w:rsidR="00F647D4">
        <w:rPr>
          <w:sz w:val="22"/>
          <w:szCs w:val="22"/>
        </w:rPr>
        <w:t>0000206026</w:t>
      </w:r>
    </w:p>
    <w:p w:rsidR="00554ECE" w:rsidRPr="004F346E" w:rsidP="00554ECE" w14:paraId="30C90A64" w14:textId="50074B00">
      <w:pPr>
        <w:rPr>
          <w:sz w:val="22"/>
          <w:szCs w:val="22"/>
        </w:rPr>
      </w:pPr>
      <w:r>
        <w:rPr>
          <w:sz w:val="22"/>
          <w:szCs w:val="22"/>
        </w:rPr>
        <w:t>Dear</w:t>
      </w:r>
      <w:r w:rsidR="00294CC7">
        <w:rPr>
          <w:sz w:val="22"/>
          <w:szCs w:val="22"/>
        </w:rPr>
        <w:t xml:space="preserve"> Counsel</w:t>
      </w:r>
      <w:r>
        <w:rPr>
          <w:sz w:val="22"/>
          <w:szCs w:val="22"/>
        </w:rPr>
        <w:t>:</w:t>
      </w:r>
    </w:p>
    <w:p w:rsidR="00554ECE" w:rsidRPr="004F346E" w:rsidP="00554ECE" w14:paraId="2BA06A3B" w14:textId="77777777">
      <w:pPr>
        <w:rPr>
          <w:sz w:val="22"/>
          <w:szCs w:val="22"/>
        </w:rPr>
      </w:pPr>
    </w:p>
    <w:p w:rsidR="00554ECE" w:rsidRPr="00B23BEC" w:rsidP="00554ECE" w14:paraId="44183359" w14:textId="54FD7E02">
      <w:pPr>
        <w:tabs>
          <w:tab w:val="left" w:pos="720"/>
          <w:tab w:val="left" w:pos="5670"/>
          <w:tab w:val="left" w:pos="7380"/>
        </w:tabs>
        <w:suppressAutoHyphens/>
        <w:rPr>
          <w:sz w:val="22"/>
          <w:szCs w:val="22"/>
        </w:rPr>
      </w:pPr>
      <w:r>
        <w:rPr>
          <w:sz w:val="22"/>
          <w:szCs w:val="22"/>
        </w:rPr>
        <w:tab/>
      </w:r>
      <w:r w:rsidRPr="00B23BEC">
        <w:rPr>
          <w:sz w:val="22"/>
          <w:szCs w:val="22"/>
        </w:rPr>
        <w:t>This letter refers to the minor change application</w:t>
      </w:r>
      <w:r>
        <w:rPr>
          <w:sz w:val="22"/>
          <w:szCs w:val="22"/>
        </w:rPr>
        <w:t xml:space="preserve"> (Application)</w:t>
      </w:r>
      <w:r w:rsidR="00F647D4">
        <w:rPr>
          <w:sz w:val="22"/>
          <w:szCs w:val="22"/>
        </w:rPr>
        <w:t xml:space="preserve"> </w:t>
      </w:r>
      <w:r w:rsidR="009F3A99">
        <w:rPr>
          <w:sz w:val="22"/>
          <w:szCs w:val="22"/>
        </w:rPr>
        <w:t xml:space="preserve">filed on behalf </w:t>
      </w:r>
      <w:r>
        <w:rPr>
          <w:sz w:val="22"/>
          <w:szCs w:val="22"/>
        </w:rPr>
        <w:t xml:space="preserve">of </w:t>
      </w:r>
      <w:r w:rsidRPr="00F647D4" w:rsidR="00F647D4">
        <w:rPr>
          <w:sz w:val="22"/>
          <w:szCs w:val="22"/>
        </w:rPr>
        <w:t>Central Florida Educational Foundation, Inc</w:t>
      </w:r>
      <w:r w:rsidR="00F647D4">
        <w:rPr>
          <w:sz w:val="22"/>
          <w:szCs w:val="22"/>
        </w:rPr>
        <w:t>.</w:t>
      </w:r>
      <w:r w:rsidRPr="00F647D4" w:rsidR="00F647D4">
        <w:rPr>
          <w:sz w:val="22"/>
          <w:szCs w:val="22"/>
        </w:rPr>
        <w:t xml:space="preserve"> </w:t>
      </w:r>
      <w:r>
        <w:rPr>
          <w:sz w:val="22"/>
          <w:szCs w:val="22"/>
        </w:rPr>
        <w:t>(</w:t>
      </w:r>
      <w:r w:rsidR="00F647D4">
        <w:rPr>
          <w:sz w:val="22"/>
          <w:szCs w:val="22"/>
        </w:rPr>
        <w:t>CFEF</w:t>
      </w:r>
      <w:r>
        <w:rPr>
          <w:sz w:val="22"/>
          <w:szCs w:val="22"/>
        </w:rPr>
        <w:t xml:space="preserve">), licensee of Station </w:t>
      </w:r>
      <w:r w:rsidR="00F647D4">
        <w:rPr>
          <w:sz w:val="22"/>
          <w:szCs w:val="22"/>
        </w:rPr>
        <w:t>WHGV</w:t>
      </w:r>
      <w:r>
        <w:rPr>
          <w:sz w:val="22"/>
          <w:szCs w:val="22"/>
        </w:rPr>
        <w:t>(FM), Channel 25</w:t>
      </w:r>
      <w:r w:rsidR="00F647D4">
        <w:rPr>
          <w:sz w:val="22"/>
          <w:szCs w:val="22"/>
        </w:rPr>
        <w:t>8A</w:t>
      </w:r>
      <w:r>
        <w:rPr>
          <w:sz w:val="22"/>
          <w:szCs w:val="22"/>
        </w:rPr>
        <w:t xml:space="preserve">, </w:t>
      </w:r>
      <w:r w:rsidR="00F647D4">
        <w:rPr>
          <w:sz w:val="22"/>
          <w:szCs w:val="22"/>
        </w:rPr>
        <w:t>La Crosse, Florida</w:t>
      </w:r>
      <w:r w:rsidR="0081440E">
        <w:rPr>
          <w:sz w:val="22"/>
          <w:szCs w:val="22"/>
        </w:rPr>
        <w:t xml:space="preserve"> (WHGV)</w:t>
      </w:r>
      <w:r>
        <w:rPr>
          <w:sz w:val="22"/>
          <w:szCs w:val="22"/>
        </w:rPr>
        <w:t>.  The Application proposes a community of license modification for W</w:t>
      </w:r>
      <w:r w:rsidR="00F647D4">
        <w:rPr>
          <w:sz w:val="22"/>
          <w:szCs w:val="22"/>
        </w:rPr>
        <w:t>HGV</w:t>
      </w:r>
      <w:r w:rsidR="00FC41FC">
        <w:rPr>
          <w:sz w:val="22"/>
          <w:szCs w:val="22"/>
        </w:rPr>
        <w:t xml:space="preserve"> </w:t>
      </w:r>
      <w:r w:rsidR="006B1D2B">
        <w:rPr>
          <w:sz w:val="22"/>
          <w:szCs w:val="22"/>
        </w:rPr>
        <w:t xml:space="preserve">to relocate the sole local transmission service </w:t>
      </w:r>
      <w:r>
        <w:rPr>
          <w:sz w:val="22"/>
          <w:szCs w:val="22"/>
        </w:rPr>
        <w:t xml:space="preserve">from </w:t>
      </w:r>
      <w:r w:rsidR="00F647D4">
        <w:rPr>
          <w:sz w:val="22"/>
          <w:szCs w:val="22"/>
        </w:rPr>
        <w:t>La Crosse, Florida</w:t>
      </w:r>
      <w:r>
        <w:rPr>
          <w:sz w:val="22"/>
          <w:szCs w:val="22"/>
        </w:rPr>
        <w:t>, to</w:t>
      </w:r>
      <w:r w:rsidR="00F647D4">
        <w:rPr>
          <w:sz w:val="22"/>
          <w:szCs w:val="22"/>
        </w:rPr>
        <w:t xml:space="preserve"> Gainesville, Florida</w:t>
      </w:r>
      <w:r w:rsidR="00050EAF">
        <w:rPr>
          <w:sz w:val="22"/>
          <w:szCs w:val="22"/>
        </w:rPr>
        <w:t xml:space="preserve">, </w:t>
      </w:r>
      <w:r>
        <w:rPr>
          <w:sz w:val="22"/>
          <w:szCs w:val="22"/>
        </w:rPr>
        <w:t xml:space="preserve">as </w:t>
      </w:r>
      <w:r w:rsidR="0081440E">
        <w:rPr>
          <w:sz w:val="22"/>
          <w:szCs w:val="22"/>
        </w:rPr>
        <w:t>Gainesville’s</w:t>
      </w:r>
      <w:r>
        <w:rPr>
          <w:sz w:val="22"/>
          <w:szCs w:val="22"/>
        </w:rPr>
        <w:t xml:space="preserve"> </w:t>
      </w:r>
      <w:r w:rsidR="00050EAF">
        <w:rPr>
          <w:sz w:val="22"/>
          <w:szCs w:val="22"/>
        </w:rPr>
        <w:t xml:space="preserve">twelfth </w:t>
      </w:r>
      <w:r>
        <w:rPr>
          <w:sz w:val="22"/>
          <w:szCs w:val="22"/>
        </w:rPr>
        <w:t>local service.  For the reasons discussed below, we request that you amend the Application.</w:t>
      </w:r>
    </w:p>
    <w:p w:rsidR="00554ECE" w:rsidRPr="004F346E" w:rsidP="00554ECE" w14:paraId="6F76B5F8" w14:textId="77777777">
      <w:pPr>
        <w:tabs>
          <w:tab w:val="left" w:pos="9270"/>
        </w:tabs>
        <w:ind w:right="-90"/>
        <w:rPr>
          <w:sz w:val="22"/>
          <w:szCs w:val="22"/>
        </w:rPr>
      </w:pPr>
    </w:p>
    <w:p w:rsidR="00554ECE" w:rsidP="00554ECE" w14:paraId="382FE6BA" w14:textId="4ED2F763">
      <w:pPr>
        <w:ind w:firstLine="720"/>
        <w:rPr>
          <w:i/>
          <w:sz w:val="22"/>
          <w:szCs w:val="22"/>
        </w:rPr>
      </w:pPr>
      <w:r w:rsidRPr="004F346E">
        <w:rPr>
          <w:b/>
          <w:sz w:val="22"/>
          <w:szCs w:val="22"/>
        </w:rPr>
        <w:t xml:space="preserve">Background.  </w:t>
      </w:r>
      <w:r w:rsidRPr="004F346E">
        <w:rPr>
          <w:sz w:val="22"/>
          <w:szCs w:val="22"/>
        </w:rPr>
        <w:t>Th</w:t>
      </w:r>
      <w:r>
        <w:rPr>
          <w:sz w:val="22"/>
          <w:szCs w:val="22"/>
        </w:rPr>
        <w:t>e</w:t>
      </w:r>
      <w:r w:rsidRPr="004F346E">
        <w:rPr>
          <w:sz w:val="22"/>
          <w:szCs w:val="22"/>
        </w:rPr>
        <w:t xml:space="preserve"> </w:t>
      </w:r>
      <w:r>
        <w:rPr>
          <w:sz w:val="22"/>
          <w:szCs w:val="22"/>
        </w:rPr>
        <w:t>Application</w:t>
      </w:r>
      <w:r w:rsidRPr="004F346E">
        <w:rPr>
          <w:sz w:val="22"/>
          <w:szCs w:val="22"/>
        </w:rPr>
        <w:t xml:space="preserve"> was file</w:t>
      </w:r>
      <w:r>
        <w:rPr>
          <w:sz w:val="22"/>
          <w:szCs w:val="22"/>
        </w:rPr>
        <w:t xml:space="preserve">d pursuant to </w:t>
      </w:r>
      <w:r w:rsidR="00036513">
        <w:rPr>
          <w:sz w:val="22"/>
          <w:szCs w:val="22"/>
        </w:rPr>
        <w:t xml:space="preserve">section </w:t>
      </w:r>
      <w:r>
        <w:rPr>
          <w:sz w:val="22"/>
          <w:szCs w:val="22"/>
        </w:rPr>
        <w:t xml:space="preserve">73.3573(g) of the Commission’s </w:t>
      </w:r>
      <w:r w:rsidR="00294CC7">
        <w:rPr>
          <w:sz w:val="22"/>
          <w:szCs w:val="22"/>
        </w:rPr>
        <w:t>r</w:t>
      </w:r>
      <w:r w:rsidRPr="004F346E">
        <w:rPr>
          <w:sz w:val="22"/>
          <w:szCs w:val="22"/>
        </w:rPr>
        <w:t>ules</w:t>
      </w:r>
      <w:r>
        <w:rPr>
          <w:sz w:val="22"/>
          <w:szCs w:val="22"/>
        </w:rPr>
        <w:t xml:space="preserve">, which sets forth the requirements </w:t>
      </w:r>
      <w:r w:rsidR="00883024">
        <w:rPr>
          <w:sz w:val="22"/>
          <w:szCs w:val="22"/>
        </w:rPr>
        <w:t>for</w:t>
      </w:r>
      <w:r w:rsidR="00036513">
        <w:rPr>
          <w:sz w:val="22"/>
          <w:szCs w:val="22"/>
        </w:rPr>
        <w:t xml:space="preserve"> modify</w:t>
      </w:r>
      <w:r w:rsidR="00883024">
        <w:rPr>
          <w:sz w:val="22"/>
          <w:szCs w:val="22"/>
        </w:rPr>
        <w:t>ing</w:t>
      </w:r>
      <w:r>
        <w:rPr>
          <w:sz w:val="22"/>
          <w:szCs w:val="22"/>
        </w:rPr>
        <w:t xml:space="preserve"> an FM </w:t>
      </w:r>
      <w:r w:rsidR="00DC50BF">
        <w:rPr>
          <w:sz w:val="22"/>
          <w:szCs w:val="22"/>
        </w:rPr>
        <w:t xml:space="preserve">station </w:t>
      </w:r>
      <w:r>
        <w:rPr>
          <w:sz w:val="22"/>
          <w:szCs w:val="22"/>
        </w:rPr>
        <w:t xml:space="preserve">license to specify a new </w:t>
      </w:r>
      <w:r w:rsidRPr="004F346E">
        <w:rPr>
          <w:sz w:val="22"/>
          <w:szCs w:val="22"/>
        </w:rPr>
        <w:t>community of license with</w:t>
      </w:r>
      <w:r>
        <w:rPr>
          <w:sz w:val="22"/>
          <w:szCs w:val="22"/>
        </w:rPr>
        <w:t xml:space="preserve">out providing an opportunity for </w:t>
      </w:r>
      <w:r w:rsidRPr="004F346E">
        <w:rPr>
          <w:sz w:val="22"/>
          <w:szCs w:val="22"/>
        </w:rPr>
        <w:t>competing expression</w:t>
      </w:r>
      <w:r>
        <w:rPr>
          <w:sz w:val="22"/>
          <w:szCs w:val="22"/>
        </w:rPr>
        <w:t>s</w:t>
      </w:r>
      <w:r w:rsidRPr="004F346E">
        <w:rPr>
          <w:sz w:val="22"/>
          <w:szCs w:val="22"/>
        </w:rPr>
        <w:t xml:space="preserve"> of interest.</w:t>
      </w:r>
      <w:r>
        <w:rPr>
          <w:rStyle w:val="FootnoteReference"/>
          <w:sz w:val="22"/>
          <w:szCs w:val="22"/>
        </w:rPr>
        <w:footnoteReference w:id="2"/>
      </w:r>
      <w:r w:rsidRPr="004F346E">
        <w:rPr>
          <w:sz w:val="22"/>
          <w:szCs w:val="22"/>
        </w:rPr>
        <w:t xml:space="preserve">  </w:t>
      </w:r>
      <w:r>
        <w:rPr>
          <w:sz w:val="22"/>
          <w:szCs w:val="22"/>
        </w:rPr>
        <w:t xml:space="preserve">Among other requirements, an applicant for such a minor modification must demonstrate that the proposed change of community constitutes a </w:t>
      </w:r>
      <w:r w:rsidRPr="004F346E">
        <w:rPr>
          <w:sz w:val="22"/>
          <w:szCs w:val="22"/>
        </w:rPr>
        <w:t>preferential arrangement of allotments.</w:t>
      </w:r>
      <w:r>
        <w:rPr>
          <w:rStyle w:val="FootnoteReference"/>
          <w:sz w:val="22"/>
          <w:szCs w:val="22"/>
        </w:rPr>
        <w:footnoteReference w:id="3"/>
      </w:r>
      <w:r w:rsidRPr="004F346E">
        <w:rPr>
          <w:sz w:val="22"/>
          <w:szCs w:val="22"/>
        </w:rPr>
        <w:t xml:space="preserve">  We make this determination using the FM allotment priorities set forth in </w:t>
      </w:r>
      <w:r w:rsidRPr="004F346E">
        <w:rPr>
          <w:i/>
          <w:sz w:val="22"/>
          <w:szCs w:val="22"/>
        </w:rPr>
        <w:t>Revision of FM Assignment Policies and Procedures.</w:t>
      </w:r>
      <w:r>
        <w:rPr>
          <w:rStyle w:val="FootnoteReference"/>
          <w:i/>
          <w:sz w:val="22"/>
          <w:szCs w:val="22"/>
        </w:rPr>
        <w:footnoteReference w:id="4"/>
      </w:r>
      <w:r>
        <w:rPr>
          <w:i/>
          <w:sz w:val="22"/>
          <w:szCs w:val="22"/>
        </w:rPr>
        <w:t xml:space="preserve">  </w:t>
      </w:r>
    </w:p>
    <w:p w:rsidR="00554ECE" w:rsidP="00554ECE" w14:paraId="20B33C52" w14:textId="77777777">
      <w:pPr>
        <w:tabs>
          <w:tab w:val="left" w:pos="720"/>
          <w:tab w:val="left" w:pos="5670"/>
          <w:tab w:val="left" w:pos="7380"/>
        </w:tabs>
        <w:suppressAutoHyphens/>
        <w:rPr>
          <w:i/>
          <w:sz w:val="22"/>
          <w:szCs w:val="22"/>
        </w:rPr>
      </w:pPr>
    </w:p>
    <w:p w:rsidR="00CD5F77" w:rsidP="001B2238" w14:paraId="64CAADA7" w14:textId="1BD8012C">
      <w:pPr>
        <w:tabs>
          <w:tab w:val="left" w:pos="720"/>
          <w:tab w:val="left" w:pos="9270"/>
        </w:tabs>
        <w:ind w:right="-90"/>
        <w:rPr>
          <w:sz w:val="22"/>
          <w:szCs w:val="22"/>
        </w:rPr>
      </w:pPr>
      <w:r>
        <w:rPr>
          <w:sz w:val="22"/>
          <w:szCs w:val="22"/>
        </w:rPr>
        <w:tab/>
      </w:r>
      <w:r w:rsidR="00983083">
        <w:rPr>
          <w:sz w:val="22"/>
          <w:szCs w:val="22"/>
        </w:rPr>
        <w:t xml:space="preserve">Applicant states that </w:t>
      </w:r>
      <w:r>
        <w:rPr>
          <w:sz w:val="22"/>
          <w:szCs w:val="22"/>
        </w:rPr>
        <w:t xml:space="preserve">(1) </w:t>
      </w:r>
      <w:r w:rsidR="00983083">
        <w:rPr>
          <w:sz w:val="22"/>
          <w:szCs w:val="22"/>
        </w:rPr>
        <w:t xml:space="preserve">the </w:t>
      </w:r>
      <w:r w:rsidR="00E84B02">
        <w:rPr>
          <w:sz w:val="22"/>
          <w:szCs w:val="22"/>
        </w:rPr>
        <w:t xml:space="preserve">proposed </w:t>
      </w:r>
      <w:r w:rsidR="00983083">
        <w:rPr>
          <w:sz w:val="22"/>
          <w:szCs w:val="22"/>
        </w:rPr>
        <w:t xml:space="preserve">city of license </w:t>
      </w:r>
      <w:r w:rsidR="00E84B02">
        <w:rPr>
          <w:sz w:val="22"/>
          <w:szCs w:val="22"/>
        </w:rPr>
        <w:t>change</w:t>
      </w:r>
      <w:r w:rsidR="00983083">
        <w:rPr>
          <w:sz w:val="22"/>
          <w:szCs w:val="22"/>
        </w:rPr>
        <w:t xml:space="preserve"> </w:t>
      </w:r>
      <w:r w:rsidRPr="00983083" w:rsidR="00983083">
        <w:rPr>
          <w:sz w:val="22"/>
          <w:szCs w:val="22"/>
        </w:rPr>
        <w:t>is mutually exclusive with</w:t>
      </w:r>
      <w:r w:rsidR="00983083">
        <w:rPr>
          <w:sz w:val="22"/>
          <w:szCs w:val="22"/>
        </w:rPr>
        <w:t xml:space="preserve"> </w:t>
      </w:r>
      <w:r w:rsidRPr="00983083" w:rsidR="00983083">
        <w:rPr>
          <w:sz w:val="22"/>
          <w:szCs w:val="22"/>
        </w:rPr>
        <w:t>the current allotment</w:t>
      </w:r>
      <w:r>
        <w:rPr>
          <w:sz w:val="22"/>
          <w:szCs w:val="22"/>
        </w:rPr>
        <w:t xml:space="preserve">; (2) </w:t>
      </w:r>
      <w:r w:rsidRPr="00E84B02" w:rsidR="00E84B02">
        <w:rPr>
          <w:sz w:val="22"/>
          <w:szCs w:val="22"/>
        </w:rPr>
        <w:t>the proposed arrangement of allotments is preferred under the Commission’s</w:t>
      </w:r>
      <w:r w:rsidR="00E84B02">
        <w:rPr>
          <w:sz w:val="22"/>
          <w:szCs w:val="22"/>
        </w:rPr>
        <w:t xml:space="preserve"> </w:t>
      </w:r>
      <w:r w:rsidRPr="00E84B02" w:rsidR="00E84B02">
        <w:rPr>
          <w:sz w:val="22"/>
          <w:szCs w:val="22"/>
        </w:rPr>
        <w:t>allotment priorities</w:t>
      </w:r>
      <w:r>
        <w:rPr>
          <w:sz w:val="22"/>
          <w:szCs w:val="22"/>
        </w:rPr>
        <w:t>;</w:t>
      </w:r>
      <w:r>
        <w:rPr>
          <w:rStyle w:val="FootnoteReference"/>
          <w:sz w:val="22"/>
          <w:szCs w:val="22"/>
        </w:rPr>
        <w:footnoteReference w:id="5"/>
      </w:r>
      <w:r>
        <w:rPr>
          <w:sz w:val="22"/>
          <w:szCs w:val="22"/>
        </w:rPr>
        <w:t xml:space="preserve"> and (3) t</w:t>
      </w:r>
      <w:r w:rsidRPr="00983083" w:rsidR="00983083">
        <w:rPr>
          <w:sz w:val="22"/>
          <w:szCs w:val="22"/>
        </w:rPr>
        <w:t>he current community of license will not be deprived of its only local</w:t>
      </w:r>
      <w:r w:rsidR="00983083">
        <w:rPr>
          <w:sz w:val="22"/>
          <w:szCs w:val="22"/>
        </w:rPr>
        <w:t xml:space="preserve"> </w:t>
      </w:r>
      <w:r w:rsidRPr="00983083" w:rsidR="00983083">
        <w:rPr>
          <w:sz w:val="22"/>
          <w:szCs w:val="22"/>
        </w:rPr>
        <w:t>service</w:t>
      </w:r>
      <w:r w:rsidR="00983083">
        <w:rPr>
          <w:sz w:val="22"/>
          <w:szCs w:val="22"/>
        </w:rPr>
        <w:t xml:space="preserve"> </w:t>
      </w:r>
      <w:r w:rsidRPr="00E84B02" w:rsidR="00E84B02">
        <w:rPr>
          <w:sz w:val="22"/>
          <w:szCs w:val="22"/>
        </w:rPr>
        <w:t xml:space="preserve">because </w:t>
      </w:r>
      <w:r w:rsidRPr="00E84B02" w:rsidR="00E84B02">
        <w:rPr>
          <w:sz w:val="22"/>
          <w:szCs w:val="22"/>
        </w:rPr>
        <w:t>WHGV is presumed to currently serve the Gainesville, Florida</w:t>
      </w:r>
      <w:r w:rsidR="001D0198">
        <w:rPr>
          <w:sz w:val="22"/>
          <w:szCs w:val="22"/>
        </w:rPr>
        <w:t>,</w:t>
      </w:r>
      <w:r w:rsidRPr="00E84B02" w:rsidR="00E84B02">
        <w:rPr>
          <w:sz w:val="22"/>
          <w:szCs w:val="22"/>
        </w:rPr>
        <w:t xml:space="preserve"> Urbanized Area (</w:t>
      </w:r>
      <w:r w:rsidR="008B7D3D">
        <w:rPr>
          <w:sz w:val="22"/>
          <w:szCs w:val="22"/>
        </w:rPr>
        <w:t xml:space="preserve">Gainesville </w:t>
      </w:r>
      <w:r w:rsidRPr="00E84B02" w:rsidR="00E84B02">
        <w:rPr>
          <w:sz w:val="22"/>
          <w:szCs w:val="22"/>
        </w:rPr>
        <w:t>UA) instead of La Crosse, Florida</w:t>
      </w:r>
      <w:r w:rsidR="008B7D3D">
        <w:rPr>
          <w:sz w:val="22"/>
          <w:szCs w:val="22"/>
        </w:rPr>
        <w:t>,</w:t>
      </w:r>
      <w:r w:rsidRPr="00E84B02" w:rsidR="00E84B02">
        <w:rPr>
          <w:sz w:val="22"/>
          <w:szCs w:val="22"/>
        </w:rPr>
        <w:t xml:space="preserve"> pursuant to </w:t>
      </w:r>
      <w:r w:rsidR="00E84B02">
        <w:rPr>
          <w:sz w:val="22"/>
          <w:szCs w:val="22"/>
        </w:rPr>
        <w:t xml:space="preserve">the Commission’s </w:t>
      </w:r>
      <w:r w:rsidRPr="00E84B02" w:rsidR="00E84B02">
        <w:rPr>
          <w:i/>
          <w:iCs/>
          <w:sz w:val="22"/>
          <w:szCs w:val="22"/>
        </w:rPr>
        <w:t>Rural Radio</w:t>
      </w:r>
      <w:r w:rsidRPr="00E84B02" w:rsidR="00E84B02">
        <w:rPr>
          <w:sz w:val="22"/>
          <w:szCs w:val="22"/>
        </w:rPr>
        <w:t xml:space="preserve"> polic</w:t>
      </w:r>
      <w:r w:rsidR="00E84B02">
        <w:rPr>
          <w:sz w:val="22"/>
          <w:szCs w:val="22"/>
        </w:rPr>
        <w:t>y.</w:t>
      </w:r>
      <w:r>
        <w:rPr>
          <w:rStyle w:val="FootnoteReference"/>
          <w:sz w:val="22"/>
          <w:szCs w:val="22"/>
        </w:rPr>
        <w:footnoteReference w:id="6"/>
      </w:r>
      <w:r>
        <w:rPr>
          <w:sz w:val="22"/>
          <w:szCs w:val="22"/>
        </w:rPr>
        <w:t xml:space="preserve">  </w:t>
      </w:r>
      <w:r w:rsidRPr="00CD5F77">
        <w:rPr>
          <w:sz w:val="22"/>
          <w:szCs w:val="22"/>
        </w:rPr>
        <w:t xml:space="preserve">Applicant </w:t>
      </w:r>
      <w:r>
        <w:rPr>
          <w:sz w:val="22"/>
          <w:szCs w:val="22"/>
        </w:rPr>
        <w:t xml:space="preserve">claims </w:t>
      </w:r>
      <w:r w:rsidRPr="00CD5F77">
        <w:rPr>
          <w:sz w:val="22"/>
          <w:szCs w:val="22"/>
        </w:rPr>
        <w:t>that although the proposal constitutes the loss of the sole transmission service to La Crosse, a backfill</w:t>
      </w:r>
      <w:r w:rsidR="009F3A99">
        <w:rPr>
          <w:sz w:val="22"/>
          <w:szCs w:val="22"/>
        </w:rPr>
        <w:t xml:space="preserve"> </w:t>
      </w:r>
      <w:r w:rsidRPr="00CD5F77">
        <w:rPr>
          <w:sz w:val="22"/>
          <w:szCs w:val="22"/>
        </w:rPr>
        <w:t>is not required because WHGV is presumed to currently serve the Gainesville</w:t>
      </w:r>
      <w:r w:rsidR="00FC41FC">
        <w:rPr>
          <w:sz w:val="22"/>
          <w:szCs w:val="22"/>
        </w:rPr>
        <w:t xml:space="preserve"> </w:t>
      </w:r>
      <w:r w:rsidRPr="00CD5F77">
        <w:rPr>
          <w:sz w:val="22"/>
          <w:szCs w:val="22"/>
        </w:rPr>
        <w:t>UA instead of</w:t>
      </w:r>
      <w:r w:rsidR="009F3A99">
        <w:rPr>
          <w:sz w:val="22"/>
          <w:szCs w:val="22"/>
        </w:rPr>
        <w:t xml:space="preserve"> the community of</w:t>
      </w:r>
      <w:r w:rsidRPr="00CD5F77">
        <w:rPr>
          <w:sz w:val="22"/>
          <w:szCs w:val="22"/>
        </w:rPr>
        <w:t xml:space="preserve"> La Crosse.</w:t>
      </w:r>
      <w:r>
        <w:rPr>
          <w:rStyle w:val="FootnoteReference"/>
          <w:sz w:val="22"/>
          <w:szCs w:val="22"/>
        </w:rPr>
        <w:footnoteReference w:id="7"/>
      </w:r>
      <w:r w:rsidRPr="00CD5F77">
        <w:rPr>
          <w:sz w:val="22"/>
          <w:szCs w:val="22"/>
        </w:rPr>
        <w:t xml:space="preserve">  </w:t>
      </w:r>
    </w:p>
    <w:p w:rsidR="00CD5F77" w:rsidP="001B2238" w14:paraId="7216DE34" w14:textId="77777777">
      <w:pPr>
        <w:tabs>
          <w:tab w:val="left" w:pos="720"/>
          <w:tab w:val="left" w:pos="9270"/>
        </w:tabs>
        <w:ind w:right="-90"/>
        <w:rPr>
          <w:sz w:val="22"/>
          <w:szCs w:val="22"/>
        </w:rPr>
      </w:pPr>
    </w:p>
    <w:p w:rsidR="00F647D4" w:rsidP="006574A9" w14:paraId="121D2A22" w14:textId="7E2D706B">
      <w:pPr>
        <w:tabs>
          <w:tab w:val="left" w:pos="720"/>
          <w:tab w:val="left" w:pos="9270"/>
        </w:tabs>
        <w:ind w:right="-90"/>
        <w:rPr>
          <w:sz w:val="22"/>
          <w:szCs w:val="22"/>
        </w:rPr>
      </w:pPr>
      <w:r>
        <w:rPr>
          <w:sz w:val="22"/>
          <w:szCs w:val="22"/>
        </w:rPr>
        <w:tab/>
      </w:r>
      <w:r w:rsidRPr="00F647D4">
        <w:rPr>
          <w:sz w:val="22"/>
          <w:szCs w:val="22"/>
        </w:rPr>
        <w:t xml:space="preserve">Applicant claims that the proposal </w:t>
      </w:r>
      <w:r w:rsidR="00A117FE">
        <w:rPr>
          <w:sz w:val="22"/>
          <w:szCs w:val="22"/>
        </w:rPr>
        <w:t>serves</w:t>
      </w:r>
      <w:r w:rsidRPr="00F647D4">
        <w:rPr>
          <w:sz w:val="22"/>
          <w:szCs w:val="22"/>
        </w:rPr>
        <w:t xml:space="preserve"> the public interest under Priority (4) because it would incentivize the station to serve the larger community of Gainesville</w:t>
      </w:r>
      <w:r>
        <w:rPr>
          <w:sz w:val="22"/>
          <w:szCs w:val="22"/>
        </w:rPr>
        <w:t xml:space="preserve"> </w:t>
      </w:r>
      <w:r w:rsidRPr="00F647D4">
        <w:rPr>
          <w:sz w:val="22"/>
          <w:szCs w:val="22"/>
        </w:rPr>
        <w:t xml:space="preserve">while continuing to serve </w:t>
      </w:r>
      <w:r w:rsidRPr="00717E7C" w:rsidR="00717E7C">
        <w:rPr>
          <w:sz w:val="22"/>
          <w:szCs w:val="22"/>
        </w:rPr>
        <w:t>La Cross</w:t>
      </w:r>
      <w:r w:rsidR="00717E7C">
        <w:rPr>
          <w:sz w:val="22"/>
          <w:szCs w:val="22"/>
        </w:rPr>
        <w:t>e</w:t>
      </w:r>
      <w:r w:rsidRPr="00F647D4">
        <w:rPr>
          <w:sz w:val="22"/>
          <w:szCs w:val="22"/>
        </w:rPr>
        <w:t>.</w:t>
      </w:r>
      <w:r>
        <w:rPr>
          <w:rStyle w:val="FootnoteReference"/>
          <w:sz w:val="22"/>
          <w:szCs w:val="22"/>
        </w:rPr>
        <w:footnoteReference w:id="8"/>
      </w:r>
      <w:r w:rsidRPr="00F647D4">
        <w:rPr>
          <w:sz w:val="22"/>
          <w:szCs w:val="22"/>
        </w:rPr>
        <w:t xml:space="preserve">  </w:t>
      </w:r>
      <w:r w:rsidR="00FD1226">
        <w:rPr>
          <w:sz w:val="22"/>
          <w:szCs w:val="22"/>
        </w:rPr>
        <w:t>CFEF</w:t>
      </w:r>
      <w:r w:rsidRPr="00F647D4" w:rsidR="00FD1226">
        <w:rPr>
          <w:sz w:val="22"/>
          <w:szCs w:val="22"/>
        </w:rPr>
        <w:t xml:space="preserve"> </w:t>
      </w:r>
      <w:r w:rsidR="00050EAF">
        <w:rPr>
          <w:sz w:val="22"/>
          <w:szCs w:val="22"/>
        </w:rPr>
        <w:t>argues</w:t>
      </w:r>
      <w:r w:rsidRPr="00F647D4">
        <w:rPr>
          <w:sz w:val="22"/>
          <w:szCs w:val="22"/>
        </w:rPr>
        <w:t xml:space="preserve"> that the Commission observed in </w:t>
      </w:r>
      <w:r w:rsidRPr="00050EAF">
        <w:rPr>
          <w:i/>
          <w:iCs/>
          <w:sz w:val="22"/>
          <w:szCs w:val="22"/>
        </w:rPr>
        <w:t>Rural Radio</w:t>
      </w:r>
      <w:r w:rsidRPr="00F647D4">
        <w:rPr>
          <w:sz w:val="22"/>
          <w:szCs w:val="22"/>
        </w:rPr>
        <w:t xml:space="preserve"> </w:t>
      </w:r>
      <w:r w:rsidR="00050EAF">
        <w:rPr>
          <w:sz w:val="22"/>
          <w:szCs w:val="22"/>
        </w:rPr>
        <w:t xml:space="preserve">that </w:t>
      </w:r>
      <w:r>
        <w:rPr>
          <w:sz w:val="22"/>
          <w:szCs w:val="22"/>
        </w:rPr>
        <w:t xml:space="preserve">it </w:t>
      </w:r>
      <w:r w:rsidRPr="00F647D4">
        <w:rPr>
          <w:sz w:val="22"/>
          <w:szCs w:val="22"/>
        </w:rPr>
        <w:t>does not serve the public interest to limit broadcasters to service geared toward their communities of license to the exclusion of the rest of their service area</w:t>
      </w:r>
      <w:r w:rsidR="00FD1226">
        <w:rPr>
          <w:sz w:val="22"/>
          <w:szCs w:val="22"/>
        </w:rPr>
        <w:t>,</w:t>
      </w:r>
      <w:r>
        <w:rPr>
          <w:sz w:val="22"/>
          <w:szCs w:val="22"/>
        </w:rPr>
        <w:t xml:space="preserve"> and that i</w:t>
      </w:r>
      <w:r w:rsidRPr="00F647D4">
        <w:rPr>
          <w:sz w:val="22"/>
          <w:szCs w:val="22"/>
        </w:rPr>
        <w:t>t is</w:t>
      </w:r>
      <w:r w:rsidR="00D916F7">
        <w:rPr>
          <w:sz w:val="22"/>
          <w:szCs w:val="22"/>
        </w:rPr>
        <w:t xml:space="preserve"> therefore</w:t>
      </w:r>
      <w:r w:rsidRPr="00F647D4">
        <w:rPr>
          <w:sz w:val="22"/>
          <w:szCs w:val="22"/>
        </w:rPr>
        <w:t xml:space="preserve"> unrealistic to limit our </w:t>
      </w:r>
      <w:r w:rsidR="007423DB">
        <w:rPr>
          <w:sz w:val="22"/>
          <w:szCs w:val="22"/>
        </w:rPr>
        <w:t>analysis under s</w:t>
      </w:r>
      <w:r w:rsidRPr="00F647D4">
        <w:rPr>
          <w:sz w:val="22"/>
          <w:szCs w:val="22"/>
        </w:rPr>
        <w:t xml:space="preserve">ection 307(b) </w:t>
      </w:r>
      <w:r w:rsidR="007423DB">
        <w:rPr>
          <w:sz w:val="22"/>
          <w:szCs w:val="22"/>
        </w:rPr>
        <w:t>of the Communications Act</w:t>
      </w:r>
      <w:r>
        <w:rPr>
          <w:rStyle w:val="FootnoteReference"/>
          <w:sz w:val="22"/>
          <w:szCs w:val="22"/>
        </w:rPr>
        <w:footnoteReference w:id="9"/>
      </w:r>
      <w:r w:rsidR="007423DB">
        <w:rPr>
          <w:sz w:val="22"/>
          <w:szCs w:val="22"/>
        </w:rPr>
        <w:t xml:space="preserve"> </w:t>
      </w:r>
      <w:r w:rsidRPr="00F647D4">
        <w:rPr>
          <w:sz w:val="22"/>
          <w:szCs w:val="22"/>
        </w:rPr>
        <w:t xml:space="preserve">to that service provided to </w:t>
      </w:r>
      <w:r w:rsidR="00B90B07">
        <w:rPr>
          <w:sz w:val="22"/>
          <w:szCs w:val="22"/>
        </w:rPr>
        <w:t>WHGV’s</w:t>
      </w:r>
      <w:r w:rsidRPr="00F647D4" w:rsidR="00B90B07">
        <w:rPr>
          <w:sz w:val="22"/>
          <w:szCs w:val="22"/>
        </w:rPr>
        <w:t xml:space="preserve"> </w:t>
      </w:r>
      <w:r w:rsidR="000F4325">
        <w:rPr>
          <w:sz w:val="22"/>
          <w:szCs w:val="22"/>
        </w:rPr>
        <w:t>current</w:t>
      </w:r>
      <w:r w:rsidRPr="00F647D4" w:rsidR="000F4325">
        <w:rPr>
          <w:sz w:val="22"/>
          <w:szCs w:val="22"/>
        </w:rPr>
        <w:t xml:space="preserve"> </w:t>
      </w:r>
      <w:r w:rsidRPr="00F647D4">
        <w:rPr>
          <w:sz w:val="22"/>
          <w:szCs w:val="22"/>
        </w:rPr>
        <w:t>community of license</w:t>
      </w:r>
      <w:r w:rsidR="007423DB">
        <w:rPr>
          <w:sz w:val="22"/>
          <w:szCs w:val="22"/>
        </w:rPr>
        <w:t>, while</w:t>
      </w:r>
      <w:r w:rsidRPr="00F647D4">
        <w:rPr>
          <w:sz w:val="22"/>
          <w:szCs w:val="22"/>
        </w:rPr>
        <w:t xml:space="preserve"> ignor</w:t>
      </w:r>
      <w:r w:rsidR="007423DB">
        <w:rPr>
          <w:sz w:val="22"/>
          <w:szCs w:val="22"/>
        </w:rPr>
        <w:t>ing</w:t>
      </w:r>
      <w:r w:rsidRPr="00F647D4">
        <w:rPr>
          <w:sz w:val="22"/>
          <w:szCs w:val="22"/>
        </w:rPr>
        <w:t xml:space="preserve"> </w:t>
      </w:r>
      <w:r w:rsidR="00B90B07">
        <w:rPr>
          <w:sz w:val="22"/>
          <w:szCs w:val="22"/>
        </w:rPr>
        <w:t>the station’s</w:t>
      </w:r>
      <w:r w:rsidRPr="00F647D4" w:rsidR="00B90B07">
        <w:rPr>
          <w:sz w:val="22"/>
          <w:szCs w:val="22"/>
        </w:rPr>
        <w:t xml:space="preserve"> </w:t>
      </w:r>
      <w:r w:rsidRPr="00F647D4">
        <w:rPr>
          <w:sz w:val="22"/>
          <w:szCs w:val="22"/>
        </w:rPr>
        <w:t>incentives to serve the larger coverage area.</w:t>
      </w:r>
      <w:r>
        <w:rPr>
          <w:rStyle w:val="FootnoteReference"/>
          <w:sz w:val="22"/>
          <w:szCs w:val="22"/>
        </w:rPr>
        <w:footnoteReference w:id="10"/>
      </w:r>
      <w:r w:rsidRPr="00F647D4" w:rsidR="00444428">
        <w:rPr>
          <w:sz w:val="22"/>
          <w:szCs w:val="22"/>
        </w:rPr>
        <w:t xml:space="preserve"> </w:t>
      </w:r>
      <w:r w:rsidRPr="00F647D4">
        <w:rPr>
          <w:sz w:val="22"/>
          <w:szCs w:val="22"/>
        </w:rPr>
        <w:t xml:space="preserve"> </w:t>
      </w:r>
      <w:r w:rsidR="001B543A">
        <w:rPr>
          <w:sz w:val="22"/>
          <w:szCs w:val="22"/>
        </w:rPr>
        <w:t>CFEF</w:t>
      </w:r>
      <w:r w:rsidRPr="00F647D4" w:rsidR="001B543A">
        <w:rPr>
          <w:sz w:val="22"/>
          <w:szCs w:val="22"/>
        </w:rPr>
        <w:t xml:space="preserve"> </w:t>
      </w:r>
      <w:r w:rsidR="00717E7C">
        <w:rPr>
          <w:sz w:val="22"/>
          <w:szCs w:val="22"/>
        </w:rPr>
        <w:t>maintains</w:t>
      </w:r>
      <w:r w:rsidR="00444428">
        <w:rPr>
          <w:sz w:val="22"/>
          <w:szCs w:val="22"/>
        </w:rPr>
        <w:t xml:space="preserve"> </w:t>
      </w:r>
      <w:r w:rsidRPr="00F647D4">
        <w:rPr>
          <w:sz w:val="22"/>
          <w:szCs w:val="22"/>
        </w:rPr>
        <w:t>that La Crosse</w:t>
      </w:r>
      <w:r w:rsidR="00983083">
        <w:rPr>
          <w:sz w:val="22"/>
          <w:szCs w:val="22"/>
        </w:rPr>
        <w:t xml:space="preserve"> </w:t>
      </w:r>
      <w:r w:rsidRPr="00F647D4">
        <w:rPr>
          <w:sz w:val="22"/>
          <w:szCs w:val="22"/>
        </w:rPr>
        <w:t>comprises</w:t>
      </w:r>
      <w:r w:rsidR="00983083">
        <w:rPr>
          <w:sz w:val="22"/>
          <w:szCs w:val="22"/>
        </w:rPr>
        <w:t xml:space="preserve"> </w:t>
      </w:r>
      <w:r w:rsidRPr="00F647D4">
        <w:rPr>
          <w:sz w:val="22"/>
          <w:szCs w:val="22"/>
        </w:rPr>
        <w:t>only 0.13% of the total population</w:t>
      </w:r>
      <w:r w:rsidR="00717E7C">
        <w:rPr>
          <w:sz w:val="22"/>
          <w:szCs w:val="22"/>
        </w:rPr>
        <w:t xml:space="preserve"> </w:t>
      </w:r>
      <w:r w:rsidRPr="00983083" w:rsidR="00983083">
        <w:rPr>
          <w:sz w:val="22"/>
          <w:szCs w:val="22"/>
        </w:rPr>
        <w:t>currently served by the station</w:t>
      </w:r>
      <w:r w:rsidR="00983083">
        <w:rPr>
          <w:sz w:val="22"/>
          <w:szCs w:val="22"/>
        </w:rPr>
        <w:t xml:space="preserve"> </w:t>
      </w:r>
      <w:r w:rsidR="00717E7C">
        <w:rPr>
          <w:sz w:val="22"/>
          <w:szCs w:val="22"/>
        </w:rPr>
        <w:t>while</w:t>
      </w:r>
      <w:r w:rsidR="00983083">
        <w:rPr>
          <w:sz w:val="22"/>
          <w:szCs w:val="22"/>
        </w:rPr>
        <w:t xml:space="preserve"> </w:t>
      </w:r>
      <w:r w:rsidRPr="00F647D4">
        <w:rPr>
          <w:sz w:val="22"/>
          <w:szCs w:val="22"/>
        </w:rPr>
        <w:t>Gainesville comprises 51.5% of the total population</w:t>
      </w:r>
      <w:r w:rsidR="00983083">
        <w:rPr>
          <w:sz w:val="22"/>
          <w:szCs w:val="22"/>
        </w:rPr>
        <w:t>.</w:t>
      </w:r>
      <w:r>
        <w:rPr>
          <w:rStyle w:val="FootnoteReference"/>
          <w:sz w:val="22"/>
          <w:szCs w:val="22"/>
        </w:rPr>
        <w:footnoteReference w:id="11"/>
      </w:r>
      <w:r w:rsidR="00983083">
        <w:rPr>
          <w:sz w:val="22"/>
          <w:szCs w:val="22"/>
        </w:rPr>
        <w:t xml:space="preserve">  Gainesville </w:t>
      </w:r>
      <w:r w:rsidR="00717E7C">
        <w:rPr>
          <w:sz w:val="22"/>
          <w:szCs w:val="22"/>
        </w:rPr>
        <w:t>h</w:t>
      </w:r>
      <w:r w:rsidRPr="00F647D4">
        <w:rPr>
          <w:sz w:val="22"/>
          <w:szCs w:val="22"/>
        </w:rPr>
        <w:t>a</w:t>
      </w:r>
      <w:r w:rsidR="00444428">
        <w:rPr>
          <w:sz w:val="22"/>
          <w:szCs w:val="22"/>
        </w:rPr>
        <w:t>s</w:t>
      </w:r>
      <w:r w:rsidRPr="00F647D4">
        <w:rPr>
          <w:sz w:val="22"/>
          <w:szCs w:val="22"/>
        </w:rPr>
        <w:t xml:space="preserve"> a 2020 U.S. Census population of 141,085 persons</w:t>
      </w:r>
      <w:r w:rsidR="00444428">
        <w:rPr>
          <w:sz w:val="22"/>
          <w:szCs w:val="22"/>
        </w:rPr>
        <w:t xml:space="preserve"> that</w:t>
      </w:r>
      <w:r w:rsidRPr="00F647D4">
        <w:rPr>
          <w:sz w:val="22"/>
          <w:szCs w:val="22"/>
        </w:rPr>
        <w:t xml:space="preserve"> increased 13.5% over the past decade.</w:t>
      </w:r>
      <w:r>
        <w:rPr>
          <w:rStyle w:val="FootnoteReference"/>
          <w:sz w:val="22"/>
          <w:szCs w:val="22"/>
        </w:rPr>
        <w:footnoteReference w:id="12"/>
      </w:r>
      <w:r w:rsidR="009F3A99">
        <w:rPr>
          <w:sz w:val="22"/>
          <w:szCs w:val="22"/>
        </w:rPr>
        <w:t xml:space="preserve">  </w:t>
      </w:r>
      <w:r w:rsidRPr="00F647D4">
        <w:rPr>
          <w:sz w:val="22"/>
          <w:szCs w:val="22"/>
        </w:rPr>
        <w:t xml:space="preserve">Applicant </w:t>
      </w:r>
      <w:r w:rsidR="00510800">
        <w:rPr>
          <w:sz w:val="22"/>
          <w:szCs w:val="22"/>
        </w:rPr>
        <w:t xml:space="preserve">contends </w:t>
      </w:r>
      <w:r w:rsidRPr="00F647D4">
        <w:rPr>
          <w:sz w:val="22"/>
          <w:szCs w:val="22"/>
        </w:rPr>
        <w:t>that</w:t>
      </w:r>
      <w:r w:rsidR="00B71971">
        <w:rPr>
          <w:sz w:val="22"/>
          <w:szCs w:val="22"/>
        </w:rPr>
        <w:t>,</w:t>
      </w:r>
      <w:r w:rsidRPr="00F647D4">
        <w:rPr>
          <w:sz w:val="22"/>
          <w:szCs w:val="22"/>
        </w:rPr>
        <w:t xml:space="preserve"> </w:t>
      </w:r>
      <w:r w:rsidR="00315B76">
        <w:rPr>
          <w:sz w:val="22"/>
          <w:szCs w:val="22"/>
        </w:rPr>
        <w:t xml:space="preserve">although </w:t>
      </w:r>
      <w:r w:rsidRPr="00F647D4">
        <w:rPr>
          <w:sz w:val="22"/>
          <w:szCs w:val="22"/>
        </w:rPr>
        <w:t>there are no technical changes</w:t>
      </w:r>
      <w:r w:rsidR="00315B76">
        <w:rPr>
          <w:sz w:val="22"/>
          <w:szCs w:val="22"/>
        </w:rPr>
        <w:t xml:space="preserve">, </w:t>
      </w:r>
      <w:r w:rsidRPr="00F647D4">
        <w:rPr>
          <w:sz w:val="22"/>
          <w:szCs w:val="22"/>
        </w:rPr>
        <w:t xml:space="preserve">the proposal </w:t>
      </w:r>
      <w:r w:rsidR="00315B76">
        <w:rPr>
          <w:sz w:val="22"/>
          <w:szCs w:val="22"/>
        </w:rPr>
        <w:t>represents</w:t>
      </w:r>
      <w:r w:rsidRPr="00F647D4">
        <w:rPr>
          <w:sz w:val="22"/>
          <w:szCs w:val="22"/>
        </w:rPr>
        <w:t xml:space="preserve"> a </w:t>
      </w:r>
      <w:r w:rsidR="00B71971">
        <w:rPr>
          <w:sz w:val="22"/>
          <w:szCs w:val="22"/>
        </w:rPr>
        <w:t>preferential</w:t>
      </w:r>
      <w:r w:rsidRPr="00F647D4" w:rsidR="00B71971">
        <w:rPr>
          <w:sz w:val="22"/>
          <w:szCs w:val="22"/>
        </w:rPr>
        <w:t xml:space="preserve"> </w:t>
      </w:r>
      <w:r w:rsidRPr="00F647D4">
        <w:rPr>
          <w:sz w:val="22"/>
          <w:szCs w:val="22"/>
        </w:rPr>
        <w:t xml:space="preserve">arrangement of allotments under Priority (4) </w:t>
      </w:r>
      <w:r w:rsidRPr="0024752A" w:rsidR="00315B76">
        <w:rPr>
          <w:sz w:val="22"/>
          <w:szCs w:val="22"/>
        </w:rPr>
        <w:t xml:space="preserve">of the four allotment priorities, </w:t>
      </w:r>
      <w:r w:rsidRPr="00F647D4">
        <w:rPr>
          <w:sz w:val="22"/>
          <w:szCs w:val="22"/>
        </w:rPr>
        <w:t>because WHGV is already presumed to serve the</w:t>
      </w:r>
      <w:r w:rsidR="00A7629C">
        <w:rPr>
          <w:sz w:val="22"/>
          <w:szCs w:val="22"/>
        </w:rPr>
        <w:t xml:space="preserve"> entire</w:t>
      </w:r>
      <w:r w:rsidRPr="00F647D4">
        <w:rPr>
          <w:sz w:val="22"/>
          <w:szCs w:val="22"/>
        </w:rPr>
        <w:t xml:space="preserve"> Gainesville U</w:t>
      </w:r>
      <w:r w:rsidR="00315B76">
        <w:rPr>
          <w:sz w:val="22"/>
          <w:szCs w:val="22"/>
        </w:rPr>
        <w:t>A</w:t>
      </w:r>
      <w:r w:rsidRPr="00F647D4">
        <w:rPr>
          <w:sz w:val="22"/>
          <w:szCs w:val="22"/>
        </w:rPr>
        <w:t xml:space="preserve"> pursuant to </w:t>
      </w:r>
      <w:r w:rsidRPr="00315B76">
        <w:rPr>
          <w:i/>
          <w:iCs/>
          <w:sz w:val="22"/>
          <w:szCs w:val="22"/>
        </w:rPr>
        <w:t>Rural Radio</w:t>
      </w:r>
      <w:r w:rsidRPr="00F647D4">
        <w:rPr>
          <w:sz w:val="22"/>
          <w:szCs w:val="22"/>
        </w:rPr>
        <w:t xml:space="preserve"> </w:t>
      </w:r>
      <w:r w:rsidR="00315B76">
        <w:rPr>
          <w:sz w:val="22"/>
          <w:szCs w:val="22"/>
        </w:rPr>
        <w:t>policy</w:t>
      </w:r>
      <w:r w:rsidR="00A7629C">
        <w:rPr>
          <w:sz w:val="22"/>
          <w:szCs w:val="22"/>
        </w:rPr>
        <w:t>,</w:t>
      </w:r>
      <w:r w:rsidR="00E84B02">
        <w:rPr>
          <w:sz w:val="22"/>
          <w:szCs w:val="22"/>
        </w:rPr>
        <w:t xml:space="preserve"> and </w:t>
      </w:r>
      <w:r w:rsidR="00A7629C">
        <w:rPr>
          <w:sz w:val="22"/>
          <w:szCs w:val="22"/>
        </w:rPr>
        <w:t xml:space="preserve">under CFEF’s proposal it </w:t>
      </w:r>
      <w:r w:rsidR="00315B76">
        <w:rPr>
          <w:sz w:val="22"/>
          <w:szCs w:val="22"/>
        </w:rPr>
        <w:t xml:space="preserve">would provide </w:t>
      </w:r>
      <w:r w:rsidRPr="00F647D4">
        <w:rPr>
          <w:sz w:val="22"/>
          <w:szCs w:val="22"/>
        </w:rPr>
        <w:t xml:space="preserve">a local </w:t>
      </w:r>
      <w:r w:rsidR="00A7629C">
        <w:rPr>
          <w:sz w:val="22"/>
          <w:szCs w:val="22"/>
        </w:rPr>
        <w:t xml:space="preserve">transmission </w:t>
      </w:r>
      <w:r w:rsidRPr="00F647D4">
        <w:rPr>
          <w:sz w:val="22"/>
          <w:szCs w:val="22"/>
        </w:rPr>
        <w:t xml:space="preserve">service to a community </w:t>
      </w:r>
      <w:r w:rsidR="00B926F0">
        <w:rPr>
          <w:sz w:val="22"/>
          <w:szCs w:val="22"/>
        </w:rPr>
        <w:t xml:space="preserve">that </w:t>
      </w:r>
      <w:r w:rsidR="00B926F0">
        <w:rPr>
          <w:sz w:val="22"/>
          <w:szCs w:val="22"/>
        </w:rPr>
        <w:t xml:space="preserve">comprises </w:t>
      </w:r>
      <w:r w:rsidR="00464DCA">
        <w:rPr>
          <w:sz w:val="22"/>
          <w:szCs w:val="22"/>
        </w:rPr>
        <w:t>over half the population currently served by the station’s signal, vs. less than one percent as is the case now</w:t>
      </w:r>
      <w:r w:rsidRPr="00F647D4">
        <w:rPr>
          <w:sz w:val="22"/>
          <w:szCs w:val="22"/>
        </w:rPr>
        <w:t>.</w:t>
      </w:r>
      <w:r>
        <w:rPr>
          <w:rStyle w:val="FootnoteReference"/>
          <w:sz w:val="22"/>
          <w:szCs w:val="22"/>
        </w:rPr>
        <w:footnoteReference w:id="13"/>
      </w:r>
      <w:r w:rsidRPr="00F647D4">
        <w:rPr>
          <w:sz w:val="22"/>
          <w:szCs w:val="22"/>
        </w:rPr>
        <w:t xml:space="preserve">  </w:t>
      </w:r>
      <w:r w:rsidR="006574A9">
        <w:rPr>
          <w:sz w:val="22"/>
          <w:szCs w:val="22"/>
        </w:rPr>
        <w:t xml:space="preserve">Applicant concludes that </w:t>
      </w:r>
      <w:r w:rsidR="009F3A99">
        <w:rPr>
          <w:sz w:val="22"/>
          <w:szCs w:val="22"/>
        </w:rPr>
        <w:t xml:space="preserve">the </w:t>
      </w:r>
      <w:r w:rsidRPr="006574A9" w:rsidR="006574A9">
        <w:rPr>
          <w:sz w:val="22"/>
          <w:szCs w:val="22"/>
        </w:rPr>
        <w:t xml:space="preserve">proposed change in </w:t>
      </w:r>
      <w:r w:rsidR="006C6D2A">
        <w:rPr>
          <w:sz w:val="22"/>
          <w:szCs w:val="22"/>
        </w:rPr>
        <w:t xml:space="preserve">WGHV’s </w:t>
      </w:r>
      <w:r w:rsidRPr="006574A9" w:rsidR="006574A9">
        <w:rPr>
          <w:sz w:val="22"/>
          <w:szCs w:val="22"/>
        </w:rPr>
        <w:t>community of license to</w:t>
      </w:r>
      <w:r w:rsidR="006574A9">
        <w:rPr>
          <w:sz w:val="22"/>
          <w:szCs w:val="22"/>
        </w:rPr>
        <w:t xml:space="preserve"> </w:t>
      </w:r>
      <w:r w:rsidRPr="006574A9" w:rsidR="006574A9">
        <w:rPr>
          <w:sz w:val="22"/>
          <w:szCs w:val="22"/>
        </w:rPr>
        <w:t>Gainesville, Florida, is in the public interest and would be conducive to a “fair, efficient, and</w:t>
      </w:r>
      <w:r w:rsidR="006574A9">
        <w:rPr>
          <w:sz w:val="22"/>
          <w:szCs w:val="22"/>
        </w:rPr>
        <w:t xml:space="preserve"> </w:t>
      </w:r>
      <w:r w:rsidRPr="006574A9" w:rsidR="006574A9">
        <w:rPr>
          <w:sz w:val="22"/>
          <w:szCs w:val="22"/>
        </w:rPr>
        <w:t>equitable distribution of service” under Section 307(b).</w:t>
      </w:r>
      <w:r>
        <w:rPr>
          <w:rStyle w:val="FootnoteReference"/>
          <w:sz w:val="22"/>
          <w:szCs w:val="22"/>
        </w:rPr>
        <w:footnoteReference w:id="14"/>
      </w:r>
    </w:p>
    <w:p w:rsidR="00F647D4" w:rsidP="00554ECE" w14:paraId="2F0BA8E4" w14:textId="77777777">
      <w:pPr>
        <w:tabs>
          <w:tab w:val="left" w:pos="720"/>
          <w:tab w:val="left" w:pos="9270"/>
        </w:tabs>
        <w:ind w:right="-90"/>
        <w:rPr>
          <w:sz w:val="22"/>
          <w:szCs w:val="22"/>
        </w:rPr>
      </w:pPr>
    </w:p>
    <w:p w:rsidR="00041E4F" w:rsidP="00BC3093" w14:paraId="5E28C7B5" w14:textId="7C18E89C">
      <w:pPr>
        <w:ind w:firstLine="720"/>
        <w:rPr>
          <w:color w:val="000000"/>
          <w:sz w:val="22"/>
          <w:szCs w:val="22"/>
        </w:rPr>
      </w:pPr>
      <w:r w:rsidRPr="00A859AE">
        <w:rPr>
          <w:b/>
          <w:sz w:val="22"/>
          <w:szCs w:val="22"/>
        </w:rPr>
        <w:t xml:space="preserve">Discussion.  </w:t>
      </w:r>
      <w:r w:rsidRPr="00BC3093" w:rsidR="00BC3093">
        <w:rPr>
          <w:bCs/>
          <w:sz w:val="22"/>
          <w:szCs w:val="22"/>
        </w:rPr>
        <w:t xml:space="preserve">We </w:t>
      </w:r>
      <w:r w:rsidR="00BE13D1">
        <w:rPr>
          <w:bCs/>
          <w:sz w:val="22"/>
          <w:szCs w:val="22"/>
        </w:rPr>
        <w:t>are not convinced by</w:t>
      </w:r>
      <w:r w:rsidR="00152803">
        <w:rPr>
          <w:bCs/>
          <w:sz w:val="22"/>
          <w:szCs w:val="22"/>
        </w:rPr>
        <w:t xml:space="preserve"> CFEF’s</w:t>
      </w:r>
      <w:r w:rsidR="005D7A71">
        <w:rPr>
          <w:bCs/>
          <w:sz w:val="22"/>
          <w:szCs w:val="22"/>
        </w:rPr>
        <w:t xml:space="preserve"> argument</w:t>
      </w:r>
      <w:r w:rsidRPr="00BC3093" w:rsidR="00BC3093">
        <w:rPr>
          <w:bCs/>
          <w:sz w:val="22"/>
          <w:szCs w:val="22"/>
        </w:rPr>
        <w:t>.</w:t>
      </w:r>
      <w:r w:rsidR="00BC3093">
        <w:rPr>
          <w:bCs/>
          <w:sz w:val="22"/>
          <w:szCs w:val="22"/>
        </w:rPr>
        <w:t xml:space="preserve">  </w:t>
      </w:r>
      <w:r w:rsidRPr="004143EC" w:rsidR="004143EC">
        <w:rPr>
          <w:bCs/>
          <w:sz w:val="22"/>
          <w:szCs w:val="22"/>
        </w:rPr>
        <w:t>Here, there is no change in WHGV’s transmitter site and both the move-in and move-out communities are located within and are presumed to serve the entire</w:t>
      </w:r>
      <w:r w:rsidR="0067254F">
        <w:rPr>
          <w:bCs/>
          <w:sz w:val="22"/>
          <w:szCs w:val="22"/>
        </w:rPr>
        <w:t xml:space="preserve"> </w:t>
      </w:r>
      <w:r w:rsidRPr="004143EC" w:rsidR="004143EC">
        <w:rPr>
          <w:bCs/>
          <w:sz w:val="22"/>
          <w:szCs w:val="22"/>
        </w:rPr>
        <w:t>Gainesville UA.</w:t>
      </w:r>
      <w:r w:rsidR="004143EC">
        <w:rPr>
          <w:bCs/>
          <w:sz w:val="22"/>
          <w:szCs w:val="22"/>
        </w:rPr>
        <w:t xml:space="preserve">  </w:t>
      </w:r>
      <w:r w:rsidRPr="00A859AE">
        <w:rPr>
          <w:sz w:val="22"/>
          <w:szCs w:val="22"/>
        </w:rPr>
        <w:t xml:space="preserve">Under Priority </w:t>
      </w:r>
      <w:r>
        <w:rPr>
          <w:sz w:val="22"/>
          <w:szCs w:val="22"/>
        </w:rPr>
        <w:t>(</w:t>
      </w:r>
      <w:r w:rsidRPr="00A859AE">
        <w:rPr>
          <w:sz w:val="22"/>
          <w:szCs w:val="22"/>
        </w:rPr>
        <w:t>4</w:t>
      </w:r>
      <w:r>
        <w:rPr>
          <w:sz w:val="22"/>
          <w:szCs w:val="22"/>
        </w:rPr>
        <w:t>)</w:t>
      </w:r>
      <w:r w:rsidRPr="00A859AE">
        <w:rPr>
          <w:sz w:val="22"/>
          <w:szCs w:val="22"/>
        </w:rPr>
        <w:t xml:space="preserve">, we may take into account </w:t>
      </w:r>
      <w:r w:rsidRPr="00A859AE">
        <w:rPr>
          <w:color w:val="000000"/>
          <w:sz w:val="22"/>
          <w:szCs w:val="22"/>
        </w:rPr>
        <w:t>the number of aural services received in the proposed service area, the number of local services, the need for or lack of public radio service and other matters relevant to the public interest such as the relative size of the proposed communities and their growth rate.</w:t>
      </w:r>
      <w:r>
        <w:rPr>
          <w:rStyle w:val="FootnoteReference"/>
          <w:color w:val="000000"/>
          <w:sz w:val="22"/>
          <w:szCs w:val="22"/>
        </w:rPr>
        <w:footnoteReference w:id="15"/>
      </w:r>
      <w:r>
        <w:rPr>
          <w:color w:val="000000"/>
          <w:sz w:val="22"/>
          <w:szCs w:val="22"/>
        </w:rPr>
        <w:t xml:space="preserve">  </w:t>
      </w:r>
      <w:r w:rsidR="0039558B">
        <w:rPr>
          <w:color w:val="000000"/>
          <w:sz w:val="22"/>
          <w:szCs w:val="22"/>
        </w:rPr>
        <w:t>However, given that CFEF proposes an intra-urbanized</w:t>
      </w:r>
      <w:r w:rsidR="0082756B">
        <w:rPr>
          <w:color w:val="000000"/>
          <w:sz w:val="22"/>
          <w:szCs w:val="22"/>
        </w:rPr>
        <w:t xml:space="preserve"> area move with no change in technical facilities, </w:t>
      </w:r>
      <w:r w:rsidR="001965A4">
        <w:rPr>
          <w:color w:val="000000"/>
          <w:sz w:val="22"/>
          <w:szCs w:val="22"/>
        </w:rPr>
        <w:t xml:space="preserve">comparisons between the </w:t>
      </w:r>
      <w:r w:rsidR="00B63591">
        <w:rPr>
          <w:color w:val="000000"/>
          <w:sz w:val="22"/>
          <w:szCs w:val="22"/>
        </w:rPr>
        <w:t>current and proposed WHGV facility become meaningless.</w:t>
      </w:r>
    </w:p>
    <w:p w:rsidR="00041E4F" w:rsidP="00BC3093" w14:paraId="6C34AE5E" w14:textId="77777777">
      <w:pPr>
        <w:ind w:firstLine="720"/>
        <w:rPr>
          <w:color w:val="000000"/>
          <w:sz w:val="22"/>
          <w:szCs w:val="22"/>
        </w:rPr>
      </w:pPr>
    </w:p>
    <w:p w:rsidR="00BC3093" w:rsidP="00BC3093" w14:paraId="365C7D02" w14:textId="47EE9189">
      <w:pPr>
        <w:ind w:firstLine="720"/>
        <w:rPr>
          <w:sz w:val="22"/>
          <w:szCs w:val="22"/>
        </w:rPr>
      </w:pPr>
      <w:r>
        <w:rPr>
          <w:sz w:val="22"/>
          <w:szCs w:val="22"/>
        </w:rPr>
        <w:t xml:space="preserve">We disagree with </w:t>
      </w:r>
      <w:r w:rsidR="00376DD0">
        <w:rPr>
          <w:sz w:val="22"/>
          <w:szCs w:val="22"/>
        </w:rPr>
        <w:t xml:space="preserve">CFEF’s </w:t>
      </w:r>
      <w:r>
        <w:rPr>
          <w:sz w:val="22"/>
          <w:szCs w:val="22"/>
        </w:rPr>
        <w:t xml:space="preserve">claim that its community of license proposal </w:t>
      </w:r>
      <w:r w:rsidR="00AC75D5">
        <w:rPr>
          <w:sz w:val="22"/>
          <w:szCs w:val="22"/>
        </w:rPr>
        <w:t>serves</w:t>
      </w:r>
      <w:r>
        <w:rPr>
          <w:sz w:val="22"/>
          <w:szCs w:val="22"/>
        </w:rPr>
        <w:t xml:space="preserve"> the public interest under Priority (4) because it would </w:t>
      </w:r>
      <w:r w:rsidR="00FA5266">
        <w:rPr>
          <w:sz w:val="22"/>
          <w:szCs w:val="22"/>
        </w:rPr>
        <w:t>“</w:t>
      </w:r>
      <w:r w:rsidR="00FA5266">
        <w:rPr>
          <w:sz w:val="23"/>
          <w:szCs w:val="23"/>
        </w:rPr>
        <w:t>incentivize WHGV to serve the larger service area already reached by its signal</w:t>
      </w:r>
      <w:r w:rsidR="008E13FE">
        <w:rPr>
          <w:sz w:val="23"/>
          <w:szCs w:val="23"/>
        </w:rPr>
        <w:t>.”</w:t>
      </w:r>
      <w:r>
        <w:rPr>
          <w:rStyle w:val="FootnoteReference"/>
          <w:sz w:val="23"/>
          <w:szCs w:val="23"/>
        </w:rPr>
        <w:footnoteReference w:id="16"/>
      </w:r>
      <w:r w:rsidR="008E13FE">
        <w:rPr>
          <w:sz w:val="23"/>
          <w:szCs w:val="23"/>
        </w:rPr>
        <w:t xml:space="preserve"> </w:t>
      </w:r>
      <w:r w:rsidR="006E07EA">
        <w:rPr>
          <w:sz w:val="23"/>
          <w:szCs w:val="23"/>
        </w:rPr>
        <w:t xml:space="preserve"> First, CFEF attempts to have it both ways with regard to the UASP</w:t>
      </w:r>
      <w:r w:rsidR="00563892">
        <w:rPr>
          <w:sz w:val="23"/>
          <w:szCs w:val="23"/>
        </w:rPr>
        <w:t xml:space="preserve">, which among other things allows an applicant like CFEF to propose removing the sole local service </w:t>
      </w:r>
      <w:r w:rsidR="00C17504">
        <w:rPr>
          <w:sz w:val="23"/>
          <w:szCs w:val="23"/>
        </w:rPr>
        <w:t>from a community such as La Crosse, because</w:t>
      </w:r>
      <w:r w:rsidR="00EC64A5">
        <w:rPr>
          <w:sz w:val="23"/>
          <w:szCs w:val="23"/>
        </w:rPr>
        <w:t xml:space="preserve"> a station licensed at La Crosse</w:t>
      </w:r>
      <w:r w:rsidR="00353690">
        <w:rPr>
          <w:sz w:val="23"/>
          <w:szCs w:val="23"/>
        </w:rPr>
        <w:t xml:space="preserve">, </w:t>
      </w:r>
      <w:r w:rsidR="00EC64A5">
        <w:rPr>
          <w:sz w:val="23"/>
          <w:szCs w:val="23"/>
        </w:rPr>
        <w:t>in the Gainesville U</w:t>
      </w:r>
      <w:r w:rsidR="00353690">
        <w:rPr>
          <w:sz w:val="23"/>
          <w:szCs w:val="23"/>
        </w:rPr>
        <w:t>A,</w:t>
      </w:r>
      <w:r w:rsidR="00EC64A5">
        <w:rPr>
          <w:sz w:val="23"/>
          <w:szCs w:val="23"/>
        </w:rPr>
        <w:t xml:space="preserve"> is presumed to serve the entire Gainesville UA.</w:t>
      </w:r>
      <w:r>
        <w:rPr>
          <w:rStyle w:val="FootnoteReference"/>
          <w:sz w:val="23"/>
          <w:szCs w:val="23"/>
        </w:rPr>
        <w:footnoteReference w:id="17"/>
      </w:r>
      <w:r w:rsidR="00EC64A5">
        <w:rPr>
          <w:sz w:val="23"/>
          <w:szCs w:val="23"/>
        </w:rPr>
        <w:t xml:space="preserve">  </w:t>
      </w:r>
      <w:r w:rsidR="00F555A4">
        <w:rPr>
          <w:sz w:val="23"/>
          <w:szCs w:val="23"/>
        </w:rPr>
        <w:t xml:space="preserve">Having correctly noted the application of the UASP to WHGV, </w:t>
      </w:r>
      <w:r w:rsidR="00C8370D">
        <w:rPr>
          <w:sz w:val="23"/>
          <w:szCs w:val="23"/>
        </w:rPr>
        <w:t xml:space="preserve">CFEF then contends that the move represents a preferential arrangement of allotments because it would “incentivize” </w:t>
      </w:r>
      <w:r w:rsidR="00A34FA5">
        <w:rPr>
          <w:sz w:val="23"/>
          <w:szCs w:val="23"/>
        </w:rPr>
        <w:t xml:space="preserve">CFEF to serve Gainesville over La Crosse.  </w:t>
      </w:r>
      <w:r w:rsidR="00251CD1">
        <w:rPr>
          <w:sz w:val="23"/>
          <w:szCs w:val="23"/>
        </w:rPr>
        <w:t>CFEF cannot have it both ways.  Either WHGV</w:t>
      </w:r>
      <w:r w:rsidR="00567F6B">
        <w:rPr>
          <w:sz w:val="23"/>
          <w:szCs w:val="23"/>
        </w:rPr>
        <w:t>—whether licensed at La Crosse or Gainesville—serves the entire Gainesville UA, in which case</w:t>
      </w:r>
      <w:r w:rsidR="000D65FA">
        <w:rPr>
          <w:sz w:val="23"/>
          <w:szCs w:val="23"/>
        </w:rPr>
        <w:t xml:space="preserve"> </w:t>
      </w:r>
      <w:r w:rsidR="007E6112">
        <w:rPr>
          <w:sz w:val="23"/>
          <w:szCs w:val="23"/>
        </w:rPr>
        <w:t>the station’s</w:t>
      </w:r>
      <w:r w:rsidR="000D65FA">
        <w:rPr>
          <w:sz w:val="23"/>
          <w:szCs w:val="23"/>
        </w:rPr>
        <w:t xml:space="preserve"> community of license is irrelevant</w:t>
      </w:r>
      <w:r w:rsidR="007E6112">
        <w:rPr>
          <w:sz w:val="23"/>
          <w:szCs w:val="23"/>
        </w:rPr>
        <w:t xml:space="preserve"> to its service</w:t>
      </w:r>
      <w:r w:rsidR="000D65FA">
        <w:rPr>
          <w:sz w:val="23"/>
          <w:szCs w:val="23"/>
        </w:rPr>
        <w:t xml:space="preserve">, or </w:t>
      </w:r>
      <w:r w:rsidR="009B6792">
        <w:rPr>
          <w:sz w:val="23"/>
          <w:szCs w:val="23"/>
        </w:rPr>
        <w:t>the proposed change treats Gainesville and La Crosse as separate communities, in which case Commission policy favors retaining the sole local service at La Crosse.</w:t>
      </w:r>
      <w:r>
        <w:rPr>
          <w:rStyle w:val="FootnoteReference"/>
          <w:sz w:val="23"/>
          <w:szCs w:val="23"/>
        </w:rPr>
        <w:footnoteReference w:id="18"/>
      </w:r>
      <w:r w:rsidR="00FF1540">
        <w:rPr>
          <w:sz w:val="23"/>
          <w:szCs w:val="23"/>
        </w:rPr>
        <w:t xml:space="preserve">  </w:t>
      </w:r>
      <w:r w:rsidR="008E13FE">
        <w:rPr>
          <w:sz w:val="23"/>
          <w:szCs w:val="23"/>
        </w:rPr>
        <w:t xml:space="preserve"> </w:t>
      </w:r>
    </w:p>
    <w:p w:rsidR="00041E4F" w:rsidP="00BC3093" w14:paraId="22F14280" w14:textId="77777777">
      <w:pPr>
        <w:ind w:firstLine="720"/>
        <w:rPr>
          <w:sz w:val="22"/>
          <w:szCs w:val="22"/>
        </w:rPr>
      </w:pPr>
    </w:p>
    <w:p w:rsidR="00554ECE" w:rsidP="00554ECE" w14:paraId="24E83AA4" w14:textId="57230D83">
      <w:pPr>
        <w:rPr>
          <w:sz w:val="22"/>
          <w:szCs w:val="22"/>
        </w:rPr>
      </w:pPr>
      <w:r>
        <w:tab/>
      </w:r>
      <w:r>
        <w:rPr>
          <w:sz w:val="22"/>
          <w:szCs w:val="22"/>
        </w:rPr>
        <w:t xml:space="preserve">Second, </w:t>
      </w:r>
      <w:r w:rsidR="00A2424D">
        <w:rPr>
          <w:sz w:val="22"/>
          <w:szCs w:val="22"/>
        </w:rPr>
        <w:t xml:space="preserve">CFEF cites to no precedent, nor do we know of any, </w:t>
      </w:r>
      <w:r w:rsidR="00160D1C">
        <w:rPr>
          <w:sz w:val="22"/>
          <w:szCs w:val="22"/>
        </w:rPr>
        <w:t>standing for the proposition that “incentivizing” the coverage</w:t>
      </w:r>
      <w:r w:rsidR="00756A18">
        <w:rPr>
          <w:sz w:val="22"/>
          <w:szCs w:val="22"/>
        </w:rPr>
        <w:t xml:space="preserve"> of a different community in an </w:t>
      </w:r>
      <w:r w:rsidR="006369CE">
        <w:rPr>
          <w:sz w:val="22"/>
          <w:szCs w:val="22"/>
        </w:rPr>
        <w:t>u</w:t>
      </w:r>
      <w:r w:rsidR="00756A18">
        <w:rPr>
          <w:sz w:val="22"/>
          <w:szCs w:val="22"/>
        </w:rPr>
        <w:t xml:space="preserve">rbanized </w:t>
      </w:r>
      <w:r w:rsidR="006369CE">
        <w:rPr>
          <w:sz w:val="22"/>
          <w:szCs w:val="22"/>
        </w:rPr>
        <w:t>a</w:t>
      </w:r>
      <w:r w:rsidR="00756A18">
        <w:rPr>
          <w:sz w:val="22"/>
          <w:szCs w:val="22"/>
        </w:rPr>
        <w:t xml:space="preserve">rea equals a preferential arrangement of allotments, especially where, as here, the </w:t>
      </w:r>
      <w:r w:rsidR="004877B6">
        <w:rPr>
          <w:sz w:val="22"/>
          <w:szCs w:val="22"/>
        </w:rPr>
        <w:t>station’s technical facilities</w:t>
      </w:r>
      <w:r w:rsidR="00756A18">
        <w:rPr>
          <w:sz w:val="22"/>
          <w:szCs w:val="22"/>
        </w:rPr>
        <w:t xml:space="preserve"> would not change.</w:t>
      </w:r>
      <w:r>
        <w:rPr>
          <w:rStyle w:val="FootnoteReference"/>
          <w:sz w:val="23"/>
          <w:szCs w:val="23"/>
        </w:rPr>
        <w:footnoteReference w:id="19"/>
      </w:r>
      <w:r w:rsidR="00756A18">
        <w:rPr>
          <w:sz w:val="22"/>
          <w:szCs w:val="22"/>
        </w:rPr>
        <w:t xml:space="preserve">  </w:t>
      </w:r>
      <w:r w:rsidR="00B5178C">
        <w:rPr>
          <w:sz w:val="22"/>
          <w:szCs w:val="22"/>
        </w:rPr>
        <w:t>In int</w:t>
      </w:r>
      <w:r w:rsidR="00A97DFF">
        <w:rPr>
          <w:sz w:val="22"/>
          <w:szCs w:val="22"/>
        </w:rPr>
        <w:t>ra</w:t>
      </w:r>
      <w:r w:rsidR="00B5178C">
        <w:rPr>
          <w:sz w:val="22"/>
          <w:szCs w:val="22"/>
        </w:rPr>
        <w:t xml:space="preserve">-urbanized area cases where we have found such </w:t>
      </w:r>
      <w:r w:rsidR="003523DB">
        <w:rPr>
          <w:sz w:val="22"/>
          <w:szCs w:val="22"/>
        </w:rPr>
        <w:t>a preferential arrangement of allotments, there has been some actual service improvement</w:t>
      </w:r>
      <w:r w:rsidR="00E4035F">
        <w:rPr>
          <w:sz w:val="22"/>
          <w:szCs w:val="22"/>
        </w:rPr>
        <w:t xml:space="preserve"> under P</w:t>
      </w:r>
      <w:r w:rsidR="00341A9E">
        <w:rPr>
          <w:sz w:val="22"/>
          <w:szCs w:val="22"/>
        </w:rPr>
        <w:t>riority (4), principally</w:t>
      </w:r>
      <w:r w:rsidR="003523DB">
        <w:rPr>
          <w:sz w:val="22"/>
          <w:szCs w:val="22"/>
        </w:rPr>
        <w:t xml:space="preserve"> </w:t>
      </w:r>
      <w:r w:rsidR="00EF220A">
        <w:rPr>
          <w:sz w:val="22"/>
          <w:szCs w:val="22"/>
        </w:rPr>
        <w:t>greater population coverage</w:t>
      </w:r>
      <w:r w:rsidR="00341A9E">
        <w:rPr>
          <w:sz w:val="22"/>
          <w:szCs w:val="22"/>
        </w:rPr>
        <w:t>.</w:t>
      </w:r>
      <w:r>
        <w:rPr>
          <w:rStyle w:val="FootnoteReference"/>
          <w:sz w:val="22"/>
          <w:szCs w:val="22"/>
        </w:rPr>
        <w:footnoteReference w:id="20"/>
      </w:r>
      <w:r w:rsidR="00EF220A">
        <w:rPr>
          <w:sz w:val="22"/>
          <w:szCs w:val="22"/>
        </w:rPr>
        <w:t xml:space="preserve">  </w:t>
      </w:r>
      <w:r w:rsidR="006A7653">
        <w:rPr>
          <w:sz w:val="22"/>
          <w:szCs w:val="22"/>
        </w:rPr>
        <w:t xml:space="preserve">The mere desire to concentrate a station’s </w:t>
      </w:r>
      <w:r w:rsidR="00542FA0">
        <w:rPr>
          <w:sz w:val="22"/>
          <w:szCs w:val="22"/>
        </w:rPr>
        <w:t>programming</w:t>
      </w:r>
      <w:r w:rsidR="006A7653">
        <w:rPr>
          <w:sz w:val="22"/>
          <w:szCs w:val="22"/>
        </w:rPr>
        <w:t xml:space="preserve"> on one community in an </w:t>
      </w:r>
      <w:r w:rsidR="00390F05">
        <w:rPr>
          <w:sz w:val="22"/>
          <w:szCs w:val="22"/>
        </w:rPr>
        <w:t>u</w:t>
      </w:r>
      <w:r w:rsidR="006A7653">
        <w:rPr>
          <w:sz w:val="22"/>
          <w:szCs w:val="22"/>
        </w:rPr>
        <w:t xml:space="preserve">rbanized </w:t>
      </w:r>
      <w:r w:rsidR="00390F05">
        <w:rPr>
          <w:sz w:val="22"/>
          <w:szCs w:val="22"/>
        </w:rPr>
        <w:t>a</w:t>
      </w:r>
      <w:r w:rsidR="006A7653">
        <w:rPr>
          <w:sz w:val="22"/>
          <w:szCs w:val="22"/>
        </w:rPr>
        <w:t xml:space="preserve">rea over another, without more, does not </w:t>
      </w:r>
      <w:r w:rsidR="008E20DC">
        <w:rPr>
          <w:sz w:val="22"/>
          <w:szCs w:val="22"/>
        </w:rPr>
        <w:t>satisfy this criterion.</w:t>
      </w:r>
      <w:r>
        <w:rPr>
          <w:rStyle w:val="FootnoteReference"/>
          <w:sz w:val="22"/>
          <w:szCs w:val="22"/>
        </w:rPr>
        <w:footnoteReference w:id="21"/>
      </w:r>
    </w:p>
    <w:p w:rsidR="008E20DC" w:rsidRPr="00BD1038" w:rsidP="00554ECE" w14:paraId="48E9E46C" w14:textId="77777777">
      <w:pPr>
        <w:rPr>
          <w:sz w:val="22"/>
          <w:szCs w:val="22"/>
        </w:rPr>
      </w:pPr>
    </w:p>
    <w:p w:rsidR="00204CE3" w:rsidRPr="00BF2F35" w:rsidP="00577E50" w14:paraId="27870D4F" w14:textId="2A859B90">
      <w:pPr>
        <w:tabs>
          <w:tab w:val="left" w:pos="720"/>
          <w:tab w:val="left" w:pos="1440"/>
          <w:tab w:val="left" w:pos="2270"/>
        </w:tabs>
        <w:rPr>
          <w:sz w:val="22"/>
          <w:szCs w:val="22"/>
        </w:rPr>
      </w:pPr>
      <w:r>
        <w:rPr>
          <w:sz w:val="22"/>
          <w:szCs w:val="22"/>
        </w:rPr>
        <w:tab/>
      </w:r>
      <w:r w:rsidRPr="00554ECE">
        <w:rPr>
          <w:b/>
          <w:bCs/>
          <w:sz w:val="22"/>
          <w:szCs w:val="22"/>
        </w:rPr>
        <w:t>Conclusion</w:t>
      </w:r>
      <w:r w:rsidRPr="00BF2F35">
        <w:rPr>
          <w:b/>
          <w:bCs/>
          <w:sz w:val="22"/>
          <w:szCs w:val="22"/>
        </w:rPr>
        <w:t>.</w:t>
      </w:r>
      <w:r w:rsidRPr="00BF2F35" w:rsidR="00577E50">
        <w:rPr>
          <w:b/>
          <w:bCs/>
          <w:sz w:val="22"/>
          <w:szCs w:val="22"/>
        </w:rPr>
        <w:t xml:space="preserve">  </w:t>
      </w:r>
      <w:r w:rsidRPr="00793C3F" w:rsidR="00BF2F35">
        <w:rPr>
          <w:sz w:val="22"/>
          <w:szCs w:val="22"/>
        </w:rPr>
        <w:t xml:space="preserve">CFEF’s Application, as submitted, </w:t>
      </w:r>
      <w:r w:rsidR="00BF2F35">
        <w:rPr>
          <w:sz w:val="22"/>
          <w:szCs w:val="22"/>
        </w:rPr>
        <w:t>seeks</w:t>
      </w:r>
      <w:r w:rsidRPr="00793C3F" w:rsidR="00BF2F35">
        <w:rPr>
          <w:sz w:val="22"/>
          <w:szCs w:val="22"/>
        </w:rPr>
        <w:t xml:space="preserve"> nothing more than to place a new label on an FM facility that would serve exactly the same area and population as it does currently.  The mere re-designation of a facility as representing a different community of license, without more, does not present us with a preferential arrangement of allotments.  We therefore find that the Application as submitted fails to comply with section 73.3573(g)(1) of our rules.</w:t>
      </w:r>
      <w:r>
        <w:rPr>
          <w:rStyle w:val="FootnoteReference"/>
          <w:sz w:val="22"/>
          <w:szCs w:val="22"/>
        </w:rPr>
        <w:footnoteReference w:id="22"/>
      </w:r>
    </w:p>
    <w:p w:rsidR="00554ECE" w:rsidRPr="00BF2F35" w14:paraId="21236324" w14:textId="77777777">
      <w:pPr>
        <w:rPr>
          <w:b/>
          <w:bCs/>
          <w:sz w:val="22"/>
          <w:szCs w:val="22"/>
        </w:rPr>
      </w:pPr>
    </w:p>
    <w:p w:rsidR="00554ECE" w:rsidP="00554ECE" w14:paraId="3AEF294C" w14:textId="524A72BF">
      <w:pPr>
        <w:rPr>
          <w:sz w:val="22"/>
          <w:szCs w:val="22"/>
        </w:rPr>
      </w:pPr>
      <w:r>
        <w:rPr>
          <w:b/>
          <w:bCs/>
          <w:sz w:val="22"/>
          <w:szCs w:val="22"/>
        </w:rPr>
        <w:tab/>
      </w:r>
      <w:r w:rsidRPr="00554ECE">
        <w:rPr>
          <w:sz w:val="22"/>
          <w:szCs w:val="22"/>
        </w:rPr>
        <w:t xml:space="preserve">Pursuant to </w:t>
      </w:r>
      <w:r w:rsidR="00022296">
        <w:rPr>
          <w:sz w:val="22"/>
          <w:szCs w:val="22"/>
        </w:rPr>
        <w:t>section</w:t>
      </w:r>
      <w:r w:rsidRPr="00554ECE">
        <w:rPr>
          <w:sz w:val="22"/>
          <w:szCs w:val="22"/>
        </w:rPr>
        <w:t xml:space="preserve"> 73.3522(c)(2)</w:t>
      </w:r>
      <w:r w:rsidR="00022296">
        <w:rPr>
          <w:sz w:val="22"/>
          <w:szCs w:val="22"/>
        </w:rPr>
        <w:t xml:space="preserve"> of our rules</w:t>
      </w:r>
      <w:r w:rsidRPr="00554ECE">
        <w:rPr>
          <w:sz w:val="22"/>
          <w:szCs w:val="22"/>
        </w:rPr>
        <w:t xml:space="preserve">, </w:t>
      </w:r>
      <w:r w:rsidR="00022296">
        <w:rPr>
          <w:sz w:val="22"/>
          <w:szCs w:val="22"/>
        </w:rPr>
        <w:t>“</w:t>
      </w:r>
      <w:r w:rsidRPr="00554ECE">
        <w:rPr>
          <w:sz w:val="22"/>
          <w:szCs w:val="22"/>
        </w:rPr>
        <w:t xml:space="preserve">an applicant whose application is found to meet the minimum filing requirements but nevertheless is not complete and acceptable shall have the opportunity in the 30-day period specified in the FCC staff's deficiency letter to correct all deficiencies in the </w:t>
      </w:r>
      <w:r w:rsidRPr="00554ECE">
        <w:rPr>
          <w:sz w:val="22"/>
          <w:szCs w:val="22"/>
        </w:rPr>
        <w:t>tenderability</w:t>
      </w:r>
      <w:r w:rsidRPr="00554ECE">
        <w:rPr>
          <w:sz w:val="22"/>
          <w:szCs w:val="22"/>
        </w:rPr>
        <w:t xml:space="preserve"> and acceptability of the underlying application, including any deficiency not specifically identified by the staff.</w:t>
      </w:r>
      <w:r w:rsidR="00022296">
        <w:rPr>
          <w:sz w:val="22"/>
          <w:szCs w:val="22"/>
        </w:rPr>
        <w:t>”</w:t>
      </w:r>
      <w:r>
        <w:rPr>
          <w:rStyle w:val="FootnoteReference"/>
          <w:sz w:val="22"/>
          <w:szCs w:val="22"/>
        </w:rPr>
        <w:footnoteReference w:id="23"/>
      </w:r>
      <w:r w:rsidRPr="00554ECE">
        <w:rPr>
          <w:sz w:val="22"/>
          <w:szCs w:val="22"/>
        </w:rPr>
        <w:t xml:space="preserve">  Additionally, </w:t>
      </w:r>
      <w:r w:rsidR="007A7858">
        <w:rPr>
          <w:sz w:val="22"/>
          <w:szCs w:val="22"/>
        </w:rPr>
        <w:t>section</w:t>
      </w:r>
      <w:r w:rsidRPr="00554ECE">
        <w:rPr>
          <w:sz w:val="22"/>
          <w:szCs w:val="22"/>
        </w:rPr>
        <w:t xml:space="preserve"> 73.3564 states that </w:t>
      </w:r>
      <w:r w:rsidR="007A7858">
        <w:rPr>
          <w:sz w:val="22"/>
          <w:szCs w:val="22"/>
        </w:rPr>
        <w:t>“</w:t>
      </w:r>
      <w:r w:rsidRPr="00554ECE">
        <w:rPr>
          <w:sz w:val="22"/>
          <w:szCs w:val="22"/>
        </w:rPr>
        <w:t>[a]</w:t>
      </w:r>
      <w:r w:rsidRPr="00554ECE" w:rsidR="006E5078">
        <w:rPr>
          <w:sz w:val="22"/>
          <w:szCs w:val="22"/>
        </w:rPr>
        <w:t>pplications</w:t>
      </w:r>
      <w:r w:rsidRPr="00554ECE">
        <w:rPr>
          <w:sz w:val="22"/>
          <w:szCs w:val="22"/>
        </w:rPr>
        <w:t xml:space="preserve"> with uncorrected tender and/or acceptance defects remaining after the opportunity for corrective amendment will be dismissed </w:t>
      </w:r>
      <w:r w:rsidRPr="00554ECE">
        <w:rPr>
          <w:sz w:val="22"/>
          <w:szCs w:val="22"/>
        </w:rPr>
        <w:t>with no further opportunity for amendment.</w:t>
      </w:r>
      <w:r w:rsidR="007A7858">
        <w:rPr>
          <w:sz w:val="22"/>
          <w:szCs w:val="22"/>
        </w:rPr>
        <w:t>”</w:t>
      </w:r>
      <w:r>
        <w:rPr>
          <w:rStyle w:val="FootnoteReference"/>
          <w:sz w:val="22"/>
          <w:szCs w:val="22"/>
        </w:rPr>
        <w:footnoteReference w:id="24"/>
      </w:r>
      <w:r w:rsidRPr="00554ECE">
        <w:rPr>
          <w:sz w:val="22"/>
          <w:szCs w:val="22"/>
        </w:rPr>
        <w:t xml:space="preserve">  This letter constitutes your opportunity for corrective amendment pursuant to </w:t>
      </w:r>
      <w:r w:rsidR="00046B62">
        <w:rPr>
          <w:sz w:val="22"/>
          <w:szCs w:val="22"/>
        </w:rPr>
        <w:t>section</w:t>
      </w:r>
      <w:r w:rsidRPr="00554ECE">
        <w:rPr>
          <w:sz w:val="22"/>
          <w:szCs w:val="22"/>
        </w:rPr>
        <w:t xml:space="preserve"> 73.3522.</w:t>
      </w:r>
    </w:p>
    <w:p w:rsidR="00CE29F9" w:rsidRPr="00554ECE" w:rsidP="00554ECE" w14:paraId="396B64B1" w14:textId="77777777">
      <w:pPr>
        <w:rPr>
          <w:sz w:val="22"/>
          <w:szCs w:val="22"/>
        </w:rPr>
      </w:pPr>
    </w:p>
    <w:p w:rsidR="00554ECE" w:rsidP="00554ECE" w14:paraId="264C1C69" w14:textId="31201089">
      <w:pPr>
        <w:ind w:firstLine="720"/>
        <w:rPr>
          <w:sz w:val="22"/>
          <w:szCs w:val="22"/>
        </w:rPr>
      </w:pPr>
      <w:r w:rsidRPr="00554ECE">
        <w:rPr>
          <w:sz w:val="22"/>
          <w:szCs w:val="22"/>
        </w:rPr>
        <w:t xml:space="preserve">Further action on the subject application will be withheld for a period of thirty days from the date of this letter to provide the applicant an opportunity to respond.  Failure to correct all tender and acceptance defects within thirty days from the date of this letter will result in the dismissal of the application with no further opportunity for corrective amendment pursuant to </w:t>
      </w:r>
      <w:r w:rsidR="00321F4E">
        <w:rPr>
          <w:sz w:val="22"/>
          <w:szCs w:val="22"/>
        </w:rPr>
        <w:t>section</w:t>
      </w:r>
      <w:r w:rsidRPr="00554ECE">
        <w:rPr>
          <w:sz w:val="22"/>
          <w:szCs w:val="22"/>
        </w:rPr>
        <w:t xml:space="preserve"> 73.3564(a)(3).</w:t>
      </w:r>
      <w:r>
        <w:rPr>
          <w:rStyle w:val="FootnoteReference"/>
          <w:sz w:val="22"/>
          <w:szCs w:val="22"/>
        </w:rPr>
        <w:footnoteReference w:id="25"/>
      </w:r>
      <w:r w:rsidRPr="00554ECE">
        <w:rPr>
          <w:sz w:val="22"/>
          <w:szCs w:val="22"/>
        </w:rPr>
        <w:t xml:space="preserve">  Furthermore, failure to respond within 30 days will result in the dismissal of the application pursuant to </w:t>
      </w:r>
      <w:r w:rsidR="00321F4E">
        <w:rPr>
          <w:sz w:val="22"/>
          <w:szCs w:val="22"/>
        </w:rPr>
        <w:t>section</w:t>
      </w:r>
      <w:r w:rsidRPr="00554ECE">
        <w:rPr>
          <w:sz w:val="22"/>
          <w:szCs w:val="22"/>
        </w:rPr>
        <w:t xml:space="preserve"> 73.3568.</w:t>
      </w:r>
      <w:r>
        <w:rPr>
          <w:rStyle w:val="FootnoteReference"/>
          <w:sz w:val="22"/>
          <w:szCs w:val="22"/>
        </w:rPr>
        <w:footnoteReference w:id="26"/>
      </w:r>
    </w:p>
    <w:p w:rsidR="00554ECE" w:rsidP="00554ECE" w14:paraId="33C141EF" w14:textId="77777777">
      <w:pPr>
        <w:tabs>
          <w:tab w:val="left" w:pos="9270"/>
        </w:tabs>
        <w:ind w:right="-90" w:firstLine="720"/>
        <w:rPr>
          <w:sz w:val="22"/>
          <w:szCs w:val="22"/>
        </w:rPr>
      </w:pPr>
    </w:p>
    <w:p w:rsidR="00554ECE" w:rsidRPr="004F346E" w:rsidP="00554ECE" w14:paraId="180B4139" w14:textId="77777777">
      <w:pPr>
        <w:rPr>
          <w:sz w:val="22"/>
          <w:szCs w:val="22"/>
        </w:rPr>
      </w:pPr>
      <w:r>
        <w:rPr>
          <w:sz w:val="22"/>
          <w:szCs w:val="22"/>
        </w:rPr>
        <w:t xml:space="preserve">  </w:t>
      </w:r>
      <w:r w:rsidRPr="004F346E">
        <w:rPr>
          <w:sz w:val="22"/>
          <w:szCs w:val="22"/>
        </w:rPr>
        <w:tab/>
      </w:r>
      <w:r w:rsidRPr="004F346E">
        <w:rPr>
          <w:sz w:val="22"/>
          <w:szCs w:val="22"/>
        </w:rPr>
        <w:tab/>
      </w:r>
      <w:r w:rsidRPr="004F346E">
        <w:rPr>
          <w:sz w:val="22"/>
          <w:szCs w:val="22"/>
        </w:rPr>
        <w:tab/>
      </w:r>
      <w:r w:rsidRPr="004F346E">
        <w:rPr>
          <w:sz w:val="22"/>
          <w:szCs w:val="22"/>
        </w:rPr>
        <w:tab/>
      </w:r>
      <w:r w:rsidRPr="004F346E">
        <w:rPr>
          <w:sz w:val="22"/>
          <w:szCs w:val="22"/>
        </w:rPr>
        <w:tab/>
      </w:r>
      <w:r w:rsidRPr="004F346E">
        <w:rPr>
          <w:sz w:val="22"/>
          <w:szCs w:val="22"/>
        </w:rPr>
        <w:tab/>
      </w:r>
      <w:r w:rsidRPr="004F346E">
        <w:rPr>
          <w:sz w:val="22"/>
          <w:szCs w:val="22"/>
        </w:rPr>
        <w:tab/>
      </w:r>
      <w:r w:rsidRPr="004F346E">
        <w:rPr>
          <w:sz w:val="22"/>
          <w:szCs w:val="22"/>
        </w:rPr>
        <w:tab/>
        <w:t>Sincerely,</w:t>
      </w:r>
    </w:p>
    <w:p w:rsidR="00554ECE" w:rsidP="00554ECE" w14:paraId="02D1E18E" w14:textId="77777777">
      <w:pPr>
        <w:ind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54ECE" w:rsidP="00554ECE" w14:paraId="48C6C0C1" w14:textId="77777777">
      <w:pPr>
        <w:ind w:right="-90"/>
        <w:rPr>
          <w:sz w:val="22"/>
          <w:szCs w:val="22"/>
        </w:rPr>
      </w:pPr>
    </w:p>
    <w:p w:rsidR="00554ECE" w:rsidP="00554ECE" w14:paraId="0BDD807D" w14:textId="77777777">
      <w:pPr>
        <w:ind w:right="-90"/>
        <w:rPr>
          <w:sz w:val="22"/>
          <w:szCs w:val="22"/>
        </w:rPr>
      </w:pPr>
    </w:p>
    <w:p w:rsidR="00554ECE" w:rsidP="00554ECE" w14:paraId="4B96F3C1" w14:textId="77777777">
      <w:pPr>
        <w:ind w:right="-90"/>
        <w:rPr>
          <w:sz w:val="22"/>
          <w:szCs w:val="22"/>
        </w:rPr>
      </w:pPr>
      <w:r>
        <w:rPr>
          <w:sz w:val="22"/>
          <w:szCs w:val="22"/>
        </w:rPr>
        <w:tab/>
      </w:r>
      <w:r>
        <w:rPr>
          <w:sz w:val="22"/>
          <w:szCs w:val="22"/>
        </w:rPr>
        <w:tab/>
      </w:r>
      <w:r w:rsidRPr="007C3C55">
        <w:rPr>
          <w:sz w:val="22"/>
          <w:szCs w:val="22"/>
        </w:rPr>
        <w:tab/>
      </w:r>
      <w:r w:rsidRPr="007C3C55">
        <w:rPr>
          <w:sz w:val="22"/>
          <w:szCs w:val="22"/>
        </w:rPr>
        <w:tab/>
      </w:r>
      <w:r w:rsidRPr="007C3C55">
        <w:rPr>
          <w:sz w:val="22"/>
          <w:szCs w:val="22"/>
        </w:rPr>
        <w:tab/>
      </w:r>
      <w:r w:rsidRPr="007C3C55">
        <w:rPr>
          <w:sz w:val="22"/>
          <w:szCs w:val="22"/>
        </w:rPr>
        <w:tab/>
      </w:r>
      <w:r w:rsidRPr="007C3C55">
        <w:rPr>
          <w:sz w:val="22"/>
          <w:szCs w:val="22"/>
        </w:rPr>
        <w:tab/>
      </w:r>
      <w:r w:rsidRPr="007C3C55">
        <w:rPr>
          <w:sz w:val="22"/>
          <w:szCs w:val="22"/>
        </w:rPr>
        <w:tab/>
      </w:r>
      <w:smartTag w:uri="urn:schemas-microsoft-com:office:smarttags" w:element="PersonName">
        <w:r>
          <w:rPr>
            <w:sz w:val="24"/>
            <w:szCs w:val="24"/>
          </w:rPr>
          <w:t>Nazifa Sawez</w:t>
        </w:r>
      </w:smartTag>
      <w:r w:rsidRPr="007C3C55">
        <w:rPr>
          <w:sz w:val="22"/>
          <w:szCs w:val="22"/>
        </w:rPr>
        <w:tab/>
      </w:r>
      <w:r w:rsidRPr="007C3C55">
        <w:rPr>
          <w:sz w:val="22"/>
          <w:szCs w:val="22"/>
        </w:rPr>
        <w:tab/>
      </w:r>
      <w:r w:rsidRPr="007C3C55">
        <w:rPr>
          <w:sz w:val="22"/>
          <w:szCs w:val="22"/>
        </w:rPr>
        <w:tab/>
      </w:r>
      <w:r w:rsidRPr="007C3C55">
        <w:rPr>
          <w:sz w:val="22"/>
          <w:szCs w:val="22"/>
        </w:rPr>
        <w:tab/>
      </w:r>
      <w:r w:rsidRPr="007C3C55">
        <w:rPr>
          <w:sz w:val="22"/>
          <w:szCs w:val="22"/>
        </w:rPr>
        <w:tab/>
      </w:r>
      <w:r w:rsidRPr="007C3C55">
        <w:rPr>
          <w:sz w:val="22"/>
          <w:szCs w:val="22"/>
        </w:rPr>
        <w:tab/>
      </w:r>
      <w:r w:rsidRPr="007C3C55">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Assistant </w:t>
      </w:r>
      <w:r w:rsidRPr="007C3C55">
        <w:rPr>
          <w:sz w:val="22"/>
          <w:szCs w:val="22"/>
        </w:rPr>
        <w:t>Chief</w:t>
      </w:r>
    </w:p>
    <w:p w:rsidR="00554ECE" w:rsidRPr="007C3C55" w:rsidP="00554ECE" w14:paraId="791223BA" w14:textId="77777777">
      <w:pPr>
        <w:ind w:left="5040" w:right="-90" w:firstLine="720"/>
        <w:rPr>
          <w:sz w:val="22"/>
          <w:szCs w:val="22"/>
        </w:rPr>
      </w:pPr>
      <w:r w:rsidRPr="007C3C55">
        <w:rPr>
          <w:sz w:val="22"/>
          <w:szCs w:val="22"/>
        </w:rPr>
        <w:t>Audio Division</w:t>
      </w:r>
    </w:p>
    <w:p w:rsidR="00554ECE" w:rsidP="00554ECE" w14:paraId="47F196FF" w14:textId="77777777">
      <w:pPr>
        <w:ind w:right="-90"/>
        <w:rPr>
          <w:sz w:val="22"/>
          <w:szCs w:val="22"/>
        </w:rPr>
      </w:pPr>
      <w:r w:rsidRPr="007C3C55">
        <w:rPr>
          <w:sz w:val="22"/>
          <w:szCs w:val="22"/>
        </w:rPr>
        <w:tab/>
      </w:r>
      <w:r w:rsidRPr="007C3C55">
        <w:rPr>
          <w:sz w:val="22"/>
          <w:szCs w:val="22"/>
        </w:rPr>
        <w:tab/>
      </w:r>
      <w:r w:rsidRPr="007C3C55">
        <w:rPr>
          <w:sz w:val="22"/>
          <w:szCs w:val="22"/>
        </w:rPr>
        <w:tab/>
      </w:r>
      <w:r w:rsidRPr="007C3C55">
        <w:rPr>
          <w:sz w:val="22"/>
          <w:szCs w:val="22"/>
        </w:rPr>
        <w:tab/>
      </w:r>
      <w:r w:rsidRPr="007C3C55">
        <w:rPr>
          <w:sz w:val="22"/>
          <w:szCs w:val="22"/>
        </w:rPr>
        <w:tab/>
      </w:r>
      <w:r w:rsidRPr="007C3C55">
        <w:rPr>
          <w:sz w:val="22"/>
          <w:szCs w:val="22"/>
        </w:rPr>
        <w:tab/>
      </w:r>
      <w:r w:rsidRPr="007C3C55">
        <w:rPr>
          <w:sz w:val="22"/>
          <w:szCs w:val="22"/>
        </w:rPr>
        <w:tab/>
      </w:r>
      <w:r w:rsidRPr="007C3C55">
        <w:rPr>
          <w:sz w:val="22"/>
          <w:szCs w:val="22"/>
        </w:rPr>
        <w:tab/>
        <w:t xml:space="preserve">Media Bureau </w:t>
      </w:r>
    </w:p>
    <w:p w:rsidR="006C4738" w:rsidP="00554ECE" w14:paraId="29AC7645" w14:textId="77777777">
      <w:pPr>
        <w:ind w:right="-90"/>
        <w:rPr>
          <w:sz w:val="22"/>
          <w:szCs w:val="22"/>
        </w:rPr>
      </w:pPr>
    </w:p>
    <w:p w:rsidR="006C4738" w:rsidP="00554ECE" w14:paraId="303F2901" w14:textId="0A328A39">
      <w:pPr>
        <w:ind w:right="-90"/>
        <w:rPr>
          <w:sz w:val="22"/>
          <w:szCs w:val="22"/>
        </w:rPr>
      </w:pPr>
      <w:r>
        <w:rPr>
          <w:sz w:val="22"/>
          <w:szCs w:val="22"/>
        </w:rPr>
        <w:t>cc:</w:t>
      </w:r>
      <w:r>
        <w:rPr>
          <w:sz w:val="22"/>
          <w:szCs w:val="22"/>
        </w:rPr>
        <w:tab/>
        <w:t>William J. Getz, Carl T. Jones Corp.</w:t>
      </w:r>
    </w:p>
    <w:p w:rsidR="00554ECE" w:rsidP="00554ECE" w14:paraId="1A3A9B5E" w14:textId="77777777">
      <w:pPr>
        <w:ind w:right="-90"/>
        <w:rPr>
          <w:sz w:val="22"/>
          <w:szCs w:val="22"/>
        </w:rPr>
      </w:pPr>
    </w:p>
    <w:p w:rsidR="00554ECE" w:rsidRPr="00554ECE" w:rsidP="00554ECE" w14:paraId="18D84046" w14:textId="77777777">
      <w:pPr>
        <w:ind w:firstLine="720"/>
        <w:rPr>
          <w:sz w:val="22"/>
          <w:szCs w:val="22"/>
        </w:rPr>
      </w:pPr>
    </w:p>
    <w:sectPr w:rsidSect="00AC4013">
      <w:footerReference w:type="default" r:id="rId6"/>
      <w:headerReference w:type="first" r:id="rId7"/>
      <w:footerReference w:type="first" r:id="rId8"/>
      <w:pgSz w:w="12240" w:h="15840" w:code="1"/>
      <w:pgMar w:top="1987"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rsidP="00D938E8" w14:paraId="5EA6BBAB" w14:textId="7927B635">
    <w:pPr>
      <w:pStyle w:val="Footer"/>
      <w:tabs>
        <w:tab w:val="left" w:pos="395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8E8" w:rsidP="00AC4013" w14:paraId="1957FBEB" w14:textId="34AEA820">
    <w:pPr>
      <w:pStyle w:val="Footer"/>
    </w:pPr>
  </w:p>
  <w:p w:rsidR="001333F1" w14:paraId="4125E1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5215" w14:paraId="30DEDD18" w14:textId="77777777">
      <w:r>
        <w:separator/>
      </w:r>
    </w:p>
  </w:footnote>
  <w:footnote w:type="continuationSeparator" w:id="1">
    <w:p w:rsidR="00AE5215" w14:paraId="29A84B97" w14:textId="77777777">
      <w:r>
        <w:continuationSeparator/>
      </w:r>
    </w:p>
  </w:footnote>
  <w:footnote w:id="2">
    <w:p w:rsidR="00A31440" w14:paraId="32C6E619" w14:textId="5BB2779B">
      <w:pPr>
        <w:pStyle w:val="FootnoteText"/>
      </w:pPr>
      <w:r>
        <w:rPr>
          <w:rStyle w:val="FootnoteReference"/>
        </w:rPr>
        <w:footnoteRef/>
      </w:r>
      <w:r>
        <w:t xml:space="preserve"> </w:t>
      </w:r>
      <w:r w:rsidRPr="004F346E">
        <w:rPr>
          <w:i/>
        </w:rPr>
        <w:t>See</w:t>
      </w:r>
      <w:r>
        <w:rPr>
          <w:i/>
        </w:rPr>
        <w:t xml:space="preserve"> </w:t>
      </w:r>
      <w:r>
        <w:t>47 CFR § 73.3573(g)</w:t>
      </w:r>
      <w:r w:rsidRPr="00542DD9">
        <w:t>.</w:t>
      </w:r>
      <w:r>
        <w:rPr>
          <w:i/>
        </w:rPr>
        <w:t xml:space="preserve">  See also</w:t>
      </w:r>
      <w:r w:rsidRPr="004F346E">
        <w:rPr>
          <w:i/>
        </w:rPr>
        <w:t xml:space="preserve"> Modification of FM and TV Authorizations to Specify a New Community of License, </w:t>
      </w:r>
      <w:r w:rsidRPr="004F346E">
        <w:t xml:space="preserve">Report and Order, 4 FCC </w:t>
      </w:r>
      <w:r w:rsidRPr="004F346E">
        <w:t>Rcd</w:t>
      </w:r>
      <w:r w:rsidRPr="004F346E">
        <w:t xml:space="preserve"> 4870 (1989)</w:t>
      </w:r>
      <w:r w:rsidR="009E371C">
        <w:t xml:space="preserve"> (</w:t>
      </w:r>
      <w:r w:rsidRPr="00793C3F" w:rsidR="009E371C">
        <w:rPr>
          <w:i/>
          <w:iCs/>
        </w:rPr>
        <w:t>Community of License</w:t>
      </w:r>
      <w:r w:rsidR="009E371C">
        <w:t>)</w:t>
      </w:r>
      <w:r w:rsidRPr="004F346E">
        <w:t xml:space="preserve">, </w:t>
      </w:r>
      <w:r w:rsidRPr="004F346E">
        <w:rPr>
          <w:i/>
        </w:rPr>
        <w:t xml:space="preserve">recon. granted in part, </w:t>
      </w:r>
      <w:r w:rsidRPr="004F346E">
        <w:t xml:space="preserve">Memorandum Opinion and Order, 5 FCC </w:t>
      </w:r>
      <w:r w:rsidRPr="004F346E">
        <w:t>Rcd</w:t>
      </w:r>
      <w:r w:rsidRPr="004F346E">
        <w:t xml:space="preserve"> 7094 (1990).</w:t>
      </w:r>
    </w:p>
  </w:footnote>
  <w:footnote w:id="3">
    <w:p w:rsidR="00554ECE" w:rsidRPr="000E6B47" w:rsidP="00554ECE" w14:paraId="7C1E7765" w14:textId="77777777">
      <w:pPr>
        <w:pStyle w:val="FootnoteText"/>
      </w:pPr>
    </w:p>
    <w:p w:rsidR="00554ECE" w:rsidRPr="004F346E" w:rsidP="00554ECE" w14:paraId="37D76B62" w14:textId="49FB5552">
      <w:pPr>
        <w:pStyle w:val="FootnoteText"/>
      </w:pPr>
      <w:r w:rsidRPr="004F346E">
        <w:rPr>
          <w:rStyle w:val="FootnoteReference"/>
        </w:rPr>
        <w:footnoteRef/>
      </w:r>
      <w:r w:rsidRPr="004F346E">
        <w:t xml:space="preserve"> </w:t>
      </w:r>
      <w:r>
        <w:t xml:space="preserve">47 </w:t>
      </w:r>
      <w:r w:rsidR="00036513">
        <w:t>CFR</w:t>
      </w:r>
      <w:r>
        <w:t xml:space="preserve"> § 73.3573(g)</w:t>
      </w:r>
      <w:r w:rsidR="00080D61">
        <w:t>(1)</w:t>
      </w:r>
      <w:r w:rsidRPr="00542DD9">
        <w:t>.</w:t>
      </w:r>
      <w:r>
        <w:rPr>
          <w:i/>
        </w:rPr>
        <w:t xml:space="preserve">  </w:t>
      </w:r>
    </w:p>
  </w:footnote>
  <w:footnote w:id="4">
    <w:p w:rsidR="00554ECE" w:rsidRPr="004F346E" w:rsidP="00554ECE" w14:paraId="5E3F54A8" w14:textId="77777777">
      <w:pPr>
        <w:pStyle w:val="FootnoteText"/>
      </w:pPr>
    </w:p>
    <w:p w:rsidR="00554ECE" w:rsidP="00554ECE" w14:paraId="3E9FAADD" w14:textId="4A050D65">
      <w:pPr>
        <w:pStyle w:val="FootnoteText"/>
      </w:pPr>
      <w:r w:rsidRPr="004F346E">
        <w:rPr>
          <w:rStyle w:val="FootnoteReference"/>
        </w:rPr>
        <w:footnoteRef/>
      </w:r>
      <w:r w:rsidRPr="004F346E">
        <w:t xml:space="preserve"> </w:t>
      </w:r>
      <w:r w:rsidRPr="004F346E">
        <w:rPr>
          <w:i/>
        </w:rPr>
        <w:t xml:space="preserve">Revision of FM Assignment Policies and Procedures, </w:t>
      </w:r>
      <w:r w:rsidRPr="004F346E">
        <w:t>Second Report and Order, 90 F</w:t>
      </w:r>
      <w:r w:rsidR="000D67DD">
        <w:t>.</w:t>
      </w:r>
      <w:r w:rsidRPr="004F346E">
        <w:t>C</w:t>
      </w:r>
      <w:r w:rsidR="000D67DD">
        <w:t>.</w:t>
      </w:r>
      <w:r w:rsidRPr="004F346E">
        <w:t>C</w:t>
      </w:r>
      <w:r w:rsidR="000D67DD">
        <w:t>.</w:t>
      </w:r>
      <w:r w:rsidRPr="004F346E">
        <w:t>2d 88 (198</w:t>
      </w:r>
      <w:r>
        <w:t>2</w:t>
      </w:r>
      <w:r w:rsidRPr="004F346E">
        <w:t>).  The FM allotment priorities are: (1) First fulltime aural service, (2) Second fulltime aural service, (3) First local service and (4) Other public interest matters.  Co-equal weight is given to Priorities (2) and (3).</w:t>
      </w:r>
      <w:r>
        <w:t xml:space="preserve"> </w:t>
      </w:r>
    </w:p>
    <w:p w:rsidR="00554ECE" w:rsidRPr="00A751BF" w:rsidP="00554ECE" w14:paraId="0E6AC777" w14:textId="77777777">
      <w:pPr>
        <w:pStyle w:val="FootnoteText"/>
      </w:pPr>
    </w:p>
  </w:footnote>
  <w:footnote w:id="5">
    <w:p w:rsidR="00E84B02" w14:paraId="50D250FA" w14:textId="74888C19">
      <w:pPr>
        <w:pStyle w:val="FootnoteText"/>
      </w:pPr>
      <w:r>
        <w:rPr>
          <w:rStyle w:val="FootnoteReference"/>
        </w:rPr>
        <w:footnoteRef/>
      </w:r>
      <w:r>
        <w:t xml:space="preserve"> </w:t>
      </w:r>
      <w:r w:rsidR="004F3E26">
        <w:t>CFEF Section 307(b) Showing</w:t>
      </w:r>
      <w:r w:rsidR="00346070">
        <w:t>, attached to Application</w:t>
      </w:r>
      <w:r w:rsidR="00A369DA">
        <w:t>, at 1-2</w:t>
      </w:r>
      <w:r w:rsidR="00346070">
        <w:t>.  CFEF cites</w:t>
      </w:r>
      <w:r w:rsidRPr="001B2238" w:rsidR="004F3E26">
        <w:rPr>
          <w:i/>
          <w:iCs/>
        </w:rPr>
        <w:t xml:space="preserve"> </w:t>
      </w:r>
      <w:r w:rsidRPr="001B2238" w:rsidR="001B2238">
        <w:rPr>
          <w:i/>
          <w:iCs/>
        </w:rPr>
        <w:t>Emmis Austin Radio Broadcasting, L.P., et al</w:t>
      </w:r>
      <w:r w:rsidR="001B2238">
        <w:t xml:space="preserve">., Letter Order, 35 FCC </w:t>
      </w:r>
      <w:r w:rsidR="001B2238">
        <w:t>Rcd</w:t>
      </w:r>
      <w:r w:rsidR="001B2238">
        <w:t>. 556, 559 (MB 2020) (</w:t>
      </w:r>
      <w:r w:rsidRPr="001B2238" w:rsidR="001B2238">
        <w:rPr>
          <w:i/>
          <w:iCs/>
        </w:rPr>
        <w:t>Emmis Austin</w:t>
      </w:r>
      <w:r w:rsidR="001B2238">
        <w:t xml:space="preserve">) (citing </w:t>
      </w:r>
      <w:r w:rsidRPr="001B2238" w:rsidR="001B2238">
        <w:rPr>
          <w:i/>
          <w:iCs/>
        </w:rPr>
        <w:t>Amendment of the Commission’s Rules Regarding Modification of FM and TV Authorizations to Specify a New Community of License</w:t>
      </w:r>
      <w:r w:rsidR="001B2238">
        <w:t xml:space="preserve">, Report and Order, 4 FCC </w:t>
      </w:r>
      <w:r w:rsidR="001B2238">
        <w:t>Rcd</w:t>
      </w:r>
      <w:r w:rsidR="001B2238">
        <w:t xml:space="preserve">. 4870 (1989), </w:t>
      </w:r>
      <w:r w:rsidRPr="001B2238" w:rsidR="001B2238">
        <w:rPr>
          <w:i/>
          <w:iCs/>
        </w:rPr>
        <w:t>recons. granted in part</w:t>
      </w:r>
      <w:r w:rsidR="001B2238">
        <w:t xml:space="preserve">, Memorandum Opinion and Order, 5 FCC </w:t>
      </w:r>
      <w:r w:rsidR="001B2238">
        <w:t>Rcd</w:t>
      </w:r>
      <w:r w:rsidR="001B2238">
        <w:t xml:space="preserve">. 7094 (1990); and 47 </w:t>
      </w:r>
      <w:r w:rsidR="00F80A64">
        <w:t>CFR</w:t>
      </w:r>
      <w:r w:rsidR="001B2238">
        <w:t xml:space="preserve"> §§ 1.420(</w:t>
      </w:r>
      <w:r w:rsidR="001B2238">
        <w:t>i</w:t>
      </w:r>
      <w:r w:rsidR="001B2238">
        <w:t>) and 73.3573(g)(1)).</w:t>
      </w:r>
    </w:p>
    <w:p w:rsidR="00E84B02" w14:paraId="124A891A" w14:textId="77777777">
      <w:pPr>
        <w:pStyle w:val="FootnoteText"/>
      </w:pPr>
    </w:p>
  </w:footnote>
  <w:footnote w:id="6">
    <w:p w:rsidR="00E84B02" w14:paraId="17148224" w14:textId="1574DC53">
      <w:pPr>
        <w:pStyle w:val="FootnoteText"/>
      </w:pPr>
      <w:r>
        <w:rPr>
          <w:rStyle w:val="FootnoteReference"/>
        </w:rPr>
        <w:footnoteRef/>
      </w:r>
      <w:r>
        <w:t xml:space="preserve"> </w:t>
      </w:r>
      <w:r w:rsidR="005115F6">
        <w:rPr>
          <w:i/>
          <w:iCs/>
        </w:rPr>
        <w:t>See</w:t>
      </w:r>
      <w:r w:rsidRPr="001B2238" w:rsidR="005115F6">
        <w:rPr>
          <w:i/>
          <w:iCs/>
        </w:rPr>
        <w:t xml:space="preserve"> </w:t>
      </w:r>
      <w:r w:rsidRPr="001B2238" w:rsidR="001B2238">
        <w:rPr>
          <w:i/>
          <w:iCs/>
        </w:rPr>
        <w:t>Policies to Promote Rural Radio Service and to Streamline Allotment and Assignment Procedures</w:t>
      </w:r>
      <w:r w:rsidR="001B2238">
        <w:t xml:space="preserve">, Second Report and Order, First Order on Reconsideration, and Second Further Notice of Proposed Rulemaking, 26 FCC </w:t>
      </w:r>
      <w:r w:rsidR="001B2238">
        <w:t>Rcd</w:t>
      </w:r>
      <w:r w:rsidR="001B2238">
        <w:t xml:space="preserve">. 2556, 2567, </w:t>
      </w:r>
      <w:r w:rsidR="00096AE9">
        <w:t xml:space="preserve">para. </w:t>
      </w:r>
      <w:r w:rsidR="001B2238">
        <w:t>20 (2011) (</w:t>
      </w:r>
      <w:r w:rsidRPr="001B2238" w:rsidR="001B2238">
        <w:rPr>
          <w:i/>
          <w:iCs/>
        </w:rPr>
        <w:t>Rural Radio</w:t>
      </w:r>
      <w:r w:rsidR="001B2238">
        <w:t>) (establishing</w:t>
      </w:r>
      <w:r w:rsidR="006174BF">
        <w:t xml:space="preserve"> an urbanized area service presumption (UASP)</w:t>
      </w:r>
      <w:r w:rsidR="007E5E12">
        <w:t>, defined as</w:t>
      </w:r>
      <w:r w:rsidR="001B2238">
        <w:t xml:space="preserve"> “a rebuttable presumption that, when the community proposed is located in an urbanized area or could, through a minor modification application, cover more than 50 percent of an urbanized area, we will treat the application, for section 307(b) purposes as proposing service to the entire urbanized area rather than the named community of license”); </w:t>
      </w:r>
      <w:r w:rsidRPr="001B2238" w:rsidR="001B2238">
        <w:rPr>
          <w:i/>
          <w:iCs/>
        </w:rPr>
        <w:t>see also Emmis Austin</w:t>
      </w:r>
      <w:r w:rsidR="001B2238">
        <w:t xml:space="preserve">, 35 FCC </w:t>
      </w:r>
      <w:r w:rsidR="001B2238">
        <w:t>Rcd</w:t>
      </w:r>
      <w:r w:rsidR="001B2238">
        <w:t>. at 561 (stating</w:t>
      </w:r>
      <w:r w:rsidR="0033120A">
        <w:t>,</w:t>
      </w:r>
      <w:r w:rsidR="001B2238">
        <w:t xml:space="preserve"> pursuant to the Commission’s decision in </w:t>
      </w:r>
      <w:r w:rsidRPr="001B2238" w:rsidR="001B2238">
        <w:rPr>
          <w:i/>
          <w:iCs/>
        </w:rPr>
        <w:t>Rural Radio</w:t>
      </w:r>
      <w:r w:rsidR="001B2238">
        <w:t xml:space="preserve">, </w:t>
      </w:r>
      <w:r w:rsidR="001F64C4">
        <w:t xml:space="preserve">that </w:t>
      </w:r>
      <w:r w:rsidR="0033120A">
        <w:t xml:space="preserve">station </w:t>
      </w:r>
      <w:r w:rsidR="001B2238">
        <w:t>KXAI(FM) at its current location at Refugio,</w:t>
      </w:r>
      <w:r w:rsidR="00096AE9">
        <w:t xml:space="preserve"> Texas,</w:t>
      </w:r>
      <w:r w:rsidR="001B2238">
        <w:t xml:space="preserve"> provide</w:t>
      </w:r>
      <w:r w:rsidR="001F64C4">
        <w:t>d</w:t>
      </w:r>
      <w:r w:rsidR="001B2238">
        <w:t xml:space="preserve"> service to the Corpus Christi </w:t>
      </w:r>
      <w:r w:rsidR="001F64C4">
        <w:t>Urbanized Area</w:t>
      </w:r>
      <w:r w:rsidR="001B2238">
        <w:t>, which receive</w:t>
      </w:r>
      <w:r w:rsidR="0033120A">
        <w:t>d</w:t>
      </w:r>
      <w:r w:rsidR="001B2238">
        <w:t xml:space="preserve"> multiple local audio services</w:t>
      </w:r>
      <w:r w:rsidR="001F64C4">
        <w:t>;</w:t>
      </w:r>
      <w:r w:rsidR="001B2238">
        <w:t xml:space="preserve"> </w:t>
      </w:r>
      <w:r w:rsidR="001F64C4">
        <w:t xml:space="preserve">thus, because </w:t>
      </w:r>
      <w:r w:rsidR="001B2238">
        <w:t xml:space="preserve">Refugio </w:t>
      </w:r>
      <w:r w:rsidR="001F64C4">
        <w:t xml:space="preserve">was </w:t>
      </w:r>
      <w:r w:rsidR="001B2238">
        <w:t xml:space="preserve">part of the Corpus Christi </w:t>
      </w:r>
      <w:r w:rsidR="001F64C4">
        <w:t>Urbanized Area</w:t>
      </w:r>
      <w:r w:rsidR="001B2238">
        <w:t>, the reallotment of KXAI(FM) to Balcones Heights</w:t>
      </w:r>
      <w:r w:rsidR="001F64C4">
        <w:t xml:space="preserve">, Texas, did </w:t>
      </w:r>
      <w:r w:rsidR="001B2238">
        <w:t>not violate the Commission’s policy prohibiting the removal of a community’s sole local aural service).</w:t>
      </w:r>
    </w:p>
    <w:p w:rsidR="00E84B02" w14:paraId="00B440F2" w14:textId="77777777">
      <w:pPr>
        <w:pStyle w:val="FootnoteText"/>
      </w:pPr>
    </w:p>
  </w:footnote>
  <w:footnote w:id="7">
    <w:p w:rsidR="006574A9" w14:paraId="4B998D22" w14:textId="74266851">
      <w:pPr>
        <w:pStyle w:val="FootnoteText"/>
      </w:pPr>
      <w:r>
        <w:rPr>
          <w:rStyle w:val="FootnoteReference"/>
        </w:rPr>
        <w:footnoteRef/>
      </w:r>
      <w:r>
        <w:t xml:space="preserve"> </w:t>
      </w:r>
      <w:r w:rsidR="008022DF">
        <w:t xml:space="preserve">CFEF Section 307(b) Showing at 4.  </w:t>
      </w:r>
      <w:r w:rsidRPr="00793C3F" w:rsidR="008022DF">
        <w:rPr>
          <w:i/>
          <w:iCs/>
        </w:rPr>
        <w:t>See</w:t>
      </w:r>
      <w:r w:rsidRPr="006574A9" w:rsidR="008022DF">
        <w:rPr>
          <w:i/>
          <w:iCs/>
        </w:rPr>
        <w:t xml:space="preserve"> </w:t>
      </w:r>
      <w:r w:rsidRPr="006574A9">
        <w:rPr>
          <w:i/>
          <w:iCs/>
        </w:rPr>
        <w:t>Emmis Austin</w:t>
      </w:r>
      <w:r w:rsidRPr="006574A9">
        <w:t xml:space="preserve">, 35 FCC </w:t>
      </w:r>
      <w:r w:rsidRPr="006574A9">
        <w:t>Rcd</w:t>
      </w:r>
      <w:r w:rsidRPr="006574A9">
        <w:t>. at 558 n.11 &amp; 560 (community of license change granted without backfill after removal of sole local transmission service</w:t>
      </w:r>
      <w:r w:rsidRPr="006574A9">
        <w:rPr>
          <w:i/>
          <w:iCs/>
        </w:rPr>
        <w:t>); see also Marissa G. Repp, Esq., et al</w:t>
      </w:r>
      <w:r w:rsidRPr="006574A9">
        <w:t xml:space="preserve">., Letter Order, 27 FCC </w:t>
      </w:r>
      <w:r w:rsidRPr="006574A9">
        <w:t>Rcd</w:t>
      </w:r>
      <w:r w:rsidRPr="006574A9">
        <w:t>. 13090, 13094 (MB 2012)</w:t>
      </w:r>
      <w:r w:rsidR="003E5FEF">
        <w:t xml:space="preserve"> (</w:t>
      </w:r>
      <w:r w:rsidRPr="00793C3F" w:rsidR="003E5FEF">
        <w:rPr>
          <w:i/>
          <w:iCs/>
        </w:rPr>
        <w:t>Repp</w:t>
      </w:r>
      <w:r w:rsidR="003E5FEF">
        <w:t>)</w:t>
      </w:r>
      <w:r w:rsidRPr="006574A9">
        <w:t xml:space="preserve"> (community of license change granted without backfill after removal of second local transmission service) (</w:t>
      </w:r>
      <w:r w:rsidRPr="006574A9">
        <w:rPr>
          <w:i/>
          <w:iCs/>
        </w:rPr>
        <w:t>citing Rural Radio</w:t>
      </w:r>
      <w:r w:rsidRPr="006574A9">
        <w:t xml:space="preserve">, 26 FCC </w:t>
      </w:r>
      <w:r w:rsidRPr="006574A9">
        <w:t>Rcd</w:t>
      </w:r>
      <w:r w:rsidRPr="006574A9">
        <w:t>. at 2577-78).</w:t>
      </w:r>
    </w:p>
    <w:p w:rsidR="006574A9" w14:paraId="3A0D6842" w14:textId="77777777">
      <w:pPr>
        <w:pStyle w:val="FootnoteText"/>
      </w:pPr>
    </w:p>
  </w:footnote>
  <w:footnote w:id="8">
    <w:p w:rsidR="00A117FE" w14:paraId="665B6CD7" w14:textId="6BEA7AE8">
      <w:pPr>
        <w:pStyle w:val="FootnoteText"/>
      </w:pPr>
      <w:r>
        <w:rPr>
          <w:rStyle w:val="FootnoteReference"/>
        </w:rPr>
        <w:footnoteRef/>
      </w:r>
      <w:r>
        <w:t xml:space="preserve"> CFEF Section 307(b) Showing at </w:t>
      </w:r>
      <w:r w:rsidR="00D916F7">
        <w:t>3.</w:t>
      </w:r>
    </w:p>
    <w:p w:rsidR="00D916F7" w14:paraId="30DF2A3E" w14:textId="77777777">
      <w:pPr>
        <w:pStyle w:val="FootnoteText"/>
      </w:pPr>
    </w:p>
  </w:footnote>
  <w:footnote w:id="9">
    <w:p w:rsidR="008602CE" w14:paraId="307DA824" w14:textId="32B3DDB4">
      <w:pPr>
        <w:pStyle w:val="FootnoteText"/>
      </w:pPr>
      <w:r>
        <w:rPr>
          <w:rStyle w:val="FootnoteReference"/>
        </w:rPr>
        <w:footnoteRef/>
      </w:r>
      <w:r>
        <w:t xml:space="preserve"> 47 U.S.C. § 307(b) (Section 307(b)).</w:t>
      </w:r>
    </w:p>
    <w:p w:rsidR="008602CE" w14:paraId="5133A25B" w14:textId="77777777">
      <w:pPr>
        <w:pStyle w:val="FootnoteText"/>
      </w:pPr>
    </w:p>
  </w:footnote>
  <w:footnote w:id="10">
    <w:p w:rsidR="0067254F" w:rsidP="00444428" w14:paraId="665F899E" w14:textId="53992EF6">
      <w:pPr>
        <w:pStyle w:val="FootnoteText"/>
      </w:pPr>
      <w:r>
        <w:rPr>
          <w:rStyle w:val="FootnoteReference"/>
        </w:rPr>
        <w:footnoteRef/>
      </w:r>
      <w:r>
        <w:t xml:space="preserve"> </w:t>
      </w:r>
      <w:r w:rsidR="001B2238">
        <w:rPr>
          <w:i/>
          <w:iCs/>
        </w:rPr>
        <w:t>See</w:t>
      </w:r>
      <w:r w:rsidRPr="001B2238" w:rsidR="001B2238">
        <w:rPr>
          <w:i/>
          <w:iCs/>
        </w:rPr>
        <w:t xml:space="preserve"> Rural Radio</w:t>
      </w:r>
      <w:r w:rsidRPr="001B2238" w:rsidR="001B2238">
        <w:t xml:space="preserve">, 26 FCC </w:t>
      </w:r>
      <w:r w:rsidRPr="001B2238" w:rsidR="001B2238">
        <w:t>Rcd</w:t>
      </w:r>
      <w:r w:rsidRPr="001B2238" w:rsidR="001B2238">
        <w:t xml:space="preserve">. at 2570, </w:t>
      </w:r>
      <w:r w:rsidR="00610428">
        <w:t>para.</w:t>
      </w:r>
      <w:r w:rsidRPr="001B2238" w:rsidR="00610428">
        <w:t xml:space="preserve"> </w:t>
      </w:r>
      <w:r w:rsidRPr="001B2238" w:rsidR="001B2238">
        <w:t>26</w:t>
      </w:r>
      <w:r w:rsidR="00CD5F77">
        <w:t xml:space="preserve"> and </w:t>
      </w:r>
      <w:r w:rsidRPr="001B2238" w:rsidR="001B2238">
        <w:t xml:space="preserve">2570, </w:t>
      </w:r>
      <w:r w:rsidR="00610428">
        <w:t>para.</w:t>
      </w:r>
      <w:r w:rsidRPr="001B2238" w:rsidR="00610428">
        <w:t xml:space="preserve"> </w:t>
      </w:r>
      <w:r w:rsidRPr="001B2238" w:rsidR="001B2238">
        <w:t>27 (</w:t>
      </w:r>
      <w:r w:rsidR="00CD5F77">
        <w:t xml:space="preserve">stating that the Commission </w:t>
      </w:r>
      <w:r w:rsidRPr="001B2238" w:rsidR="001B2238">
        <w:t>believe</w:t>
      </w:r>
      <w:r w:rsidR="000F4325">
        <w:t>s</w:t>
      </w:r>
      <w:r w:rsidRPr="001B2238" w:rsidR="001B2238">
        <w:t xml:space="preserve"> it is unrealistic to limit our Section 307(b) evaluation of an applicant’s proposal to that service provided to its proposed community of license and ignore its incentives to serve the larger coverage area).</w:t>
      </w:r>
    </w:p>
    <w:p w:rsidR="00CD5F77" w:rsidP="00444428" w14:paraId="65A05859" w14:textId="77777777">
      <w:pPr>
        <w:pStyle w:val="FootnoteText"/>
      </w:pPr>
    </w:p>
  </w:footnote>
  <w:footnote w:id="11">
    <w:p w:rsidR="001B543A" w14:paraId="7EF8D27C" w14:textId="5C1018DD">
      <w:pPr>
        <w:pStyle w:val="FootnoteText"/>
      </w:pPr>
      <w:r>
        <w:rPr>
          <w:rStyle w:val="FootnoteReference"/>
        </w:rPr>
        <w:footnoteRef/>
      </w:r>
      <w:r>
        <w:t xml:space="preserve"> </w:t>
      </w:r>
      <w:r w:rsidR="00C01050">
        <w:t>CFEF Section 307(b) Showing at 3.</w:t>
      </w:r>
    </w:p>
    <w:p w:rsidR="00C01050" w14:paraId="61A479A3" w14:textId="77777777">
      <w:pPr>
        <w:pStyle w:val="FootnoteText"/>
      </w:pPr>
    </w:p>
  </w:footnote>
  <w:footnote w:id="12">
    <w:p w:rsidR="001D41E6" w14:paraId="696CEC00" w14:textId="2AD3446E">
      <w:pPr>
        <w:pStyle w:val="FootnoteText"/>
      </w:pPr>
      <w:r>
        <w:rPr>
          <w:rStyle w:val="FootnoteReference"/>
        </w:rPr>
        <w:footnoteRef/>
      </w:r>
      <w:r>
        <w:t xml:space="preserve"> </w:t>
      </w:r>
      <w:r w:rsidRPr="00793C3F" w:rsidR="00510800">
        <w:rPr>
          <w:i/>
          <w:iCs/>
        </w:rPr>
        <w:t>Id</w:t>
      </w:r>
      <w:r w:rsidR="00510800">
        <w:t>. at 4.</w:t>
      </w:r>
    </w:p>
    <w:p w:rsidR="00510800" w14:paraId="5F5E9FB9" w14:textId="77777777">
      <w:pPr>
        <w:pStyle w:val="FootnoteText"/>
      </w:pPr>
    </w:p>
  </w:footnote>
  <w:footnote w:id="13">
    <w:p w:rsidR="00A7629C" w14:paraId="48918011" w14:textId="7F27F088">
      <w:pPr>
        <w:pStyle w:val="FootnoteText"/>
      </w:pPr>
      <w:r>
        <w:rPr>
          <w:rStyle w:val="FootnoteReference"/>
        </w:rPr>
        <w:footnoteRef/>
      </w:r>
      <w:r>
        <w:t xml:space="preserve"> </w:t>
      </w:r>
      <w:r w:rsidRPr="00793C3F" w:rsidR="00A4311D">
        <w:rPr>
          <w:i/>
          <w:iCs/>
        </w:rPr>
        <w:t>Id</w:t>
      </w:r>
      <w:r w:rsidR="00A4311D">
        <w:t>. at 3.</w:t>
      </w:r>
    </w:p>
    <w:p w:rsidR="00A4311D" w14:paraId="4C754802" w14:textId="77777777">
      <w:pPr>
        <w:pStyle w:val="FootnoteText"/>
      </w:pPr>
    </w:p>
  </w:footnote>
  <w:footnote w:id="14">
    <w:p w:rsidR="006574A9" w14:paraId="472973C3" w14:textId="36AB736D">
      <w:pPr>
        <w:pStyle w:val="FootnoteText"/>
      </w:pPr>
      <w:r>
        <w:rPr>
          <w:rStyle w:val="FootnoteReference"/>
        </w:rPr>
        <w:footnoteRef/>
      </w:r>
      <w:r>
        <w:t xml:space="preserve"> </w:t>
      </w:r>
      <w:r w:rsidRPr="00793C3F" w:rsidR="003811DE">
        <w:rPr>
          <w:i/>
          <w:iCs/>
        </w:rPr>
        <w:t>Id</w:t>
      </w:r>
      <w:r w:rsidR="003811DE">
        <w:t xml:space="preserve">. at </w:t>
      </w:r>
      <w:r w:rsidR="000E614C">
        <w:t>5</w:t>
      </w:r>
      <w:r w:rsidRPr="006574A9">
        <w:t>.</w:t>
      </w:r>
    </w:p>
    <w:p w:rsidR="006574A9" w14:paraId="75759CA9" w14:textId="77777777">
      <w:pPr>
        <w:pStyle w:val="FootnoteText"/>
      </w:pPr>
    </w:p>
  </w:footnote>
  <w:footnote w:id="15">
    <w:p w:rsidR="00554ECE" w:rsidP="00554ECE" w14:paraId="331BA252" w14:textId="77777777">
      <w:pPr>
        <w:pStyle w:val="FootnoteText"/>
      </w:pPr>
      <w:r>
        <w:rPr>
          <w:rStyle w:val="FootnoteReference"/>
        </w:rPr>
        <w:footnoteRef/>
      </w:r>
      <w:r>
        <w:t xml:space="preserve"> </w:t>
      </w:r>
      <w:r>
        <w:rPr>
          <w:i/>
        </w:rPr>
        <w:t xml:space="preserve">See </w:t>
      </w:r>
      <w:r w:rsidRPr="004F346E">
        <w:rPr>
          <w:i/>
        </w:rPr>
        <w:t>Revision of FM Assignment Policies and Procedures</w:t>
      </w:r>
      <w:r>
        <w:rPr>
          <w:i/>
        </w:rPr>
        <w:t xml:space="preserve">, </w:t>
      </w:r>
      <w:r>
        <w:t>90 FCC 2d at 92 n.8.</w:t>
      </w:r>
    </w:p>
    <w:p w:rsidR="00554ECE" w:rsidP="00554ECE" w14:paraId="462EE281" w14:textId="77777777">
      <w:pPr>
        <w:pStyle w:val="FootnoteText"/>
      </w:pPr>
    </w:p>
  </w:footnote>
  <w:footnote w:id="16">
    <w:p w:rsidR="008E13FE" w14:paraId="56FBE246" w14:textId="23A98CAA">
      <w:pPr>
        <w:pStyle w:val="FootnoteText"/>
      </w:pPr>
      <w:r>
        <w:rPr>
          <w:rStyle w:val="FootnoteReference"/>
        </w:rPr>
        <w:footnoteRef/>
      </w:r>
      <w:r>
        <w:t xml:space="preserve"> </w:t>
      </w:r>
      <w:r w:rsidR="00DC56BF">
        <w:t>CFEF Section 307(b) Showing at 3.</w:t>
      </w:r>
    </w:p>
    <w:p w:rsidR="000D64DF" w14:paraId="644C9293" w14:textId="77777777">
      <w:pPr>
        <w:pStyle w:val="FootnoteText"/>
      </w:pPr>
    </w:p>
  </w:footnote>
  <w:footnote w:id="17">
    <w:p w:rsidR="000D64DF" w14:paraId="6253C559" w14:textId="3FCC2425">
      <w:pPr>
        <w:pStyle w:val="FootnoteText"/>
      </w:pPr>
      <w:r>
        <w:rPr>
          <w:rStyle w:val="FootnoteReference"/>
        </w:rPr>
        <w:footnoteRef/>
      </w:r>
      <w:r>
        <w:t xml:space="preserve"> </w:t>
      </w:r>
      <w:r w:rsidRPr="005D279D">
        <w:rPr>
          <w:i/>
          <w:iCs/>
        </w:rPr>
        <w:t>See supra</w:t>
      </w:r>
      <w:r>
        <w:t xml:space="preserve"> note &lt;5&gt;; </w:t>
      </w:r>
      <w:r w:rsidRPr="00793C3F">
        <w:rPr>
          <w:i/>
          <w:iCs/>
        </w:rPr>
        <w:t>see also</w:t>
      </w:r>
      <w:r>
        <w:t xml:space="preserve"> CFEF Section 307(b) Showing at </w:t>
      </w:r>
      <w:r w:rsidR="002D74E1">
        <w:t>2-3.</w:t>
      </w:r>
    </w:p>
    <w:p w:rsidR="002D74E1" w14:paraId="54EB78FA" w14:textId="77777777">
      <w:pPr>
        <w:pStyle w:val="FootnoteText"/>
      </w:pPr>
    </w:p>
  </w:footnote>
  <w:footnote w:id="18">
    <w:p w:rsidR="00A2424D" w14:paraId="072FA0E7" w14:textId="110E0FE6">
      <w:pPr>
        <w:pStyle w:val="FootnoteText"/>
      </w:pPr>
      <w:r>
        <w:rPr>
          <w:rStyle w:val="FootnoteReference"/>
        </w:rPr>
        <w:footnoteRef/>
      </w:r>
      <w:r>
        <w:t xml:space="preserve"> </w:t>
      </w:r>
      <w:r w:rsidRPr="0025051F" w:rsidR="00064A60">
        <w:rPr>
          <w:i/>
          <w:iCs/>
        </w:rPr>
        <w:t>Rural Radio</w:t>
      </w:r>
      <w:r w:rsidR="00064A60">
        <w:t xml:space="preserve">, 26 FCC </w:t>
      </w:r>
      <w:r w:rsidR="00064A60">
        <w:t>Rcd</w:t>
      </w:r>
      <w:r w:rsidR="00064A60">
        <w:t xml:space="preserve"> at 2578 n.106.</w:t>
      </w:r>
    </w:p>
    <w:p w:rsidR="00064A60" w14:paraId="2379A08D" w14:textId="77777777">
      <w:pPr>
        <w:pStyle w:val="FootnoteText"/>
      </w:pPr>
    </w:p>
  </w:footnote>
  <w:footnote w:id="19">
    <w:p w:rsidR="00FD56FD" w:rsidRPr="00A9208D" w:rsidP="00FD56FD" w14:paraId="3CA71AD9" w14:textId="675E7D28">
      <w:pPr>
        <w:pStyle w:val="FootnoteText"/>
        <w:rPr>
          <w:i/>
          <w:iCs/>
        </w:rPr>
      </w:pPr>
      <w:r>
        <w:rPr>
          <w:rStyle w:val="FootnoteReference"/>
        </w:rPr>
        <w:footnoteRef/>
      </w:r>
      <w:r>
        <w:t xml:space="preserve"> To support its “incentivization” argument, CFEF reads out of context language from paragraphs 26 and 27 of </w:t>
      </w:r>
      <w:r w:rsidRPr="00A9208D">
        <w:rPr>
          <w:i/>
          <w:iCs/>
        </w:rPr>
        <w:t>Rural Radio</w:t>
      </w:r>
      <w:r>
        <w:t xml:space="preserve">, in which the Commission stated that “it is unrealistic to limit our Section 307(b) evaluation of an applicant’s proposal to that service provided to its proposed community of license and ignore its incentives to serve the larger coverage area.”  </w:t>
      </w:r>
      <w:r w:rsidRPr="00A9208D">
        <w:rPr>
          <w:i/>
          <w:iCs/>
        </w:rPr>
        <w:t>Rural Radio</w:t>
      </w:r>
      <w:r>
        <w:t xml:space="preserve">, 26 FCC </w:t>
      </w:r>
      <w:r>
        <w:t>Rcd</w:t>
      </w:r>
      <w:r>
        <w:t xml:space="preserve"> at 2570, para. 27.  This language merely recognizes that because a radio station’s signal does not stop at the borders of its community of license, its service incentives likewise will extend to the larger area covered by its signal.  It does not state or imply that a station located in an urbanized area must re-designate its community of license in order to serve the urbanized area it is already presumed to serve.  In making this argument, CFEF apparently skipped over paragraph 21 of </w:t>
      </w:r>
      <w:r w:rsidRPr="00A9208D">
        <w:rPr>
          <w:i/>
          <w:iCs/>
        </w:rPr>
        <w:t>Rural Radio</w:t>
      </w:r>
      <w:r>
        <w:t>, in which the Commission made clear that “[t]he courts have long recognized that the principal goals of Section 307(b) are to ‘forestall’ the excessive concentration of radio service in larger cities, and to check the predictable interest of broadcasters to congregate in major markets,” and further that, “[v]</w:t>
      </w:r>
      <w:r w:rsidR="006E5078">
        <w:t>iewed</w:t>
      </w:r>
      <w:r>
        <w:t xml:space="preserve"> from this perspective, it is difficult to credit commenters’ arguments that Section 307(b)’s objectives are best served merely by ensuring service to urbanized areas, where populations are most concentrated.”  </w:t>
      </w:r>
      <w:r w:rsidRPr="00A9208D">
        <w:rPr>
          <w:i/>
          <w:iCs/>
        </w:rPr>
        <w:t>Rural Radio</w:t>
      </w:r>
      <w:r>
        <w:t xml:space="preserve">, 26 FCC </w:t>
      </w:r>
      <w:r>
        <w:t>Rcd</w:t>
      </w:r>
      <w:r>
        <w:t xml:space="preserve"> at 2568, para. 21 (citing </w:t>
      </w:r>
      <w:r w:rsidRPr="00A9208D">
        <w:rPr>
          <w:i/>
          <w:iCs/>
        </w:rPr>
        <w:t>Comm</w:t>
      </w:r>
      <w:r>
        <w:rPr>
          <w:i/>
          <w:iCs/>
        </w:rPr>
        <w:t>cn’</w:t>
      </w:r>
      <w:r w:rsidRPr="00A9208D">
        <w:rPr>
          <w:i/>
          <w:iCs/>
        </w:rPr>
        <w:t>s</w:t>
      </w:r>
      <w:r w:rsidRPr="00A9208D">
        <w:rPr>
          <w:i/>
          <w:iCs/>
        </w:rPr>
        <w:t xml:space="preserve"> Investment Corp. v. F.C.C.</w:t>
      </w:r>
      <w:r>
        <w:t xml:space="preserve">, 641 F.2d 954, 963-64 (D.C. Cir. 1981), and </w:t>
      </w:r>
      <w:r w:rsidRPr="00A9208D">
        <w:rPr>
          <w:i/>
          <w:iCs/>
        </w:rPr>
        <w:t>Pasadena Broadcasting</w:t>
      </w:r>
      <w:r>
        <w:t xml:space="preserve">, 555 F.2d 1046, 1049-50 (D.C. Cir. 1977)).  In other words, the Commission in </w:t>
      </w:r>
      <w:r w:rsidRPr="00A9208D">
        <w:rPr>
          <w:i/>
          <w:iCs/>
        </w:rPr>
        <w:t>Rural Radio</w:t>
      </w:r>
      <w:r>
        <w:t xml:space="preserve"> recognized that broadcasters need no “incentives” to serve the largest possible community, and that Section 307(b) was passed by Congress to check that predictable impulse.  While the migration of a station to an urbanized area from a rural area is not implicated in an intra-urbanized area community of license change such as CFEF proposes, as discussed below such a move from a smaller to a larger community within an urbanized area requires more than just a desire to associate the station with the larger community.</w:t>
      </w:r>
    </w:p>
    <w:p w:rsidR="00FD56FD" w:rsidP="00FD56FD" w14:paraId="71BDD5EA" w14:textId="77777777">
      <w:pPr>
        <w:pStyle w:val="FootnoteText"/>
      </w:pPr>
    </w:p>
  </w:footnote>
  <w:footnote w:id="20">
    <w:p w:rsidR="00A97DFF" w14:paraId="2481C39F" w14:textId="48EB4986">
      <w:pPr>
        <w:pStyle w:val="FootnoteText"/>
        <w:rPr>
          <w:color w:val="3D3D3D"/>
          <w:shd w:val="clear" w:color="auto" w:fill="FFFFFF"/>
        </w:rPr>
      </w:pPr>
      <w:r>
        <w:rPr>
          <w:rStyle w:val="FootnoteReference"/>
        </w:rPr>
        <w:footnoteRef/>
      </w:r>
      <w:r>
        <w:t xml:space="preserve"> </w:t>
      </w:r>
      <w:r w:rsidRPr="00793C3F">
        <w:rPr>
          <w:i/>
          <w:iCs/>
        </w:rPr>
        <w:t>See</w:t>
      </w:r>
      <w:r w:rsidR="00E4035F">
        <w:rPr>
          <w:i/>
          <w:iCs/>
        </w:rPr>
        <w:t>, e.g.,</w:t>
      </w:r>
      <w:r w:rsidRPr="00793C3F">
        <w:rPr>
          <w:i/>
          <w:iCs/>
        </w:rPr>
        <w:t xml:space="preserve"> Call </w:t>
      </w:r>
      <w:r w:rsidRPr="00793C3F" w:rsidR="00A776C5">
        <w:rPr>
          <w:i/>
          <w:iCs/>
        </w:rPr>
        <w:t>Com</w:t>
      </w:r>
      <w:r w:rsidRPr="00793C3F" w:rsidR="008C3DB5">
        <w:rPr>
          <w:i/>
          <w:iCs/>
        </w:rPr>
        <w:t>mc’ns</w:t>
      </w:r>
      <w:r w:rsidRPr="00793C3F">
        <w:rPr>
          <w:i/>
          <w:iCs/>
        </w:rPr>
        <w:t xml:space="preserve"> Group, Inc.</w:t>
      </w:r>
      <w:r>
        <w:t xml:space="preserve">, Letter Decision, DA </w:t>
      </w:r>
      <w:r w:rsidR="0037133C">
        <w:t>23-112, at 1 n.1 (MB rel. Feb. 8, 2023) (</w:t>
      </w:r>
      <w:r w:rsidR="009A6B1D">
        <w:t xml:space="preserve">net service gain of 374,131 represented a preferential arrangement of allotments); </w:t>
      </w:r>
      <w:r w:rsidRPr="00793C3F" w:rsidR="000F4C05">
        <w:rPr>
          <w:i/>
          <w:iCs/>
        </w:rPr>
        <w:t>Repp,</w:t>
      </w:r>
      <w:r w:rsidR="00210F0B">
        <w:t xml:space="preserve"> 27 FCC </w:t>
      </w:r>
      <w:r w:rsidR="00210F0B">
        <w:t>Rcd</w:t>
      </w:r>
      <w:r w:rsidR="00210F0B">
        <w:t xml:space="preserve"> </w:t>
      </w:r>
      <w:r w:rsidR="00166BBE">
        <w:t>at</w:t>
      </w:r>
      <w:r w:rsidR="00210F0B">
        <w:t xml:space="preserve"> 13094</w:t>
      </w:r>
      <w:r w:rsidR="00BC281C">
        <w:t xml:space="preserve"> (application proposed</w:t>
      </w:r>
      <w:r w:rsidRPr="00793C3F" w:rsidR="00BC281C">
        <w:rPr>
          <w:color w:val="3D3D3D"/>
          <w:shd w:val="clear" w:color="auto" w:fill="FFFFFF"/>
        </w:rPr>
        <w:t xml:space="preserve"> a preferential arrangement of allotments under Priority (4) because the </w:t>
      </w:r>
      <w:r w:rsidR="00A776C5">
        <w:rPr>
          <w:color w:val="3D3D3D"/>
          <w:shd w:val="clear" w:color="auto" w:fill="FFFFFF"/>
        </w:rPr>
        <w:t xml:space="preserve">intra-urbanized </w:t>
      </w:r>
      <w:r w:rsidRPr="00793C3F" w:rsidR="00BC281C">
        <w:rPr>
          <w:color w:val="3D3D3D"/>
          <w:shd w:val="clear" w:color="auto" w:fill="FFFFFF"/>
        </w:rPr>
        <w:t>area move would provide a net gain in reception service of 260,726 persons</w:t>
      </w:r>
      <w:r w:rsidR="00A776C5">
        <w:rPr>
          <w:color w:val="3D3D3D"/>
          <w:shd w:val="clear" w:color="auto" w:fill="FFFFFF"/>
        </w:rPr>
        <w:t>)</w:t>
      </w:r>
      <w:r w:rsidR="008C4937">
        <w:rPr>
          <w:color w:val="3D3D3D"/>
          <w:shd w:val="clear" w:color="auto" w:fill="FFFFFF"/>
        </w:rPr>
        <w:t xml:space="preserve">; </w:t>
      </w:r>
      <w:r w:rsidR="008C4937">
        <w:rPr>
          <w:i/>
          <w:iCs/>
          <w:color w:val="3D3D3D"/>
          <w:bdr w:val="none" w:sz="0" w:space="0" w:color="auto" w:frame="1"/>
          <w:shd w:val="clear" w:color="auto" w:fill="FFFFFF"/>
        </w:rPr>
        <w:t xml:space="preserve">Emmis Austin Radio Broadcasting, L.P.; Educational Media Foundation; San Antonio Radio Works, LLC, </w:t>
      </w:r>
      <w:r w:rsidRPr="00454347" w:rsidR="008C4937">
        <w:rPr>
          <w:color w:val="3D3D3D"/>
          <w:bdr w:val="none" w:sz="0" w:space="0" w:color="auto" w:frame="1"/>
          <w:shd w:val="clear" w:color="auto" w:fill="FFFFFF"/>
        </w:rPr>
        <w:t>Letter</w:t>
      </w:r>
      <w:r w:rsidR="008C4937">
        <w:rPr>
          <w:color w:val="3D3D3D"/>
          <w:bdr w:val="none" w:sz="0" w:space="0" w:color="auto" w:frame="1"/>
          <w:shd w:val="clear" w:color="auto" w:fill="FFFFFF"/>
        </w:rPr>
        <w:t xml:space="preserve"> Decision</w:t>
      </w:r>
      <w:r w:rsidR="008C4937">
        <w:rPr>
          <w:i/>
          <w:iCs/>
          <w:color w:val="3D3D3D"/>
          <w:bdr w:val="none" w:sz="0" w:space="0" w:color="auto" w:frame="1"/>
          <w:shd w:val="clear" w:color="auto" w:fill="FFFFFF"/>
        </w:rPr>
        <w:t xml:space="preserve">, </w:t>
      </w:r>
      <w:r w:rsidRPr="00454347" w:rsidR="008C4937">
        <w:rPr>
          <w:color w:val="3D3D3D"/>
          <w:shd w:val="clear" w:color="auto" w:fill="FFFFFF"/>
        </w:rPr>
        <w:t xml:space="preserve">35 FCC </w:t>
      </w:r>
      <w:r w:rsidRPr="00454347" w:rsidR="008C4937">
        <w:rPr>
          <w:color w:val="3D3D3D"/>
          <w:shd w:val="clear" w:color="auto" w:fill="FFFFFF"/>
        </w:rPr>
        <w:t>Rcd</w:t>
      </w:r>
      <w:r w:rsidRPr="00454347" w:rsidR="008C4937">
        <w:rPr>
          <w:color w:val="3D3D3D"/>
          <w:shd w:val="clear" w:color="auto" w:fill="FFFFFF"/>
        </w:rPr>
        <w:t xml:space="preserve"> 556</w:t>
      </w:r>
      <w:r w:rsidR="008C4937">
        <w:rPr>
          <w:color w:val="3D3D3D"/>
          <w:shd w:val="clear" w:color="auto" w:fill="FFFFFF"/>
        </w:rPr>
        <w:t xml:space="preserve">, 562 </w:t>
      </w:r>
      <w:r w:rsidRPr="00454347" w:rsidR="008C4937">
        <w:rPr>
          <w:color w:val="3D3D3D"/>
          <w:shd w:val="clear" w:color="auto" w:fill="FFFFFF"/>
        </w:rPr>
        <w:t>(MB 2020)</w:t>
      </w:r>
      <w:r w:rsidR="008C4937">
        <w:rPr>
          <w:color w:val="3D3D3D"/>
          <w:shd w:val="clear" w:color="auto" w:fill="FFFFFF"/>
        </w:rPr>
        <w:t xml:space="preserve"> </w:t>
      </w:r>
      <w:r w:rsidRPr="00454347" w:rsidR="008C4937">
        <w:rPr>
          <w:color w:val="3D3D3D"/>
          <w:shd w:val="clear" w:color="auto" w:fill="FFFFFF"/>
        </w:rPr>
        <w:t>(stating net gain in the reception service serves the public interest)</w:t>
      </w:r>
      <w:r w:rsidR="008C4937">
        <w:rPr>
          <w:color w:val="3D3D3D"/>
          <w:shd w:val="clear" w:color="auto" w:fill="FFFFFF"/>
        </w:rPr>
        <w:t xml:space="preserve">; </w:t>
      </w:r>
      <w:r w:rsidRPr="00454347" w:rsidR="008C4937">
        <w:rPr>
          <w:i/>
          <w:iCs/>
          <w:color w:val="3D3D3D"/>
          <w:shd w:val="clear" w:color="auto" w:fill="FFFFFF"/>
        </w:rPr>
        <w:t>Lawrence N. Cohn, Esq</w:t>
      </w:r>
      <w:r w:rsidR="008C4937">
        <w:rPr>
          <w:i/>
          <w:iCs/>
          <w:color w:val="3D3D3D"/>
          <w:shd w:val="clear" w:color="auto" w:fill="FFFFFF"/>
        </w:rPr>
        <w:t>.,</w:t>
      </w:r>
      <w:r w:rsidRPr="00454347" w:rsidR="008C4937">
        <w:rPr>
          <w:i/>
          <w:iCs/>
          <w:color w:val="3D3D3D"/>
          <w:shd w:val="clear" w:color="auto" w:fill="FFFFFF"/>
        </w:rPr>
        <w:t xml:space="preserve"> James A. Koerner, Esq.</w:t>
      </w:r>
      <w:r w:rsidR="008C4937">
        <w:rPr>
          <w:color w:val="3D3D3D"/>
          <w:shd w:val="clear" w:color="auto" w:fill="FFFFFF"/>
        </w:rPr>
        <w:t xml:space="preserve">, </w:t>
      </w:r>
      <w:r w:rsidRPr="00454347" w:rsidR="008C4937">
        <w:rPr>
          <w:color w:val="3D3D3D"/>
          <w:shd w:val="clear" w:color="auto" w:fill="FFFFFF"/>
        </w:rPr>
        <w:t>Letter</w:t>
      </w:r>
      <w:r w:rsidR="008C4937">
        <w:rPr>
          <w:color w:val="3D3D3D"/>
          <w:shd w:val="clear" w:color="auto" w:fill="FFFFFF"/>
        </w:rPr>
        <w:t xml:space="preserve"> Decision</w:t>
      </w:r>
      <w:r w:rsidRPr="00454347" w:rsidR="008C4937">
        <w:rPr>
          <w:color w:val="3D3D3D"/>
          <w:shd w:val="clear" w:color="auto" w:fill="FFFFFF"/>
        </w:rPr>
        <w:t xml:space="preserve">, 29 FCC </w:t>
      </w:r>
      <w:r w:rsidRPr="00454347" w:rsidR="008C4937">
        <w:rPr>
          <w:color w:val="3D3D3D"/>
          <w:shd w:val="clear" w:color="auto" w:fill="FFFFFF"/>
        </w:rPr>
        <w:t>Rcd</w:t>
      </w:r>
      <w:r w:rsidR="008C4937">
        <w:rPr>
          <w:color w:val="3D3D3D"/>
          <w:shd w:val="clear" w:color="auto" w:fill="FFFFFF"/>
        </w:rPr>
        <w:t xml:space="preserve"> </w:t>
      </w:r>
      <w:r w:rsidRPr="00454347" w:rsidR="008C4937">
        <w:rPr>
          <w:color w:val="3D3D3D"/>
          <w:shd w:val="clear" w:color="auto" w:fill="FFFFFF"/>
        </w:rPr>
        <w:t>4799</w:t>
      </w:r>
      <w:r w:rsidR="008C4937">
        <w:rPr>
          <w:color w:val="3D3D3D"/>
          <w:shd w:val="clear" w:color="auto" w:fill="FFFFFF"/>
        </w:rPr>
        <w:t>, 4803</w:t>
      </w:r>
      <w:r w:rsidRPr="00454347" w:rsidR="008C4937">
        <w:rPr>
          <w:color w:val="3D3D3D"/>
          <w:shd w:val="clear" w:color="auto" w:fill="FFFFFF"/>
        </w:rPr>
        <w:t xml:space="preserve"> (MB 2014)</w:t>
      </w:r>
      <w:r w:rsidR="008C4937">
        <w:rPr>
          <w:color w:val="3D3D3D"/>
          <w:shd w:val="clear" w:color="auto" w:fill="FFFFFF"/>
        </w:rPr>
        <w:t xml:space="preserve"> </w:t>
      </w:r>
      <w:r w:rsidRPr="00454347" w:rsidR="008C4937">
        <w:rPr>
          <w:color w:val="3D3D3D"/>
          <w:shd w:val="clear" w:color="auto" w:fill="FFFFFF"/>
        </w:rPr>
        <w:t>(stating that the benefits of providing an additional service to more than 1.3 million listeners outweigh the identified service losses).</w:t>
      </w:r>
      <w:r w:rsidR="00A776C5">
        <w:rPr>
          <w:color w:val="3D3D3D"/>
          <w:shd w:val="clear" w:color="auto" w:fill="FFFFFF"/>
        </w:rPr>
        <w:t>.</w:t>
      </w:r>
    </w:p>
    <w:p w:rsidR="00022296" w:rsidRPr="00BC281C" w14:paraId="062F5839" w14:textId="77777777">
      <w:pPr>
        <w:pStyle w:val="FootnoteText"/>
      </w:pPr>
    </w:p>
  </w:footnote>
  <w:footnote w:id="21">
    <w:p w:rsidR="00AD346D" w:rsidRPr="00454347" w:rsidP="00454347" w14:paraId="76CA2E95" w14:textId="13B86BE0">
      <w:pPr>
        <w:pStyle w:val="FootnoteText"/>
      </w:pPr>
      <w:r>
        <w:rPr>
          <w:rStyle w:val="FootnoteReference"/>
        </w:rPr>
        <w:footnoteRef/>
      </w:r>
      <w:r>
        <w:t xml:space="preserve"> </w:t>
      </w:r>
      <w:r w:rsidRPr="00AD346D">
        <w:rPr>
          <w:i/>
          <w:iCs/>
          <w:color w:val="3D3D3D"/>
          <w:bdr w:val="none" w:sz="0" w:space="0" w:color="auto" w:frame="1"/>
          <w:shd w:val="clear" w:color="auto" w:fill="FFFFFF"/>
        </w:rPr>
        <w:t xml:space="preserve">See, </w:t>
      </w:r>
      <w:r w:rsidRPr="00454347" w:rsidR="00454347">
        <w:rPr>
          <w:i/>
          <w:iCs/>
          <w:color w:val="3D3D3D"/>
          <w:shd w:val="clear" w:color="auto" w:fill="FFFFFF"/>
        </w:rPr>
        <w:t>Southwest FM Broadcasting Co. Inc</w:t>
      </w:r>
      <w:r w:rsidR="00454347">
        <w:rPr>
          <w:color w:val="3D3D3D"/>
          <w:shd w:val="clear" w:color="auto" w:fill="FFFFFF"/>
        </w:rPr>
        <w:t xml:space="preserve">., </w:t>
      </w:r>
      <w:r w:rsidR="00950F56">
        <w:rPr>
          <w:color w:val="3D3D3D"/>
          <w:shd w:val="clear" w:color="auto" w:fill="FFFFFF"/>
        </w:rPr>
        <w:t>Memorandum Opinion and Order</w:t>
      </w:r>
      <w:r w:rsidRPr="00454347" w:rsidR="00454347">
        <w:rPr>
          <w:color w:val="3D3D3D"/>
          <w:shd w:val="clear" w:color="auto" w:fill="FFFFFF"/>
        </w:rPr>
        <w:t xml:space="preserve">, 30 FCC </w:t>
      </w:r>
      <w:r w:rsidRPr="00454347" w:rsidR="00454347">
        <w:rPr>
          <w:color w:val="3D3D3D"/>
          <w:shd w:val="clear" w:color="auto" w:fill="FFFFFF"/>
        </w:rPr>
        <w:t>Rcd</w:t>
      </w:r>
      <w:r w:rsidRPr="00454347" w:rsidR="00454347">
        <w:rPr>
          <w:color w:val="3D3D3D"/>
          <w:shd w:val="clear" w:color="auto" w:fill="FFFFFF"/>
        </w:rPr>
        <w:t xml:space="preserve"> 7692</w:t>
      </w:r>
      <w:r w:rsidR="004B2D81">
        <w:rPr>
          <w:color w:val="3D3D3D"/>
          <w:shd w:val="clear" w:color="auto" w:fill="FFFFFF"/>
        </w:rPr>
        <w:t>, 7693, para. 3</w:t>
      </w:r>
      <w:r w:rsidRPr="00454347" w:rsidR="00454347">
        <w:rPr>
          <w:color w:val="3D3D3D"/>
          <w:shd w:val="clear" w:color="auto" w:fill="FFFFFF"/>
        </w:rPr>
        <w:t xml:space="preserve"> (2015)</w:t>
      </w:r>
      <w:r w:rsidR="0082654C">
        <w:rPr>
          <w:color w:val="3D3D3D"/>
          <w:shd w:val="clear" w:color="auto" w:fill="FFFFFF"/>
        </w:rPr>
        <w:t xml:space="preserve"> </w:t>
      </w:r>
      <w:r w:rsidRPr="00454347" w:rsidR="00454347">
        <w:rPr>
          <w:color w:val="3D3D3D"/>
          <w:shd w:val="clear" w:color="auto" w:fill="FFFFFF"/>
        </w:rPr>
        <w:t>(</w:t>
      </w:r>
      <w:r w:rsidR="00387DD4">
        <w:rPr>
          <w:color w:val="3D3D3D"/>
          <w:shd w:val="clear" w:color="auto" w:fill="FFFFFF"/>
        </w:rPr>
        <w:t>noting</w:t>
      </w:r>
      <w:r w:rsidRPr="00454347" w:rsidR="00387DD4">
        <w:rPr>
          <w:color w:val="3D3D3D"/>
          <w:shd w:val="clear" w:color="auto" w:fill="FFFFFF"/>
        </w:rPr>
        <w:t xml:space="preserve"> </w:t>
      </w:r>
      <w:r w:rsidRPr="00454347" w:rsidR="00454347">
        <w:rPr>
          <w:color w:val="3D3D3D"/>
          <w:shd w:val="clear" w:color="auto" w:fill="FFFFFF"/>
        </w:rPr>
        <w:t xml:space="preserve">that the Commission explicitly stated in the </w:t>
      </w:r>
      <w:r w:rsidRPr="00217B18" w:rsidR="00454347">
        <w:rPr>
          <w:i/>
          <w:iCs/>
          <w:color w:val="3D3D3D"/>
          <w:shd w:val="clear" w:color="auto" w:fill="FFFFFF"/>
        </w:rPr>
        <w:t>Rural Radio</w:t>
      </w:r>
      <w:r w:rsidRPr="00454347" w:rsidR="00454347">
        <w:rPr>
          <w:color w:val="3D3D3D"/>
          <w:shd w:val="clear" w:color="auto" w:fill="FFFFFF"/>
        </w:rPr>
        <w:t xml:space="preserve"> proceeding that a station proposing to move within the same urbanized area is required to make a showing under Priority 4 “by demonstrating from which of the two communities the station would provide service to a greater area and population within the urbanized area.</w:t>
      </w:r>
      <w:r w:rsidR="004B2D81">
        <w:rPr>
          <w:color w:val="3D3D3D"/>
          <w:shd w:val="clear" w:color="auto" w:fill="FFFFFF"/>
        </w:rPr>
        <w:t>”</w:t>
      </w:r>
      <w:r w:rsidRPr="00454347" w:rsidR="00454347">
        <w:rPr>
          <w:color w:val="3D3D3D"/>
          <w:shd w:val="clear" w:color="auto" w:fill="FFFFFF"/>
        </w:rPr>
        <w:t>)</w:t>
      </w:r>
      <w:r w:rsidR="00387DD4">
        <w:rPr>
          <w:color w:val="3D3D3D"/>
          <w:shd w:val="clear" w:color="auto" w:fill="FFFFFF"/>
        </w:rPr>
        <w:t>.</w:t>
      </w:r>
      <w:r w:rsidR="00454347">
        <w:rPr>
          <w:color w:val="3D3D3D"/>
          <w:shd w:val="clear" w:color="auto" w:fill="FFFFFF"/>
        </w:rPr>
        <w:t xml:space="preserve"> </w:t>
      </w:r>
    </w:p>
    <w:p w:rsidR="00AD346D" w14:paraId="063FBFBA" w14:textId="77777777">
      <w:pPr>
        <w:pStyle w:val="FootnoteText"/>
      </w:pPr>
    </w:p>
  </w:footnote>
  <w:footnote w:id="22">
    <w:p w:rsidR="00022296" w14:paraId="261DE8E2" w14:textId="7F41BC5E">
      <w:pPr>
        <w:pStyle w:val="FootnoteText"/>
      </w:pPr>
      <w:r>
        <w:rPr>
          <w:rStyle w:val="FootnoteReference"/>
        </w:rPr>
        <w:footnoteRef/>
      </w:r>
      <w:r>
        <w:t xml:space="preserve"> 47 CFR § 73.3573(g)(1).</w:t>
      </w:r>
    </w:p>
    <w:p w:rsidR="00022296" w14:paraId="053B4AA8" w14:textId="77777777">
      <w:pPr>
        <w:pStyle w:val="FootnoteText"/>
      </w:pPr>
    </w:p>
  </w:footnote>
  <w:footnote w:id="23">
    <w:p w:rsidR="00022296" w14:paraId="1102DFA4" w14:textId="5AAE0C85">
      <w:pPr>
        <w:pStyle w:val="FootnoteText"/>
      </w:pPr>
      <w:r>
        <w:rPr>
          <w:rStyle w:val="FootnoteReference"/>
        </w:rPr>
        <w:footnoteRef/>
      </w:r>
      <w:r>
        <w:t xml:space="preserve"> 47 CFR § 73.3522(c)(2).</w:t>
      </w:r>
    </w:p>
    <w:p w:rsidR="00022296" w14:paraId="3D65E105" w14:textId="77777777">
      <w:pPr>
        <w:pStyle w:val="FootnoteText"/>
      </w:pPr>
    </w:p>
  </w:footnote>
  <w:footnote w:id="24">
    <w:p w:rsidR="007A7858" w:rsidRPr="00321F4E" w14:paraId="013B2233" w14:textId="4A296D32">
      <w:pPr>
        <w:pStyle w:val="FootnoteText"/>
      </w:pPr>
      <w:r>
        <w:rPr>
          <w:rStyle w:val="FootnoteReference"/>
        </w:rPr>
        <w:footnoteRef/>
      </w:r>
      <w:r>
        <w:t xml:space="preserve"> 47 CFR § 73.3564.  </w:t>
      </w:r>
      <w:r w:rsidRPr="00793C3F" w:rsidR="00321F4E">
        <w:rPr>
          <w:i/>
          <w:iCs/>
        </w:rPr>
        <w:t>See</w:t>
      </w:r>
      <w:r w:rsidRPr="00793C3F" w:rsidR="00321F4E">
        <w:t xml:space="preserve"> Appendix B in the Report and Order in MM Docket No. 91-347.  </w:t>
      </w:r>
    </w:p>
    <w:p w:rsidR="00321F4E" w14:paraId="7C9FD467" w14:textId="77777777">
      <w:pPr>
        <w:pStyle w:val="FootnoteText"/>
      </w:pPr>
    </w:p>
  </w:footnote>
  <w:footnote w:id="25">
    <w:p w:rsidR="00321F4E" w14:paraId="1365A504" w14:textId="071CC0BE">
      <w:pPr>
        <w:pStyle w:val="FootnoteText"/>
      </w:pPr>
      <w:r>
        <w:rPr>
          <w:rStyle w:val="FootnoteReference"/>
        </w:rPr>
        <w:footnoteRef/>
      </w:r>
      <w:r>
        <w:t xml:space="preserve"> 47 CFR § 73.3564(a)(3).</w:t>
      </w:r>
    </w:p>
    <w:p w:rsidR="00321F4E" w14:paraId="6F56A02B" w14:textId="77777777">
      <w:pPr>
        <w:pStyle w:val="FootnoteText"/>
      </w:pPr>
    </w:p>
  </w:footnote>
  <w:footnote w:id="26">
    <w:p w:rsidR="00321F4E" w14:paraId="57917C8F" w14:textId="6675A8C2">
      <w:pPr>
        <w:pStyle w:val="FootnoteText"/>
      </w:pPr>
      <w:r>
        <w:rPr>
          <w:rStyle w:val="FootnoteReference"/>
        </w:rPr>
        <w:footnoteRef/>
      </w:r>
      <w:r>
        <w:t xml:space="preserve"> 47 CFR § 73.3568.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1FB9ED45" w14:textId="2E953D64">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1812003379" name="Picture 1812003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003379"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3AD02EB5"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5F9CA9E6" w14:textId="77777777">
    <w:pPr>
      <w:pStyle w:val="Header"/>
      <w:tabs>
        <w:tab w:val="clear" w:pos="4320"/>
      </w:tabs>
      <w:jc w:val="center"/>
      <w:rPr>
        <w:sz w:val="22"/>
      </w:rPr>
    </w:pPr>
  </w:p>
  <w:p w:rsidR="002B54DB" w14:paraId="182EB5B9" w14:textId="77777777">
    <w:pPr>
      <w:pStyle w:val="Header"/>
      <w:tabs>
        <w:tab w:val="clear" w:pos="4320"/>
      </w:tabs>
      <w:jc w:val="center"/>
      <w:rPr>
        <w:sz w:val="22"/>
      </w:rPr>
    </w:pPr>
  </w:p>
  <w:p w:rsidR="002B54DB" w14:paraId="52FE3387" w14:textId="6963DD8F">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836EA8">
      <w:rPr>
        <w:noProof/>
        <w:sz w:val="24"/>
      </w:rPr>
      <w:t>August 8, 2023</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CE"/>
    <w:rsid w:val="00022296"/>
    <w:rsid w:val="00035EA3"/>
    <w:rsid w:val="00036513"/>
    <w:rsid w:val="00041E4F"/>
    <w:rsid w:val="00046B62"/>
    <w:rsid w:val="00047487"/>
    <w:rsid w:val="00050EAF"/>
    <w:rsid w:val="00062196"/>
    <w:rsid w:val="00064A60"/>
    <w:rsid w:val="00072BF2"/>
    <w:rsid w:val="00073744"/>
    <w:rsid w:val="0008087F"/>
    <w:rsid w:val="00080D61"/>
    <w:rsid w:val="00086D25"/>
    <w:rsid w:val="00096AE9"/>
    <w:rsid w:val="000B2815"/>
    <w:rsid w:val="000D64DF"/>
    <w:rsid w:val="000D65FA"/>
    <w:rsid w:val="000D67DD"/>
    <w:rsid w:val="000E614C"/>
    <w:rsid w:val="000E6B47"/>
    <w:rsid w:val="000F2799"/>
    <w:rsid w:val="000F4325"/>
    <w:rsid w:val="000F4C05"/>
    <w:rsid w:val="00117200"/>
    <w:rsid w:val="00131B0F"/>
    <w:rsid w:val="001333F1"/>
    <w:rsid w:val="0014617F"/>
    <w:rsid w:val="00152803"/>
    <w:rsid w:val="00160D1C"/>
    <w:rsid w:val="00166BBE"/>
    <w:rsid w:val="00166D21"/>
    <w:rsid w:val="00174B35"/>
    <w:rsid w:val="00187CC5"/>
    <w:rsid w:val="001965A4"/>
    <w:rsid w:val="001B2238"/>
    <w:rsid w:val="001B543A"/>
    <w:rsid w:val="001C7A18"/>
    <w:rsid w:val="001D0198"/>
    <w:rsid w:val="001D41E6"/>
    <w:rsid w:val="001F64C4"/>
    <w:rsid w:val="00204CE3"/>
    <w:rsid w:val="0020554A"/>
    <w:rsid w:val="00210F0B"/>
    <w:rsid w:val="00217B18"/>
    <w:rsid w:val="00231AB3"/>
    <w:rsid w:val="0024752A"/>
    <w:rsid w:val="0025051F"/>
    <w:rsid w:val="00251CD1"/>
    <w:rsid w:val="00276F4E"/>
    <w:rsid w:val="002819B4"/>
    <w:rsid w:val="00294CC7"/>
    <w:rsid w:val="002B54DB"/>
    <w:rsid w:val="002C2C6C"/>
    <w:rsid w:val="002D74E1"/>
    <w:rsid w:val="002F78A1"/>
    <w:rsid w:val="00301402"/>
    <w:rsid w:val="00315B76"/>
    <w:rsid w:val="00321F4E"/>
    <w:rsid w:val="0033120A"/>
    <w:rsid w:val="00341A9E"/>
    <w:rsid w:val="00346070"/>
    <w:rsid w:val="00351542"/>
    <w:rsid w:val="003523DB"/>
    <w:rsid w:val="00353690"/>
    <w:rsid w:val="00363618"/>
    <w:rsid w:val="003679DF"/>
    <w:rsid w:val="0037133C"/>
    <w:rsid w:val="00376DD0"/>
    <w:rsid w:val="003811DE"/>
    <w:rsid w:val="00387DD4"/>
    <w:rsid w:val="00390F05"/>
    <w:rsid w:val="0039558B"/>
    <w:rsid w:val="003E5FEF"/>
    <w:rsid w:val="003F5B9A"/>
    <w:rsid w:val="004009E3"/>
    <w:rsid w:val="004108C2"/>
    <w:rsid w:val="004143EC"/>
    <w:rsid w:val="00444428"/>
    <w:rsid w:val="00444DF6"/>
    <w:rsid w:val="00454347"/>
    <w:rsid w:val="00463FFC"/>
    <w:rsid w:val="00464DCA"/>
    <w:rsid w:val="00476176"/>
    <w:rsid w:val="004877B6"/>
    <w:rsid w:val="004B2D81"/>
    <w:rsid w:val="004B674B"/>
    <w:rsid w:val="004D3B53"/>
    <w:rsid w:val="004F346E"/>
    <w:rsid w:val="004F3E26"/>
    <w:rsid w:val="004F6104"/>
    <w:rsid w:val="00500149"/>
    <w:rsid w:val="00510800"/>
    <w:rsid w:val="005115F6"/>
    <w:rsid w:val="00542DD9"/>
    <w:rsid w:val="00542FA0"/>
    <w:rsid w:val="00554ECE"/>
    <w:rsid w:val="00563892"/>
    <w:rsid w:val="00565CBE"/>
    <w:rsid w:val="00567F6B"/>
    <w:rsid w:val="00577E50"/>
    <w:rsid w:val="005D279D"/>
    <w:rsid w:val="005D7A71"/>
    <w:rsid w:val="00610428"/>
    <w:rsid w:val="006174BF"/>
    <w:rsid w:val="006369CE"/>
    <w:rsid w:val="00643AB8"/>
    <w:rsid w:val="006574A9"/>
    <w:rsid w:val="00661B38"/>
    <w:rsid w:val="0067254F"/>
    <w:rsid w:val="00696F8B"/>
    <w:rsid w:val="006A7653"/>
    <w:rsid w:val="006B1D2B"/>
    <w:rsid w:val="006C4738"/>
    <w:rsid w:val="006C6D2A"/>
    <w:rsid w:val="006E07EA"/>
    <w:rsid w:val="006E5078"/>
    <w:rsid w:val="006F584E"/>
    <w:rsid w:val="006F5A67"/>
    <w:rsid w:val="006F6275"/>
    <w:rsid w:val="007174F0"/>
    <w:rsid w:val="00717E7C"/>
    <w:rsid w:val="0072674A"/>
    <w:rsid w:val="007423DB"/>
    <w:rsid w:val="00755F33"/>
    <w:rsid w:val="00756A18"/>
    <w:rsid w:val="007767BD"/>
    <w:rsid w:val="007832D0"/>
    <w:rsid w:val="00793C3F"/>
    <w:rsid w:val="007A7858"/>
    <w:rsid w:val="007B3679"/>
    <w:rsid w:val="007C3C55"/>
    <w:rsid w:val="007C603E"/>
    <w:rsid w:val="007E5E12"/>
    <w:rsid w:val="007E6112"/>
    <w:rsid w:val="007F6C08"/>
    <w:rsid w:val="008022DF"/>
    <w:rsid w:val="00810DC7"/>
    <w:rsid w:val="00812E51"/>
    <w:rsid w:val="0081440E"/>
    <w:rsid w:val="0082654C"/>
    <w:rsid w:val="0082756B"/>
    <w:rsid w:val="00836EA8"/>
    <w:rsid w:val="008602CE"/>
    <w:rsid w:val="00864B29"/>
    <w:rsid w:val="00876A22"/>
    <w:rsid w:val="00883024"/>
    <w:rsid w:val="008B7D3D"/>
    <w:rsid w:val="008C3DB5"/>
    <w:rsid w:val="008C4937"/>
    <w:rsid w:val="008D5DAA"/>
    <w:rsid w:val="008E13FE"/>
    <w:rsid w:val="008E20DC"/>
    <w:rsid w:val="00924B3E"/>
    <w:rsid w:val="00931571"/>
    <w:rsid w:val="00950F56"/>
    <w:rsid w:val="0095418C"/>
    <w:rsid w:val="00974FD3"/>
    <w:rsid w:val="00983083"/>
    <w:rsid w:val="009A6B1D"/>
    <w:rsid w:val="009B6792"/>
    <w:rsid w:val="009C6958"/>
    <w:rsid w:val="009E371C"/>
    <w:rsid w:val="009F3A99"/>
    <w:rsid w:val="00A117FE"/>
    <w:rsid w:val="00A2424D"/>
    <w:rsid w:val="00A2732A"/>
    <w:rsid w:val="00A30E07"/>
    <w:rsid w:val="00A31440"/>
    <w:rsid w:val="00A34FA5"/>
    <w:rsid w:val="00A3597E"/>
    <w:rsid w:val="00A369DA"/>
    <w:rsid w:val="00A4311D"/>
    <w:rsid w:val="00A751BF"/>
    <w:rsid w:val="00A7629C"/>
    <w:rsid w:val="00A776C5"/>
    <w:rsid w:val="00A80E0D"/>
    <w:rsid w:val="00A859AE"/>
    <w:rsid w:val="00A9208D"/>
    <w:rsid w:val="00A97DFF"/>
    <w:rsid w:val="00AC4013"/>
    <w:rsid w:val="00AC75D5"/>
    <w:rsid w:val="00AD346D"/>
    <w:rsid w:val="00AE5215"/>
    <w:rsid w:val="00B12059"/>
    <w:rsid w:val="00B23BEC"/>
    <w:rsid w:val="00B24277"/>
    <w:rsid w:val="00B5178C"/>
    <w:rsid w:val="00B55031"/>
    <w:rsid w:val="00B63591"/>
    <w:rsid w:val="00B71971"/>
    <w:rsid w:val="00B90B07"/>
    <w:rsid w:val="00B92556"/>
    <w:rsid w:val="00B926F0"/>
    <w:rsid w:val="00B955A0"/>
    <w:rsid w:val="00BC281C"/>
    <w:rsid w:val="00BC3093"/>
    <w:rsid w:val="00BD1038"/>
    <w:rsid w:val="00BE13D1"/>
    <w:rsid w:val="00BE1923"/>
    <w:rsid w:val="00BF2F35"/>
    <w:rsid w:val="00C01050"/>
    <w:rsid w:val="00C17504"/>
    <w:rsid w:val="00C2771B"/>
    <w:rsid w:val="00C81864"/>
    <w:rsid w:val="00C8370D"/>
    <w:rsid w:val="00CD4CBF"/>
    <w:rsid w:val="00CD5F77"/>
    <w:rsid w:val="00CE29F9"/>
    <w:rsid w:val="00D916F7"/>
    <w:rsid w:val="00D938E8"/>
    <w:rsid w:val="00DC50BF"/>
    <w:rsid w:val="00DC56BF"/>
    <w:rsid w:val="00DE7292"/>
    <w:rsid w:val="00E005CB"/>
    <w:rsid w:val="00E17A52"/>
    <w:rsid w:val="00E33903"/>
    <w:rsid w:val="00E4035F"/>
    <w:rsid w:val="00E56B6E"/>
    <w:rsid w:val="00E84B02"/>
    <w:rsid w:val="00E85EF1"/>
    <w:rsid w:val="00EC64A5"/>
    <w:rsid w:val="00ED0B87"/>
    <w:rsid w:val="00EF220A"/>
    <w:rsid w:val="00F555A4"/>
    <w:rsid w:val="00F62773"/>
    <w:rsid w:val="00F6451C"/>
    <w:rsid w:val="00F647D4"/>
    <w:rsid w:val="00F80A64"/>
    <w:rsid w:val="00F850E3"/>
    <w:rsid w:val="00FA3F36"/>
    <w:rsid w:val="00FA5266"/>
    <w:rsid w:val="00FC41FC"/>
    <w:rsid w:val="00FD1226"/>
    <w:rsid w:val="00FD56FD"/>
    <w:rsid w:val="00FF1540"/>
    <w:rsid w:val="00FF4F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CA7522"/>
  <w15:chartTrackingRefBased/>
  <w15:docId w15:val="{770CD9CE-A8CB-43B9-B24A-82F32923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aliases w:val="(NECG) Footnote Reference,Appel note de bas de p,Style 12,Style 124,Style 13,Style 3,fr,o"/>
    <w:uiPriority w:val="99"/>
    <w:semiHidden/>
    <w:rsid w:val="00554ECE"/>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
    <w:basedOn w:val="Normal"/>
    <w:link w:val="FootnoteTextChar1"/>
    <w:semiHidden/>
    <w:rsid w:val="00554ECE"/>
  </w:style>
  <w:style w:type="character" w:customStyle="1" w:styleId="FootnoteTextChar">
    <w:name w:val="Footnote Text Char"/>
    <w:basedOn w:val="DefaultParagraphFont"/>
    <w:uiPriority w:val="99"/>
    <w:semiHidden/>
    <w:rsid w:val="00554ECE"/>
  </w:style>
  <w:style w:type="paragraph" w:styleId="NormalWeb">
    <w:name w:val="Normal (Web)"/>
    <w:basedOn w:val="Normal"/>
    <w:uiPriority w:val="99"/>
    <w:rsid w:val="00554ECE"/>
    <w:pPr>
      <w:spacing w:before="100" w:beforeAutospacing="1" w:after="100" w:afterAutospacing="1"/>
    </w:pPr>
    <w:rPr>
      <w:sz w:val="24"/>
      <w:szCs w:val="24"/>
    </w:rPr>
  </w:style>
  <w:style w:type="character" w:customStyle="1" w:styleId="FootnoteTextChar1">
    <w:name w:val="Footnote Text Char1"/>
    <w:aliases w:val="Footnote Text Char Char Char Char,Footnote Text Char Char Char Char Char Char,Footnote Text Char1 Char Char Char Char,Footnote Text Char1 Char1 Char,Footnote Text Char2 Char,Footnote Text Char2 Char Char Char Char Char Char,f Char"/>
    <w:link w:val="FootnoteText"/>
    <w:semiHidden/>
    <w:rsid w:val="00554ECE"/>
  </w:style>
  <w:style w:type="character" w:customStyle="1" w:styleId="cosearchterm">
    <w:name w:val="co_searchterm"/>
    <w:rsid w:val="00554ECE"/>
  </w:style>
  <w:style w:type="character" w:styleId="Hyperlink">
    <w:name w:val="Hyperlink"/>
    <w:basedOn w:val="DefaultParagraphFont"/>
    <w:uiPriority w:val="99"/>
    <w:unhideWhenUsed/>
    <w:rsid w:val="00294CC7"/>
    <w:rPr>
      <w:color w:val="0563C1" w:themeColor="hyperlink"/>
      <w:u w:val="single"/>
    </w:rPr>
  </w:style>
  <w:style w:type="character" w:styleId="UnresolvedMention">
    <w:name w:val="Unresolved Mention"/>
    <w:basedOn w:val="DefaultParagraphFont"/>
    <w:uiPriority w:val="99"/>
    <w:semiHidden/>
    <w:unhideWhenUsed/>
    <w:rsid w:val="00294CC7"/>
    <w:rPr>
      <w:color w:val="605E5C"/>
      <w:shd w:val="clear" w:color="auto" w:fill="E1DFDD"/>
    </w:rPr>
  </w:style>
  <w:style w:type="paragraph" w:styleId="Revision">
    <w:name w:val="Revision"/>
    <w:hidden/>
    <w:uiPriority w:val="99"/>
    <w:semiHidden/>
    <w:rsid w:val="00E005CB"/>
  </w:style>
  <w:style w:type="character" w:styleId="CommentReference">
    <w:name w:val="annotation reference"/>
    <w:basedOn w:val="DefaultParagraphFont"/>
    <w:uiPriority w:val="99"/>
    <w:semiHidden/>
    <w:unhideWhenUsed/>
    <w:rsid w:val="002819B4"/>
    <w:rPr>
      <w:sz w:val="16"/>
      <w:szCs w:val="16"/>
    </w:rPr>
  </w:style>
  <w:style w:type="paragraph" w:styleId="CommentText">
    <w:name w:val="annotation text"/>
    <w:basedOn w:val="Normal"/>
    <w:link w:val="CommentTextChar"/>
    <w:uiPriority w:val="99"/>
    <w:unhideWhenUsed/>
    <w:rsid w:val="002819B4"/>
  </w:style>
  <w:style w:type="character" w:customStyle="1" w:styleId="CommentTextChar">
    <w:name w:val="Comment Text Char"/>
    <w:basedOn w:val="DefaultParagraphFont"/>
    <w:link w:val="CommentText"/>
    <w:uiPriority w:val="99"/>
    <w:rsid w:val="002819B4"/>
  </w:style>
  <w:style w:type="paragraph" w:styleId="CommentSubject">
    <w:name w:val="annotation subject"/>
    <w:basedOn w:val="CommentText"/>
    <w:next w:val="CommentText"/>
    <w:link w:val="CommentSubjectChar"/>
    <w:uiPriority w:val="99"/>
    <w:semiHidden/>
    <w:unhideWhenUsed/>
    <w:rsid w:val="002819B4"/>
    <w:rPr>
      <w:b/>
      <w:bCs/>
    </w:rPr>
  </w:style>
  <w:style w:type="character" w:customStyle="1" w:styleId="CommentSubjectChar">
    <w:name w:val="Comment Subject Char"/>
    <w:basedOn w:val="CommentTextChar"/>
    <w:link w:val="CommentSubject"/>
    <w:uiPriority w:val="99"/>
    <w:semiHidden/>
    <w:rsid w:val="002819B4"/>
    <w:rPr>
      <w:b/>
      <w:bCs/>
    </w:rPr>
  </w:style>
  <w:style w:type="character" w:customStyle="1" w:styleId="FooterChar">
    <w:name w:val="Footer Char"/>
    <w:basedOn w:val="DefaultParagraphFont"/>
    <w:link w:val="Footer"/>
    <w:uiPriority w:val="99"/>
    <w:rsid w:val="00D9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sashkin@bakerlaw.com"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