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70F10" w:rsidP="00F70F10" w14:paraId="762B9BDC" w14:textId="77777777">
      <w:pPr>
        <w:jc w:val="right"/>
        <w:rPr>
          <w:b/>
          <w:sz w:val="24"/>
        </w:rPr>
      </w:pPr>
      <w:bookmarkStart w:id="0" w:name="_Hlk30515138"/>
    </w:p>
    <w:p w:rsidR="00F70F10" w:rsidRPr="00B20363" w:rsidP="00F70F10" w14:paraId="05220693" w14:textId="3C7A5BBF">
      <w:pPr>
        <w:jc w:val="right"/>
        <w:rPr>
          <w:b/>
          <w:sz w:val="24"/>
        </w:rPr>
      </w:pPr>
      <w:r>
        <w:rPr>
          <w:b/>
          <w:sz w:val="24"/>
        </w:rPr>
        <w:t xml:space="preserve">DA No. </w:t>
      </w:r>
      <w:r w:rsidR="00EB3E67">
        <w:rPr>
          <w:b/>
          <w:sz w:val="24"/>
        </w:rPr>
        <w:t>23</w:t>
      </w:r>
      <w:r>
        <w:rPr>
          <w:b/>
          <w:sz w:val="24"/>
        </w:rPr>
        <w:t>-</w:t>
      </w:r>
      <w:r w:rsidR="00395974">
        <w:rPr>
          <w:b/>
          <w:sz w:val="24"/>
        </w:rPr>
        <w:t>687</w:t>
      </w:r>
    </w:p>
    <w:p w:rsidR="00F70F10" w:rsidRPr="00B20363" w:rsidP="37A7C5FA" w14:paraId="0562D699" w14:textId="73EFF135">
      <w:pPr>
        <w:spacing w:before="60"/>
        <w:jc w:val="right"/>
        <w:rPr>
          <w:b/>
          <w:bCs/>
          <w:sz w:val="24"/>
          <w:szCs w:val="24"/>
        </w:rPr>
      </w:pPr>
      <w:r w:rsidRPr="37A7C5FA">
        <w:rPr>
          <w:b/>
          <w:bCs/>
          <w:sz w:val="24"/>
          <w:szCs w:val="24"/>
        </w:rPr>
        <w:t xml:space="preserve">Released:  </w:t>
      </w:r>
      <w:r w:rsidR="00FD7E7C">
        <w:rPr>
          <w:b/>
          <w:bCs/>
          <w:sz w:val="24"/>
          <w:szCs w:val="24"/>
        </w:rPr>
        <w:t xml:space="preserve">August </w:t>
      </w:r>
      <w:r w:rsidR="00FB7F04">
        <w:rPr>
          <w:b/>
          <w:bCs/>
          <w:sz w:val="24"/>
          <w:szCs w:val="24"/>
        </w:rPr>
        <w:t>11</w:t>
      </w:r>
      <w:r w:rsidR="00FD7E7C">
        <w:rPr>
          <w:b/>
          <w:bCs/>
          <w:sz w:val="24"/>
          <w:szCs w:val="24"/>
        </w:rPr>
        <w:t>,</w:t>
      </w:r>
      <w:r w:rsidRPr="37A7C5FA">
        <w:rPr>
          <w:b/>
          <w:bCs/>
          <w:sz w:val="24"/>
          <w:szCs w:val="24"/>
        </w:rPr>
        <w:t xml:space="preserve"> 202</w:t>
      </w:r>
      <w:r w:rsidR="00EB3E67">
        <w:rPr>
          <w:b/>
          <w:bCs/>
          <w:sz w:val="24"/>
          <w:szCs w:val="24"/>
        </w:rPr>
        <w:t>3</w:t>
      </w:r>
    </w:p>
    <w:p w:rsidR="00F70F10" w:rsidP="00F70F10" w14:paraId="3BCF70F7" w14:textId="77777777">
      <w:pPr>
        <w:jc w:val="right"/>
        <w:rPr>
          <w:sz w:val="24"/>
        </w:rPr>
      </w:pPr>
    </w:p>
    <w:p w:rsidR="00F70F10" w:rsidP="009748F8" w14:paraId="202D9537" w14:textId="26D84850">
      <w:pPr>
        <w:spacing w:after="240"/>
        <w:jc w:val="center"/>
        <w:rPr>
          <w:b/>
          <w:szCs w:val="18"/>
        </w:rPr>
      </w:pPr>
      <w:r>
        <w:rPr>
          <w:b/>
          <w:szCs w:val="18"/>
        </w:rPr>
        <w:t xml:space="preserve">97.5 </w:t>
      </w:r>
      <w:r w:rsidR="00232499">
        <w:rPr>
          <w:b/>
          <w:szCs w:val="18"/>
        </w:rPr>
        <w:t>LICENSEE</w:t>
      </w:r>
      <w:r>
        <w:rPr>
          <w:b/>
          <w:szCs w:val="18"/>
        </w:rPr>
        <w:t xml:space="preserve"> TX, LLC </w:t>
      </w:r>
      <w:r>
        <w:rPr>
          <w:b/>
          <w:szCs w:val="18"/>
        </w:rPr>
        <w:t>SEEKS FOREIGN OWNERSHIP RULING PURSUANT TO SECTION 310(b)(4) OF THE COMMUNICATIONS ACT OF 1934, AS AMENDED</w:t>
      </w:r>
    </w:p>
    <w:p w:rsidR="00F70F10" w:rsidRPr="00B20363" w:rsidP="00F70F10" w14:paraId="0FC21E86" w14:textId="77777777">
      <w:pPr>
        <w:spacing w:after="240"/>
        <w:jc w:val="center"/>
        <w:rPr>
          <w:rFonts w:ascii="Times New Roman Bold" w:hAnsi="Times New Roman Bold"/>
          <w:b/>
          <w:caps/>
          <w:sz w:val="24"/>
        </w:rPr>
      </w:pPr>
      <w:r>
        <w:rPr>
          <w:b/>
          <w:szCs w:val="18"/>
        </w:rPr>
        <w:t>PLEADING CYCLE ESTABLISHED</w:t>
      </w:r>
    </w:p>
    <w:p w:rsidR="00F70F10" w:rsidRPr="00877484" w:rsidP="00F70F10" w14:paraId="2519AF5B" w14:textId="440DC3D2">
      <w:pPr>
        <w:jc w:val="center"/>
        <w:rPr>
          <w:b/>
          <w:szCs w:val="22"/>
        </w:rPr>
      </w:pPr>
      <w:r w:rsidRPr="00877484">
        <w:rPr>
          <w:b/>
          <w:szCs w:val="22"/>
        </w:rPr>
        <w:t xml:space="preserve">MB Docket No. </w:t>
      </w:r>
      <w:r w:rsidRPr="00877484" w:rsidR="00EB3E67">
        <w:rPr>
          <w:b/>
          <w:szCs w:val="22"/>
        </w:rPr>
        <w:t>23</w:t>
      </w:r>
      <w:r w:rsidRPr="00877484">
        <w:rPr>
          <w:b/>
          <w:szCs w:val="22"/>
        </w:rPr>
        <w:t>-</w:t>
      </w:r>
      <w:r w:rsidR="00395974">
        <w:rPr>
          <w:b/>
          <w:szCs w:val="22"/>
        </w:rPr>
        <w:t>275</w:t>
      </w:r>
    </w:p>
    <w:p w:rsidR="00F70F10" w:rsidP="00F70F10" w14:paraId="65690422" w14:textId="77777777">
      <w:pPr>
        <w:rPr>
          <w:sz w:val="24"/>
        </w:rPr>
      </w:pPr>
    </w:p>
    <w:p w:rsidR="00F70F10" w:rsidRPr="00D469EF" w:rsidP="37A7C5FA" w14:paraId="08D07089" w14:textId="6C3FF020">
      <w:pPr>
        <w:rPr>
          <w:b/>
          <w:bCs/>
        </w:rPr>
      </w:pPr>
      <w:r w:rsidRPr="00D469EF">
        <w:rPr>
          <w:b/>
          <w:bCs/>
        </w:rPr>
        <w:t xml:space="preserve">Comment Date:  </w:t>
      </w:r>
      <w:r w:rsidR="00232499">
        <w:rPr>
          <w:b/>
          <w:bCs/>
        </w:rPr>
        <w:t>September</w:t>
      </w:r>
      <w:r w:rsidR="00FB7F04">
        <w:rPr>
          <w:b/>
          <w:bCs/>
        </w:rPr>
        <w:t xml:space="preserve"> 11</w:t>
      </w:r>
      <w:r w:rsidRPr="00D469EF">
        <w:rPr>
          <w:b/>
          <w:bCs/>
        </w:rPr>
        <w:t>, 202</w:t>
      </w:r>
      <w:r w:rsidRPr="00D469EF" w:rsidR="00EB3E67">
        <w:rPr>
          <w:b/>
          <w:bCs/>
        </w:rPr>
        <w:t>3</w:t>
      </w:r>
    </w:p>
    <w:p w:rsidR="00F70F10" w:rsidP="00F70F10" w14:paraId="3F79E5A0" w14:textId="2C81A0A3">
      <w:r w:rsidRPr="00D469EF">
        <w:rPr>
          <w:b/>
          <w:bCs/>
        </w:rPr>
        <w:t xml:space="preserve">Reply Date:  </w:t>
      </w:r>
      <w:r w:rsidR="00232499">
        <w:rPr>
          <w:b/>
          <w:bCs/>
        </w:rPr>
        <w:t xml:space="preserve">September </w:t>
      </w:r>
      <w:r w:rsidR="00FB7F04">
        <w:rPr>
          <w:b/>
          <w:bCs/>
        </w:rPr>
        <w:t>26</w:t>
      </w:r>
      <w:r w:rsidRPr="00D469EF">
        <w:rPr>
          <w:b/>
          <w:bCs/>
        </w:rPr>
        <w:t>, 202</w:t>
      </w:r>
      <w:r w:rsidRPr="00D469EF" w:rsidR="00EB3E67">
        <w:rPr>
          <w:b/>
          <w:bCs/>
        </w:rPr>
        <w:t>3</w:t>
      </w:r>
    </w:p>
    <w:p w:rsidR="00F70F10" w:rsidP="00F70F10" w14:paraId="426B0B42" w14:textId="77777777">
      <w:pPr>
        <w:rPr>
          <w:szCs w:val="18"/>
        </w:rPr>
      </w:pPr>
    </w:p>
    <w:p w:rsidR="00D503D8" w:rsidP="00F70F10" w14:paraId="0CFB182B" w14:textId="4803EE92">
      <w:pPr>
        <w:ind w:firstLine="720"/>
      </w:pPr>
      <w:r>
        <w:t>97.5 Licensee TX, LLC (97.5 Licensee)</w:t>
      </w:r>
      <w:r>
        <w:rPr>
          <w:rStyle w:val="FootnoteReference"/>
        </w:rPr>
        <w:footnoteReference w:id="3"/>
      </w:r>
      <w:r w:rsidRPr="37A7C5FA" w:rsidR="00F70F10">
        <w:t xml:space="preserve"> </w:t>
      </w:r>
      <w:r w:rsidR="00D655AC">
        <w:t xml:space="preserve">filed a </w:t>
      </w:r>
      <w:r w:rsidRPr="37A7C5FA" w:rsidR="00D655AC">
        <w:t>petition for declaratory ruling</w:t>
      </w:r>
      <w:r w:rsidRPr="00C851FD" w:rsidR="00D655AC">
        <w:t xml:space="preserve"> </w:t>
      </w:r>
      <w:r w:rsidR="00834C68">
        <w:t>requesting that</w:t>
      </w:r>
      <w:r w:rsidRPr="37A7C5FA" w:rsidR="00F70F10">
        <w:t xml:space="preserve"> the Federal Communications Commission </w:t>
      </w:r>
      <w:r w:rsidR="00834C68">
        <w:t xml:space="preserve">(Commission) </w:t>
      </w:r>
      <w:r w:rsidRPr="37A7C5FA" w:rsidR="00F70F10">
        <w:t>find, pursuant to section 310(b)(4) of the Communications Act of 1934, as amended, (Act)</w:t>
      </w:r>
      <w:r>
        <w:rPr>
          <w:rStyle w:val="FootnoteReference"/>
        </w:rPr>
        <w:footnoteReference w:id="4"/>
      </w:r>
      <w:r w:rsidRPr="37A7C5FA" w:rsidR="00F70F10">
        <w:t xml:space="preserve"> and section 1.5000(a)(1) of the Commission’s rules,</w:t>
      </w:r>
      <w:r>
        <w:rPr>
          <w:rStyle w:val="FootnoteReference"/>
        </w:rPr>
        <w:footnoteReference w:id="5"/>
      </w:r>
      <w:r w:rsidR="00F70F10">
        <w:rPr>
          <w:szCs w:val="22"/>
        </w:rPr>
        <w:t xml:space="preserve"> </w:t>
      </w:r>
      <w:r w:rsidRPr="37A7C5FA" w:rsidR="00F70F10">
        <w:t xml:space="preserve">that it would serve the public interest to allow </w:t>
      </w:r>
      <w:r>
        <w:t>97.5 Licensee</w:t>
      </w:r>
      <w:r w:rsidRPr="37A7C5FA" w:rsidR="00F70F10">
        <w:t xml:space="preserve"> to accept foreign investment in excess of the 25% benchmarks set forth in section 310(b)(4).</w:t>
      </w:r>
      <w:r>
        <w:rPr>
          <w:rStyle w:val="FootnoteReference"/>
        </w:rPr>
        <w:footnoteReference w:id="6"/>
      </w:r>
      <w:r w:rsidRPr="37A7C5FA" w:rsidR="00F70F10">
        <w:t xml:space="preserve">  Specifically, </w:t>
      </w:r>
      <w:r>
        <w:t>97.5 Licensee</w:t>
      </w:r>
      <w:r w:rsidRPr="37A7C5FA">
        <w:t xml:space="preserve"> </w:t>
      </w:r>
      <w:r w:rsidRPr="37A7C5FA" w:rsidR="00F70F10">
        <w:t>seeks a Commission ruling to (1) permit</w:t>
      </w:r>
      <w:r>
        <w:t xml:space="preserve"> </w:t>
      </w:r>
      <w:r w:rsidRPr="37A7C5FA" w:rsidR="00F70F10">
        <w:t>100% aggregate foreign investment (voting and equity) in the company, and (2) specifically approve</w:t>
      </w:r>
      <w:bookmarkStart w:id="2" w:name="_Ref141804165"/>
      <w:r>
        <w:rPr>
          <w:rStyle w:val="FootnoteReference"/>
        </w:rPr>
        <w:footnoteReference w:id="7"/>
      </w:r>
      <w:bookmarkEnd w:id="2"/>
      <w:r w:rsidRPr="37A7C5FA" w:rsidR="00F70F10">
        <w:t xml:space="preserve"> </w:t>
      </w:r>
      <w:r>
        <w:t>Lorena Margarita Perez Toscano</w:t>
      </w:r>
      <w:r w:rsidR="008C6737">
        <w:t xml:space="preserve">, </w:t>
      </w:r>
      <w:r w:rsidR="00C84B74">
        <w:t>a c</w:t>
      </w:r>
      <w:r w:rsidR="00254040">
        <w:t>itizen of Mexico, to hold 100%</w:t>
      </w:r>
      <w:r w:rsidR="00C27964">
        <w:t xml:space="preserve"> </w:t>
      </w:r>
      <w:r w:rsidR="00997D92">
        <w:t xml:space="preserve">of the </w:t>
      </w:r>
      <w:r w:rsidR="00402962">
        <w:t xml:space="preserve">equity and </w:t>
      </w:r>
      <w:r w:rsidR="00C27964">
        <w:t xml:space="preserve">voting </w:t>
      </w:r>
      <w:r w:rsidR="00402962">
        <w:t>interest</w:t>
      </w:r>
      <w:r w:rsidR="00A63004">
        <w:t>s</w:t>
      </w:r>
      <w:r w:rsidR="00254040">
        <w:t xml:space="preserve"> </w:t>
      </w:r>
      <w:r w:rsidR="008C6737">
        <w:t>in the licensee’s controlling U.S. parent</w:t>
      </w:r>
      <w:r w:rsidRPr="37A7C5FA" w:rsidR="00F70F10">
        <w:t>.</w:t>
      </w:r>
      <w:r>
        <w:rPr>
          <w:rStyle w:val="FootnoteReference"/>
        </w:rPr>
        <w:footnoteReference w:id="8"/>
      </w:r>
      <w:r w:rsidR="00F70F10">
        <w:rPr>
          <w:szCs w:val="18"/>
        </w:rPr>
        <w:t xml:space="preserve"> </w:t>
      </w:r>
      <w:r w:rsidRPr="37A7C5FA" w:rsidR="00F70F10">
        <w:t xml:space="preserve"> </w:t>
      </w:r>
    </w:p>
    <w:p w:rsidR="00D503D8" w:rsidP="00F70F10" w14:paraId="43974BC9" w14:textId="77777777">
      <w:pPr>
        <w:ind w:firstLine="720"/>
      </w:pPr>
    </w:p>
    <w:p w:rsidR="004103C5" w:rsidRPr="00D84F4F" w:rsidP="00D84F4F" w14:paraId="1615A4F4" w14:textId="728AC6E3">
      <w:pPr>
        <w:ind w:firstLine="720"/>
        <w:rPr>
          <w:szCs w:val="22"/>
        </w:rPr>
      </w:pPr>
      <w:r>
        <w:rPr>
          <w:szCs w:val="18"/>
        </w:rPr>
        <w:t xml:space="preserve">97.5 Licensee seeks this declaratory ruling in connection with the proposed transfer of control of stations </w:t>
      </w:r>
      <w:r w:rsidRPr="004103C5">
        <w:rPr>
          <w:szCs w:val="18"/>
        </w:rPr>
        <w:t>KBNA-FM, El Paso, TX (Facility ID No. 67066), KAMA(AM), El Paso, TX (Facility ID No. 36948), and KQBU(AM), El Paso, TX (Facility ID No. 67065)</w:t>
      </w:r>
      <w:r>
        <w:rPr>
          <w:szCs w:val="18"/>
        </w:rPr>
        <w:t xml:space="preserve">, licensed to 97.5 Licensee.  </w:t>
      </w:r>
      <w:r w:rsidR="007A261D">
        <w:t xml:space="preserve">As detailed </w:t>
      </w:r>
      <w:r>
        <w:t>in the Petition and the related application for transfer of control,</w:t>
      </w:r>
      <w:r>
        <w:t xml:space="preserve"> presently</w:t>
      </w:r>
      <w:r>
        <w:t xml:space="preserve"> 97.5 Licensee (a U.S. limited liability company registered in Texas) is wholly owned by 97.5 Holdings Inc. (a U.S. corporation registered in Texas), which in turn is wholly owned (100% voting and 100% equity) by Luz Maria Rygaard, a U.S. citizen.  As a result of the proposed transfer of control, ownership of 100% of the voting and 100% of the equity interest of 97.5 Holdings Inc. would be transferred to Lorena Margarita Perez Toscano, a Mexican citizen.</w:t>
      </w:r>
      <w:r>
        <w:rPr>
          <w:rStyle w:val="FootnoteReference"/>
        </w:rPr>
        <w:footnoteReference w:id="9"/>
      </w:r>
      <w:r w:rsidR="00F70F10">
        <w:rPr>
          <w:szCs w:val="22"/>
        </w:rPr>
        <w:t xml:space="preserve">  </w:t>
      </w:r>
      <w:r>
        <w:rPr>
          <w:szCs w:val="18"/>
        </w:rPr>
        <w:t xml:space="preserve">   </w:t>
      </w:r>
      <w:r w:rsidR="00085A8C">
        <w:rPr>
          <w:szCs w:val="18"/>
        </w:rPr>
        <w:t xml:space="preserve"> </w:t>
      </w:r>
    </w:p>
    <w:p w:rsidR="004103C5" w:rsidP="005D4EA1" w14:paraId="7BE6C8A0" w14:textId="77777777">
      <w:pPr>
        <w:ind w:firstLine="720"/>
        <w:rPr>
          <w:szCs w:val="18"/>
        </w:rPr>
      </w:pPr>
    </w:p>
    <w:p w:rsidR="005B753D" w:rsidRPr="00A03240" w:rsidP="00D84F4F" w14:paraId="5FA5ABC2" w14:textId="09A411A9">
      <w:pPr>
        <w:ind w:firstLine="720"/>
        <w:rPr>
          <w:snapToGrid/>
          <w:kern w:val="0"/>
          <w:szCs w:val="22"/>
        </w:rPr>
      </w:pPr>
      <w:r>
        <w:rPr>
          <w:szCs w:val="18"/>
        </w:rPr>
        <w:t xml:space="preserve">As the proposed transfer of control would result in </w:t>
      </w:r>
      <w:r w:rsidR="00F138F8">
        <w:rPr>
          <w:szCs w:val="18"/>
        </w:rPr>
        <w:t xml:space="preserve">the ownership of </w:t>
      </w:r>
      <w:r w:rsidRPr="00F138F8" w:rsidR="00F138F8">
        <w:rPr>
          <w:szCs w:val="18"/>
        </w:rPr>
        <w:t>97.5 Holdings Inc.</w:t>
      </w:r>
      <w:r w:rsidR="00F138F8">
        <w:rPr>
          <w:szCs w:val="18"/>
        </w:rPr>
        <w:t xml:space="preserve"> changing from 100% U.S. owned to 100% foreign owned, </w:t>
      </w:r>
      <w:r w:rsidR="00D84F4F">
        <w:rPr>
          <w:szCs w:val="18"/>
        </w:rPr>
        <w:t xml:space="preserve">the Petition </w:t>
      </w:r>
      <w:r w:rsidR="00897B78">
        <w:rPr>
          <w:szCs w:val="18"/>
        </w:rPr>
        <w:t xml:space="preserve">seeks </w:t>
      </w:r>
      <w:r w:rsidRPr="000B07BA" w:rsidR="000B07BA">
        <w:rPr>
          <w:szCs w:val="18"/>
        </w:rPr>
        <w:t xml:space="preserve">a </w:t>
      </w:r>
      <w:r w:rsidR="00E468B2">
        <w:rPr>
          <w:szCs w:val="18"/>
        </w:rPr>
        <w:t>d</w:t>
      </w:r>
      <w:r w:rsidRPr="000B07BA" w:rsidR="000B07BA">
        <w:rPr>
          <w:szCs w:val="18"/>
        </w:rPr>
        <w:t xml:space="preserve">eclaratory </w:t>
      </w:r>
      <w:r w:rsidR="00E468B2">
        <w:rPr>
          <w:szCs w:val="18"/>
        </w:rPr>
        <w:t>r</w:t>
      </w:r>
      <w:r w:rsidRPr="000B07BA" w:rsidR="000B07BA">
        <w:rPr>
          <w:szCs w:val="18"/>
        </w:rPr>
        <w:t xml:space="preserve">uling to increase </w:t>
      </w:r>
      <w:r w:rsidR="00D84F4F">
        <w:rPr>
          <w:szCs w:val="18"/>
        </w:rPr>
        <w:t>97.5 Holdings Inc.’s</w:t>
      </w:r>
      <w:r w:rsidRPr="000B07BA" w:rsidR="000B07BA">
        <w:rPr>
          <w:szCs w:val="18"/>
        </w:rPr>
        <w:t xml:space="preserve"> </w:t>
      </w:r>
      <w:r w:rsidR="00125CA0">
        <w:rPr>
          <w:szCs w:val="18"/>
        </w:rPr>
        <w:t>aggregate</w:t>
      </w:r>
      <w:r w:rsidR="00085A8C">
        <w:rPr>
          <w:szCs w:val="18"/>
        </w:rPr>
        <w:t xml:space="preserve"> </w:t>
      </w:r>
      <w:r w:rsidRPr="000B07BA" w:rsidR="000B07BA">
        <w:rPr>
          <w:szCs w:val="18"/>
        </w:rPr>
        <w:t xml:space="preserve">foreign ownership interests from a combined pre-transfer interest of 0.0% equity and </w:t>
      </w:r>
      <w:r w:rsidR="00D84F4F">
        <w:rPr>
          <w:szCs w:val="18"/>
        </w:rPr>
        <w:t xml:space="preserve">0.0% </w:t>
      </w:r>
      <w:r w:rsidRPr="000B07BA" w:rsidR="000B07BA">
        <w:rPr>
          <w:szCs w:val="18"/>
        </w:rPr>
        <w:t>voting, to a</w:t>
      </w:r>
      <w:r w:rsidR="00085A8C">
        <w:rPr>
          <w:szCs w:val="18"/>
        </w:rPr>
        <w:t xml:space="preserve"> </w:t>
      </w:r>
      <w:r w:rsidRPr="000B07BA" w:rsidR="000B07BA">
        <w:rPr>
          <w:szCs w:val="18"/>
        </w:rPr>
        <w:t xml:space="preserve">post-transfer </w:t>
      </w:r>
      <w:r w:rsidR="00125CA0">
        <w:rPr>
          <w:szCs w:val="18"/>
        </w:rPr>
        <w:t>aggregate</w:t>
      </w:r>
      <w:r w:rsidRPr="000B07BA" w:rsidR="000B07BA">
        <w:rPr>
          <w:szCs w:val="18"/>
        </w:rPr>
        <w:t xml:space="preserve"> foreign ownership interest of 100%, equity and voting.</w:t>
      </w:r>
      <w:r>
        <w:rPr>
          <w:rStyle w:val="FootnoteReference"/>
          <w:szCs w:val="18"/>
        </w:rPr>
        <w:footnoteReference w:id="10"/>
      </w:r>
      <w:r w:rsidR="000B07BA">
        <w:rPr>
          <w:szCs w:val="18"/>
        </w:rPr>
        <w:t xml:space="preserve"> </w:t>
      </w:r>
      <w:r w:rsidR="00D84F4F">
        <w:rPr>
          <w:szCs w:val="18"/>
        </w:rPr>
        <w:t xml:space="preserve">  In addition, the Petition seeks specific </w:t>
      </w:r>
      <w:r w:rsidR="00125CA0">
        <w:rPr>
          <w:szCs w:val="18"/>
        </w:rPr>
        <w:t>approval</w:t>
      </w:r>
      <w:r>
        <w:rPr>
          <w:rStyle w:val="FootnoteReference"/>
          <w:szCs w:val="18"/>
        </w:rPr>
        <w:footnoteReference w:id="11"/>
      </w:r>
      <w:r w:rsidR="00D84F4F">
        <w:rPr>
          <w:szCs w:val="18"/>
        </w:rPr>
        <w:t xml:space="preserve"> for </w:t>
      </w:r>
      <w:r w:rsidR="00D84F4F">
        <w:t xml:space="preserve">Lorena Margarita Perez Toscano, a Mexican citizen, to hold a 100% direct equity and voting interest in </w:t>
      </w:r>
      <w:r w:rsidR="006A2D4A">
        <w:t xml:space="preserve">97.5 Holdings Inc., </w:t>
      </w:r>
      <w:r w:rsidR="00D84F4F">
        <w:t xml:space="preserve">the </w:t>
      </w:r>
      <w:r w:rsidR="00EE7FAE">
        <w:t xml:space="preserve">licensee’s </w:t>
      </w:r>
      <w:r w:rsidR="006A2D4A">
        <w:t>controlling U.S. parent</w:t>
      </w:r>
      <w:r w:rsidR="00D84F4F">
        <w:t>.</w:t>
      </w:r>
      <w:r>
        <w:rPr>
          <w:rStyle w:val="FootnoteReference"/>
        </w:rPr>
        <w:footnoteReference w:id="12"/>
      </w:r>
    </w:p>
    <w:p w:rsidR="00A03240" w:rsidP="005B753D" w14:paraId="7E745EC7" w14:textId="5164E22A">
      <w:pPr>
        <w:rPr>
          <w:szCs w:val="18"/>
        </w:rPr>
      </w:pPr>
    </w:p>
    <w:p w:rsidR="00D84F4F" w:rsidP="001B0D8C" w14:paraId="0500FA0C" w14:textId="41390614">
      <w:pPr>
        <w:widowControl/>
        <w:ind w:firstLine="720"/>
        <w:rPr>
          <w:szCs w:val="18"/>
        </w:rPr>
      </w:pPr>
      <w:r>
        <w:rPr>
          <w:szCs w:val="18"/>
        </w:rPr>
        <w:t xml:space="preserve">97.5 Licensee </w:t>
      </w:r>
      <w:r w:rsidR="00E173D2">
        <w:rPr>
          <w:szCs w:val="18"/>
        </w:rPr>
        <w:t>asserts</w:t>
      </w:r>
      <w:r w:rsidRPr="00E173D2" w:rsidR="00E173D2">
        <w:rPr>
          <w:szCs w:val="18"/>
        </w:rPr>
        <w:t xml:space="preserve"> that grant of the Petition will serve the public interest </w:t>
      </w:r>
      <w:r w:rsidR="001B0D8C">
        <w:rPr>
          <w:szCs w:val="18"/>
        </w:rPr>
        <w:t xml:space="preserve">as it would further the Commission’s stated goals of encouraging foreign investment in U.S. broadcast stations and the continuation of operations </w:t>
      </w:r>
      <w:r w:rsidR="002F7AE6">
        <w:rPr>
          <w:szCs w:val="18"/>
        </w:rPr>
        <w:t>of</w:t>
      </w:r>
      <w:r w:rsidR="001B0D8C">
        <w:rPr>
          <w:szCs w:val="18"/>
        </w:rPr>
        <w:t xml:space="preserve"> such stations.</w:t>
      </w:r>
      <w:r>
        <w:rPr>
          <w:rStyle w:val="FootnoteReference"/>
          <w:szCs w:val="18"/>
        </w:rPr>
        <w:footnoteReference w:id="13"/>
      </w:r>
      <w:r w:rsidR="002F7AE6">
        <w:rPr>
          <w:szCs w:val="18"/>
        </w:rPr>
        <w:t xml:space="preserve">  Further, 97.5 Licensee asserts that it “is, and will remain, a minority-owned broadcaster of Spanish-language</w:t>
      </w:r>
      <w:r w:rsidR="001F5103">
        <w:rPr>
          <w:szCs w:val="18"/>
        </w:rPr>
        <w:t xml:space="preserve"> radio</w:t>
      </w:r>
      <w:r w:rsidR="002F7AE6">
        <w:rPr>
          <w:szCs w:val="18"/>
        </w:rPr>
        <w:t xml:space="preserve"> programming to the Latino community in the El Paso, Texas region.”</w:t>
      </w:r>
      <w:r>
        <w:rPr>
          <w:rStyle w:val="FootnoteReference"/>
          <w:szCs w:val="18"/>
        </w:rPr>
        <w:footnoteReference w:id="14"/>
      </w:r>
      <w:r w:rsidR="001B0D8C">
        <w:rPr>
          <w:szCs w:val="18"/>
        </w:rPr>
        <w:t xml:space="preserve">  </w:t>
      </w:r>
      <w:r w:rsidR="007B1D00">
        <w:rPr>
          <w:szCs w:val="18"/>
        </w:rPr>
        <w:t>The Petition also asserts that the transferee’s capital contributions and broadcast experience will enable the licensee to continue its operations and enhance its provision of locally produced, Spanish-language programming.</w:t>
      </w:r>
      <w:r>
        <w:rPr>
          <w:rStyle w:val="FootnoteReference"/>
          <w:szCs w:val="18"/>
        </w:rPr>
        <w:footnoteReference w:id="15"/>
      </w:r>
      <w:r w:rsidR="007B1D00">
        <w:rPr>
          <w:szCs w:val="18"/>
        </w:rPr>
        <w:t xml:space="preserve">  Accordingly, the parties submit that grant of the Petition would serve the public interest.  </w:t>
      </w:r>
    </w:p>
    <w:p w:rsidR="00734B1E" w:rsidP="00F70F10" w14:paraId="127E47E7" w14:textId="77777777">
      <w:pPr>
        <w:ind w:firstLine="720"/>
        <w:rPr>
          <w:szCs w:val="18"/>
        </w:rPr>
      </w:pPr>
    </w:p>
    <w:p w:rsidR="00734B1E" w:rsidRPr="00E94694" w:rsidP="00E94694" w14:paraId="5306BA63" w14:textId="55F628C0">
      <w:pPr>
        <w:widowControl/>
        <w:ind w:firstLine="720"/>
        <w:rPr>
          <w:rFonts w:eastAsia="Calibri"/>
          <w:color w:val="000000"/>
          <w:kern w:val="0"/>
        </w:rPr>
      </w:pPr>
      <w:r>
        <w:rPr>
          <w:rFonts w:eastAsia="Calibri"/>
          <w:snapToGrid/>
          <w:color w:val="000000"/>
          <w:kern w:val="0"/>
          <w:szCs w:val="22"/>
        </w:rPr>
        <w:t>Pursuant to Commission practice, the Petition will be</w:t>
      </w:r>
      <w:r w:rsidRPr="00EC55D4">
        <w:rPr>
          <w:rFonts w:eastAsia="Calibri"/>
          <w:snapToGrid/>
          <w:color w:val="000000"/>
          <w:kern w:val="0"/>
          <w:szCs w:val="22"/>
        </w:rPr>
        <w:t xml:space="preserve"> referred to relevant Executive Branch agencies for their views on any national security, law enforcement, foreign</w:t>
      </w:r>
      <w:r>
        <w:rPr>
          <w:rFonts w:eastAsia="Calibri"/>
          <w:snapToGrid/>
          <w:color w:val="000000"/>
          <w:kern w:val="0"/>
          <w:szCs w:val="22"/>
        </w:rPr>
        <w:t xml:space="preserve"> </w:t>
      </w:r>
      <w:r w:rsidRPr="00EC55D4">
        <w:rPr>
          <w:rFonts w:eastAsia="Calibri"/>
          <w:snapToGrid/>
          <w:color w:val="000000"/>
          <w:kern w:val="0"/>
          <w:szCs w:val="22"/>
        </w:rPr>
        <w:t xml:space="preserve">policy, or trade policy concerns related to the foreign ownership of </w:t>
      </w:r>
      <w:r w:rsidR="001F5103">
        <w:rPr>
          <w:rFonts w:eastAsia="Calibri"/>
          <w:snapToGrid/>
          <w:color w:val="000000"/>
          <w:kern w:val="0"/>
          <w:szCs w:val="22"/>
        </w:rPr>
        <w:t>97.5 Licensee</w:t>
      </w:r>
      <w:r>
        <w:rPr>
          <w:rFonts w:eastAsia="Calibri"/>
          <w:snapToGrid/>
          <w:color w:val="000000"/>
          <w:kern w:val="0"/>
          <w:szCs w:val="22"/>
        </w:rPr>
        <w:t>.</w:t>
      </w:r>
      <w:r>
        <w:rPr>
          <w:rStyle w:val="FootnoteReference"/>
          <w:rFonts w:eastAsia="Calibri"/>
          <w:snapToGrid/>
          <w:kern w:val="0"/>
          <w:szCs w:val="22"/>
        </w:rPr>
        <w:footnoteReference w:id="16"/>
      </w:r>
    </w:p>
    <w:p w:rsidR="00B81C7E" w14:paraId="538069B0" w14:textId="77777777">
      <w:pPr>
        <w:widowControl/>
        <w:rPr>
          <w:b/>
          <w:i/>
          <w:szCs w:val="22"/>
        </w:rPr>
      </w:pPr>
    </w:p>
    <w:p w:rsidR="005A524D" w14:paraId="028FEA51" w14:textId="77777777">
      <w:pPr>
        <w:widowControl/>
        <w:rPr>
          <w:b/>
          <w:i/>
          <w:szCs w:val="22"/>
        </w:rPr>
      </w:pPr>
      <w:r>
        <w:rPr>
          <w:b/>
          <w:i/>
          <w:szCs w:val="22"/>
        </w:rPr>
        <w:br w:type="page"/>
      </w:r>
    </w:p>
    <w:p w:rsidR="00F70F10" w:rsidRPr="00B53F9E" w:rsidP="00F70F10" w14:paraId="3B8BA777" w14:textId="423B9355">
      <w:pPr>
        <w:spacing w:before="120" w:after="240"/>
        <w:rPr>
          <w:b/>
          <w:szCs w:val="22"/>
        </w:rPr>
      </w:pPr>
      <w:r w:rsidRPr="00B53F9E">
        <w:rPr>
          <w:b/>
          <w:i/>
          <w:szCs w:val="22"/>
        </w:rPr>
        <w:t>EX PARTE</w:t>
      </w:r>
      <w:r w:rsidRPr="00B53F9E">
        <w:rPr>
          <w:b/>
          <w:szCs w:val="22"/>
        </w:rPr>
        <w:t xml:space="preserve"> STATUS OF THIS PROCEEDING</w:t>
      </w:r>
    </w:p>
    <w:p w:rsidR="00F70F10" w:rsidRPr="00DC68AA" w:rsidP="00F70F10" w14:paraId="77A45499" w14:textId="77777777">
      <w:pPr>
        <w:ind w:firstLine="720"/>
        <w:rPr>
          <w:b/>
          <w:szCs w:val="22"/>
        </w:rPr>
      </w:pPr>
      <w:r w:rsidRPr="00DC68AA">
        <w:rPr>
          <w:szCs w:val="22"/>
        </w:rPr>
        <w:t xml:space="preserve">Pursuant to </w:t>
      </w:r>
      <w:r>
        <w:rPr>
          <w:szCs w:val="22"/>
        </w:rPr>
        <w:t>s</w:t>
      </w:r>
      <w:r w:rsidRPr="00DC68AA">
        <w:rPr>
          <w:szCs w:val="22"/>
        </w:rPr>
        <w:t>ection 1.1200(a) of the Commission’s rules,</w:t>
      </w:r>
      <w:r>
        <w:rPr>
          <w:szCs w:val="22"/>
          <w:vertAlign w:val="superscript"/>
        </w:rPr>
        <w:footnoteReference w:id="17"/>
      </w:r>
      <w:r w:rsidRPr="00DC68AA">
        <w:rPr>
          <w:szCs w:val="22"/>
        </w:rPr>
        <w:t xml:space="preserve"> the Commission may adopt modified or more stringent </w:t>
      </w:r>
      <w:r w:rsidRPr="00DC68AA">
        <w:rPr>
          <w:i/>
          <w:szCs w:val="22"/>
        </w:rPr>
        <w:t xml:space="preserve">ex </w:t>
      </w:r>
      <w:r w:rsidRPr="00DC68AA">
        <w:rPr>
          <w:i/>
          <w:szCs w:val="22"/>
        </w:rPr>
        <w:t>parte</w:t>
      </w:r>
      <w:r w:rsidRPr="00DC68AA">
        <w:rPr>
          <w:szCs w:val="22"/>
        </w:rPr>
        <w:t xml:space="preserve"> procedures in particular proceedings if the public interest so requires.  We announce that this proceeding will be governed by permit-but-disclose </w:t>
      </w:r>
      <w:r w:rsidRPr="00DC68AA">
        <w:rPr>
          <w:i/>
          <w:szCs w:val="22"/>
        </w:rPr>
        <w:t xml:space="preserve">ex </w:t>
      </w:r>
      <w:r w:rsidRPr="00DC68AA">
        <w:rPr>
          <w:i/>
          <w:szCs w:val="22"/>
        </w:rPr>
        <w:t>parte</w:t>
      </w:r>
      <w:r w:rsidRPr="00DC68AA">
        <w:rPr>
          <w:szCs w:val="22"/>
        </w:rPr>
        <w:t xml:space="preserve"> procedures that are applicable to non-restricted proceedings under </w:t>
      </w:r>
      <w:r>
        <w:rPr>
          <w:szCs w:val="22"/>
        </w:rPr>
        <w:t>s</w:t>
      </w:r>
      <w:r w:rsidRPr="00DC68AA">
        <w:rPr>
          <w:szCs w:val="22"/>
        </w:rPr>
        <w:t>ection 1.1206 of the Commission’s rules.</w:t>
      </w:r>
      <w:r>
        <w:rPr>
          <w:szCs w:val="22"/>
          <w:vertAlign w:val="superscript"/>
        </w:rPr>
        <w:footnoteReference w:id="18"/>
      </w:r>
    </w:p>
    <w:p w:rsidR="00F70F10" w:rsidRPr="00DC68AA" w:rsidP="00F70F10" w14:paraId="764E5FA6" w14:textId="77777777">
      <w:pPr>
        <w:ind w:firstLine="720"/>
        <w:rPr>
          <w:b/>
          <w:szCs w:val="22"/>
        </w:rPr>
      </w:pPr>
    </w:p>
    <w:p w:rsidR="00F70F10" w:rsidRPr="00DC68AA" w:rsidP="00F70F10" w14:paraId="37B85D10" w14:textId="77777777">
      <w:pPr>
        <w:ind w:firstLine="720"/>
        <w:rPr>
          <w:b/>
          <w:szCs w:val="22"/>
        </w:rPr>
      </w:pPr>
      <w:r w:rsidRPr="00DC68AA">
        <w:rPr>
          <w:szCs w:val="22"/>
        </w:rPr>
        <w:t xml:space="preserve">Parties making oral </w:t>
      </w:r>
      <w:r w:rsidRPr="00DC68AA">
        <w:rPr>
          <w:i/>
          <w:szCs w:val="22"/>
        </w:rPr>
        <w:t xml:space="preserve">ex </w:t>
      </w:r>
      <w:r w:rsidRPr="00DC68AA">
        <w:rPr>
          <w:i/>
          <w:szCs w:val="22"/>
        </w:rPr>
        <w:t>parte</w:t>
      </w:r>
      <w:r w:rsidRPr="00DC68AA">
        <w:rPr>
          <w:szCs w:val="22"/>
        </w:rPr>
        <w:t xml:space="preserve"> presentations are directed to the Commission’s </w:t>
      </w:r>
      <w:r w:rsidRPr="00DC68AA">
        <w:rPr>
          <w:i/>
          <w:szCs w:val="22"/>
        </w:rPr>
        <w:t xml:space="preserve">ex </w:t>
      </w:r>
      <w:r w:rsidRPr="00DC68AA">
        <w:rPr>
          <w:i/>
          <w:szCs w:val="22"/>
        </w:rPr>
        <w:t>parte</w:t>
      </w:r>
      <w:r w:rsidRPr="00DC68AA">
        <w:rPr>
          <w:szCs w:val="22"/>
        </w:rPr>
        <w:t xml:space="preserve"> rules.  Parties are reminded that memoranda summarizing the presentation must contain the presentation’s substance and not merely list the subjects discussed.</w:t>
      </w:r>
      <w:r>
        <w:rPr>
          <w:szCs w:val="22"/>
          <w:vertAlign w:val="superscript"/>
        </w:rPr>
        <w:footnoteReference w:id="19"/>
      </w:r>
      <w:r w:rsidRPr="00DC68AA">
        <w:rPr>
          <w:szCs w:val="22"/>
        </w:rPr>
        <w:t xml:space="preserve">  More than a one- or two-sentence description of the views and arguments presented is generally required.</w:t>
      </w:r>
      <w:r>
        <w:rPr>
          <w:szCs w:val="22"/>
          <w:vertAlign w:val="superscript"/>
        </w:rPr>
        <w:footnoteReference w:id="20"/>
      </w:r>
      <w:r w:rsidRPr="00DC68AA">
        <w:rPr>
          <w:szCs w:val="22"/>
        </w:rPr>
        <w:t xml:space="preserve">  Other rules pertaining to oral and written presentations are set forth in </w:t>
      </w:r>
      <w:r>
        <w:rPr>
          <w:szCs w:val="22"/>
        </w:rPr>
        <w:t>s</w:t>
      </w:r>
      <w:r w:rsidRPr="00DC68AA">
        <w:rPr>
          <w:szCs w:val="22"/>
        </w:rPr>
        <w:t>ection 1.1206(b) as well.</w:t>
      </w:r>
      <w:r>
        <w:rPr>
          <w:szCs w:val="22"/>
          <w:vertAlign w:val="superscript"/>
        </w:rPr>
        <w:footnoteReference w:id="21"/>
      </w:r>
    </w:p>
    <w:p w:rsidR="00F70F10" w:rsidP="00F70F10" w14:paraId="36D70F19" w14:textId="77777777">
      <w:pPr>
        <w:ind w:firstLine="720"/>
        <w:rPr>
          <w:szCs w:val="22"/>
        </w:rPr>
      </w:pPr>
    </w:p>
    <w:p w:rsidR="00F70F10" w:rsidRPr="00B53F9E" w:rsidP="00F70F10" w14:paraId="736AF537" w14:textId="77777777">
      <w:pPr>
        <w:autoSpaceDE w:val="0"/>
        <w:autoSpaceDN w:val="0"/>
        <w:adjustRightInd w:val="0"/>
        <w:rPr>
          <w:b/>
          <w:bCs/>
          <w:color w:val="010101"/>
          <w:szCs w:val="22"/>
        </w:rPr>
      </w:pPr>
      <w:r w:rsidRPr="00B53F9E">
        <w:rPr>
          <w:b/>
          <w:bCs/>
          <w:color w:val="010101"/>
          <w:szCs w:val="22"/>
        </w:rPr>
        <w:t>GENERAL INFORMATION</w:t>
      </w:r>
    </w:p>
    <w:p w:rsidR="00F70F10" w:rsidRPr="00B53F9E" w:rsidP="00F70F10" w14:paraId="694E3597" w14:textId="77777777">
      <w:pPr>
        <w:autoSpaceDE w:val="0"/>
        <w:autoSpaceDN w:val="0"/>
        <w:adjustRightInd w:val="0"/>
        <w:rPr>
          <w:b/>
          <w:bCs/>
          <w:color w:val="010101"/>
          <w:szCs w:val="22"/>
        </w:rPr>
      </w:pPr>
    </w:p>
    <w:p w:rsidR="00F70F10" w:rsidRPr="00B53F9E" w:rsidP="00F70F10" w14:paraId="786AD05F" w14:textId="3B5A54D5">
      <w:pPr>
        <w:ind w:firstLine="720"/>
      </w:pPr>
      <w:r>
        <w:t>The petition for declaratory ruling referred to in this Public Notice has been accepted for filing upon initial review.  The Commission reserves the right to return any filing if, upon further examination, it is determined to be defective and not in conformance with the Commission’s rules or policies.  Inter</w:t>
      </w:r>
      <w:r w:rsidRPr="00D469EF">
        <w:t xml:space="preserve">ested persons must file comments no later than </w:t>
      </w:r>
      <w:r w:rsidR="005202C1">
        <w:rPr>
          <w:b/>
          <w:bCs/>
        </w:rPr>
        <w:t>September</w:t>
      </w:r>
      <w:r w:rsidR="009946A1">
        <w:rPr>
          <w:b/>
          <w:bCs/>
        </w:rPr>
        <w:t xml:space="preserve"> </w:t>
      </w:r>
      <w:r w:rsidR="00542EDD">
        <w:rPr>
          <w:b/>
          <w:bCs/>
        </w:rPr>
        <w:t>11,</w:t>
      </w:r>
      <w:r w:rsidRPr="00D469EF">
        <w:rPr>
          <w:b/>
          <w:bCs/>
        </w:rPr>
        <w:t xml:space="preserve"> 202</w:t>
      </w:r>
      <w:r w:rsidRPr="00D469EF" w:rsidR="00060C25">
        <w:rPr>
          <w:b/>
          <w:bCs/>
        </w:rPr>
        <w:t>3</w:t>
      </w:r>
      <w:r w:rsidRPr="00D469EF">
        <w:t xml:space="preserve">.  Replies must be filed no later than </w:t>
      </w:r>
      <w:r w:rsidR="005202C1">
        <w:rPr>
          <w:b/>
          <w:bCs/>
        </w:rPr>
        <w:t xml:space="preserve">September </w:t>
      </w:r>
      <w:r w:rsidR="00542EDD">
        <w:rPr>
          <w:b/>
          <w:bCs/>
        </w:rPr>
        <w:t>26,</w:t>
      </w:r>
      <w:r w:rsidRPr="00D469EF">
        <w:rPr>
          <w:b/>
          <w:bCs/>
        </w:rPr>
        <w:t xml:space="preserve"> 202</w:t>
      </w:r>
      <w:r w:rsidRPr="00D469EF" w:rsidR="00060C25">
        <w:rPr>
          <w:b/>
          <w:bCs/>
        </w:rPr>
        <w:t>3</w:t>
      </w:r>
      <w:r w:rsidRPr="00D469EF">
        <w:t>.</w:t>
      </w:r>
    </w:p>
    <w:p w:rsidR="00F70F10" w:rsidRPr="00B53F9E" w:rsidP="00F70F10" w14:paraId="34C8C9A5" w14:textId="77777777">
      <w:pPr>
        <w:rPr>
          <w:color w:val="010101"/>
          <w:szCs w:val="22"/>
        </w:rPr>
      </w:pPr>
    </w:p>
    <w:p w:rsidR="00F70F10" w:rsidRPr="00B53F9E" w:rsidP="00F70F10" w14:paraId="15EC7F9B" w14:textId="22320D7E">
      <w:pPr>
        <w:ind w:firstLine="720"/>
        <w:rPr>
          <w:bCs/>
          <w:color w:val="010101"/>
          <w:szCs w:val="22"/>
        </w:rPr>
      </w:pPr>
      <w:r w:rsidRPr="00B53F9E">
        <w:rPr>
          <w:bCs/>
          <w:color w:val="010101"/>
          <w:szCs w:val="22"/>
        </w:rPr>
        <w:t xml:space="preserve">To allow the Commission to </w:t>
      </w:r>
      <w:r>
        <w:rPr>
          <w:bCs/>
          <w:color w:val="010101"/>
          <w:szCs w:val="22"/>
        </w:rPr>
        <w:t xml:space="preserve">fully </w:t>
      </w:r>
      <w:r w:rsidRPr="00B53F9E">
        <w:rPr>
          <w:bCs/>
          <w:color w:val="010101"/>
          <w:szCs w:val="22"/>
        </w:rPr>
        <w:t xml:space="preserve">consider all substantive issues regarding the </w:t>
      </w:r>
      <w:r>
        <w:rPr>
          <w:bCs/>
          <w:color w:val="010101"/>
          <w:szCs w:val="22"/>
        </w:rPr>
        <w:t>Petition</w:t>
      </w:r>
      <w:r w:rsidRPr="00B53F9E">
        <w:rPr>
          <w:bCs/>
          <w:color w:val="010101"/>
          <w:szCs w:val="22"/>
        </w:rPr>
        <w:t xml:space="preserve"> in as timely and efficient a manner as possible, commenters should raise all issues in their initial filings.</w:t>
      </w:r>
      <w:r>
        <w:rPr>
          <w:bCs/>
          <w:color w:val="010101"/>
          <w:szCs w:val="22"/>
        </w:rPr>
        <w:t xml:space="preserve"> </w:t>
      </w:r>
      <w:r w:rsidRPr="00B53F9E">
        <w:rPr>
          <w:bCs/>
          <w:color w:val="010101"/>
          <w:szCs w:val="22"/>
        </w:rPr>
        <w:t xml:space="preserve"> A party or interested person seeking to raise a new issue after the pleading cycle has closed must show good cause why it was not possible for it to have raised the issue previously.</w:t>
      </w:r>
      <w:r>
        <w:rPr>
          <w:bCs/>
          <w:color w:val="010101"/>
          <w:szCs w:val="22"/>
          <w:vertAlign w:val="superscript"/>
        </w:rPr>
        <w:footnoteReference w:id="22"/>
      </w:r>
      <w:r w:rsidRPr="00B53F9E">
        <w:rPr>
          <w:bCs/>
          <w:color w:val="010101"/>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70F10" w:rsidRPr="00B53F9E" w:rsidP="00F70F10" w14:paraId="2CE82DC8" w14:textId="77777777">
      <w:pPr>
        <w:rPr>
          <w:b/>
          <w:bCs/>
          <w:color w:val="010101"/>
          <w:szCs w:val="22"/>
        </w:rPr>
      </w:pPr>
      <w:r w:rsidRPr="00B53F9E">
        <w:rPr>
          <w:b/>
          <w:bCs/>
          <w:color w:val="010101"/>
          <w:szCs w:val="22"/>
        </w:rPr>
        <w:tab/>
      </w:r>
    </w:p>
    <w:p w:rsidR="00F70F10" w:rsidRPr="007E4DCA" w:rsidP="00F70F10" w14:paraId="62312EA4" w14:textId="64547D85">
      <w:pPr>
        <w:ind w:firstLine="720"/>
        <w:rPr>
          <w:color w:val="010101"/>
          <w:szCs w:val="22"/>
        </w:rPr>
      </w:pPr>
      <w:r w:rsidRPr="00B53F9E">
        <w:rPr>
          <w:color w:val="010101"/>
          <w:szCs w:val="22"/>
        </w:rPr>
        <w:t xml:space="preserve">All filings concerning matters referenced in this Public Notice should refer </w:t>
      </w:r>
      <w:r w:rsidRPr="007E4DCA">
        <w:rPr>
          <w:color w:val="010101"/>
          <w:szCs w:val="22"/>
        </w:rPr>
        <w:t>to MB Docket No. 2</w:t>
      </w:r>
      <w:r w:rsidRPr="007E4DCA" w:rsidR="00060C25">
        <w:rPr>
          <w:color w:val="010101"/>
          <w:szCs w:val="22"/>
        </w:rPr>
        <w:t>3</w:t>
      </w:r>
      <w:r w:rsidRPr="007E4DCA">
        <w:rPr>
          <w:color w:val="010101"/>
          <w:szCs w:val="22"/>
        </w:rPr>
        <w:t>-</w:t>
      </w:r>
      <w:r w:rsidRPr="007E4DCA" w:rsidR="007E4DCA">
        <w:rPr>
          <w:color w:val="010101"/>
          <w:szCs w:val="22"/>
        </w:rPr>
        <w:t>275</w:t>
      </w:r>
      <w:r w:rsidRPr="007E4DCA">
        <w:rPr>
          <w:color w:val="010101"/>
          <w:szCs w:val="22"/>
        </w:rPr>
        <w:t xml:space="preserve">, as well as the specific file number of any relevant individual application or other matters to which the filings pertain.  </w:t>
      </w:r>
    </w:p>
    <w:p w:rsidR="00F70F10" w:rsidRPr="007E4DCA" w:rsidP="00F70F10" w14:paraId="13D73361" w14:textId="77777777">
      <w:pPr>
        <w:rPr>
          <w:szCs w:val="22"/>
        </w:rPr>
      </w:pPr>
    </w:p>
    <w:p w:rsidR="00F70F10" w:rsidRPr="007E4DCA" w:rsidP="00F70F10" w14:paraId="41DAD5FF" w14:textId="77777777">
      <w:pPr>
        <w:ind w:firstLine="720"/>
      </w:pPr>
      <w:r w:rsidRPr="007E4DCA">
        <w:t>Submissions in this matter may be filed electronically (</w:t>
      </w:r>
      <w:r w:rsidRPr="007E4DCA">
        <w:rPr>
          <w:iCs/>
        </w:rPr>
        <w:t>i.e.</w:t>
      </w:r>
      <w:r w:rsidRPr="007E4DCA">
        <w:t>, through ECFS) or by filing paper copies.</w:t>
      </w:r>
    </w:p>
    <w:p w:rsidR="00F70F10" w:rsidRPr="007E4DCA" w:rsidP="00F70F10" w14:paraId="0350759A" w14:textId="77777777">
      <w:pPr>
        <w:autoSpaceDE w:val="0"/>
        <w:autoSpaceDN w:val="0"/>
        <w:adjustRightInd w:val="0"/>
        <w:rPr>
          <w:color w:val="010101"/>
          <w:szCs w:val="22"/>
        </w:rPr>
      </w:pPr>
    </w:p>
    <w:p w:rsidR="00F70F10" w:rsidRPr="007E4DCA" w:rsidP="00115300" w14:paraId="40BC3FE1" w14:textId="77777777">
      <w:pPr>
        <w:pStyle w:val="ListParagraph"/>
        <w:widowControl/>
        <w:numPr>
          <w:ilvl w:val="0"/>
          <w:numId w:val="8"/>
        </w:numPr>
        <w:autoSpaceDE w:val="0"/>
        <w:autoSpaceDN w:val="0"/>
        <w:adjustRightInd w:val="0"/>
        <w:ind w:left="720"/>
        <w:rPr>
          <w:color w:val="010101"/>
          <w:szCs w:val="22"/>
        </w:rPr>
      </w:pPr>
      <w:r w:rsidRPr="007E4DCA">
        <w:rPr>
          <w:i/>
          <w:iCs/>
          <w:color w:val="010101"/>
          <w:szCs w:val="22"/>
        </w:rPr>
        <w:t>Electronic Filers</w:t>
      </w:r>
      <w:r w:rsidRPr="007E4DCA">
        <w:rPr>
          <w:color w:val="010101"/>
          <w:szCs w:val="22"/>
        </w:rPr>
        <w:t xml:space="preserve">:  Documents may be filed electronically using the Internet by accessing the ECFS:  </w:t>
      </w:r>
      <w:hyperlink r:id="rId5" w:history="1">
        <w:r w:rsidRPr="007E4DCA">
          <w:rPr>
            <w:rStyle w:val="Hyperlink"/>
            <w:szCs w:val="22"/>
          </w:rPr>
          <w:t>http://fjallfoss.fcc.gov/ecfs2/</w:t>
        </w:r>
      </w:hyperlink>
      <w:r w:rsidRPr="007E4DCA">
        <w:rPr>
          <w:color w:val="010101"/>
          <w:szCs w:val="22"/>
        </w:rPr>
        <w:t>.</w:t>
      </w:r>
    </w:p>
    <w:p w:rsidR="00F70F10" w:rsidRPr="007E4DCA" w:rsidP="00115300" w14:paraId="10EB77A8" w14:textId="77777777">
      <w:pPr>
        <w:widowControl/>
        <w:autoSpaceDE w:val="0"/>
        <w:autoSpaceDN w:val="0"/>
        <w:adjustRightInd w:val="0"/>
        <w:rPr>
          <w:color w:val="010101"/>
          <w:szCs w:val="22"/>
        </w:rPr>
      </w:pPr>
    </w:p>
    <w:p w:rsidR="00F70F10" w:rsidRPr="007E4DCA" w:rsidP="00115300" w14:paraId="345A1524" w14:textId="62297DCA">
      <w:pPr>
        <w:pStyle w:val="ListParagraph"/>
        <w:widowControl/>
        <w:numPr>
          <w:ilvl w:val="0"/>
          <w:numId w:val="8"/>
        </w:numPr>
        <w:autoSpaceDE w:val="0"/>
        <w:autoSpaceDN w:val="0"/>
        <w:adjustRightInd w:val="0"/>
        <w:ind w:left="720"/>
        <w:rPr>
          <w:szCs w:val="22"/>
        </w:rPr>
      </w:pPr>
      <w:r w:rsidRPr="007E4DCA">
        <w:rPr>
          <w:i/>
          <w:iCs/>
          <w:color w:val="010101"/>
          <w:szCs w:val="22"/>
        </w:rPr>
        <w:t xml:space="preserve">Paper </w:t>
      </w:r>
      <w:r w:rsidRPr="007E4DCA">
        <w:rPr>
          <w:i/>
          <w:iCs/>
          <w:szCs w:val="22"/>
        </w:rPr>
        <w:t>Filers</w:t>
      </w:r>
      <w:r w:rsidRPr="007E4DCA">
        <w:rPr>
          <w:szCs w:val="22"/>
        </w:rPr>
        <w:t xml:space="preserve">:  Parties who choose to file by paper must file an original and one copy of each filing. </w:t>
      </w:r>
      <w:r w:rsidRPr="007E4DCA">
        <w:rPr>
          <w:rFonts w:ascii="Source Sans Pro" w:hAnsi="Source Sans Pro"/>
          <w:sz w:val="25"/>
          <w:szCs w:val="25"/>
          <w:shd w:val="clear" w:color="auto" w:fill="FFFFFF"/>
        </w:rPr>
        <w:t xml:space="preserve"> </w:t>
      </w:r>
      <w:r w:rsidRPr="007E4DCA">
        <w:rPr>
          <w:szCs w:val="22"/>
          <w:shd w:val="clear" w:color="auto" w:fill="FFFFFF"/>
        </w:rPr>
        <w:t xml:space="preserve">Filings can be sent by commercial overnight courier or by first-class or overnight U.S. </w:t>
      </w:r>
      <w:r w:rsidRPr="007E4DCA">
        <w:rPr>
          <w:szCs w:val="22"/>
          <w:shd w:val="clear" w:color="auto" w:fill="FFFFFF"/>
        </w:rPr>
        <w:t>Postal Service mail.</w:t>
      </w:r>
      <w:r>
        <w:rPr>
          <w:rStyle w:val="FootnoteReference"/>
          <w:szCs w:val="22"/>
          <w:shd w:val="clear" w:color="auto" w:fill="FFFFFF"/>
        </w:rPr>
        <w:footnoteReference w:id="23"/>
      </w:r>
      <w:r w:rsidRPr="007E4DCA">
        <w:rPr>
          <w:szCs w:val="22"/>
          <w:shd w:val="clear" w:color="auto" w:fill="FFFFFF"/>
        </w:rPr>
        <w:t>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Pr="007E4DCA">
        <w:rPr>
          <w:szCs w:val="22"/>
        </w:rPr>
        <w:t>.</w:t>
      </w:r>
    </w:p>
    <w:p w:rsidR="00F70F10" w:rsidRPr="007E4DCA" w:rsidP="00F70F10" w14:paraId="7EE9C6E3" w14:textId="77777777">
      <w:pPr>
        <w:autoSpaceDE w:val="0"/>
        <w:autoSpaceDN w:val="0"/>
        <w:adjustRightInd w:val="0"/>
        <w:rPr>
          <w:color w:val="010101"/>
          <w:szCs w:val="22"/>
        </w:rPr>
      </w:pPr>
    </w:p>
    <w:p w:rsidR="00F70F10" w:rsidRPr="00B039CF" w:rsidP="00F70F10" w14:paraId="697FF73C" w14:textId="24820EC3">
      <w:pPr>
        <w:ind w:firstLine="720"/>
      </w:pPr>
      <w:r w:rsidRPr="007E4DCA">
        <w:t xml:space="preserve">One copy of each pleading must be delivered electronically, by e-mail, or if delivered as paper copy, by commercial overnight courier, or by first-class or overnight U.S. Postal Service mail (according to the procedures set forth above for paper filings), to:  (1) Albert Shuldiner, Audio Division, Media Bureau, at </w:t>
      </w:r>
      <w:hyperlink r:id="rId6" w:history="1">
        <w:r w:rsidRPr="007E4DCA">
          <w:rPr>
            <w:rStyle w:val="Hyperlink"/>
            <w:szCs w:val="22"/>
          </w:rPr>
          <w:t>albert.shuldiner@fcc.gov</w:t>
        </w:r>
      </w:hyperlink>
      <w:r w:rsidRPr="007E4DCA">
        <w:t xml:space="preserve">; (2) Christopher Clark, Audio Division, Media Bureau, at </w:t>
      </w:r>
      <w:hyperlink r:id="rId7" w:history="1">
        <w:r w:rsidRPr="007E4DCA">
          <w:rPr>
            <w:rStyle w:val="Hyperlink"/>
            <w:szCs w:val="22"/>
          </w:rPr>
          <w:t>christopher.clark@fcc.gov</w:t>
        </w:r>
      </w:hyperlink>
      <w:r w:rsidRPr="007E4DCA">
        <w:t xml:space="preserve">; and (3) </w:t>
      </w:r>
      <w:r w:rsidRPr="007E4DCA" w:rsidR="002947C4">
        <w:t>Brendan Holland</w:t>
      </w:r>
      <w:r w:rsidRPr="007E4DCA">
        <w:t xml:space="preserve">, Audio Division, Media Bureau, at </w:t>
      </w:r>
      <w:hyperlink r:id="rId8" w:history="1">
        <w:r w:rsidRPr="007E4DCA" w:rsidR="002947C4">
          <w:rPr>
            <w:rStyle w:val="Hyperlink"/>
          </w:rPr>
          <w:t>brendan.holland@fcc.gov</w:t>
        </w:r>
      </w:hyperlink>
      <w:r w:rsidRPr="007E4DCA">
        <w:rPr>
          <w:rStyle w:val="Hyperlink"/>
          <w:szCs w:val="22"/>
        </w:rPr>
        <w:t>.</w:t>
      </w:r>
      <w:r w:rsidRPr="007E4DCA">
        <w:t xml:space="preserve">  </w:t>
      </w:r>
      <w:r w:rsidRPr="007E4DCA">
        <w:rPr>
          <w:spacing w:val="-2"/>
        </w:rPr>
        <w:t xml:space="preserve">Any submission that is e-mailed to Albert Shuldiner, Christopher Clark, and </w:t>
      </w:r>
      <w:r w:rsidRPr="007E4DCA" w:rsidR="002947C4">
        <w:rPr>
          <w:spacing w:val="-2"/>
        </w:rPr>
        <w:t>Brendan Holland</w:t>
      </w:r>
      <w:r w:rsidRPr="007E4DCA">
        <w:rPr>
          <w:spacing w:val="-2"/>
        </w:rPr>
        <w:t xml:space="preserve"> should include in the subject line of the e-mail:  (1) MB </w:t>
      </w:r>
      <w:r w:rsidRPr="007E4DCA">
        <w:t>Docket No. 2</w:t>
      </w:r>
      <w:r w:rsidRPr="007E4DCA" w:rsidR="00060C25">
        <w:t>3</w:t>
      </w:r>
      <w:r w:rsidRPr="007E4DCA">
        <w:t>-</w:t>
      </w:r>
      <w:r w:rsidRPr="007E4DCA" w:rsidR="007E4DCA">
        <w:t>275</w:t>
      </w:r>
      <w:r w:rsidRPr="007E4DCA">
        <w:t>; (2) the name of the submitting party; and (3) a brief description or title identifying the type of document being submitted (</w:t>
      </w:r>
      <w:r w:rsidRPr="007E4DCA">
        <w:rPr>
          <w:i/>
        </w:rPr>
        <w:t>e.g</w:t>
      </w:r>
      <w:r w:rsidRPr="007E4DCA">
        <w:t>., MB Docket No. 2</w:t>
      </w:r>
      <w:r w:rsidRPr="007E4DCA" w:rsidR="00060C25">
        <w:t>3</w:t>
      </w:r>
      <w:r w:rsidRPr="007E4DCA">
        <w:t>-</w:t>
      </w:r>
      <w:r w:rsidRPr="007E4DCA" w:rsidR="007E4DCA">
        <w:t>275</w:t>
      </w:r>
      <w:r w:rsidRPr="007E4DCA">
        <w:t>, [name of submitting party], Comments).</w:t>
      </w:r>
    </w:p>
    <w:p w:rsidR="00F70F10" w:rsidP="00F70F10" w14:paraId="6D3CB3E7" w14:textId="77777777">
      <w:pPr>
        <w:ind w:firstLine="720"/>
        <w:rPr>
          <w:color w:val="000000"/>
          <w:szCs w:val="22"/>
        </w:rPr>
      </w:pPr>
    </w:p>
    <w:p w:rsidR="00F70F10" w:rsidRPr="00B039CF" w:rsidP="00F70F10" w14:paraId="4CCE8F77" w14:textId="77777777">
      <w:pPr>
        <w:ind w:firstLine="720"/>
        <w:rPr>
          <w:szCs w:val="22"/>
        </w:rPr>
      </w:pPr>
      <w:r w:rsidRPr="00B039CF">
        <w:rPr>
          <w:color w:val="000000"/>
          <w:szCs w:val="22"/>
        </w:rPr>
        <w:t xml:space="preserve">Copies of the Petition </w:t>
      </w:r>
      <w:r>
        <w:rPr>
          <w:color w:val="000000"/>
          <w:szCs w:val="22"/>
        </w:rPr>
        <w:t xml:space="preserve">and </w:t>
      </w:r>
      <w:r w:rsidRPr="00B039CF">
        <w:rPr>
          <w:color w:val="000000"/>
          <w:szCs w:val="22"/>
        </w:rPr>
        <w:t>any subsequently</w:t>
      </w:r>
      <w:r>
        <w:rPr>
          <w:color w:val="000000"/>
          <w:szCs w:val="22"/>
        </w:rPr>
        <w:t xml:space="preserve"> </w:t>
      </w:r>
      <w:r w:rsidRPr="00B039CF">
        <w:rPr>
          <w:color w:val="000000"/>
          <w:szCs w:val="22"/>
        </w:rPr>
        <w:t xml:space="preserve">filed documents in this matter are available </w:t>
      </w:r>
      <w:r w:rsidRPr="00B039CF">
        <w:rPr>
          <w:szCs w:val="22"/>
        </w:rPr>
        <w:t xml:space="preserve">electronically through the </w:t>
      </w:r>
      <w:r>
        <w:rPr>
          <w:szCs w:val="22"/>
        </w:rPr>
        <w:t>Commission’s Electronic Filing Comment System (ECFS)</w:t>
      </w:r>
      <w:r w:rsidRPr="00B039CF">
        <w:rPr>
          <w:szCs w:val="22"/>
        </w:rPr>
        <w:t>, which may be accessed on the Commission’s Internet website.</w:t>
      </w:r>
    </w:p>
    <w:p w:rsidR="00F70F10" w:rsidP="00F70F10" w14:paraId="2B62AD76" w14:textId="77777777">
      <w:pPr>
        <w:ind w:firstLine="720"/>
        <w:rPr>
          <w:szCs w:val="22"/>
        </w:rPr>
      </w:pPr>
    </w:p>
    <w:p w:rsidR="00F70F10" w:rsidP="00F70F10" w14:paraId="03A54A8F" w14:textId="259102E2">
      <w:pPr>
        <w:ind w:firstLine="720"/>
        <w:rPr>
          <w:szCs w:val="22"/>
        </w:rPr>
      </w:pPr>
      <w:r w:rsidRPr="00B039CF">
        <w:rPr>
          <w:szCs w:val="22"/>
        </w:rPr>
        <w:t xml:space="preserve">To request materials in accessible formats for people with disabilities (Braille, large print, electronic files, audio format), send an email to </w:t>
      </w:r>
      <w:hyperlink r:id="rId9" w:history="1">
        <w:r w:rsidRPr="00766006" w:rsidR="00ED3F68">
          <w:rPr>
            <w:rStyle w:val="Hyperlink"/>
            <w:szCs w:val="22"/>
          </w:rPr>
          <w:t>fcc504@fcc.gov</w:t>
        </w:r>
      </w:hyperlink>
      <w:r w:rsidRPr="00B039CF">
        <w:rPr>
          <w:szCs w:val="22"/>
        </w:rPr>
        <w:t xml:space="preserve"> or call the Consumer and Governmental Affairs Bureau at (202) 418-0530 (voice).  Contact the FCC to request reasonable accommodations for filing comments (accessible format documents, sign language interpreters, CART, etc.) by email:  </w:t>
      </w:r>
      <w:hyperlink r:id="rId9" w:history="1">
        <w:r w:rsidRPr="00766006" w:rsidR="00ED3F68">
          <w:rPr>
            <w:rStyle w:val="Hyperlink"/>
            <w:szCs w:val="22"/>
          </w:rPr>
          <w:t>FCC504@fcc.gov</w:t>
        </w:r>
      </w:hyperlink>
      <w:r w:rsidRPr="00B039CF">
        <w:rPr>
          <w:szCs w:val="22"/>
        </w:rPr>
        <w:t xml:space="preserve">; phone: </w:t>
      </w:r>
      <w:r>
        <w:rPr>
          <w:szCs w:val="22"/>
        </w:rPr>
        <w:t xml:space="preserve"> </w:t>
      </w:r>
      <w:r w:rsidRPr="00B039CF">
        <w:rPr>
          <w:szCs w:val="22"/>
        </w:rPr>
        <w:t>(202) 418-0530</w:t>
      </w:r>
      <w:r>
        <w:rPr>
          <w:szCs w:val="22"/>
        </w:rPr>
        <w:t>.</w:t>
      </w:r>
    </w:p>
    <w:p w:rsidR="00F70F10" w:rsidP="00F70F10" w14:paraId="7729F662" w14:textId="77777777">
      <w:pPr>
        <w:rPr>
          <w:szCs w:val="22"/>
        </w:rPr>
      </w:pPr>
    </w:p>
    <w:p w:rsidR="00F70F10" w:rsidP="00F70F10" w14:paraId="1FDE14C6" w14:textId="77777777">
      <w:pPr>
        <w:ind w:firstLine="720"/>
        <w:rPr>
          <w:szCs w:val="22"/>
        </w:rPr>
      </w:pPr>
      <w:r w:rsidRPr="00B039CF">
        <w:rPr>
          <w:szCs w:val="22"/>
        </w:rPr>
        <w:t xml:space="preserve">For further information, contact </w:t>
      </w:r>
      <w:r w:rsidRPr="00625AB8">
        <w:rPr>
          <w:szCs w:val="22"/>
        </w:rPr>
        <w:t>Albert Shuldiner, Audio Division, Media Bureau, at (202) 418-2726.</w:t>
      </w:r>
      <w:r w:rsidRPr="00B039CF">
        <w:rPr>
          <w:szCs w:val="22"/>
        </w:rPr>
        <w:t xml:space="preserve">  Press inquiries should be directed to Janice Wise, Media Bureau, (202) 418-</w:t>
      </w:r>
      <w:r>
        <w:rPr>
          <w:szCs w:val="22"/>
        </w:rPr>
        <w:t>8165</w:t>
      </w:r>
      <w:r w:rsidRPr="00B039CF">
        <w:rPr>
          <w:szCs w:val="22"/>
        </w:rPr>
        <w:t xml:space="preserve"> or (888) 835-5322.</w:t>
      </w:r>
    </w:p>
    <w:p w:rsidR="00F70F10" w:rsidRPr="00B53F9E" w:rsidP="00F70F10" w14:paraId="25CFBD7B" w14:textId="77777777">
      <w:pPr>
        <w:ind w:firstLine="720"/>
        <w:rPr>
          <w:szCs w:val="22"/>
        </w:rPr>
      </w:pPr>
    </w:p>
    <w:p w:rsidR="00F70F10" w:rsidP="00260438" w14:paraId="2DA4F173" w14:textId="6BAE9DE6">
      <w:pPr>
        <w:spacing w:after="220"/>
        <w:ind w:firstLine="720"/>
        <w:rPr>
          <w:szCs w:val="22"/>
        </w:rPr>
      </w:pPr>
      <w:r w:rsidRPr="00260438">
        <w:rPr>
          <w:szCs w:val="22"/>
        </w:rPr>
        <w:t>This action is taken by the Chief, Media Bureau, pursuant to authority delegated by sections 0.61</w:t>
      </w:r>
      <w:r>
        <w:rPr>
          <w:szCs w:val="22"/>
        </w:rPr>
        <w:t xml:space="preserve"> </w:t>
      </w:r>
      <w:r w:rsidRPr="00260438">
        <w:rPr>
          <w:szCs w:val="22"/>
        </w:rPr>
        <w:t>and 0.283 of the Commission’s rules.</w:t>
      </w:r>
      <w:r>
        <w:rPr>
          <w:rStyle w:val="FootnoteReference"/>
          <w:szCs w:val="22"/>
        </w:rPr>
        <w:footnoteReference w:id="24"/>
      </w:r>
      <w:r>
        <w:rPr>
          <w:szCs w:val="22"/>
        </w:rPr>
        <w:t xml:space="preserve">  </w:t>
      </w:r>
    </w:p>
    <w:bookmarkEnd w:id="0"/>
    <w:p w:rsidR="00F70F10" w:rsidP="00F70F10" w14:paraId="2BCF937B" w14:textId="77777777">
      <w:pPr>
        <w:jc w:val="center"/>
        <w:rPr>
          <w:b/>
          <w:szCs w:val="22"/>
        </w:rPr>
      </w:pPr>
    </w:p>
    <w:p w:rsidR="00E47662" w:rsidRPr="00F70F10" w:rsidP="00A07458" w14:paraId="1FC949D7" w14:textId="2B5501B5">
      <w:pPr>
        <w:jc w:val="center"/>
      </w:pPr>
      <w:r>
        <w:rPr>
          <w:b/>
          <w:szCs w:val="22"/>
        </w:rPr>
        <w:t>-FCC-</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38212D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721E" w14:paraId="6BDA18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5904D4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237043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7600" w14:paraId="3A0E154E" w14:textId="77777777">
      <w:r>
        <w:separator/>
      </w:r>
    </w:p>
  </w:footnote>
  <w:footnote w:type="continuationSeparator" w:id="1">
    <w:p w:rsidR="00F77600" w14:paraId="3D87A954" w14:textId="77777777">
      <w:pPr>
        <w:rPr>
          <w:sz w:val="20"/>
        </w:rPr>
      </w:pPr>
      <w:r>
        <w:rPr>
          <w:sz w:val="20"/>
        </w:rPr>
        <w:t xml:space="preserve">(Continued from previous page)  </w:t>
      </w:r>
      <w:r>
        <w:rPr>
          <w:sz w:val="20"/>
        </w:rPr>
        <w:separator/>
      </w:r>
    </w:p>
  </w:footnote>
  <w:footnote w:type="continuationNotice" w:id="2">
    <w:p w:rsidR="00F77600" w14:paraId="49C20467" w14:textId="77777777">
      <w:pPr>
        <w:jc w:val="right"/>
        <w:rPr>
          <w:sz w:val="20"/>
        </w:rPr>
      </w:pPr>
      <w:r>
        <w:rPr>
          <w:sz w:val="20"/>
        </w:rPr>
        <w:t>(continued….)</w:t>
      </w:r>
    </w:p>
  </w:footnote>
  <w:footnote w:id="3">
    <w:p w:rsidR="00F70F10" w:rsidRPr="00A22EA3" w:rsidP="00F70F10" w14:paraId="271BB34E" w14:textId="1EA68BB6">
      <w:pPr>
        <w:pStyle w:val="FootnoteText"/>
      </w:pPr>
      <w:r w:rsidRPr="0027421A">
        <w:rPr>
          <w:rStyle w:val="FootnoteReference"/>
        </w:rPr>
        <w:footnoteRef/>
      </w:r>
      <w:r w:rsidRPr="0027421A">
        <w:t xml:space="preserve"> </w:t>
      </w:r>
      <w:r>
        <w:t xml:space="preserve">Petition for Declaratory Ruling of </w:t>
      </w:r>
      <w:r w:rsidR="00232499">
        <w:t>97.5 Licensee TX, LLC</w:t>
      </w:r>
      <w:r>
        <w:t xml:space="preserve">, Application File No. </w:t>
      </w:r>
      <w:r w:rsidRPr="00196F18" w:rsidR="00196F18">
        <w:t xml:space="preserve">0000216454 </w:t>
      </w:r>
      <w:r>
        <w:t xml:space="preserve">(filed </w:t>
      </w:r>
      <w:r w:rsidR="00232499">
        <w:t>June 9</w:t>
      </w:r>
      <w:r>
        <w:t>, 202</w:t>
      </w:r>
      <w:r w:rsidR="002A67EE">
        <w:t>3</w:t>
      </w:r>
      <w:r>
        <w:t xml:space="preserve">) </w:t>
      </w:r>
      <w:r>
        <w:rPr>
          <w:szCs w:val="18"/>
        </w:rPr>
        <w:t>(Petition</w:t>
      </w:r>
      <w:r w:rsidR="00F81614">
        <w:rPr>
          <w:szCs w:val="18"/>
        </w:rPr>
        <w:t>).</w:t>
      </w:r>
      <w:r>
        <w:rPr>
          <w:szCs w:val="18"/>
        </w:rPr>
        <w:t xml:space="preserve">  </w:t>
      </w:r>
      <w:r w:rsidR="00232499">
        <w:rPr>
          <w:szCs w:val="18"/>
        </w:rPr>
        <w:t>T</w:t>
      </w:r>
      <w:r w:rsidR="00CC4072">
        <w:rPr>
          <w:szCs w:val="18"/>
        </w:rPr>
        <w:t>he Petition</w:t>
      </w:r>
      <w:r w:rsidR="00232499">
        <w:rPr>
          <w:szCs w:val="18"/>
        </w:rPr>
        <w:t xml:space="preserve"> was filed in conjunction with the application </w:t>
      </w:r>
      <w:r w:rsidR="00196F18">
        <w:rPr>
          <w:szCs w:val="18"/>
        </w:rPr>
        <w:t>submitted</w:t>
      </w:r>
      <w:r w:rsidR="00232499">
        <w:rPr>
          <w:szCs w:val="18"/>
        </w:rPr>
        <w:t xml:space="preserve"> by 97.5 Licensee TX, LLC</w:t>
      </w:r>
      <w:r w:rsidR="00CC4072">
        <w:rPr>
          <w:szCs w:val="18"/>
        </w:rPr>
        <w:t xml:space="preserve"> seeking Commission consent to the </w:t>
      </w:r>
      <w:r>
        <w:rPr>
          <w:szCs w:val="18"/>
        </w:rPr>
        <w:t>transfer of control of</w:t>
      </w:r>
      <w:r w:rsidR="00CC4072">
        <w:rPr>
          <w:szCs w:val="18"/>
        </w:rPr>
        <w:t xml:space="preserve"> </w:t>
      </w:r>
      <w:r w:rsidR="00232499">
        <w:rPr>
          <w:szCs w:val="18"/>
        </w:rPr>
        <w:t xml:space="preserve">the limited liability company, </w:t>
      </w:r>
      <w:r w:rsidR="00440FCD">
        <w:rPr>
          <w:szCs w:val="18"/>
        </w:rPr>
        <w:t xml:space="preserve">the licensee of </w:t>
      </w:r>
      <w:r w:rsidR="00232499">
        <w:rPr>
          <w:szCs w:val="18"/>
        </w:rPr>
        <w:t>KBNA-FM, El Paso, TX (F</w:t>
      </w:r>
      <w:r w:rsidR="00196F18">
        <w:rPr>
          <w:szCs w:val="18"/>
        </w:rPr>
        <w:t xml:space="preserve">acility ID No. </w:t>
      </w:r>
      <w:r w:rsidR="00232499">
        <w:rPr>
          <w:szCs w:val="18"/>
        </w:rPr>
        <w:t>67066), KAMA</w:t>
      </w:r>
      <w:r w:rsidR="00196F18">
        <w:rPr>
          <w:szCs w:val="18"/>
        </w:rPr>
        <w:t>(AM)</w:t>
      </w:r>
      <w:r w:rsidR="00232499">
        <w:rPr>
          <w:szCs w:val="18"/>
        </w:rPr>
        <w:t>, El Paso, TX (</w:t>
      </w:r>
      <w:r w:rsidR="00196F18">
        <w:rPr>
          <w:szCs w:val="18"/>
        </w:rPr>
        <w:t xml:space="preserve">Facility ID No. </w:t>
      </w:r>
      <w:r w:rsidR="00232499">
        <w:rPr>
          <w:szCs w:val="18"/>
        </w:rPr>
        <w:t>36948), and KQBU</w:t>
      </w:r>
      <w:r w:rsidR="00196F18">
        <w:rPr>
          <w:szCs w:val="18"/>
        </w:rPr>
        <w:t>(AM)</w:t>
      </w:r>
      <w:r w:rsidR="00232499">
        <w:rPr>
          <w:szCs w:val="18"/>
        </w:rPr>
        <w:t>, El Paso, TX (</w:t>
      </w:r>
      <w:r w:rsidR="00196F18">
        <w:rPr>
          <w:szCs w:val="18"/>
        </w:rPr>
        <w:t xml:space="preserve">Facility ID No. </w:t>
      </w:r>
      <w:r w:rsidR="00232499">
        <w:rPr>
          <w:szCs w:val="18"/>
        </w:rPr>
        <w:t>67065).</w:t>
      </w:r>
      <w:r w:rsidR="00283E51">
        <w:rPr>
          <w:szCs w:val="18"/>
        </w:rPr>
        <w:t xml:space="preserve"> </w:t>
      </w:r>
      <w:r w:rsidR="00283E51">
        <w:rPr>
          <w:i/>
          <w:iCs/>
          <w:szCs w:val="18"/>
        </w:rPr>
        <w:t xml:space="preserve"> </w:t>
      </w:r>
      <w:r>
        <w:rPr>
          <w:i/>
          <w:iCs/>
          <w:szCs w:val="18"/>
        </w:rPr>
        <w:t xml:space="preserve">See </w:t>
      </w:r>
      <w:r>
        <w:rPr>
          <w:szCs w:val="18"/>
        </w:rPr>
        <w:t xml:space="preserve">Application of </w:t>
      </w:r>
      <w:r w:rsidR="00D503D8">
        <w:t>97.5 Licensee TX, LLC</w:t>
      </w:r>
      <w:r w:rsidR="00CC4072">
        <w:rPr>
          <w:szCs w:val="18"/>
        </w:rPr>
        <w:t xml:space="preserve"> </w:t>
      </w:r>
      <w:r>
        <w:rPr>
          <w:szCs w:val="18"/>
        </w:rPr>
        <w:t xml:space="preserve">for Consent to Transfer Control, Application File No. </w:t>
      </w:r>
      <w:r w:rsidRPr="0067749A" w:rsidR="0067749A">
        <w:rPr>
          <w:szCs w:val="18"/>
        </w:rPr>
        <w:t xml:space="preserve">0000216454 </w:t>
      </w:r>
      <w:r>
        <w:rPr>
          <w:szCs w:val="18"/>
        </w:rPr>
        <w:t xml:space="preserve">(filed </w:t>
      </w:r>
      <w:r w:rsidR="002A67EE">
        <w:rPr>
          <w:szCs w:val="18"/>
        </w:rPr>
        <w:t>J</w:t>
      </w:r>
      <w:r w:rsidR="00232499">
        <w:rPr>
          <w:szCs w:val="18"/>
        </w:rPr>
        <w:t>une 9</w:t>
      </w:r>
      <w:r w:rsidR="00BF76CE">
        <w:rPr>
          <w:szCs w:val="18"/>
        </w:rPr>
        <w:t>,</w:t>
      </w:r>
      <w:r>
        <w:rPr>
          <w:szCs w:val="18"/>
        </w:rPr>
        <w:t xml:space="preserve"> 202</w:t>
      </w:r>
      <w:r w:rsidR="002A67EE">
        <w:rPr>
          <w:szCs w:val="18"/>
        </w:rPr>
        <w:t>3</w:t>
      </w:r>
      <w:r>
        <w:rPr>
          <w:szCs w:val="18"/>
        </w:rPr>
        <w:t>).</w:t>
      </w:r>
      <w:r w:rsidR="00232499">
        <w:rPr>
          <w:szCs w:val="18"/>
        </w:rPr>
        <w:t xml:space="preserve">  </w:t>
      </w:r>
    </w:p>
  </w:footnote>
  <w:footnote w:id="4">
    <w:p w:rsidR="00F70F10" w:rsidRPr="00BC03BD" w:rsidP="00F70F10" w14:paraId="6CBA7DEA" w14:textId="6CB56E62">
      <w:pPr>
        <w:pStyle w:val="FootnoteText"/>
      </w:pPr>
      <w:r w:rsidRPr="00BC03BD">
        <w:rPr>
          <w:rStyle w:val="FootnoteReference"/>
        </w:rPr>
        <w:footnoteRef/>
      </w:r>
      <w:r w:rsidRPr="00BC03BD">
        <w:t xml:space="preserve"> 47 U.S.C. § 310(b)(4);</w:t>
      </w:r>
      <w:r w:rsidRPr="004B0424">
        <w:rPr>
          <w:i/>
        </w:rPr>
        <w:t xml:space="preserve"> </w:t>
      </w:r>
      <w:r>
        <w:rPr>
          <w:i/>
        </w:rPr>
        <w:t>Review of Foreign Ownership Policies for Broadcast, Common Carrier, and Aeronautical Radio Licensees Under Section 310(b)(4) of the Communications Act of 1934</w:t>
      </w:r>
      <w:r>
        <w:t xml:space="preserve">, </w:t>
      </w:r>
      <w:r>
        <w:rPr>
          <w:i/>
        </w:rPr>
        <w:t>as Amended</w:t>
      </w:r>
      <w:r>
        <w:t xml:space="preserve">, GN Docket No. 15-236, Report and Order, 31 FCC </w:t>
      </w:r>
      <w:r>
        <w:t>Rcd</w:t>
      </w:r>
      <w:r>
        <w:t xml:space="preserve"> 11272 (2016) (</w:t>
      </w:r>
      <w:r>
        <w:rPr>
          <w:i/>
          <w:iCs/>
        </w:rPr>
        <w:t>2016 Foreign Ownership R&amp;O</w:t>
      </w:r>
      <w:r>
        <w:t>)</w:t>
      </w:r>
      <w:r w:rsidRPr="00BC03BD">
        <w:t>.</w:t>
      </w:r>
    </w:p>
  </w:footnote>
  <w:footnote w:id="5">
    <w:p w:rsidR="00F70F10" w:rsidRPr="00352E64" w:rsidP="00F70F10" w14:paraId="497D7E42" w14:textId="41F9ABFF">
      <w:pPr>
        <w:pStyle w:val="FootnoteText"/>
      </w:pPr>
      <w:r>
        <w:rPr>
          <w:rStyle w:val="FootnoteReference"/>
        </w:rPr>
        <w:footnoteRef/>
      </w:r>
      <w:r>
        <w:t xml:space="preserve"> 47 CFR § 1.5000(a)(1); </w:t>
      </w:r>
      <w:r>
        <w:rPr>
          <w:i/>
          <w:iCs/>
        </w:rPr>
        <w:t>2016 Foreign Ownership R&amp;O</w:t>
      </w:r>
      <w:r>
        <w:t xml:space="preserve">, 31 FCC </w:t>
      </w:r>
      <w:r>
        <w:t>Rcd</w:t>
      </w:r>
      <w:r>
        <w:t xml:space="preserve"> 11272.</w:t>
      </w:r>
      <w:r>
        <w:rPr>
          <w:i/>
        </w:rPr>
        <w:t xml:space="preserve"> </w:t>
      </w:r>
    </w:p>
  </w:footnote>
  <w:footnote w:id="6">
    <w:p w:rsidR="00F70F10" w:rsidRPr="0027421A" w:rsidP="00F70F10" w14:paraId="6E617461" w14:textId="77777777">
      <w:pPr>
        <w:pStyle w:val="FootnoteText"/>
      </w:pPr>
      <w:r w:rsidRPr="0027421A">
        <w:rPr>
          <w:rStyle w:val="FootnoteReference"/>
        </w:rPr>
        <w:footnoteRef/>
      </w:r>
      <w:r w:rsidRPr="0027421A">
        <w:t xml:space="preserve"> </w:t>
      </w:r>
      <w:bookmarkStart w:id="1" w:name="_Hlk12438152"/>
      <w:r w:rsidRPr="0027421A">
        <w:t>47 U.S.C. § 310(b)(4)</w:t>
      </w:r>
      <w:bookmarkEnd w:id="1"/>
      <w:r w:rsidRPr="0027421A">
        <w:t xml:space="preserve"> (“No broadcast station or common carrier or aeronautical </w:t>
      </w:r>
      <w:r w:rsidRPr="0027421A">
        <w:t>en</w:t>
      </w:r>
      <w:r w:rsidRPr="0027421A">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w:t>
      </w:r>
      <w:r w:rsidRPr="0027421A">
        <w:t xml:space="preserve">”). </w:t>
      </w:r>
    </w:p>
  </w:footnote>
  <w:footnote w:id="7">
    <w:p w:rsidR="00F70F10" w:rsidRPr="0027421A" w:rsidP="00F70F10" w14:paraId="2BBA953E" w14:textId="224829A2">
      <w:pPr>
        <w:pStyle w:val="FootnoteText"/>
      </w:pPr>
      <w:r w:rsidRPr="0027421A">
        <w:rPr>
          <w:rStyle w:val="FootnoteReference"/>
        </w:rPr>
        <w:footnoteRef/>
      </w:r>
      <w:r w:rsidRPr="0027421A">
        <w:t xml:space="preserve"> Under section 1.5001(</w:t>
      </w:r>
      <w:r w:rsidRPr="0027421A">
        <w:t>i</w:t>
      </w:r>
      <w:r w:rsidRPr="0027421A">
        <w:t xml:space="preserve">)(1) of the Commission’s </w:t>
      </w:r>
      <w:r>
        <w:t>r</w:t>
      </w:r>
      <w:r w:rsidRPr="0027421A">
        <w:t>ules, petitioners for a declaratory ruling are required to identify and seek specific approval for any foreign individual, entity, or group that holds or would hold, directly and/or indirectly, more than 5</w:t>
      </w:r>
      <w:r>
        <w:t>%</w:t>
      </w:r>
      <w:r w:rsidRPr="0027421A">
        <w:t xml:space="preserve"> of equity and/or voting interests, or a controlling interest, in the petitioner’s controlling U.S. parent, subject to certain exemptions</w:t>
      </w:r>
      <w:r>
        <w:t>,</w:t>
      </w:r>
      <w:r w:rsidRPr="0027421A">
        <w:t xml:space="preserve"> including an exemption that increases the specific approval threshold to 10</w:t>
      </w:r>
      <w:r>
        <w:t>%</w:t>
      </w:r>
      <w:r w:rsidRPr="0027421A">
        <w:t xml:space="preserve"> for certain institutional investors.  47 CFR § 1.5001(</w:t>
      </w:r>
      <w:r w:rsidRPr="0027421A">
        <w:t>i</w:t>
      </w:r>
      <w:r w:rsidRPr="0027421A">
        <w:t xml:space="preserve">)(1).  </w:t>
      </w:r>
    </w:p>
  </w:footnote>
  <w:footnote w:id="8">
    <w:p w:rsidR="00F70F10" w:rsidRPr="0002465E" w:rsidP="00F70F10" w14:paraId="2FFC237F" w14:textId="12815A95">
      <w:pPr>
        <w:pStyle w:val="FootnoteText"/>
      </w:pPr>
      <w:r w:rsidRPr="0027421A">
        <w:rPr>
          <w:rStyle w:val="FootnoteReference"/>
        </w:rPr>
        <w:footnoteRef/>
      </w:r>
      <w:r w:rsidRPr="0027421A">
        <w:t xml:space="preserve"> Petition at </w:t>
      </w:r>
      <w:r w:rsidR="00F5194B">
        <w:t>1</w:t>
      </w:r>
      <w:r w:rsidRPr="0027421A">
        <w:t>.</w:t>
      </w:r>
      <w:r>
        <w:t xml:space="preserve">    </w:t>
      </w:r>
    </w:p>
  </w:footnote>
  <w:footnote w:id="9">
    <w:p w:rsidR="00F70F10" w:rsidRPr="00AA7238" w:rsidP="00F70F10" w14:paraId="76EA8CE9" w14:textId="7BE17E71">
      <w:pPr>
        <w:pStyle w:val="FootnoteText"/>
      </w:pPr>
      <w:r>
        <w:rPr>
          <w:rStyle w:val="FootnoteReference"/>
        </w:rPr>
        <w:footnoteRef/>
      </w:r>
      <w:r>
        <w:t xml:space="preserve"> </w:t>
      </w:r>
      <w:r w:rsidRPr="005D4EA1" w:rsidR="005D4EA1">
        <w:rPr>
          <w:i/>
          <w:iCs/>
        </w:rPr>
        <w:t>Id</w:t>
      </w:r>
      <w:r w:rsidR="005D4EA1">
        <w:t>.</w:t>
      </w:r>
      <w:r w:rsidR="004B5ED7">
        <w:t xml:space="preserve"> at</w:t>
      </w:r>
      <w:r w:rsidR="00BB4E14">
        <w:t xml:space="preserve"> </w:t>
      </w:r>
      <w:r w:rsidR="004103C5">
        <w:t>1</w:t>
      </w:r>
      <w:r w:rsidR="005D4EA1">
        <w:t>-</w:t>
      </w:r>
      <w:r w:rsidR="004103C5">
        <w:t>5</w:t>
      </w:r>
      <w:r>
        <w:t xml:space="preserve">.  </w:t>
      </w:r>
    </w:p>
  </w:footnote>
  <w:footnote w:id="10">
    <w:p w:rsidR="00CD0D4E" w14:paraId="76DB0610" w14:textId="340D9F1F">
      <w:pPr>
        <w:pStyle w:val="FootnoteText"/>
      </w:pPr>
      <w:r>
        <w:rPr>
          <w:rStyle w:val="FootnoteReference"/>
        </w:rPr>
        <w:footnoteRef/>
      </w:r>
      <w:r>
        <w:t xml:space="preserve"> 47 CFR §§ 1.5000(a)(1), 1.5001(h)</w:t>
      </w:r>
      <w:r w:rsidR="00C64E4E">
        <w:t>(1).</w:t>
      </w:r>
    </w:p>
  </w:footnote>
  <w:footnote w:id="11">
    <w:p w:rsidR="00216E11" w14:paraId="01482A7C" w14:textId="6D4A4B26">
      <w:pPr>
        <w:pStyle w:val="FootnoteText"/>
      </w:pPr>
      <w:r>
        <w:rPr>
          <w:rStyle w:val="FootnoteReference"/>
        </w:rPr>
        <w:footnoteRef/>
      </w:r>
      <w:r>
        <w:t xml:space="preserve"> 47 CFR § 1.5001(</w:t>
      </w:r>
      <w:r>
        <w:t>i</w:t>
      </w:r>
      <w:r>
        <w:t xml:space="preserve">). </w:t>
      </w:r>
    </w:p>
  </w:footnote>
  <w:footnote w:id="12">
    <w:p w:rsidR="00CD0D4E" w:rsidRPr="00AD7690" w14:paraId="5FCE05B8" w14:textId="48907012">
      <w:pPr>
        <w:pStyle w:val="FootnoteText"/>
      </w:pPr>
      <w:r>
        <w:rPr>
          <w:rStyle w:val="FootnoteReference"/>
        </w:rPr>
        <w:footnoteRef/>
      </w:r>
      <w:r>
        <w:t xml:space="preserve"> </w:t>
      </w:r>
      <w:r w:rsidR="000163D7">
        <w:rPr>
          <w:i/>
          <w:iCs/>
        </w:rPr>
        <w:t xml:space="preserve">See supra </w:t>
      </w:r>
      <w:r w:rsidR="000163D7">
        <w:t xml:space="preserve">note </w:t>
      </w:r>
      <w:r w:rsidR="000163D7">
        <w:fldChar w:fldCharType="begin"/>
      </w:r>
      <w:r w:rsidR="000163D7">
        <w:instrText xml:space="preserve"> NOTEREF _Ref141804165 \h </w:instrText>
      </w:r>
      <w:r w:rsidR="000163D7">
        <w:fldChar w:fldCharType="separate"/>
      </w:r>
      <w:r w:rsidR="000163D7">
        <w:t>5</w:t>
      </w:r>
      <w:r w:rsidR="000163D7">
        <w:fldChar w:fldCharType="end"/>
      </w:r>
      <w:r w:rsidR="00AD7690">
        <w:t>.</w:t>
      </w:r>
    </w:p>
  </w:footnote>
  <w:footnote w:id="13">
    <w:p w:rsidR="001B0D8C" w14:paraId="19956B1C" w14:textId="3391338A">
      <w:pPr>
        <w:pStyle w:val="FootnoteText"/>
      </w:pPr>
      <w:r>
        <w:rPr>
          <w:rStyle w:val="FootnoteReference"/>
        </w:rPr>
        <w:footnoteRef/>
      </w:r>
      <w:r>
        <w:t xml:space="preserve"> </w:t>
      </w:r>
      <w:r w:rsidRPr="0027421A">
        <w:t xml:space="preserve">Petition at </w:t>
      </w:r>
      <w:r w:rsidR="002F7AE6">
        <w:t>5-6</w:t>
      </w:r>
      <w:r w:rsidRPr="0027421A">
        <w:t>.</w:t>
      </w:r>
    </w:p>
  </w:footnote>
  <w:footnote w:id="14">
    <w:p w:rsidR="001F5103" w14:paraId="46333504" w14:textId="22BE5FCC">
      <w:pPr>
        <w:pStyle w:val="FootnoteText"/>
      </w:pPr>
      <w:r>
        <w:rPr>
          <w:rStyle w:val="FootnoteReference"/>
        </w:rPr>
        <w:footnoteRef/>
      </w:r>
      <w:r>
        <w:t xml:space="preserve"> </w:t>
      </w:r>
      <w:r w:rsidRPr="001F5103">
        <w:rPr>
          <w:i/>
          <w:iCs/>
        </w:rPr>
        <w:t>Id</w:t>
      </w:r>
      <w:r>
        <w:t>. at 6.</w:t>
      </w:r>
    </w:p>
  </w:footnote>
  <w:footnote w:id="15">
    <w:p w:rsidR="007B1D00" w14:paraId="43AAFEB6" w14:textId="19427875">
      <w:pPr>
        <w:pStyle w:val="FootnoteText"/>
      </w:pPr>
      <w:r>
        <w:rPr>
          <w:rStyle w:val="FootnoteReference"/>
        </w:rPr>
        <w:footnoteRef/>
      </w:r>
      <w:r>
        <w:t xml:space="preserve"> </w:t>
      </w:r>
      <w:r w:rsidRPr="007B1D00">
        <w:rPr>
          <w:i/>
          <w:iCs/>
        </w:rPr>
        <w:t>Id</w:t>
      </w:r>
      <w:r>
        <w:t xml:space="preserve">. </w:t>
      </w:r>
    </w:p>
  </w:footnote>
  <w:footnote w:id="16">
    <w:p w:rsidR="00734B1E" w:rsidP="00734B1E" w14:paraId="0210F052" w14:textId="77777777">
      <w:pPr>
        <w:pStyle w:val="FootnoteText"/>
      </w:pPr>
      <w:r>
        <w:rPr>
          <w:rStyle w:val="FootnoteReference"/>
        </w:rPr>
        <w:footnoteRef/>
      </w:r>
      <w:r>
        <w:t xml:space="preserve"> </w:t>
      </w:r>
      <w:r w:rsidRPr="00EC55D4">
        <w:rPr>
          <w:i/>
          <w:iCs/>
        </w:rPr>
        <w:t>See Process Reform for Executive Branch Review of Certain FCC Applications and Petitions Involving Foreign Ownership</w:t>
      </w:r>
      <w:r>
        <w:t xml:space="preserve">, IB Docket 16-155, Report and Order, 35 FCC </w:t>
      </w:r>
      <w:r>
        <w:t>Rcd</w:t>
      </w:r>
      <w:r>
        <w:t xml:space="preserve"> 10927 (2020).  </w:t>
      </w:r>
      <w:r w:rsidRPr="00EC55D4">
        <w:rPr>
          <w:i/>
          <w:iCs/>
        </w:rPr>
        <w:t>See also Rules and Policies on Foreign Participation in the U.S. Telecommunications Market; Market Entry and Regulation of Foreign- Affiliated Entities</w:t>
      </w:r>
      <w:r>
        <w:t xml:space="preserve">, IB Docket Nos. 97-142 and 95-22, Report and Order and Order on Reconsideration, 12 FCC </w:t>
      </w:r>
      <w:r>
        <w:t>Rcd</w:t>
      </w:r>
      <w:r>
        <w:t xml:space="preserve"> 23891, 23918-19, paras. 61-63 (1997) (</w:t>
      </w:r>
      <w:r w:rsidRPr="00D751DE">
        <w:rPr>
          <w:i/>
          <w:iCs/>
        </w:rPr>
        <w:t>Foreign Participation Order</w:t>
      </w:r>
      <w:r>
        <w:t xml:space="preserve">), recon. denied, 15 FCC </w:t>
      </w:r>
      <w:r>
        <w:t>Rcd</w:t>
      </w:r>
      <w:r>
        <w:t xml:space="preserve"> 18158 (2000).</w:t>
      </w:r>
    </w:p>
  </w:footnote>
  <w:footnote w:id="17">
    <w:p w:rsidR="00F70F10" w:rsidRPr="00BC03BD" w:rsidP="00F70F10" w14:paraId="6A31E432" w14:textId="77777777">
      <w:pPr>
        <w:spacing w:after="120"/>
        <w:rPr>
          <w:sz w:val="20"/>
        </w:rPr>
      </w:pPr>
      <w:r w:rsidRPr="00BC03BD">
        <w:rPr>
          <w:rStyle w:val="FootnoteReference"/>
          <w:sz w:val="20"/>
        </w:rPr>
        <w:footnoteRef/>
      </w:r>
      <w:r>
        <w:rPr>
          <w:sz w:val="20"/>
        </w:rPr>
        <w:t xml:space="preserve"> 47 CF</w:t>
      </w:r>
      <w:r w:rsidRPr="00BC03BD">
        <w:rPr>
          <w:sz w:val="20"/>
        </w:rPr>
        <w:t xml:space="preserve">R § 1.1200(a).  </w:t>
      </w:r>
    </w:p>
  </w:footnote>
  <w:footnote w:id="18">
    <w:p w:rsidR="00F70F10" w:rsidRPr="00BC03BD" w:rsidP="00F70F10" w14:paraId="170C4AE0" w14:textId="77777777">
      <w:pPr>
        <w:pStyle w:val="FootnoteText"/>
      </w:pPr>
      <w:r w:rsidRPr="00BC03BD">
        <w:rPr>
          <w:rStyle w:val="FootnoteReference"/>
        </w:rPr>
        <w:footnoteRef/>
      </w:r>
      <w:r>
        <w:t xml:space="preserve"> 47 CFR</w:t>
      </w:r>
      <w:r w:rsidRPr="00BC03BD">
        <w:t xml:space="preserve"> § 1.1206.</w:t>
      </w:r>
    </w:p>
  </w:footnote>
  <w:footnote w:id="19">
    <w:p w:rsidR="00F70F10" w:rsidRPr="00BC03BD" w:rsidP="00F70F10" w14:paraId="4DA13EC1" w14:textId="77777777">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20">
    <w:p w:rsidR="00F70F10" w:rsidRPr="00BC03BD" w:rsidP="00F70F10" w14:paraId="3DF1419D" w14:textId="77777777">
      <w:pPr>
        <w:pStyle w:val="FootnoteText"/>
      </w:pPr>
      <w:r w:rsidRPr="00BC03BD">
        <w:rPr>
          <w:rStyle w:val="FootnoteReference"/>
        </w:rPr>
        <w:footnoteRef/>
      </w:r>
      <w:r w:rsidRPr="00BC03BD">
        <w:t xml:space="preserve"> </w:t>
      </w:r>
      <w:r w:rsidRPr="00BC03BD">
        <w:rPr>
          <w:i/>
        </w:rPr>
        <w:t>See id</w:t>
      </w:r>
      <w:r w:rsidRPr="00BC03BD">
        <w:t>.</w:t>
      </w:r>
    </w:p>
  </w:footnote>
  <w:footnote w:id="21">
    <w:p w:rsidR="00F70F10" w:rsidRPr="00BC03BD" w:rsidP="00F70F10" w14:paraId="6B6EF328" w14:textId="77777777">
      <w:pPr>
        <w:pStyle w:val="FootnoteText"/>
      </w:pPr>
      <w:r w:rsidRPr="00BC03BD">
        <w:rPr>
          <w:rStyle w:val="FootnoteReference"/>
        </w:rPr>
        <w:footnoteRef/>
      </w:r>
      <w:r w:rsidRPr="00BC03BD">
        <w:t xml:space="preserve"> 47 CFR § 1.1206(b).</w:t>
      </w:r>
    </w:p>
  </w:footnote>
  <w:footnote w:id="22">
    <w:p w:rsidR="00F70F10" w:rsidRPr="00ED3F68" w:rsidP="00F70F10" w14:paraId="1A733E8B" w14:textId="77777777">
      <w:pPr>
        <w:pStyle w:val="FootnoteText"/>
      </w:pPr>
      <w:r w:rsidRPr="0027421A">
        <w:rPr>
          <w:rStyle w:val="FootnoteReference"/>
        </w:rPr>
        <w:footnoteRef/>
      </w:r>
      <w:r w:rsidRPr="0027421A">
        <w:t xml:space="preserve"> </w:t>
      </w:r>
      <w:r w:rsidRPr="00ED3F68">
        <w:t>47 CFR §§ 1.46(a), 73.3584(e).</w:t>
      </w:r>
    </w:p>
  </w:footnote>
  <w:footnote w:id="23">
    <w:p w:rsidR="00F70F10" w:rsidP="00F70F10" w14:paraId="52331B75" w14:textId="48D9DF4F">
      <w:pPr>
        <w:pStyle w:val="FootnoteText"/>
      </w:pPr>
      <w:r w:rsidRPr="00ED3F68">
        <w:rPr>
          <w:rStyle w:val="FootnoteReference"/>
        </w:rPr>
        <w:footnoteRef/>
      </w:r>
      <w:r w:rsidRPr="00ED3F68">
        <w:t xml:space="preserve"> </w:t>
      </w:r>
      <w:r w:rsidRPr="00ED3F68">
        <w:rPr>
          <w:shd w:val="clear" w:color="auto" w:fill="FFFFFF"/>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ED3F68">
        <w:rPr>
          <w:rStyle w:val="Emphasis"/>
          <w:bdr w:val="none" w:sz="0" w:space="0" w:color="auto" w:frame="1"/>
          <w:shd w:val="clear" w:color="auto" w:fill="FFFFFF"/>
        </w:rPr>
        <w:t>See FCC Announces Closure of FCC Headquarters Open Window and Change in Hand-Delivery Filing</w:t>
      </w:r>
      <w:r w:rsidRPr="00ED3F68">
        <w:rPr>
          <w:shd w:val="clear" w:color="auto" w:fill="FFFFFF"/>
        </w:rPr>
        <w:t xml:space="preserve">, Public Notice, DA 20-304 (rel. Mar. 19, 2020), </w:t>
      </w:r>
      <w:hyperlink r:id="rId1" w:history="1">
        <w:r w:rsidRPr="00766006" w:rsidR="00ED3F68">
          <w:rPr>
            <w:rStyle w:val="Hyperlink"/>
            <w:shd w:val="clear" w:color="auto" w:fill="FFFFFF"/>
          </w:rPr>
          <w:t>https://www.fcc.gov/document/fcc-closes-headquarters-open-window-and-changes-hand-delivery-policy</w:t>
        </w:r>
      </w:hyperlink>
      <w:r w:rsidRPr="00ED3F68">
        <w:rPr>
          <w:shd w:val="clear" w:color="auto" w:fill="FFFFFF"/>
        </w:rPr>
        <w:t>.</w:t>
      </w:r>
    </w:p>
  </w:footnote>
  <w:footnote w:id="24">
    <w:p w:rsidR="00260438" w14:paraId="24EC7B97" w14:textId="54787E96">
      <w:pPr>
        <w:pStyle w:val="FootnoteText"/>
      </w:pPr>
      <w:r>
        <w:rPr>
          <w:rStyle w:val="FootnoteReference"/>
        </w:rPr>
        <w:footnoteRef/>
      </w:r>
      <w:r>
        <w:t xml:space="preserve"> </w:t>
      </w:r>
      <w:r w:rsidRPr="00260438">
        <w:t>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1A4DCDE0" w14:textId="6D4514A8">
    <w:pPr>
      <w:tabs>
        <w:tab w:val="center" w:pos="4680"/>
        <w:tab w:val="right" w:pos="9360"/>
      </w:tabs>
    </w:pPr>
    <w:r>
      <w:rPr>
        <w:b/>
      </w:rPr>
      <w:tab/>
      <w:t>Federal Communications Commission</w:t>
    </w:r>
    <w:r>
      <w:rPr>
        <w:b/>
      </w:rPr>
      <w:tab/>
    </w:r>
    <w:r w:rsidRPr="00542EDD" w:rsidR="00E47662">
      <w:rPr>
        <w:b/>
      </w:rPr>
      <w:t xml:space="preserve">DA </w:t>
    </w:r>
    <w:r w:rsidRPr="00542EDD" w:rsidR="00060C25">
      <w:rPr>
        <w:b/>
      </w:rPr>
      <w:t>23</w:t>
    </w:r>
    <w:r w:rsidRPr="00542EDD" w:rsidR="00E47662">
      <w:rPr>
        <w:b/>
      </w:rPr>
      <w:t>-</w:t>
    </w:r>
    <w:r w:rsidR="00395974">
      <w:rPr>
        <w:b/>
      </w:rPr>
      <w:t>687</w:t>
    </w:r>
  </w:p>
  <w:p w:rsidR="0069721E" w14:paraId="35DFCE56" w14:textId="4E08104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9721E" w14:paraId="65FB896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4B1D69D4" w14:textId="681537D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F6525328"/>
    <w:lvl w:ilvl="0">
      <w:start w:val="1"/>
      <w:numFmt w:val="bullet"/>
      <w:lvlText w:val=""/>
      <w:lvlJc w:val="left"/>
      <w:pPr>
        <w:ind w:left="720"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CA5843"/>
    <w:multiLevelType w:val="hybridMultilevel"/>
    <w:tmpl w:val="A06A7F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C7015A"/>
    <w:multiLevelType w:val="hybridMultilevel"/>
    <w:tmpl w:val="31F04B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62"/>
    <w:rsid w:val="000071C1"/>
    <w:rsid w:val="000071C6"/>
    <w:rsid w:val="00012829"/>
    <w:rsid w:val="000151DC"/>
    <w:rsid w:val="000163D7"/>
    <w:rsid w:val="00016D25"/>
    <w:rsid w:val="00021F3F"/>
    <w:rsid w:val="00022520"/>
    <w:rsid w:val="0002465E"/>
    <w:rsid w:val="000300AF"/>
    <w:rsid w:val="0003033A"/>
    <w:rsid w:val="000311AD"/>
    <w:rsid w:val="00035914"/>
    <w:rsid w:val="000407EE"/>
    <w:rsid w:val="000457C9"/>
    <w:rsid w:val="00055153"/>
    <w:rsid w:val="00060C25"/>
    <w:rsid w:val="00062D5D"/>
    <w:rsid w:val="000724A6"/>
    <w:rsid w:val="00073778"/>
    <w:rsid w:val="00074266"/>
    <w:rsid w:val="000815A3"/>
    <w:rsid w:val="00082200"/>
    <w:rsid w:val="00085A8C"/>
    <w:rsid w:val="000956FB"/>
    <w:rsid w:val="000A2AFC"/>
    <w:rsid w:val="000A3342"/>
    <w:rsid w:val="000B07BA"/>
    <w:rsid w:val="000B4842"/>
    <w:rsid w:val="000B5072"/>
    <w:rsid w:val="000B656E"/>
    <w:rsid w:val="000C591B"/>
    <w:rsid w:val="000D02AA"/>
    <w:rsid w:val="000D49A1"/>
    <w:rsid w:val="000D695C"/>
    <w:rsid w:val="000E193A"/>
    <w:rsid w:val="0010458F"/>
    <w:rsid w:val="00112464"/>
    <w:rsid w:val="00115300"/>
    <w:rsid w:val="00121965"/>
    <w:rsid w:val="001231A9"/>
    <w:rsid w:val="00125CA0"/>
    <w:rsid w:val="00132C26"/>
    <w:rsid w:val="00144D6E"/>
    <w:rsid w:val="001510C8"/>
    <w:rsid w:val="00151CAD"/>
    <w:rsid w:val="00152890"/>
    <w:rsid w:val="00156CC2"/>
    <w:rsid w:val="001603E8"/>
    <w:rsid w:val="001639F9"/>
    <w:rsid w:val="00164BD3"/>
    <w:rsid w:val="00167AE1"/>
    <w:rsid w:val="001739B9"/>
    <w:rsid w:val="001777D6"/>
    <w:rsid w:val="00180C96"/>
    <w:rsid w:val="00180DF8"/>
    <w:rsid w:val="00182884"/>
    <w:rsid w:val="001836F7"/>
    <w:rsid w:val="00190A7A"/>
    <w:rsid w:val="00193F48"/>
    <w:rsid w:val="0019536E"/>
    <w:rsid w:val="00195AC9"/>
    <w:rsid w:val="00196F18"/>
    <w:rsid w:val="001A250C"/>
    <w:rsid w:val="001A2ABC"/>
    <w:rsid w:val="001A5373"/>
    <w:rsid w:val="001B0D8C"/>
    <w:rsid w:val="001B16B2"/>
    <w:rsid w:val="001B1A1A"/>
    <w:rsid w:val="001B2FC9"/>
    <w:rsid w:val="001B3776"/>
    <w:rsid w:val="001B389D"/>
    <w:rsid w:val="001C2C14"/>
    <w:rsid w:val="001C465F"/>
    <w:rsid w:val="001C5E0A"/>
    <w:rsid w:val="001D2DBB"/>
    <w:rsid w:val="001D33D1"/>
    <w:rsid w:val="001D447F"/>
    <w:rsid w:val="001D4B08"/>
    <w:rsid w:val="001E0621"/>
    <w:rsid w:val="001E17A4"/>
    <w:rsid w:val="001E2352"/>
    <w:rsid w:val="001E2D2A"/>
    <w:rsid w:val="001E4621"/>
    <w:rsid w:val="001F18D6"/>
    <w:rsid w:val="001F2102"/>
    <w:rsid w:val="001F342C"/>
    <w:rsid w:val="001F5103"/>
    <w:rsid w:val="00200D18"/>
    <w:rsid w:val="00201241"/>
    <w:rsid w:val="00201E26"/>
    <w:rsid w:val="0020315B"/>
    <w:rsid w:val="00203D29"/>
    <w:rsid w:val="002063B6"/>
    <w:rsid w:val="002063DF"/>
    <w:rsid w:val="00212EE7"/>
    <w:rsid w:val="00216E11"/>
    <w:rsid w:val="00221780"/>
    <w:rsid w:val="0022225F"/>
    <w:rsid w:val="0022239B"/>
    <w:rsid w:val="00222AAE"/>
    <w:rsid w:val="00224472"/>
    <w:rsid w:val="002248EA"/>
    <w:rsid w:val="00231FFC"/>
    <w:rsid w:val="00232499"/>
    <w:rsid w:val="00232C0A"/>
    <w:rsid w:val="00232E92"/>
    <w:rsid w:val="00233223"/>
    <w:rsid w:val="002357EB"/>
    <w:rsid w:val="00245CBB"/>
    <w:rsid w:val="00254040"/>
    <w:rsid w:val="00256454"/>
    <w:rsid w:val="00260438"/>
    <w:rsid w:val="00260653"/>
    <w:rsid w:val="0026110F"/>
    <w:rsid w:val="0026217A"/>
    <w:rsid w:val="00262560"/>
    <w:rsid w:val="00265A83"/>
    <w:rsid w:val="0027316E"/>
    <w:rsid w:val="0027421A"/>
    <w:rsid w:val="00274898"/>
    <w:rsid w:val="00283E51"/>
    <w:rsid w:val="00291FE0"/>
    <w:rsid w:val="002944DA"/>
    <w:rsid w:val="002947C4"/>
    <w:rsid w:val="002A3A91"/>
    <w:rsid w:val="002A67EE"/>
    <w:rsid w:val="002B2D3A"/>
    <w:rsid w:val="002C11AE"/>
    <w:rsid w:val="002C534F"/>
    <w:rsid w:val="002D37F8"/>
    <w:rsid w:val="002D487E"/>
    <w:rsid w:val="002D6C14"/>
    <w:rsid w:val="002D6FE6"/>
    <w:rsid w:val="002E5313"/>
    <w:rsid w:val="002E7375"/>
    <w:rsid w:val="002F232E"/>
    <w:rsid w:val="002F30F5"/>
    <w:rsid w:val="002F7AE6"/>
    <w:rsid w:val="00301F1A"/>
    <w:rsid w:val="0030228F"/>
    <w:rsid w:val="00320111"/>
    <w:rsid w:val="00325D45"/>
    <w:rsid w:val="0033592C"/>
    <w:rsid w:val="003371BE"/>
    <w:rsid w:val="00337B3B"/>
    <w:rsid w:val="00340A9C"/>
    <w:rsid w:val="00342767"/>
    <w:rsid w:val="00345453"/>
    <w:rsid w:val="00352D7A"/>
    <w:rsid w:val="00352E64"/>
    <w:rsid w:val="00362867"/>
    <w:rsid w:val="00363A82"/>
    <w:rsid w:val="00366A69"/>
    <w:rsid w:val="00367093"/>
    <w:rsid w:val="00374C63"/>
    <w:rsid w:val="003907DC"/>
    <w:rsid w:val="00390CC5"/>
    <w:rsid w:val="00391E75"/>
    <w:rsid w:val="0039539D"/>
    <w:rsid w:val="00395974"/>
    <w:rsid w:val="003A056F"/>
    <w:rsid w:val="003A2D5E"/>
    <w:rsid w:val="003B72C2"/>
    <w:rsid w:val="003C495F"/>
    <w:rsid w:val="003E6A3C"/>
    <w:rsid w:val="00402962"/>
    <w:rsid w:val="004048DA"/>
    <w:rsid w:val="004103C5"/>
    <w:rsid w:val="004114D6"/>
    <w:rsid w:val="0041172E"/>
    <w:rsid w:val="00421723"/>
    <w:rsid w:val="004251EE"/>
    <w:rsid w:val="00425239"/>
    <w:rsid w:val="00440B1F"/>
    <w:rsid w:val="00440FCD"/>
    <w:rsid w:val="00441529"/>
    <w:rsid w:val="00443410"/>
    <w:rsid w:val="00447EF5"/>
    <w:rsid w:val="00450BBD"/>
    <w:rsid w:val="00454E1D"/>
    <w:rsid w:val="00456732"/>
    <w:rsid w:val="0046427B"/>
    <w:rsid w:val="004709BA"/>
    <w:rsid w:val="00470D51"/>
    <w:rsid w:val="00475A8C"/>
    <w:rsid w:val="004811AA"/>
    <w:rsid w:val="00484890"/>
    <w:rsid w:val="00490161"/>
    <w:rsid w:val="0049249B"/>
    <w:rsid w:val="00494850"/>
    <w:rsid w:val="004949BC"/>
    <w:rsid w:val="004A09FB"/>
    <w:rsid w:val="004A304C"/>
    <w:rsid w:val="004A789F"/>
    <w:rsid w:val="004A7A84"/>
    <w:rsid w:val="004B0032"/>
    <w:rsid w:val="004B0424"/>
    <w:rsid w:val="004B19DF"/>
    <w:rsid w:val="004B2F4D"/>
    <w:rsid w:val="004B3D4C"/>
    <w:rsid w:val="004B5CE3"/>
    <w:rsid w:val="004B5ED7"/>
    <w:rsid w:val="004B7B72"/>
    <w:rsid w:val="004C1355"/>
    <w:rsid w:val="004C1B37"/>
    <w:rsid w:val="004C7109"/>
    <w:rsid w:val="004D265A"/>
    <w:rsid w:val="004E18F9"/>
    <w:rsid w:val="004E3165"/>
    <w:rsid w:val="004E4E27"/>
    <w:rsid w:val="004F1596"/>
    <w:rsid w:val="004F2362"/>
    <w:rsid w:val="005012FC"/>
    <w:rsid w:val="00501C56"/>
    <w:rsid w:val="0050375F"/>
    <w:rsid w:val="00504592"/>
    <w:rsid w:val="00505542"/>
    <w:rsid w:val="005055E3"/>
    <w:rsid w:val="00506C9F"/>
    <w:rsid w:val="00506DA1"/>
    <w:rsid w:val="0051033F"/>
    <w:rsid w:val="0051098F"/>
    <w:rsid w:val="00512AE4"/>
    <w:rsid w:val="00512F8E"/>
    <w:rsid w:val="005202C1"/>
    <w:rsid w:val="00523185"/>
    <w:rsid w:val="00530D12"/>
    <w:rsid w:val="00542EDD"/>
    <w:rsid w:val="00553047"/>
    <w:rsid w:val="00556B4D"/>
    <w:rsid w:val="00560C68"/>
    <w:rsid w:val="005612A4"/>
    <w:rsid w:val="00563DA9"/>
    <w:rsid w:val="00563E5A"/>
    <w:rsid w:val="005655B3"/>
    <w:rsid w:val="0056572D"/>
    <w:rsid w:val="00571DE8"/>
    <w:rsid w:val="00574672"/>
    <w:rsid w:val="00574957"/>
    <w:rsid w:val="0058137A"/>
    <w:rsid w:val="00592CC8"/>
    <w:rsid w:val="00592FF7"/>
    <w:rsid w:val="00594C11"/>
    <w:rsid w:val="00595388"/>
    <w:rsid w:val="0059750A"/>
    <w:rsid w:val="005A3A01"/>
    <w:rsid w:val="005A524D"/>
    <w:rsid w:val="005B753D"/>
    <w:rsid w:val="005C011E"/>
    <w:rsid w:val="005C296F"/>
    <w:rsid w:val="005C3C6B"/>
    <w:rsid w:val="005C46FC"/>
    <w:rsid w:val="005D12C6"/>
    <w:rsid w:val="005D1F21"/>
    <w:rsid w:val="005D4EA1"/>
    <w:rsid w:val="005D736D"/>
    <w:rsid w:val="005E06A3"/>
    <w:rsid w:val="005E2117"/>
    <w:rsid w:val="005E2403"/>
    <w:rsid w:val="005E25F0"/>
    <w:rsid w:val="005E539A"/>
    <w:rsid w:val="005F01A7"/>
    <w:rsid w:val="005F1E5C"/>
    <w:rsid w:val="005F4C4D"/>
    <w:rsid w:val="00603052"/>
    <w:rsid w:val="00604C3F"/>
    <w:rsid w:val="00604CAE"/>
    <w:rsid w:val="006079E2"/>
    <w:rsid w:val="00610E7E"/>
    <w:rsid w:val="00612061"/>
    <w:rsid w:val="00625AB8"/>
    <w:rsid w:val="00625E29"/>
    <w:rsid w:val="006312B0"/>
    <w:rsid w:val="0063272E"/>
    <w:rsid w:val="00633A19"/>
    <w:rsid w:val="00633DF9"/>
    <w:rsid w:val="00635B4F"/>
    <w:rsid w:val="00636114"/>
    <w:rsid w:val="00650E43"/>
    <w:rsid w:val="006541EC"/>
    <w:rsid w:val="006564D0"/>
    <w:rsid w:val="00667E48"/>
    <w:rsid w:val="0067749A"/>
    <w:rsid w:val="00686171"/>
    <w:rsid w:val="006931A9"/>
    <w:rsid w:val="0069721E"/>
    <w:rsid w:val="006A2D4A"/>
    <w:rsid w:val="006A2DA1"/>
    <w:rsid w:val="006B00E6"/>
    <w:rsid w:val="006C5A98"/>
    <w:rsid w:val="006C6503"/>
    <w:rsid w:val="006D7B44"/>
    <w:rsid w:val="006E447F"/>
    <w:rsid w:val="006E5FB0"/>
    <w:rsid w:val="006E6427"/>
    <w:rsid w:val="006F1A1F"/>
    <w:rsid w:val="006F5BBA"/>
    <w:rsid w:val="006F681A"/>
    <w:rsid w:val="00701E2F"/>
    <w:rsid w:val="00703E2A"/>
    <w:rsid w:val="007044F0"/>
    <w:rsid w:val="00714D1D"/>
    <w:rsid w:val="0071735D"/>
    <w:rsid w:val="00717FD8"/>
    <w:rsid w:val="007244E0"/>
    <w:rsid w:val="00725087"/>
    <w:rsid w:val="00730E53"/>
    <w:rsid w:val="0073106A"/>
    <w:rsid w:val="00734B1E"/>
    <w:rsid w:val="00736427"/>
    <w:rsid w:val="007415DF"/>
    <w:rsid w:val="007466A8"/>
    <w:rsid w:val="00755B2D"/>
    <w:rsid w:val="0075656D"/>
    <w:rsid w:val="00756783"/>
    <w:rsid w:val="00757403"/>
    <w:rsid w:val="00766006"/>
    <w:rsid w:val="00766C3B"/>
    <w:rsid w:val="0077137A"/>
    <w:rsid w:val="00775209"/>
    <w:rsid w:val="00784B9B"/>
    <w:rsid w:val="00794BFE"/>
    <w:rsid w:val="007A1C8A"/>
    <w:rsid w:val="007A261D"/>
    <w:rsid w:val="007A4EDA"/>
    <w:rsid w:val="007A6A5D"/>
    <w:rsid w:val="007B1D00"/>
    <w:rsid w:val="007B1EB1"/>
    <w:rsid w:val="007C0B5B"/>
    <w:rsid w:val="007C1D56"/>
    <w:rsid w:val="007C58E6"/>
    <w:rsid w:val="007C6AA3"/>
    <w:rsid w:val="007C7F16"/>
    <w:rsid w:val="007D133B"/>
    <w:rsid w:val="007D3DF5"/>
    <w:rsid w:val="007D5800"/>
    <w:rsid w:val="007E308D"/>
    <w:rsid w:val="007E3A97"/>
    <w:rsid w:val="007E4DCA"/>
    <w:rsid w:val="007E77E5"/>
    <w:rsid w:val="007F3B6A"/>
    <w:rsid w:val="007F4515"/>
    <w:rsid w:val="007F6245"/>
    <w:rsid w:val="007F7DFA"/>
    <w:rsid w:val="0080148C"/>
    <w:rsid w:val="00802593"/>
    <w:rsid w:val="00802FB3"/>
    <w:rsid w:val="00805C95"/>
    <w:rsid w:val="008116F2"/>
    <w:rsid w:val="00815760"/>
    <w:rsid w:val="00820AFB"/>
    <w:rsid w:val="00826462"/>
    <w:rsid w:val="00834C68"/>
    <w:rsid w:val="008376DC"/>
    <w:rsid w:val="0084210D"/>
    <w:rsid w:val="008434E2"/>
    <w:rsid w:val="00854A28"/>
    <w:rsid w:val="00861D81"/>
    <w:rsid w:val="008634CC"/>
    <w:rsid w:val="00865A4B"/>
    <w:rsid w:val="0086705E"/>
    <w:rsid w:val="0086786D"/>
    <w:rsid w:val="00870D4D"/>
    <w:rsid w:val="00874C25"/>
    <w:rsid w:val="00876914"/>
    <w:rsid w:val="00877484"/>
    <w:rsid w:val="00897B78"/>
    <w:rsid w:val="008A2DBC"/>
    <w:rsid w:val="008A42A4"/>
    <w:rsid w:val="008B026A"/>
    <w:rsid w:val="008B1549"/>
    <w:rsid w:val="008C2B4B"/>
    <w:rsid w:val="008C6501"/>
    <w:rsid w:val="008C6737"/>
    <w:rsid w:val="008D7770"/>
    <w:rsid w:val="008D783D"/>
    <w:rsid w:val="008F0E56"/>
    <w:rsid w:val="008F70E4"/>
    <w:rsid w:val="00904AEB"/>
    <w:rsid w:val="009077DF"/>
    <w:rsid w:val="00907DFB"/>
    <w:rsid w:val="0091030B"/>
    <w:rsid w:val="009115B5"/>
    <w:rsid w:val="00913442"/>
    <w:rsid w:val="00914F38"/>
    <w:rsid w:val="00916C8D"/>
    <w:rsid w:val="00917729"/>
    <w:rsid w:val="00931F3E"/>
    <w:rsid w:val="00934D29"/>
    <w:rsid w:val="00937655"/>
    <w:rsid w:val="00937754"/>
    <w:rsid w:val="00940552"/>
    <w:rsid w:val="00941141"/>
    <w:rsid w:val="00942142"/>
    <w:rsid w:val="009429C4"/>
    <w:rsid w:val="00945BAC"/>
    <w:rsid w:val="00953513"/>
    <w:rsid w:val="009548AA"/>
    <w:rsid w:val="00955976"/>
    <w:rsid w:val="00960AD5"/>
    <w:rsid w:val="00970ADB"/>
    <w:rsid w:val="00971D7D"/>
    <w:rsid w:val="009748F8"/>
    <w:rsid w:val="00976628"/>
    <w:rsid w:val="00977748"/>
    <w:rsid w:val="0099046D"/>
    <w:rsid w:val="00991C8F"/>
    <w:rsid w:val="009946A1"/>
    <w:rsid w:val="00997D92"/>
    <w:rsid w:val="009A1948"/>
    <w:rsid w:val="009C34C9"/>
    <w:rsid w:val="009D069C"/>
    <w:rsid w:val="009E5F05"/>
    <w:rsid w:val="009F0B90"/>
    <w:rsid w:val="00A03240"/>
    <w:rsid w:val="00A04693"/>
    <w:rsid w:val="00A0489A"/>
    <w:rsid w:val="00A06F49"/>
    <w:rsid w:val="00A07458"/>
    <w:rsid w:val="00A111AC"/>
    <w:rsid w:val="00A22EA3"/>
    <w:rsid w:val="00A30DF3"/>
    <w:rsid w:val="00A36D66"/>
    <w:rsid w:val="00A47ABC"/>
    <w:rsid w:val="00A579D9"/>
    <w:rsid w:val="00A63004"/>
    <w:rsid w:val="00A632BA"/>
    <w:rsid w:val="00A7718A"/>
    <w:rsid w:val="00A77CD9"/>
    <w:rsid w:val="00A86A2F"/>
    <w:rsid w:val="00A95685"/>
    <w:rsid w:val="00A96210"/>
    <w:rsid w:val="00A96BCE"/>
    <w:rsid w:val="00A97FEF"/>
    <w:rsid w:val="00AA0492"/>
    <w:rsid w:val="00AA0E51"/>
    <w:rsid w:val="00AA1717"/>
    <w:rsid w:val="00AA2588"/>
    <w:rsid w:val="00AA7238"/>
    <w:rsid w:val="00AB3B32"/>
    <w:rsid w:val="00AB3B63"/>
    <w:rsid w:val="00AC3C46"/>
    <w:rsid w:val="00AD07E1"/>
    <w:rsid w:val="00AD3C99"/>
    <w:rsid w:val="00AD7690"/>
    <w:rsid w:val="00AE1F38"/>
    <w:rsid w:val="00AF1ED8"/>
    <w:rsid w:val="00AF6F82"/>
    <w:rsid w:val="00B039CF"/>
    <w:rsid w:val="00B04536"/>
    <w:rsid w:val="00B04D20"/>
    <w:rsid w:val="00B14CC4"/>
    <w:rsid w:val="00B20363"/>
    <w:rsid w:val="00B24C0F"/>
    <w:rsid w:val="00B34363"/>
    <w:rsid w:val="00B53F9E"/>
    <w:rsid w:val="00B5703E"/>
    <w:rsid w:val="00B6423A"/>
    <w:rsid w:val="00B755EA"/>
    <w:rsid w:val="00B81C7E"/>
    <w:rsid w:val="00B87E27"/>
    <w:rsid w:val="00B90EA9"/>
    <w:rsid w:val="00B9172E"/>
    <w:rsid w:val="00B93402"/>
    <w:rsid w:val="00BA06A8"/>
    <w:rsid w:val="00BB4E14"/>
    <w:rsid w:val="00BC03BD"/>
    <w:rsid w:val="00BE736A"/>
    <w:rsid w:val="00BF27EA"/>
    <w:rsid w:val="00BF76CE"/>
    <w:rsid w:val="00C12461"/>
    <w:rsid w:val="00C15EED"/>
    <w:rsid w:val="00C26291"/>
    <w:rsid w:val="00C27964"/>
    <w:rsid w:val="00C3093A"/>
    <w:rsid w:val="00C42C85"/>
    <w:rsid w:val="00C432CC"/>
    <w:rsid w:val="00C44486"/>
    <w:rsid w:val="00C45A27"/>
    <w:rsid w:val="00C50052"/>
    <w:rsid w:val="00C52701"/>
    <w:rsid w:val="00C64E4E"/>
    <w:rsid w:val="00C664A8"/>
    <w:rsid w:val="00C74230"/>
    <w:rsid w:val="00C80618"/>
    <w:rsid w:val="00C80BA5"/>
    <w:rsid w:val="00C83238"/>
    <w:rsid w:val="00C84B74"/>
    <w:rsid w:val="00C851FD"/>
    <w:rsid w:val="00C9024F"/>
    <w:rsid w:val="00C90D7C"/>
    <w:rsid w:val="00CA1EEA"/>
    <w:rsid w:val="00CA6B6C"/>
    <w:rsid w:val="00CC3E0D"/>
    <w:rsid w:val="00CC4072"/>
    <w:rsid w:val="00CC5CB6"/>
    <w:rsid w:val="00CC71E8"/>
    <w:rsid w:val="00CC7680"/>
    <w:rsid w:val="00CD0789"/>
    <w:rsid w:val="00CD0D4E"/>
    <w:rsid w:val="00CD1F1C"/>
    <w:rsid w:val="00CD4087"/>
    <w:rsid w:val="00CD469C"/>
    <w:rsid w:val="00CD5433"/>
    <w:rsid w:val="00CD7E73"/>
    <w:rsid w:val="00CE79B0"/>
    <w:rsid w:val="00CF36DA"/>
    <w:rsid w:val="00D05BDB"/>
    <w:rsid w:val="00D12FC5"/>
    <w:rsid w:val="00D2149E"/>
    <w:rsid w:val="00D227A9"/>
    <w:rsid w:val="00D364EF"/>
    <w:rsid w:val="00D371DD"/>
    <w:rsid w:val="00D469EF"/>
    <w:rsid w:val="00D503D8"/>
    <w:rsid w:val="00D5229D"/>
    <w:rsid w:val="00D56B82"/>
    <w:rsid w:val="00D655AC"/>
    <w:rsid w:val="00D751DE"/>
    <w:rsid w:val="00D7712F"/>
    <w:rsid w:val="00D81CB4"/>
    <w:rsid w:val="00D84F4F"/>
    <w:rsid w:val="00D8759E"/>
    <w:rsid w:val="00DA1953"/>
    <w:rsid w:val="00DA3092"/>
    <w:rsid w:val="00DA4EFB"/>
    <w:rsid w:val="00DB0349"/>
    <w:rsid w:val="00DB10AD"/>
    <w:rsid w:val="00DB343B"/>
    <w:rsid w:val="00DB448E"/>
    <w:rsid w:val="00DB76A4"/>
    <w:rsid w:val="00DC0DCC"/>
    <w:rsid w:val="00DC68AA"/>
    <w:rsid w:val="00DE6673"/>
    <w:rsid w:val="00DE68D4"/>
    <w:rsid w:val="00E00DE7"/>
    <w:rsid w:val="00E055E1"/>
    <w:rsid w:val="00E1056D"/>
    <w:rsid w:val="00E13C91"/>
    <w:rsid w:val="00E173D2"/>
    <w:rsid w:val="00E17F3F"/>
    <w:rsid w:val="00E25226"/>
    <w:rsid w:val="00E335CA"/>
    <w:rsid w:val="00E35F86"/>
    <w:rsid w:val="00E468B2"/>
    <w:rsid w:val="00E471B0"/>
    <w:rsid w:val="00E47662"/>
    <w:rsid w:val="00E61352"/>
    <w:rsid w:val="00E67FB6"/>
    <w:rsid w:val="00E80F7A"/>
    <w:rsid w:val="00E91DCE"/>
    <w:rsid w:val="00E91E34"/>
    <w:rsid w:val="00E92AD6"/>
    <w:rsid w:val="00E94694"/>
    <w:rsid w:val="00E969EC"/>
    <w:rsid w:val="00EA3BC4"/>
    <w:rsid w:val="00EA54CF"/>
    <w:rsid w:val="00EB0379"/>
    <w:rsid w:val="00EB0530"/>
    <w:rsid w:val="00EB3E67"/>
    <w:rsid w:val="00EB4A93"/>
    <w:rsid w:val="00EB7187"/>
    <w:rsid w:val="00EC325C"/>
    <w:rsid w:val="00EC507D"/>
    <w:rsid w:val="00EC55D4"/>
    <w:rsid w:val="00ED3F68"/>
    <w:rsid w:val="00EE090B"/>
    <w:rsid w:val="00EE0BE1"/>
    <w:rsid w:val="00EE137A"/>
    <w:rsid w:val="00EE77BB"/>
    <w:rsid w:val="00EE7FAE"/>
    <w:rsid w:val="00EF6EDE"/>
    <w:rsid w:val="00F00CDD"/>
    <w:rsid w:val="00F02F13"/>
    <w:rsid w:val="00F066BF"/>
    <w:rsid w:val="00F13509"/>
    <w:rsid w:val="00F138F8"/>
    <w:rsid w:val="00F14BF1"/>
    <w:rsid w:val="00F16698"/>
    <w:rsid w:val="00F22C67"/>
    <w:rsid w:val="00F30D3F"/>
    <w:rsid w:val="00F30F51"/>
    <w:rsid w:val="00F313C5"/>
    <w:rsid w:val="00F3173C"/>
    <w:rsid w:val="00F32B7C"/>
    <w:rsid w:val="00F33C1C"/>
    <w:rsid w:val="00F360E6"/>
    <w:rsid w:val="00F44DC6"/>
    <w:rsid w:val="00F46F17"/>
    <w:rsid w:val="00F5194B"/>
    <w:rsid w:val="00F52652"/>
    <w:rsid w:val="00F5378A"/>
    <w:rsid w:val="00F56980"/>
    <w:rsid w:val="00F6038E"/>
    <w:rsid w:val="00F60CE6"/>
    <w:rsid w:val="00F67C28"/>
    <w:rsid w:val="00F70F10"/>
    <w:rsid w:val="00F719EA"/>
    <w:rsid w:val="00F73973"/>
    <w:rsid w:val="00F77600"/>
    <w:rsid w:val="00F80B63"/>
    <w:rsid w:val="00F81614"/>
    <w:rsid w:val="00F8228A"/>
    <w:rsid w:val="00F834CF"/>
    <w:rsid w:val="00F84328"/>
    <w:rsid w:val="00F853E1"/>
    <w:rsid w:val="00FA14EA"/>
    <w:rsid w:val="00FB2B1E"/>
    <w:rsid w:val="00FB555A"/>
    <w:rsid w:val="00FB7F04"/>
    <w:rsid w:val="00FC1938"/>
    <w:rsid w:val="00FD0708"/>
    <w:rsid w:val="00FD32A9"/>
    <w:rsid w:val="00FD7E7C"/>
    <w:rsid w:val="00FE0897"/>
    <w:rsid w:val="00FE1287"/>
    <w:rsid w:val="00FE29B4"/>
    <w:rsid w:val="00FE6046"/>
    <w:rsid w:val="00FE79DA"/>
    <w:rsid w:val="00FF3E41"/>
    <w:rsid w:val="00FF5A52"/>
    <w:rsid w:val="02988ACA"/>
    <w:rsid w:val="06802680"/>
    <w:rsid w:val="37A7C5FA"/>
    <w:rsid w:val="47E5DD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0C62C2"/>
  <w15:chartTrackingRefBased/>
  <w15:docId w15:val="{C451FF40-769D-4EC5-B773-2A4E5F69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10"/>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47662"/>
  </w:style>
  <w:style w:type="character" w:styleId="CommentReference">
    <w:name w:val="annotation reference"/>
    <w:uiPriority w:val="99"/>
    <w:semiHidden/>
    <w:unhideWhenUsed/>
    <w:rsid w:val="00E47662"/>
    <w:rPr>
      <w:sz w:val="16"/>
      <w:szCs w:val="16"/>
    </w:rPr>
  </w:style>
  <w:style w:type="paragraph" w:styleId="CommentText">
    <w:name w:val="annotation text"/>
    <w:basedOn w:val="Normal"/>
    <w:link w:val="CommentTextChar"/>
    <w:uiPriority w:val="99"/>
    <w:unhideWhenUsed/>
    <w:rsid w:val="00E47662"/>
    <w:rPr>
      <w:sz w:val="20"/>
    </w:rPr>
  </w:style>
  <w:style w:type="character" w:customStyle="1" w:styleId="CommentTextChar">
    <w:name w:val="Comment Text Char"/>
    <w:link w:val="CommentText"/>
    <w:uiPriority w:val="99"/>
    <w:rsid w:val="00E47662"/>
    <w:rPr>
      <w:snapToGrid w:val="0"/>
      <w:kern w:val="28"/>
    </w:rPr>
  </w:style>
  <w:style w:type="character" w:styleId="Emphasis">
    <w:name w:val="Emphasis"/>
    <w:uiPriority w:val="20"/>
    <w:qFormat/>
    <w:rsid w:val="00E47662"/>
    <w:rPr>
      <w:i/>
      <w:iCs/>
    </w:rPr>
  </w:style>
  <w:style w:type="paragraph" w:styleId="CommentSubject">
    <w:name w:val="annotation subject"/>
    <w:basedOn w:val="CommentText"/>
    <w:next w:val="CommentText"/>
    <w:link w:val="CommentSubjectChar"/>
    <w:uiPriority w:val="99"/>
    <w:semiHidden/>
    <w:unhideWhenUsed/>
    <w:rsid w:val="005C46FC"/>
    <w:rPr>
      <w:b/>
      <w:bCs/>
    </w:rPr>
  </w:style>
  <w:style w:type="character" w:customStyle="1" w:styleId="CommentSubjectChar">
    <w:name w:val="Comment Subject Char"/>
    <w:basedOn w:val="CommentTextChar"/>
    <w:link w:val="CommentSubject"/>
    <w:uiPriority w:val="99"/>
    <w:semiHidden/>
    <w:rsid w:val="005C46FC"/>
    <w:rPr>
      <w:b/>
      <w:bCs/>
      <w:snapToGrid w:val="0"/>
      <w:kern w:val="28"/>
    </w:rPr>
  </w:style>
  <w:style w:type="paragraph" w:styleId="Revision">
    <w:name w:val="Revision"/>
    <w:hidden/>
    <w:uiPriority w:val="99"/>
    <w:semiHidden/>
    <w:rsid w:val="00DB448E"/>
    <w:rPr>
      <w:snapToGrid w:val="0"/>
      <w:kern w:val="28"/>
      <w:sz w:val="22"/>
    </w:rPr>
  </w:style>
  <w:style w:type="paragraph" w:styleId="ListParagraph">
    <w:name w:val="List Paragraph"/>
    <w:basedOn w:val="Normal"/>
    <w:uiPriority w:val="34"/>
    <w:qFormat/>
    <w:rsid w:val="0011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albert.shuldiner@fcc.gov" TargetMode="External" /><Relationship Id="rId7" Type="http://schemas.openxmlformats.org/officeDocument/2006/relationships/hyperlink" Target="mailto:christopher.clark@fcc.gov" TargetMode="External" /><Relationship Id="rId8" Type="http://schemas.openxmlformats.org/officeDocument/2006/relationships/hyperlink" Target="mailto:brendan.holland@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