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4C2EE3" w14:paraId="4B42FE8E" w14:textId="77777777">
      <w:pPr>
        <w:jc w:val="center"/>
        <w:rPr>
          <w:b/>
        </w:rPr>
      </w:pPr>
      <w:r w:rsidRPr="6199CB62">
        <w:rPr>
          <w:rFonts w:ascii="Times New Roman Bold" w:hAnsi="Times New Roman Bold"/>
          <w:b/>
          <w:kern w:val="0"/>
        </w:rPr>
        <w:t>Before</w:t>
      </w:r>
      <w:r>
        <w:rPr>
          <w:b/>
        </w:rPr>
        <w:t xml:space="preserve"> the</w:t>
      </w:r>
    </w:p>
    <w:p w:rsidR="00921803" w:rsidP="00921803" w14:paraId="642C6506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162C9669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4792FDF4" w14:textId="77777777"/>
    <w:p w:rsidR="004C2EE3" w:rsidP="0070224F" w14:paraId="6D25623D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0D8A199E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14:paraId="4E36ADE1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14:paraId="22B963FC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Pr="007115F7" w:rsidP="007115F7" w14:paraId="3D3D8CD2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Shortwave Modernization Coalition Petition for Rulemaking to Amend the Commission’s Rules to Allow Fixed, Long-Distance, Non-Voice Communications Above 2 MHz and Below 25 MHz</w:t>
            </w:r>
          </w:p>
        </w:tc>
        <w:tc>
          <w:tcPr>
            <w:tcW w:w="630" w:type="dxa"/>
          </w:tcPr>
          <w:p w:rsidR="004C2EE3" w14:paraId="7D5018B2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04D05EA7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48CBD50E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4EB95041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3648A31B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1BA62651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Pr="00BD2033" w14:paraId="5018AD4B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14:paraId="5DBCF51B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14:paraId="3513E500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4C2EE3" w14:paraId="574502D2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RM-11953</w:t>
            </w:r>
          </w:p>
        </w:tc>
      </w:tr>
    </w:tbl>
    <w:p w:rsidR="004C2EE3" w:rsidP="0070224F" w14:paraId="06058863" w14:textId="77777777"/>
    <w:p w:rsidR="00841AB1" w:rsidP="00F021FA" w14:paraId="1D4DE41B" w14:textId="77777777">
      <w:pPr>
        <w:pStyle w:val="StyleBoldCentered"/>
      </w:pPr>
      <w:r>
        <w:t>ORder</w:t>
      </w:r>
    </w:p>
    <w:p w:rsidR="004C2EE3" w14:paraId="5034A4BE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133F79" w14:paraId="0EA0EB10" w14:textId="07D1235E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0C5BA7">
        <w:rPr>
          <w:b/>
          <w:spacing w:val="-2"/>
        </w:rPr>
        <w:t>August</w:t>
      </w:r>
      <w:r w:rsidR="00573644">
        <w:rPr>
          <w:b/>
          <w:spacing w:val="-2"/>
        </w:rPr>
        <w:t xml:space="preserve"> </w:t>
      </w:r>
      <w:r w:rsidR="00D3416A">
        <w:rPr>
          <w:b/>
          <w:spacing w:val="-2"/>
        </w:rPr>
        <w:t>11</w:t>
      </w:r>
      <w:r w:rsidR="00573644">
        <w:rPr>
          <w:b/>
          <w:spacing w:val="-2"/>
        </w:rPr>
        <w:t>, 2023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0C5BA7">
        <w:rPr>
          <w:b/>
          <w:spacing w:val="-2"/>
        </w:rPr>
        <w:t>August</w:t>
      </w:r>
      <w:r w:rsidR="00BA1B1E">
        <w:rPr>
          <w:b/>
          <w:spacing w:val="-2"/>
        </w:rPr>
        <w:t xml:space="preserve"> </w:t>
      </w:r>
      <w:r w:rsidR="00D3416A">
        <w:rPr>
          <w:b/>
          <w:spacing w:val="-2"/>
        </w:rPr>
        <w:t>11</w:t>
      </w:r>
      <w:r w:rsidR="00BA1B1E">
        <w:rPr>
          <w:b/>
          <w:spacing w:val="-2"/>
        </w:rPr>
        <w:t>, 2023</w:t>
      </w:r>
    </w:p>
    <w:p w:rsidR="00822CE0" w14:paraId="4E6676B7" w14:textId="77777777"/>
    <w:p w:rsidR="00822CE0" w14:paraId="4BE52345" w14:textId="77777777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BD2033">
        <w:rPr>
          <w:spacing w:val="-2"/>
        </w:rPr>
        <w:t>Chief, Wireless Telecommunications Bureau</w:t>
      </w:r>
      <w:r>
        <w:rPr>
          <w:spacing w:val="-2"/>
        </w:rPr>
        <w:t>:</w:t>
      </w:r>
    </w:p>
    <w:p w:rsidR="00E95902" w:rsidP="00E95902" w14:paraId="3086F146" w14:textId="77777777"/>
    <w:p w:rsidR="008B27D7" w:rsidRPr="008B27D7" w:rsidP="00E95902" w14:paraId="061DBDB1" w14:textId="1DCCAE22">
      <w:pPr>
        <w:pStyle w:val="ParaNum"/>
        <w:rPr>
          <w:szCs w:val="22"/>
        </w:rPr>
      </w:pPr>
      <w:r>
        <w:t>On June 30, 2023, the Office of Managing Director released a Public Notice</w:t>
      </w:r>
      <w:r>
        <w:rPr>
          <w:rStyle w:val="FootnoteReference"/>
        </w:rPr>
        <w:footnoteReference w:id="3"/>
      </w:r>
      <w:r>
        <w:t xml:space="preserve"> seeking comment on a Petition filed by Short</w:t>
      </w:r>
      <w:r w:rsidR="005A18B3">
        <w:t>wave</w:t>
      </w:r>
      <w:r>
        <w:t xml:space="preserve"> Modernization Coalition (SMC) requesting that the Commission initiate a rulemaking to amend its rules to allow fixed, long-distance non-voice communications above 2 MHz and below 25 MHz.</w:t>
      </w:r>
      <w:r>
        <w:rPr>
          <w:rStyle w:val="FootnoteReference"/>
        </w:rPr>
        <w:footnoteReference w:id="4"/>
      </w:r>
      <w:r>
        <w:t xml:space="preserve">  </w:t>
      </w:r>
      <w:r w:rsidR="00C922CE">
        <w:t>O</w:t>
      </w:r>
      <w:r w:rsidRPr="00077078" w:rsidR="00C922CE">
        <w:t>n July 31, 2023</w:t>
      </w:r>
      <w:r w:rsidR="00C922CE">
        <w:t>, t</w:t>
      </w:r>
      <w:r w:rsidRPr="00077078" w:rsidR="00077078">
        <w:t xml:space="preserve">he Bureau released an Order </w:t>
      </w:r>
      <w:r w:rsidR="00077078">
        <w:t>i</w:t>
      </w:r>
      <w:r w:rsidR="00DC149C">
        <w:t xml:space="preserve">n response to motions filed by </w:t>
      </w:r>
      <w:r w:rsidRPr="00DC149C" w:rsidR="00DC149C">
        <w:t>Skywave Networks LLC (Skywave) and FlexRadio Systems (FlexRadio)</w:t>
      </w:r>
      <w:r w:rsidR="00DC149C">
        <w:t>,</w:t>
      </w:r>
      <w:r>
        <w:rPr>
          <w:rStyle w:val="FootnoteReference"/>
        </w:rPr>
        <w:footnoteReference w:id="5"/>
      </w:r>
      <w:r w:rsidR="00DC149C">
        <w:t xml:space="preserve"> </w:t>
      </w:r>
      <w:r>
        <w:t xml:space="preserve">and </w:t>
      </w:r>
      <w:r w:rsidR="00DC149C">
        <w:t>declin</w:t>
      </w:r>
      <w:r>
        <w:t>ed</w:t>
      </w:r>
      <w:r w:rsidR="00DC149C">
        <w:t xml:space="preserve"> to extend the </w:t>
      </w:r>
      <w:r w:rsidR="00077078">
        <w:t xml:space="preserve">deadlines for submitting </w:t>
      </w:r>
      <w:r w:rsidR="00DC149C">
        <w:t>comment</w:t>
      </w:r>
      <w:r w:rsidR="00077078">
        <w:t>s</w:t>
      </w:r>
      <w:r w:rsidR="00DC149C">
        <w:t xml:space="preserve"> </w:t>
      </w:r>
      <w:r w:rsidR="00077078">
        <w:t>to the SMC Petition</w:t>
      </w:r>
      <w:r w:rsidR="00DC149C">
        <w:t>.</w:t>
      </w:r>
      <w:r>
        <w:rPr>
          <w:rStyle w:val="FootnoteReference"/>
        </w:rPr>
        <w:footnoteReference w:id="6"/>
      </w:r>
      <w:r>
        <w:t xml:space="preserve"> </w:t>
      </w:r>
      <w:r w:rsidR="009A2DEF">
        <w:t xml:space="preserve"> In denying the Skywave and FlexRadio petitions, the Bureau noted the preliminary nature of the proceeding, in which the Commission is considering whether to act on a petition for rulemaking, as opposed to considering substantive changes to its rules.</w:t>
      </w:r>
      <w:r>
        <w:rPr>
          <w:rStyle w:val="FootnoteReference"/>
        </w:rPr>
        <w:footnoteReference w:id="7"/>
      </w:r>
      <w:r w:rsidR="009A2DEF">
        <w:t xml:space="preserve">  </w:t>
      </w:r>
      <w:r w:rsidR="00FE5FDB">
        <w:t>The Bureau reasoned that parties would have the opportunity to fully participate in the proceeding in the event the Commission opts to issue a Notice of Proposed Rulemaking.</w:t>
      </w:r>
      <w:r>
        <w:rPr>
          <w:rStyle w:val="FootnoteReference"/>
        </w:rPr>
        <w:footnoteReference w:id="8"/>
      </w:r>
    </w:p>
    <w:p w:rsidR="00172399" w:rsidRPr="00736295" w:rsidP="00736295" w14:paraId="6608272E" w14:textId="7A8924A0">
      <w:pPr>
        <w:pStyle w:val="ParaNum"/>
        <w:rPr>
          <w:szCs w:val="22"/>
        </w:rPr>
      </w:pPr>
      <w:r>
        <w:rPr>
          <w:szCs w:val="22"/>
        </w:rPr>
        <w:t xml:space="preserve">On August 4, 2023, SMC filed </w:t>
      </w:r>
      <w:r w:rsidR="00F02D37">
        <w:rPr>
          <w:szCs w:val="22"/>
        </w:rPr>
        <w:t>a</w:t>
      </w:r>
      <w:r>
        <w:rPr>
          <w:szCs w:val="22"/>
        </w:rPr>
        <w:t xml:space="preserve"> </w:t>
      </w:r>
      <w:r w:rsidR="00FC4391">
        <w:rPr>
          <w:szCs w:val="22"/>
        </w:rPr>
        <w:t xml:space="preserve">motion </w:t>
      </w:r>
      <w:r>
        <w:rPr>
          <w:szCs w:val="22"/>
        </w:rPr>
        <w:t xml:space="preserve">to extend the deadline for </w:t>
      </w:r>
      <w:r w:rsidR="000B71DE">
        <w:rPr>
          <w:szCs w:val="22"/>
        </w:rPr>
        <w:t xml:space="preserve">submitting </w:t>
      </w:r>
      <w:r>
        <w:rPr>
          <w:szCs w:val="22"/>
        </w:rPr>
        <w:t xml:space="preserve">replies to </w:t>
      </w:r>
      <w:r w:rsidR="00F02D37">
        <w:rPr>
          <w:szCs w:val="22"/>
        </w:rPr>
        <w:t xml:space="preserve">comments filed regarding </w:t>
      </w:r>
      <w:r>
        <w:rPr>
          <w:szCs w:val="22"/>
        </w:rPr>
        <w:t>the SMC Petiti</w:t>
      </w:r>
      <w:r w:rsidR="00C51B12">
        <w:rPr>
          <w:szCs w:val="22"/>
        </w:rPr>
        <w:t>on</w:t>
      </w:r>
      <w:r>
        <w:rPr>
          <w:szCs w:val="22"/>
        </w:rPr>
        <w:t xml:space="preserve"> by fifteen days.</w:t>
      </w:r>
      <w:r>
        <w:rPr>
          <w:rStyle w:val="FootnoteReference"/>
          <w:szCs w:val="22"/>
        </w:rPr>
        <w:footnoteReference w:id="9"/>
      </w:r>
      <w:r>
        <w:rPr>
          <w:szCs w:val="22"/>
        </w:rPr>
        <w:t xml:space="preserve">  SMC </w:t>
      </w:r>
      <w:r w:rsidR="00D56E31">
        <w:rPr>
          <w:szCs w:val="22"/>
        </w:rPr>
        <w:t xml:space="preserve">argues </w:t>
      </w:r>
      <w:r>
        <w:rPr>
          <w:szCs w:val="22"/>
        </w:rPr>
        <w:t>that it discovered that its counsel has a conflict of interest with one of the parties that filed comments in opposition to the SMC Petition.</w:t>
      </w:r>
      <w:r>
        <w:rPr>
          <w:rStyle w:val="FootnoteReference"/>
          <w:szCs w:val="22"/>
        </w:rPr>
        <w:footnoteReference w:id="10"/>
      </w:r>
      <w:r>
        <w:rPr>
          <w:szCs w:val="22"/>
        </w:rPr>
        <w:t xml:space="preserve">  SMC thus requests an extension of the deadline</w:t>
      </w:r>
      <w:r w:rsidR="009C1AD6">
        <w:rPr>
          <w:szCs w:val="22"/>
        </w:rPr>
        <w:t>, until September 1, 2023,</w:t>
      </w:r>
      <w:r>
        <w:rPr>
          <w:szCs w:val="22"/>
        </w:rPr>
        <w:t xml:space="preserve"> to reply so that it may </w:t>
      </w:r>
      <w:r>
        <w:rPr>
          <w:szCs w:val="22"/>
        </w:rPr>
        <w:t>retain new counsel and respond to the opposing commenter.</w:t>
      </w:r>
      <w:r>
        <w:rPr>
          <w:rStyle w:val="FootnoteReference"/>
          <w:szCs w:val="22"/>
        </w:rPr>
        <w:footnoteReference w:id="11"/>
      </w:r>
      <w:r w:rsidR="00736295">
        <w:rPr>
          <w:szCs w:val="22"/>
        </w:rPr>
        <w:t xml:space="preserve">  SMC argues that extending the deadline for replies would </w:t>
      </w:r>
      <w:r w:rsidRPr="00736295" w:rsidR="00736295">
        <w:rPr>
          <w:szCs w:val="22"/>
        </w:rPr>
        <w:t>not prejudice any other party to this proceeding</w:t>
      </w:r>
      <w:r w:rsidR="00736295">
        <w:rPr>
          <w:szCs w:val="22"/>
        </w:rPr>
        <w:t xml:space="preserve"> or</w:t>
      </w:r>
      <w:r w:rsidRPr="00736295" w:rsidR="00736295">
        <w:rPr>
          <w:szCs w:val="22"/>
        </w:rPr>
        <w:t xml:space="preserve"> affect the Commission’s ability to consider </w:t>
      </w:r>
      <w:r w:rsidR="00736295">
        <w:rPr>
          <w:szCs w:val="22"/>
        </w:rPr>
        <w:t>the record.</w:t>
      </w:r>
      <w:r>
        <w:rPr>
          <w:rStyle w:val="FootnoteReference"/>
          <w:szCs w:val="22"/>
        </w:rPr>
        <w:footnoteReference w:id="12"/>
      </w:r>
      <w:r w:rsidR="00CE415D">
        <w:rPr>
          <w:szCs w:val="22"/>
        </w:rPr>
        <w:t xml:space="preserve">  </w:t>
      </w:r>
      <w:r w:rsidR="00077078">
        <w:rPr>
          <w:szCs w:val="22"/>
        </w:rPr>
        <w:t xml:space="preserve">Finally, </w:t>
      </w:r>
      <w:r w:rsidR="00CE415D">
        <w:rPr>
          <w:szCs w:val="22"/>
        </w:rPr>
        <w:t xml:space="preserve">SMC </w:t>
      </w:r>
      <w:r w:rsidR="00CE3866">
        <w:rPr>
          <w:szCs w:val="22"/>
        </w:rPr>
        <w:t xml:space="preserve">argues that, if necessary, these facts warrant a waiver of section 1.405(b) of the Commission’s rules pursuant to the Commission’s </w:t>
      </w:r>
      <w:r w:rsidR="00077078">
        <w:rPr>
          <w:szCs w:val="22"/>
        </w:rPr>
        <w:t xml:space="preserve">section 1.3 </w:t>
      </w:r>
      <w:r w:rsidR="00CE3866">
        <w:rPr>
          <w:szCs w:val="22"/>
        </w:rPr>
        <w:t>waiver standard.</w:t>
      </w:r>
      <w:r>
        <w:rPr>
          <w:rStyle w:val="FootnoteReference"/>
          <w:szCs w:val="22"/>
        </w:rPr>
        <w:footnoteReference w:id="13"/>
      </w:r>
    </w:p>
    <w:p w:rsidR="00E95902" w:rsidRPr="000B71DE" w:rsidP="000B71DE" w14:paraId="4E782C7A" w14:textId="750500DF">
      <w:pPr>
        <w:pStyle w:val="ParaNum"/>
        <w:rPr>
          <w:szCs w:val="22"/>
        </w:rPr>
      </w:pPr>
      <w:r w:rsidRPr="00736295">
        <w:rPr>
          <w:szCs w:val="22"/>
        </w:rPr>
        <w:t>As set forth in section 1.46 of the Commission</w:t>
      </w:r>
      <w:r w:rsidR="00AC0D94">
        <w:rPr>
          <w:szCs w:val="22"/>
        </w:rPr>
        <w:t>’</w:t>
      </w:r>
      <w:r w:rsidRPr="00736295">
        <w:rPr>
          <w:szCs w:val="22"/>
        </w:rPr>
        <w:t>s rules,</w:t>
      </w:r>
      <w:r w:rsidR="00FC4391">
        <w:rPr>
          <w:szCs w:val="22"/>
        </w:rPr>
        <w:t xml:space="preserve"> </w:t>
      </w:r>
      <w:r w:rsidR="00FC4391">
        <w:t>extensions of time shall not be routinely granted</w:t>
      </w:r>
      <w:r w:rsidRPr="00736295">
        <w:rPr>
          <w:szCs w:val="22"/>
        </w:rPr>
        <w:t>.</w:t>
      </w:r>
      <w:r>
        <w:rPr>
          <w:rStyle w:val="FootnoteReference"/>
          <w:szCs w:val="22"/>
        </w:rPr>
        <w:footnoteReference w:id="14"/>
      </w:r>
      <w:r>
        <w:rPr>
          <w:szCs w:val="22"/>
        </w:rPr>
        <w:t xml:space="preserve">  </w:t>
      </w:r>
      <w:r w:rsidR="00F02D37">
        <w:rPr>
          <w:szCs w:val="22"/>
        </w:rPr>
        <w:t>As noted</w:t>
      </w:r>
      <w:r>
        <w:rPr>
          <w:szCs w:val="22"/>
        </w:rPr>
        <w:t xml:space="preserve">, the Bureau </w:t>
      </w:r>
      <w:r w:rsidR="00D56E31">
        <w:rPr>
          <w:szCs w:val="22"/>
        </w:rPr>
        <w:t xml:space="preserve">recently </w:t>
      </w:r>
      <w:r>
        <w:rPr>
          <w:szCs w:val="22"/>
        </w:rPr>
        <w:t xml:space="preserve">declined to extend the comment deadline associated with the </w:t>
      </w:r>
      <w:r w:rsidR="00D56E31">
        <w:rPr>
          <w:szCs w:val="22"/>
        </w:rPr>
        <w:t xml:space="preserve">SMC </w:t>
      </w:r>
      <w:r>
        <w:rPr>
          <w:szCs w:val="22"/>
        </w:rPr>
        <w:t>Petition, based in part on the preliminary nature of the proceeding</w:t>
      </w:r>
      <w:r w:rsidR="000B71DE">
        <w:rPr>
          <w:szCs w:val="22"/>
        </w:rPr>
        <w:t>.</w:t>
      </w:r>
      <w:r>
        <w:rPr>
          <w:rStyle w:val="FootnoteReference"/>
          <w:szCs w:val="22"/>
        </w:rPr>
        <w:footnoteReference w:id="15"/>
      </w:r>
      <w:r w:rsidR="000B71DE">
        <w:rPr>
          <w:szCs w:val="22"/>
        </w:rPr>
        <w:t xml:space="preserve">  </w:t>
      </w:r>
      <w:r w:rsidR="00A12BF1">
        <w:rPr>
          <w:szCs w:val="22"/>
        </w:rPr>
        <w:t>We find that this</w:t>
      </w:r>
      <w:r w:rsidR="000B71DE">
        <w:rPr>
          <w:szCs w:val="22"/>
        </w:rPr>
        <w:t xml:space="preserve"> reasoning applies equally to the instant </w:t>
      </w:r>
      <w:r w:rsidR="00D71CB8">
        <w:rPr>
          <w:szCs w:val="22"/>
        </w:rPr>
        <w:t>request for relief</w:t>
      </w:r>
      <w:r w:rsidR="000B71DE">
        <w:rPr>
          <w:szCs w:val="22"/>
        </w:rPr>
        <w:t xml:space="preserve">.  As SMC </w:t>
      </w:r>
      <w:r w:rsidR="00A12BF1">
        <w:rPr>
          <w:szCs w:val="22"/>
        </w:rPr>
        <w:t>acknowledges</w:t>
      </w:r>
      <w:r w:rsidR="000B71DE">
        <w:rPr>
          <w:szCs w:val="22"/>
        </w:rPr>
        <w:t>, interested parties will have the opportunity to fully participate in the proceeding if the Commission issues a Notice of Proposed Rulemaking.</w:t>
      </w:r>
      <w:r>
        <w:rPr>
          <w:rStyle w:val="FootnoteReference"/>
          <w:szCs w:val="22"/>
        </w:rPr>
        <w:footnoteReference w:id="16"/>
      </w:r>
      <w:r w:rsidR="000B71DE">
        <w:rPr>
          <w:szCs w:val="22"/>
        </w:rPr>
        <w:t xml:space="preserve">  </w:t>
      </w:r>
      <w:r w:rsidRPr="00086EB3" w:rsidR="00086EB3">
        <w:rPr>
          <w:szCs w:val="22"/>
        </w:rPr>
        <w:t xml:space="preserve">Given the current stage of the proceeding and </w:t>
      </w:r>
      <w:r w:rsidR="00086EB3">
        <w:rPr>
          <w:szCs w:val="22"/>
        </w:rPr>
        <w:t xml:space="preserve">the timing of </w:t>
      </w:r>
      <w:r w:rsidR="00D71CB8">
        <w:rPr>
          <w:szCs w:val="22"/>
        </w:rPr>
        <w:t xml:space="preserve">the </w:t>
      </w:r>
      <w:r w:rsidRPr="00086EB3" w:rsidR="00086EB3">
        <w:rPr>
          <w:szCs w:val="22"/>
        </w:rPr>
        <w:t xml:space="preserve">SMC </w:t>
      </w:r>
      <w:r w:rsidR="00C51B12">
        <w:rPr>
          <w:szCs w:val="22"/>
        </w:rPr>
        <w:t>M</w:t>
      </w:r>
      <w:r w:rsidR="00D71CB8">
        <w:rPr>
          <w:szCs w:val="22"/>
        </w:rPr>
        <w:t>otion</w:t>
      </w:r>
      <w:r w:rsidRPr="00086EB3" w:rsidR="00086EB3">
        <w:rPr>
          <w:szCs w:val="22"/>
        </w:rPr>
        <w:t>,</w:t>
      </w:r>
      <w:r w:rsidR="000B71DE">
        <w:rPr>
          <w:szCs w:val="22"/>
        </w:rPr>
        <w:t xml:space="preserve"> </w:t>
      </w:r>
      <w:r w:rsidR="00D36D7A">
        <w:rPr>
          <w:szCs w:val="22"/>
        </w:rPr>
        <w:t>we do not find the</w:t>
      </w:r>
      <w:r w:rsidR="000B71DE">
        <w:rPr>
          <w:szCs w:val="22"/>
        </w:rPr>
        <w:t xml:space="preserve"> circumstances sufficiently unique or unusual to justify </w:t>
      </w:r>
      <w:r w:rsidR="00F02D37">
        <w:rPr>
          <w:szCs w:val="22"/>
        </w:rPr>
        <w:t xml:space="preserve">either </w:t>
      </w:r>
      <w:r w:rsidR="000B71DE">
        <w:rPr>
          <w:szCs w:val="22"/>
        </w:rPr>
        <w:t>extending the deadline for reply comments</w:t>
      </w:r>
      <w:r w:rsidR="00086EB3">
        <w:rPr>
          <w:szCs w:val="22"/>
        </w:rPr>
        <w:t xml:space="preserve"> </w:t>
      </w:r>
      <w:r w:rsidR="009C1AD6">
        <w:rPr>
          <w:szCs w:val="22"/>
        </w:rPr>
        <w:t xml:space="preserve">pursuant to </w:t>
      </w:r>
      <w:r w:rsidR="00086EB3">
        <w:rPr>
          <w:szCs w:val="22"/>
        </w:rPr>
        <w:t xml:space="preserve">section 1.46, or </w:t>
      </w:r>
      <w:r w:rsidR="00F02D37">
        <w:rPr>
          <w:szCs w:val="22"/>
        </w:rPr>
        <w:t>granting</w:t>
      </w:r>
      <w:r w:rsidR="00086EB3">
        <w:rPr>
          <w:szCs w:val="22"/>
        </w:rPr>
        <w:t xml:space="preserve"> </w:t>
      </w:r>
      <w:r w:rsidR="00D71CB8">
        <w:rPr>
          <w:szCs w:val="22"/>
        </w:rPr>
        <w:t xml:space="preserve">a waiver of </w:t>
      </w:r>
      <w:r w:rsidR="00086EB3">
        <w:rPr>
          <w:szCs w:val="22"/>
        </w:rPr>
        <w:t>section 1.405(b)</w:t>
      </w:r>
      <w:r w:rsidR="000B71DE">
        <w:rPr>
          <w:szCs w:val="22"/>
        </w:rPr>
        <w:t>.</w:t>
      </w:r>
      <w:r>
        <w:rPr>
          <w:rStyle w:val="FootnoteReference"/>
          <w:szCs w:val="22"/>
        </w:rPr>
        <w:footnoteReference w:id="17"/>
      </w:r>
      <w:r w:rsidR="00086EB3">
        <w:rPr>
          <w:szCs w:val="22"/>
        </w:rPr>
        <w:t xml:space="preserve">  </w:t>
      </w:r>
    </w:p>
    <w:p w:rsidR="00E95902" w:rsidP="00884E2D" w14:paraId="734F244D" w14:textId="4C96980C">
      <w:pPr>
        <w:pStyle w:val="ParaNum"/>
      </w:pPr>
      <w:r>
        <w:t xml:space="preserve">Accordingly, IT IS ORDERED that, pursuant to Section 4(i) of the Communications Act of 1934, as amended, 47 U.S.C. § 154(i), and Sections 0.131, 0.331, </w:t>
      </w:r>
      <w:r w:rsidR="003C1346">
        <w:t xml:space="preserve">1.3, </w:t>
      </w:r>
      <w:r>
        <w:t xml:space="preserve">and 1.46 of the Commission’s rules, 47 CFR §§ 0.131, 0.331, </w:t>
      </w:r>
      <w:r w:rsidR="003C1346">
        <w:t xml:space="preserve">1.3, </w:t>
      </w:r>
      <w:r>
        <w:t xml:space="preserve">and 1.46, the </w:t>
      </w:r>
      <w:r w:rsidR="000B71DE">
        <w:t xml:space="preserve">SMC </w:t>
      </w:r>
      <w:r w:rsidRPr="000B71DE" w:rsidR="000B71DE">
        <w:t xml:space="preserve">Motion for Extension of Time and Request for Waiver </w:t>
      </w:r>
      <w:r>
        <w:t xml:space="preserve">filed on </w:t>
      </w:r>
      <w:r w:rsidR="000B71DE">
        <w:t>August 4</w:t>
      </w:r>
      <w:r>
        <w:t xml:space="preserve">, 2023, </w:t>
      </w:r>
      <w:r w:rsidR="000B71DE">
        <w:t>IS</w:t>
      </w:r>
      <w:r>
        <w:t xml:space="preserve"> DENIED.</w:t>
      </w:r>
    </w:p>
    <w:p w:rsidR="00E95902" w:rsidP="00E95902" w14:paraId="3E3091F6" w14:textId="77777777">
      <w:pPr>
        <w:pStyle w:val="ParaNum"/>
        <w:numPr>
          <w:ilvl w:val="0"/>
          <w:numId w:val="0"/>
        </w:numPr>
      </w:pPr>
    </w:p>
    <w:p w:rsidR="00E95902" w:rsidP="00E95902" w14:paraId="685C6B19" w14:textId="77777777">
      <w:pPr>
        <w:pStyle w:val="ParaNum"/>
        <w:numPr>
          <w:ilvl w:val="0"/>
          <w:numId w:val="0"/>
        </w:numPr>
        <w:jc w:val="right"/>
      </w:pPr>
    </w:p>
    <w:p w:rsidR="00E95902" w:rsidRPr="005531E3" w:rsidP="002D6619" w14:paraId="3C858B07" w14:textId="77777777">
      <w:pPr>
        <w:pStyle w:val="ParaNum"/>
        <w:numPr>
          <w:ilvl w:val="0"/>
          <w:numId w:val="0"/>
        </w:numPr>
        <w:ind w:left="3600" w:firstLine="720"/>
      </w:pPr>
      <w:r w:rsidRPr="005531E3">
        <w:t>FEDERAL COMMUNICATIONS COMMISSION</w:t>
      </w:r>
    </w:p>
    <w:p w:rsidR="00E95902" w:rsidP="00E95902" w14:paraId="6A33696D" w14:textId="77777777">
      <w:pPr>
        <w:pStyle w:val="ParaNum"/>
        <w:numPr>
          <w:ilvl w:val="0"/>
          <w:numId w:val="0"/>
        </w:numPr>
        <w:spacing w:line="259" w:lineRule="auto"/>
        <w:jc w:val="right"/>
      </w:pPr>
    </w:p>
    <w:p w:rsidR="003C1346" w:rsidRPr="002D6619" w:rsidP="00E95902" w14:paraId="7A09A65E" w14:textId="77777777">
      <w:pPr>
        <w:pStyle w:val="ParaNum"/>
        <w:numPr>
          <w:ilvl w:val="0"/>
          <w:numId w:val="0"/>
        </w:numPr>
        <w:spacing w:line="259" w:lineRule="auto"/>
        <w:jc w:val="right"/>
      </w:pPr>
    </w:p>
    <w:p w:rsidR="00E95902" w:rsidRPr="002D6619" w:rsidP="002D6619" w14:paraId="51606B4A" w14:textId="77777777">
      <w:pPr>
        <w:pStyle w:val="ParaNum"/>
        <w:numPr>
          <w:ilvl w:val="0"/>
          <w:numId w:val="0"/>
        </w:numPr>
        <w:spacing w:line="259" w:lineRule="auto"/>
      </w:pPr>
      <w:r w:rsidRPr="002D6619">
        <w:tab/>
      </w:r>
      <w:r w:rsidRPr="002D6619">
        <w:tab/>
      </w:r>
      <w:r w:rsidRPr="002D6619">
        <w:tab/>
      </w:r>
      <w:r w:rsidRPr="002D6619">
        <w:tab/>
      </w:r>
      <w:r w:rsidRPr="002D6619">
        <w:tab/>
      </w:r>
      <w:r w:rsidRPr="002D6619">
        <w:tab/>
        <w:t>Joel Taubenblatt</w:t>
      </w:r>
    </w:p>
    <w:p w:rsidR="00412FC5" w:rsidP="002D6619" w14:paraId="7B00D6E9" w14:textId="77777777">
      <w:pPr>
        <w:pStyle w:val="ParaNum"/>
        <w:numPr>
          <w:ilvl w:val="0"/>
          <w:numId w:val="0"/>
        </w:numPr>
        <w:ind w:left="3600" w:firstLine="720"/>
      </w:pPr>
      <w:r w:rsidRPr="005531E3">
        <w:t>Chief, Wireless Telecommunications Bureau</w:t>
      </w: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2FE5E28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F726BB">
      <w:fldChar w:fldCharType="separate"/>
    </w:r>
    <w:r>
      <w:fldChar w:fldCharType="end"/>
    </w:r>
  </w:p>
  <w:p w:rsidR="00D25FB5" w14:paraId="212FE5E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31E3" w14:paraId="4BFD54D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3A1625E0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D25CE" w14:paraId="181D677F" w14:textId="77777777">
      <w:r>
        <w:separator/>
      </w:r>
    </w:p>
  </w:footnote>
  <w:footnote w:type="continuationSeparator" w:id="1">
    <w:p w:rsidR="00ED25CE" w:rsidP="00C721AC" w14:paraId="2D11B2B8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ED25CE" w:rsidP="00C721AC" w14:paraId="390D962E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E95902" w:rsidP="00E95902" w14:paraId="128E9A3E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5FE25A6E">
        <w:rPr>
          <w:i/>
          <w:iCs/>
        </w:rPr>
        <w:t>Office of Managing Director Reference Information Center Petition for Rulemakings Filed</w:t>
      </w:r>
      <w:r>
        <w:t>, RM-11953, Public Notice, Report No. 3198 (2023).</w:t>
      </w:r>
    </w:p>
  </w:footnote>
  <w:footnote w:id="4">
    <w:p w:rsidR="00E95902" w:rsidP="00E95902" w14:paraId="03BFEBA8" w14:textId="77777777">
      <w:pPr>
        <w:pStyle w:val="FootnoteText"/>
      </w:pPr>
      <w:r w:rsidRPr="5FE25A6E">
        <w:rPr>
          <w:rStyle w:val="FootnoteReference"/>
        </w:rPr>
        <w:footnoteRef/>
      </w:r>
      <w:r>
        <w:t xml:space="preserve"> Petition for Rulemaking of the Shortwave Modernization Coalition, RM-11953 (filed April 28, 2023), </w:t>
      </w:r>
      <w:hyperlink r:id="rId1">
        <w:r w:rsidRPr="5FE25A6E">
          <w:rPr>
            <w:rStyle w:val="Hyperlink"/>
          </w:rPr>
          <w:t>https://www.fcc.gov/ecfs/document/1042840187330/1</w:t>
        </w:r>
      </w:hyperlink>
      <w:r>
        <w:t xml:space="preserve"> (SMC Petition).</w:t>
      </w:r>
    </w:p>
  </w:footnote>
  <w:footnote w:id="5">
    <w:p w:rsidR="00DC149C" w14:paraId="46D83DB5" w14:textId="389630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149C">
        <w:t>Motion for Extension of Time</w:t>
      </w:r>
      <w:r w:rsidR="00524369">
        <w:t xml:space="preserve"> of Skywave Networks LLC</w:t>
      </w:r>
      <w:r w:rsidRPr="00DC149C">
        <w:t xml:space="preserve">, RM-11953, at 1 (filed July 25, 2023), </w:t>
      </w:r>
      <w:hyperlink r:id="rId2" w:history="1">
        <w:r w:rsidRPr="00D8538E">
          <w:rPr>
            <w:rStyle w:val="Hyperlink"/>
          </w:rPr>
          <w:t>https://www.fcc.gov/ecfs/document/10724138643054/1</w:t>
        </w:r>
      </w:hyperlink>
      <w:r>
        <w:t xml:space="preserve">; </w:t>
      </w:r>
      <w:r w:rsidRPr="00DC149C">
        <w:t>Motion for Extension of Time</w:t>
      </w:r>
      <w:r w:rsidR="000434D2">
        <w:t xml:space="preserve"> of FlexRadio Systems</w:t>
      </w:r>
      <w:r w:rsidRPr="00DC149C">
        <w:t xml:space="preserve">, RM-11953 (filed July 26, 2023), </w:t>
      </w:r>
      <w:hyperlink r:id="rId3" w:history="1">
        <w:r w:rsidRPr="004F688E">
          <w:rPr>
            <w:rStyle w:val="Hyperlink"/>
          </w:rPr>
          <w:t>https://www.fcc.gov/ecfs/document/107260562510210/1</w:t>
        </w:r>
      </w:hyperlink>
      <w:r w:rsidR="00D56E31">
        <w:t>.</w:t>
      </w:r>
    </w:p>
  </w:footnote>
  <w:footnote w:id="6">
    <w:p w:rsidR="00DC149C" w:rsidRPr="00DC149C" w14:paraId="7017F213" w14:textId="5B761B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149C">
        <w:rPr>
          <w:i/>
          <w:iCs/>
        </w:rPr>
        <w:t>Shortwave Modernization Coalition Petition for Rulemaking to Amend the Commission’s Rules to Allow Fixed, Long-Distance, Non-Voice Communications Above 2 MHz and Below 25 MHz</w:t>
      </w:r>
      <w:r>
        <w:t xml:space="preserve">, RM-11953, Order, </w:t>
      </w:r>
      <w:r w:rsidRPr="00DC149C">
        <w:t>2023 WL 4930836</w:t>
      </w:r>
      <w:r>
        <w:t xml:space="preserve"> (WTB 2023)</w:t>
      </w:r>
      <w:r w:rsidR="000B71DE">
        <w:t xml:space="preserve"> (</w:t>
      </w:r>
      <w:r w:rsidRPr="00C51B12" w:rsidR="000B71DE">
        <w:t>Skywave/FlexRadio Order</w:t>
      </w:r>
      <w:r w:rsidR="000B71DE">
        <w:t>)</w:t>
      </w:r>
      <w:r>
        <w:t>.</w:t>
      </w:r>
    </w:p>
  </w:footnote>
  <w:footnote w:id="7">
    <w:p w:rsidR="009A2DEF" w:rsidRPr="009A2DEF" w14:paraId="2F049516" w14:textId="5AE56F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>
        <w:t xml:space="preserve"> at 1.</w:t>
      </w:r>
    </w:p>
  </w:footnote>
  <w:footnote w:id="8">
    <w:p w:rsidR="00FE5FDB" w:rsidRPr="00FE5FDB" w14:paraId="03C3752B" w14:textId="56E2A6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  <w:footnote w:id="9">
    <w:p w:rsidR="00172399" w14:paraId="6942FFDD" w14:textId="75E52944">
      <w:pPr>
        <w:pStyle w:val="FootnoteText"/>
      </w:pPr>
      <w:r>
        <w:rPr>
          <w:rStyle w:val="FootnoteReference"/>
        </w:rPr>
        <w:footnoteRef/>
      </w:r>
      <w:r>
        <w:t xml:space="preserve"> Motion for Extension of Time and Request for Waiver</w:t>
      </w:r>
      <w:r w:rsidR="000434D2">
        <w:t xml:space="preserve"> of </w:t>
      </w:r>
      <w:r w:rsidR="005F7609">
        <w:t>the Shortwave Modernization Coalition</w:t>
      </w:r>
      <w:r>
        <w:t xml:space="preserve">, RM-11953 (filed Aug. 4, 2023), </w:t>
      </w:r>
      <w:hyperlink r:id="rId4" w:history="1">
        <w:r w:rsidRPr="00AA04BC">
          <w:rPr>
            <w:rStyle w:val="Hyperlink"/>
          </w:rPr>
          <w:t>https://www.fcc.gov/ecfs/document/10804220828846/1</w:t>
        </w:r>
      </w:hyperlink>
      <w:r w:rsidR="001A5FB1">
        <w:t xml:space="preserve"> (</w:t>
      </w:r>
      <w:r w:rsidRPr="00C51B12" w:rsidR="001A5FB1">
        <w:t xml:space="preserve">SMC </w:t>
      </w:r>
      <w:r w:rsidR="00D71CB8">
        <w:t>Motion</w:t>
      </w:r>
      <w:r w:rsidR="001A5FB1">
        <w:t>)</w:t>
      </w:r>
      <w:r>
        <w:t xml:space="preserve">. </w:t>
      </w:r>
    </w:p>
  </w:footnote>
  <w:footnote w:id="10">
    <w:p w:rsidR="00172399" w:rsidRPr="00172399" w14:paraId="13A6747A" w14:textId="2ABB75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>
        <w:t xml:space="preserve"> at 3.</w:t>
      </w:r>
    </w:p>
  </w:footnote>
  <w:footnote w:id="11">
    <w:p w:rsidR="00172399" w:rsidRPr="00172399" w14:paraId="6BE70BFC" w14:textId="350F8C64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  <w:footnote w:id="12">
    <w:p w:rsidR="00736295" w:rsidRPr="00736295" w14:paraId="7E64A8EB" w14:textId="3D9A6D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  <w:footnote w:id="13">
    <w:p w:rsidR="00CE3866" w:rsidRPr="00CE3866" w14:paraId="7DBE9262" w14:textId="5BBD77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>
        <w:t xml:space="preserve"> at 5</w:t>
      </w:r>
      <w:r w:rsidR="00206448">
        <w:t>–</w:t>
      </w:r>
      <w:r>
        <w:t xml:space="preserve">6 (citing 47 CFR § 1.3). </w:t>
      </w:r>
    </w:p>
  </w:footnote>
  <w:footnote w:id="14">
    <w:p w:rsidR="00736295" w14:paraId="6A0A3B27" w14:textId="34605EB6">
      <w:pPr>
        <w:pStyle w:val="FootnoteText"/>
      </w:pPr>
      <w:r>
        <w:rPr>
          <w:rStyle w:val="FootnoteReference"/>
        </w:rPr>
        <w:footnoteRef/>
      </w:r>
      <w:r>
        <w:t xml:space="preserve"> 47 CFR § 1.46(a).</w:t>
      </w:r>
    </w:p>
  </w:footnote>
  <w:footnote w:id="15">
    <w:p w:rsidR="000B71DE" w:rsidRPr="000B71DE" w14:paraId="08E7001D" w14:textId="50BE9A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 Skywave/FlexRadio Order</w:t>
      </w:r>
      <w:r>
        <w:t xml:space="preserve"> at 1.</w:t>
      </w:r>
    </w:p>
  </w:footnote>
  <w:footnote w:id="16">
    <w:p w:rsidR="000B71DE" w:rsidRPr="001A5FB1" w14:paraId="679A2037" w14:textId="0EACF3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A5FB1">
        <w:rPr>
          <w:i/>
          <w:iCs/>
        </w:rPr>
        <w:t>SMC Petition</w:t>
      </w:r>
      <w:r w:rsidR="001A5FB1">
        <w:t xml:space="preserve"> at 4</w:t>
      </w:r>
      <w:r w:rsidR="00206448">
        <w:t>–</w:t>
      </w:r>
      <w:r w:rsidR="001A5FB1">
        <w:t>5.</w:t>
      </w:r>
    </w:p>
  </w:footnote>
  <w:footnote w:id="17">
    <w:p w:rsidR="00086EB3" w:rsidRPr="00F7580D" w:rsidP="00F7580D" w14:paraId="5750EE93" w14:textId="4BD53254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>
        <w:t xml:space="preserve">47 CFR § 1.3 (permitting waiver of the Commission’s rules </w:t>
      </w:r>
      <w:r w:rsidR="00F7580D">
        <w:t xml:space="preserve">for good cause shown); </w:t>
      </w:r>
      <w:r w:rsidR="00F7580D">
        <w:rPr>
          <w:i/>
          <w:iCs/>
        </w:rPr>
        <w:t xml:space="preserve">see also </w:t>
      </w:r>
      <w:r w:rsidRPr="00F7580D" w:rsidR="00F7580D">
        <w:rPr>
          <w:i/>
          <w:iCs/>
        </w:rPr>
        <w:t>N</w:t>
      </w:r>
      <w:r w:rsidR="00473726">
        <w:rPr>
          <w:i/>
          <w:iCs/>
        </w:rPr>
        <w:t>orth</w:t>
      </w:r>
      <w:r w:rsidRPr="00F7580D" w:rsidR="00F7580D">
        <w:rPr>
          <w:i/>
          <w:iCs/>
        </w:rPr>
        <w:t>e</w:t>
      </w:r>
      <w:r w:rsidR="00473726">
        <w:rPr>
          <w:i/>
          <w:iCs/>
        </w:rPr>
        <w:t>ast</w:t>
      </w:r>
      <w:r w:rsidRPr="00F7580D" w:rsidR="00F7580D">
        <w:rPr>
          <w:i/>
          <w:iCs/>
        </w:rPr>
        <w:t xml:space="preserve"> Cellular Tel. Co. v. FCC</w:t>
      </w:r>
      <w:r w:rsidRPr="00F7580D" w:rsidR="00F7580D">
        <w:t>, 897 F.2d 1164, 1166 (D.C. Cir. 1990)</w:t>
      </w:r>
      <w:r w:rsidR="00F7580D">
        <w:t xml:space="preserve"> (“…</w:t>
      </w:r>
      <w:r w:rsidRPr="00F7580D" w:rsidR="00F7580D">
        <w:t>a waiver is appropriate only if special circumstances warrant a deviation from the general rule and such deviation will serve the public interest</w:t>
      </w:r>
      <w:r w:rsidR="00D36D7A">
        <w:t>”</w:t>
      </w:r>
      <w:r w:rsidR="00F7580D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19AC3580" w14:textId="5B1EF539">
    <w:pPr>
      <w:pStyle w:val="Header"/>
      <w:rPr>
        <w:b w:val="0"/>
      </w:rPr>
    </w:pPr>
    <w:r>
      <w:tab/>
      <w:t>Federal Communications Commission</w:t>
    </w:r>
    <w:r>
      <w:tab/>
    </w:r>
    <w:r w:rsidR="003A7B88">
      <w:t xml:space="preserve">DA </w:t>
    </w:r>
    <w:r w:rsidRPr="00F726BB" w:rsidR="00F726BB">
      <w:t>23-689</w:t>
    </w:r>
  </w:p>
  <w:p w:rsidR="00D25FB5" w14:paraId="7E8D37BA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</w:p>
  <w:p w:rsidR="00D25FB5" w14:paraId="0A9FDEAC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60D419CD" w14:textId="0ED312F8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3A7B88">
      <w:rPr>
        <w:spacing w:val="-2"/>
      </w:rPr>
      <w:t xml:space="preserve">DA </w:t>
    </w:r>
    <w:r w:rsidRPr="00F726BB" w:rsidR="00F726BB">
      <w:rPr>
        <w:spacing w:val="-2"/>
      </w:rPr>
      <w:t>23-689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71409D3"/>
    <w:multiLevelType w:val="hybridMultilevel"/>
    <w:tmpl w:val="35682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02"/>
    <w:rsid w:val="00000B16"/>
    <w:rsid w:val="000172CD"/>
    <w:rsid w:val="00023B23"/>
    <w:rsid w:val="00024957"/>
    <w:rsid w:val="000332CE"/>
    <w:rsid w:val="00036039"/>
    <w:rsid w:val="00037F90"/>
    <w:rsid w:val="000434D2"/>
    <w:rsid w:val="00057EEE"/>
    <w:rsid w:val="0006779E"/>
    <w:rsid w:val="00067ADD"/>
    <w:rsid w:val="00077078"/>
    <w:rsid w:val="0007748E"/>
    <w:rsid w:val="00086EB3"/>
    <w:rsid w:val="000875BF"/>
    <w:rsid w:val="00096D8C"/>
    <w:rsid w:val="000A0C32"/>
    <w:rsid w:val="000A35A5"/>
    <w:rsid w:val="000B71DE"/>
    <w:rsid w:val="000C0B65"/>
    <w:rsid w:val="000C2E73"/>
    <w:rsid w:val="000C5BA7"/>
    <w:rsid w:val="000E05FE"/>
    <w:rsid w:val="000E3D42"/>
    <w:rsid w:val="00120357"/>
    <w:rsid w:val="001205F7"/>
    <w:rsid w:val="00122BD5"/>
    <w:rsid w:val="00133F79"/>
    <w:rsid w:val="00150ABD"/>
    <w:rsid w:val="00172399"/>
    <w:rsid w:val="0018139D"/>
    <w:rsid w:val="00194A66"/>
    <w:rsid w:val="001A5FB1"/>
    <w:rsid w:val="001D6BCF"/>
    <w:rsid w:val="001E01CA"/>
    <w:rsid w:val="001F2D04"/>
    <w:rsid w:val="002017D9"/>
    <w:rsid w:val="00204C8E"/>
    <w:rsid w:val="00206448"/>
    <w:rsid w:val="002203E6"/>
    <w:rsid w:val="00256E98"/>
    <w:rsid w:val="0026196E"/>
    <w:rsid w:val="00265985"/>
    <w:rsid w:val="00275CF5"/>
    <w:rsid w:val="0028301F"/>
    <w:rsid w:val="002836FE"/>
    <w:rsid w:val="00285017"/>
    <w:rsid w:val="002A2D2E"/>
    <w:rsid w:val="002C00E8"/>
    <w:rsid w:val="002D6619"/>
    <w:rsid w:val="00330CEC"/>
    <w:rsid w:val="0033554D"/>
    <w:rsid w:val="00343749"/>
    <w:rsid w:val="00351D22"/>
    <w:rsid w:val="003660ED"/>
    <w:rsid w:val="003A6034"/>
    <w:rsid w:val="003A7B88"/>
    <w:rsid w:val="003B0550"/>
    <w:rsid w:val="003B694F"/>
    <w:rsid w:val="003C1346"/>
    <w:rsid w:val="003E42BF"/>
    <w:rsid w:val="003F171C"/>
    <w:rsid w:val="004059BB"/>
    <w:rsid w:val="00412FC5"/>
    <w:rsid w:val="00420A8D"/>
    <w:rsid w:val="00422276"/>
    <w:rsid w:val="004242F1"/>
    <w:rsid w:val="00445A00"/>
    <w:rsid w:val="00451B0F"/>
    <w:rsid w:val="00456925"/>
    <w:rsid w:val="00473726"/>
    <w:rsid w:val="004A3CAE"/>
    <w:rsid w:val="004C2EE3"/>
    <w:rsid w:val="004C3AD3"/>
    <w:rsid w:val="004C6B0A"/>
    <w:rsid w:val="004C6FB8"/>
    <w:rsid w:val="004D1C6B"/>
    <w:rsid w:val="004D1DF1"/>
    <w:rsid w:val="004E0FEB"/>
    <w:rsid w:val="004E4A22"/>
    <w:rsid w:val="004E63DE"/>
    <w:rsid w:val="004F688E"/>
    <w:rsid w:val="005019E3"/>
    <w:rsid w:val="00511968"/>
    <w:rsid w:val="005221C4"/>
    <w:rsid w:val="00524369"/>
    <w:rsid w:val="0052644A"/>
    <w:rsid w:val="005531E3"/>
    <w:rsid w:val="0055614C"/>
    <w:rsid w:val="00560E61"/>
    <w:rsid w:val="005615E7"/>
    <w:rsid w:val="00566D06"/>
    <w:rsid w:val="00567356"/>
    <w:rsid w:val="00573644"/>
    <w:rsid w:val="00580910"/>
    <w:rsid w:val="005A18B3"/>
    <w:rsid w:val="005D5349"/>
    <w:rsid w:val="005D6757"/>
    <w:rsid w:val="005E14C2"/>
    <w:rsid w:val="005F33CE"/>
    <w:rsid w:val="005F3A02"/>
    <w:rsid w:val="005F5556"/>
    <w:rsid w:val="005F7609"/>
    <w:rsid w:val="006031F4"/>
    <w:rsid w:val="00606377"/>
    <w:rsid w:val="00607BA5"/>
    <w:rsid w:val="0061180A"/>
    <w:rsid w:val="006200A0"/>
    <w:rsid w:val="00626EB6"/>
    <w:rsid w:val="00637426"/>
    <w:rsid w:val="006431D5"/>
    <w:rsid w:val="00652636"/>
    <w:rsid w:val="00652E05"/>
    <w:rsid w:val="00655D03"/>
    <w:rsid w:val="006748B1"/>
    <w:rsid w:val="00683388"/>
    <w:rsid w:val="00683F84"/>
    <w:rsid w:val="006A6A81"/>
    <w:rsid w:val="006B0A9E"/>
    <w:rsid w:val="006B1289"/>
    <w:rsid w:val="006B1B29"/>
    <w:rsid w:val="006D7214"/>
    <w:rsid w:val="006F1BC8"/>
    <w:rsid w:val="006F6E4D"/>
    <w:rsid w:val="006F7393"/>
    <w:rsid w:val="0070224F"/>
    <w:rsid w:val="007115F7"/>
    <w:rsid w:val="00736295"/>
    <w:rsid w:val="0075151C"/>
    <w:rsid w:val="0076288E"/>
    <w:rsid w:val="00767729"/>
    <w:rsid w:val="00783068"/>
    <w:rsid w:val="00785689"/>
    <w:rsid w:val="007922C0"/>
    <w:rsid w:val="0079754B"/>
    <w:rsid w:val="007A1E6D"/>
    <w:rsid w:val="007A3E2F"/>
    <w:rsid w:val="007B0EB2"/>
    <w:rsid w:val="007E656F"/>
    <w:rsid w:val="00810B6F"/>
    <w:rsid w:val="008159F4"/>
    <w:rsid w:val="00822CE0"/>
    <w:rsid w:val="0083132B"/>
    <w:rsid w:val="008374F1"/>
    <w:rsid w:val="00841AB1"/>
    <w:rsid w:val="008757CD"/>
    <w:rsid w:val="00884E2D"/>
    <w:rsid w:val="008B27D7"/>
    <w:rsid w:val="008C68F1"/>
    <w:rsid w:val="008D7EC8"/>
    <w:rsid w:val="008F4061"/>
    <w:rsid w:val="00921803"/>
    <w:rsid w:val="009259D1"/>
    <w:rsid w:val="00926503"/>
    <w:rsid w:val="0092661F"/>
    <w:rsid w:val="009352DF"/>
    <w:rsid w:val="00937713"/>
    <w:rsid w:val="009528E4"/>
    <w:rsid w:val="00952F41"/>
    <w:rsid w:val="00971363"/>
    <w:rsid w:val="009726D8"/>
    <w:rsid w:val="009A2DEF"/>
    <w:rsid w:val="009A3F3C"/>
    <w:rsid w:val="009B748C"/>
    <w:rsid w:val="009C1AD6"/>
    <w:rsid w:val="009C264D"/>
    <w:rsid w:val="009D7308"/>
    <w:rsid w:val="009F170A"/>
    <w:rsid w:val="009F76DB"/>
    <w:rsid w:val="00A127BE"/>
    <w:rsid w:val="00A12BF1"/>
    <w:rsid w:val="00A32C3B"/>
    <w:rsid w:val="00A45F4F"/>
    <w:rsid w:val="00A5013F"/>
    <w:rsid w:val="00A506DA"/>
    <w:rsid w:val="00A50FEA"/>
    <w:rsid w:val="00A600A9"/>
    <w:rsid w:val="00A60294"/>
    <w:rsid w:val="00A62F22"/>
    <w:rsid w:val="00A63269"/>
    <w:rsid w:val="00A653FD"/>
    <w:rsid w:val="00A85FC4"/>
    <w:rsid w:val="00AA04BC"/>
    <w:rsid w:val="00AA2E64"/>
    <w:rsid w:val="00AA55B7"/>
    <w:rsid w:val="00AA5B9E"/>
    <w:rsid w:val="00AB2407"/>
    <w:rsid w:val="00AB53DF"/>
    <w:rsid w:val="00AC056E"/>
    <w:rsid w:val="00AC0D94"/>
    <w:rsid w:val="00AE066A"/>
    <w:rsid w:val="00B07E5C"/>
    <w:rsid w:val="00B14880"/>
    <w:rsid w:val="00B14C02"/>
    <w:rsid w:val="00B30ABE"/>
    <w:rsid w:val="00B64965"/>
    <w:rsid w:val="00B811F7"/>
    <w:rsid w:val="00B870F0"/>
    <w:rsid w:val="00B97612"/>
    <w:rsid w:val="00BA1B1E"/>
    <w:rsid w:val="00BA4DAC"/>
    <w:rsid w:val="00BA504F"/>
    <w:rsid w:val="00BA5DC6"/>
    <w:rsid w:val="00BA6196"/>
    <w:rsid w:val="00BB01F7"/>
    <w:rsid w:val="00BC6D8C"/>
    <w:rsid w:val="00BD08BB"/>
    <w:rsid w:val="00BD2033"/>
    <w:rsid w:val="00C0236A"/>
    <w:rsid w:val="00C15415"/>
    <w:rsid w:val="00C16AB5"/>
    <w:rsid w:val="00C31B83"/>
    <w:rsid w:val="00C34006"/>
    <w:rsid w:val="00C36B4C"/>
    <w:rsid w:val="00C426B1"/>
    <w:rsid w:val="00C51B12"/>
    <w:rsid w:val="00C524DF"/>
    <w:rsid w:val="00C648DB"/>
    <w:rsid w:val="00C65DE8"/>
    <w:rsid w:val="00C66160"/>
    <w:rsid w:val="00C721AC"/>
    <w:rsid w:val="00C73A7A"/>
    <w:rsid w:val="00C90024"/>
    <w:rsid w:val="00C90D6A"/>
    <w:rsid w:val="00C922CE"/>
    <w:rsid w:val="00C95A7D"/>
    <w:rsid w:val="00CA247E"/>
    <w:rsid w:val="00CA30AC"/>
    <w:rsid w:val="00CA6D21"/>
    <w:rsid w:val="00CC05B6"/>
    <w:rsid w:val="00CC72B6"/>
    <w:rsid w:val="00CD274F"/>
    <w:rsid w:val="00CD7A98"/>
    <w:rsid w:val="00CE3866"/>
    <w:rsid w:val="00CE415D"/>
    <w:rsid w:val="00CE63EF"/>
    <w:rsid w:val="00CE6D9F"/>
    <w:rsid w:val="00D0218D"/>
    <w:rsid w:val="00D048C1"/>
    <w:rsid w:val="00D25FB5"/>
    <w:rsid w:val="00D3416A"/>
    <w:rsid w:val="00D36D7A"/>
    <w:rsid w:val="00D40E87"/>
    <w:rsid w:val="00D4251A"/>
    <w:rsid w:val="00D44223"/>
    <w:rsid w:val="00D52694"/>
    <w:rsid w:val="00D53077"/>
    <w:rsid w:val="00D56E31"/>
    <w:rsid w:val="00D66F9E"/>
    <w:rsid w:val="00D71CB8"/>
    <w:rsid w:val="00D82141"/>
    <w:rsid w:val="00D8538E"/>
    <w:rsid w:val="00D92490"/>
    <w:rsid w:val="00DA2529"/>
    <w:rsid w:val="00DA5DC6"/>
    <w:rsid w:val="00DB130A"/>
    <w:rsid w:val="00DB2EBB"/>
    <w:rsid w:val="00DC10A1"/>
    <w:rsid w:val="00DC149C"/>
    <w:rsid w:val="00DC4CEF"/>
    <w:rsid w:val="00DC655F"/>
    <w:rsid w:val="00DC7F5B"/>
    <w:rsid w:val="00DD0B59"/>
    <w:rsid w:val="00DD7EBD"/>
    <w:rsid w:val="00DF3FF5"/>
    <w:rsid w:val="00DF62B6"/>
    <w:rsid w:val="00E07225"/>
    <w:rsid w:val="00E14D7D"/>
    <w:rsid w:val="00E219C7"/>
    <w:rsid w:val="00E2534B"/>
    <w:rsid w:val="00E3018E"/>
    <w:rsid w:val="00E32DB0"/>
    <w:rsid w:val="00E5409F"/>
    <w:rsid w:val="00E76934"/>
    <w:rsid w:val="00E76F60"/>
    <w:rsid w:val="00E774BA"/>
    <w:rsid w:val="00E847E1"/>
    <w:rsid w:val="00E87989"/>
    <w:rsid w:val="00E95902"/>
    <w:rsid w:val="00E96E04"/>
    <w:rsid w:val="00EA62E0"/>
    <w:rsid w:val="00ED25CE"/>
    <w:rsid w:val="00EE0DA6"/>
    <w:rsid w:val="00EE23A8"/>
    <w:rsid w:val="00EE6488"/>
    <w:rsid w:val="00EF1427"/>
    <w:rsid w:val="00EF40C0"/>
    <w:rsid w:val="00F021FA"/>
    <w:rsid w:val="00F02D37"/>
    <w:rsid w:val="00F05CAA"/>
    <w:rsid w:val="00F254BF"/>
    <w:rsid w:val="00F2651D"/>
    <w:rsid w:val="00F42A94"/>
    <w:rsid w:val="00F525BD"/>
    <w:rsid w:val="00F62E97"/>
    <w:rsid w:val="00F64209"/>
    <w:rsid w:val="00F726BB"/>
    <w:rsid w:val="00F7580D"/>
    <w:rsid w:val="00F93BF5"/>
    <w:rsid w:val="00F951CC"/>
    <w:rsid w:val="00F97AAD"/>
    <w:rsid w:val="00FC2D6C"/>
    <w:rsid w:val="00FC4391"/>
    <w:rsid w:val="00FE5FDB"/>
    <w:rsid w:val="00FF56A6"/>
    <w:rsid w:val="00FF6471"/>
    <w:rsid w:val="07AC3C77"/>
    <w:rsid w:val="4AA89F96"/>
    <w:rsid w:val="5A18FC12"/>
    <w:rsid w:val="5FE25A6E"/>
    <w:rsid w:val="6199CB62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2CEF709"/>
  <w15:chartTrackingRefBased/>
  <w15:docId w15:val="{9DE96F0E-E936-44BD-8C5C-70D7B64B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E95902"/>
    <w:pPr>
      <w:ind w:left="720"/>
    </w:pPr>
  </w:style>
  <w:style w:type="paragraph" w:styleId="Revision">
    <w:name w:val="Revision"/>
    <w:hidden/>
    <w:uiPriority w:val="99"/>
    <w:semiHidden/>
    <w:rsid w:val="008159F4"/>
    <w:rPr>
      <w:snapToGrid w:val="0"/>
      <w:kern w:val="28"/>
      <w:sz w:val="22"/>
    </w:rPr>
  </w:style>
  <w:style w:type="character" w:styleId="FollowedHyperlink">
    <w:name w:val="FollowedHyperlink"/>
    <w:basedOn w:val="DefaultParagraphFont"/>
    <w:rsid w:val="0002495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5D5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34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5349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5D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5349"/>
    <w:rPr>
      <w:b/>
      <w:bCs/>
      <w:snapToGrid w:val="0"/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01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fcc.gov/ecfs/document/1042840187330/1" TargetMode="External" /><Relationship Id="rId2" Type="http://schemas.openxmlformats.org/officeDocument/2006/relationships/hyperlink" Target="https://www.fcc.gov/ecfs/document/10724138643054/1" TargetMode="External" /><Relationship Id="rId3" Type="http://schemas.openxmlformats.org/officeDocument/2006/relationships/hyperlink" Target="https://www.fcc.gov/ecfs/document/107260562510210/1" TargetMode="External" /><Relationship Id="rId4" Type="http://schemas.openxmlformats.org/officeDocument/2006/relationships/hyperlink" Target="https://www.fcc.gov/ecfs/document/10804220828846/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