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39675127" w14:textId="77777777">
      <w:pPr>
        <w:jc w:val="right"/>
        <w:rPr>
          <w:sz w:val="24"/>
        </w:rPr>
      </w:pPr>
    </w:p>
    <w:p w:rsidR="005614FA" w:rsidP="005614FA" w14:paraId="4BA119E9" w14:textId="4C0F51D8">
      <w:pPr>
        <w:widowControl/>
        <w:suppressAutoHyphens/>
        <w:jc w:val="right"/>
        <w:rPr>
          <w:b/>
          <w:color w:val="000000"/>
        </w:rPr>
      </w:pPr>
      <w:r>
        <w:rPr>
          <w:b/>
          <w:color w:val="000000"/>
        </w:rPr>
        <w:t>DA 2</w:t>
      </w:r>
      <w:r w:rsidR="00F00E54">
        <w:rPr>
          <w:b/>
          <w:color w:val="000000"/>
        </w:rPr>
        <w:t>3-</w:t>
      </w:r>
      <w:r w:rsidR="002C0E05">
        <w:rPr>
          <w:b/>
          <w:color w:val="000000"/>
        </w:rPr>
        <w:t>715</w:t>
      </w:r>
    </w:p>
    <w:p w:rsidR="005614FA" w:rsidP="005614FA" w14:paraId="7E6BEA30" w14:textId="31EB4E40">
      <w:pPr>
        <w:widowControl/>
        <w:suppressAutoHyphens/>
        <w:spacing w:after="240"/>
        <w:jc w:val="right"/>
        <w:rPr>
          <w:b/>
          <w:color w:val="000000"/>
        </w:rPr>
      </w:pPr>
      <w:r>
        <w:rPr>
          <w:b/>
          <w:color w:val="000000"/>
        </w:rPr>
        <w:t xml:space="preserve">Released: </w:t>
      </w:r>
      <w:r w:rsidR="001D11C0">
        <w:rPr>
          <w:b/>
          <w:color w:val="000000"/>
        </w:rPr>
        <w:t xml:space="preserve"> </w:t>
      </w:r>
      <w:r w:rsidR="00AF7DA5">
        <w:rPr>
          <w:b/>
          <w:color w:val="000000"/>
        </w:rPr>
        <w:t xml:space="preserve">August </w:t>
      </w:r>
      <w:r w:rsidR="00BD5F51">
        <w:rPr>
          <w:b/>
          <w:color w:val="000000"/>
        </w:rPr>
        <w:t>17</w:t>
      </w:r>
      <w:r w:rsidR="001155B5">
        <w:rPr>
          <w:b/>
          <w:color w:val="000000"/>
        </w:rPr>
        <w:t>, 202</w:t>
      </w:r>
      <w:r w:rsidR="00F00E54">
        <w:rPr>
          <w:b/>
          <w:color w:val="000000"/>
        </w:rPr>
        <w:t>3</w:t>
      </w:r>
    </w:p>
    <w:p w:rsidR="00F46CE7" w:rsidRPr="00F46CE7" w:rsidP="00F46CE7" w14:paraId="4E4EC276" w14:textId="7E10E875">
      <w:pPr>
        <w:autoSpaceDE w:val="0"/>
        <w:autoSpaceDN w:val="0"/>
        <w:adjustRightInd w:val="0"/>
        <w:jc w:val="center"/>
        <w:rPr>
          <w:rFonts w:ascii="Times New Roman Bold" w:hAnsi="Times New Roman Bold"/>
          <w:b/>
          <w:bCs/>
          <w:caps/>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THE TRANSFER OF CONTROL </w:t>
      </w:r>
      <w:r w:rsidRPr="00F46CE7">
        <w:rPr>
          <w:rFonts w:ascii="Times New Roman Bold" w:hAnsi="Times New Roman Bold"/>
          <w:b/>
          <w:bCs/>
          <w:caps/>
          <w:szCs w:val="22"/>
        </w:rPr>
        <w:t>OF</w:t>
      </w:r>
      <w:bookmarkStart w:id="0" w:name="_Hlk83973973"/>
      <w:r w:rsidRPr="00F46CE7">
        <w:rPr>
          <w:rFonts w:ascii="Times New Roman Bold" w:hAnsi="Times New Roman Bold"/>
          <w:b/>
          <w:bCs/>
          <w:caps/>
          <w:szCs w:val="22"/>
        </w:rPr>
        <w:t xml:space="preserve"> </w:t>
      </w:r>
      <w:bookmarkEnd w:id="0"/>
      <w:r w:rsidRPr="003F6DED" w:rsidR="002A6989">
        <w:rPr>
          <w:b/>
          <w:bCs/>
          <w:caps/>
          <w:szCs w:val="22"/>
        </w:rPr>
        <w:t>Meriplex Telecom, LLC to Vitruvian Partners LLP</w:t>
      </w:r>
    </w:p>
    <w:p w:rsidR="005614FA" w:rsidRPr="00307030" w:rsidP="00BE6279" w14:paraId="76ED18EC" w14:textId="77777777">
      <w:pPr>
        <w:autoSpaceDE w:val="0"/>
        <w:autoSpaceDN w:val="0"/>
        <w:adjustRightInd w:val="0"/>
        <w:rPr>
          <w:b/>
          <w:szCs w:val="22"/>
        </w:rPr>
      </w:pPr>
    </w:p>
    <w:p w:rsidR="005614FA" w:rsidP="005614FA" w14:paraId="00E2181D" w14:textId="475D5FE0">
      <w:pPr>
        <w:autoSpaceDE w:val="0"/>
        <w:autoSpaceDN w:val="0"/>
        <w:adjustRightInd w:val="0"/>
        <w:jc w:val="center"/>
        <w:rPr>
          <w:b/>
          <w:szCs w:val="22"/>
        </w:rPr>
      </w:pPr>
      <w:r w:rsidRPr="00307030">
        <w:rPr>
          <w:b/>
          <w:szCs w:val="22"/>
        </w:rPr>
        <w:t xml:space="preserve">WC Docket No. </w:t>
      </w:r>
      <w:r w:rsidR="00BE6279">
        <w:rPr>
          <w:b/>
          <w:szCs w:val="22"/>
        </w:rPr>
        <w:t>2</w:t>
      </w:r>
      <w:r w:rsidR="005459B0">
        <w:rPr>
          <w:b/>
          <w:szCs w:val="22"/>
        </w:rPr>
        <w:t>2-400</w:t>
      </w:r>
      <w:r>
        <w:rPr>
          <w:b/>
          <w:szCs w:val="22"/>
        </w:rPr>
        <w:t xml:space="preserve"> </w:t>
      </w:r>
    </w:p>
    <w:p w:rsidR="001A3500" w:rsidP="00C0742F" w14:paraId="7CC3C61B" w14:textId="77777777">
      <w:pPr>
        <w:autoSpaceDE w:val="0"/>
        <w:autoSpaceDN w:val="0"/>
        <w:adjustRightInd w:val="0"/>
        <w:spacing w:after="120"/>
        <w:rPr>
          <w:color w:val="000000"/>
        </w:rPr>
      </w:pPr>
    </w:p>
    <w:p w:rsidR="005459B0" w:rsidP="003C3B92" w14:paraId="3597590D" w14:textId="0226BDFC">
      <w:pPr>
        <w:autoSpaceDE w:val="0"/>
        <w:autoSpaceDN w:val="0"/>
        <w:adjustRightInd w:val="0"/>
        <w:spacing w:after="120"/>
        <w:ind w:firstLine="720"/>
        <w:rPr>
          <w:color w:val="231F20"/>
          <w:szCs w:val="22"/>
        </w:rPr>
      </w:pPr>
      <w:r w:rsidRPr="00DF1B24">
        <w:rPr>
          <w:color w:val="000000"/>
        </w:rPr>
        <w:t xml:space="preserve">By this Public Notice, </w:t>
      </w:r>
      <w:r>
        <w:rPr>
          <w:szCs w:val="22"/>
        </w:rPr>
        <w:t>the Wireline Competition Bureau</w:t>
      </w:r>
      <w:r w:rsidR="007F2FED">
        <w:rPr>
          <w:szCs w:val="22"/>
        </w:rPr>
        <w:t xml:space="preserve"> </w:t>
      </w:r>
      <w:r w:rsidR="00F70514">
        <w:rPr>
          <w:szCs w:val="22"/>
        </w:rPr>
        <w:t xml:space="preserve">(Bureau) </w:t>
      </w:r>
      <w:r>
        <w:rPr>
          <w:color w:val="000000"/>
        </w:rPr>
        <w:t>grant</w:t>
      </w:r>
      <w:r w:rsidR="00E80C5A">
        <w:rPr>
          <w:color w:val="000000"/>
        </w:rPr>
        <w:t>s</w:t>
      </w:r>
      <w:r w:rsidR="004D22C3">
        <w:rPr>
          <w:color w:val="000000"/>
        </w:rPr>
        <w:t>, as conditioned,</w:t>
      </w:r>
      <w:r w:rsidRPr="00DF1B24">
        <w:rPr>
          <w:color w:val="000000"/>
        </w:rPr>
        <w:t xml:space="preserve"> </w:t>
      </w:r>
      <w:r>
        <w:rPr>
          <w:color w:val="000000"/>
        </w:rPr>
        <w:t xml:space="preserve">the </w:t>
      </w:r>
      <w:r w:rsidRPr="00DF1B24">
        <w:rPr>
          <w:color w:val="000000"/>
        </w:rPr>
        <w:t xml:space="preserve">application </w:t>
      </w:r>
      <w:r w:rsidR="007F2FED">
        <w:rPr>
          <w:color w:val="000000"/>
        </w:rPr>
        <w:t>f</w:t>
      </w:r>
      <w:r w:rsidRPr="00DF1B24">
        <w:rPr>
          <w:color w:val="000000"/>
        </w:rPr>
        <w:t>iled</w:t>
      </w:r>
      <w:r w:rsidRPr="00A93453">
        <w:rPr>
          <w:color w:val="231F20"/>
          <w:szCs w:val="22"/>
        </w:rPr>
        <w:t xml:space="preserve"> </w:t>
      </w:r>
      <w:r w:rsidRPr="00642AA4">
        <w:rPr>
          <w:color w:val="231F20"/>
          <w:szCs w:val="22"/>
        </w:rPr>
        <w:t>by</w:t>
      </w:r>
      <w:r w:rsidR="00F46CE7">
        <w:rPr>
          <w:color w:val="231F20"/>
          <w:szCs w:val="22"/>
        </w:rPr>
        <w:t xml:space="preserve"> </w:t>
      </w:r>
      <w:bookmarkStart w:id="1" w:name="_Hlk73713070"/>
      <w:bookmarkStart w:id="2" w:name="_Hlk67917977"/>
      <w:r w:rsidRPr="009C3F24" w:rsidR="009C3F24">
        <w:rPr>
          <w:color w:val="231F20"/>
          <w:szCs w:val="22"/>
        </w:rPr>
        <w:t>Meriplex Telecom, LLC (</w:t>
      </w:r>
      <w:bookmarkStart w:id="3" w:name="_Hlk119657228"/>
      <w:r w:rsidRPr="009C3F24" w:rsidR="009C3F24">
        <w:rPr>
          <w:color w:val="231F20"/>
          <w:szCs w:val="22"/>
        </w:rPr>
        <w:t>Meriplex Telecom</w:t>
      </w:r>
      <w:bookmarkEnd w:id="3"/>
      <w:r w:rsidRPr="009C3F24" w:rsidR="009C3F24">
        <w:rPr>
          <w:color w:val="231F20"/>
          <w:szCs w:val="22"/>
        </w:rPr>
        <w:t>), The Clairvest Group, Inc. (Clairvest), and Vitruvian Partners LLP (Vitruvian) (collectively, Applicants), pursuant to section 214 of the Communications Act of 1934, as amended, and sections 63.03-04 of the Commission’s rules,</w:t>
      </w:r>
      <w:r>
        <w:rPr>
          <w:color w:val="231F20"/>
          <w:szCs w:val="22"/>
          <w:vertAlign w:val="superscript"/>
        </w:rPr>
        <w:footnoteReference w:id="3"/>
      </w:r>
      <w:r w:rsidRPr="009C3F24" w:rsidR="009C3F24">
        <w:rPr>
          <w:color w:val="231F20"/>
          <w:szCs w:val="22"/>
        </w:rPr>
        <w:t xml:space="preserve"> requesting consent to transfer control of Meriplex Telecom from Clairvest to Vitruvian.</w:t>
      </w:r>
      <w:r>
        <w:rPr>
          <w:color w:val="231F20"/>
          <w:szCs w:val="22"/>
          <w:vertAlign w:val="superscript"/>
        </w:rPr>
        <w:footnoteReference w:id="4"/>
      </w:r>
    </w:p>
    <w:bookmarkEnd w:id="1"/>
    <w:bookmarkEnd w:id="2"/>
    <w:p w:rsidR="00CE29E4" w:rsidP="00B9780D" w14:paraId="294C397C" w14:textId="05FF0AEE">
      <w:pPr>
        <w:autoSpaceDE w:val="0"/>
        <w:autoSpaceDN w:val="0"/>
        <w:adjustRightInd w:val="0"/>
        <w:spacing w:after="120"/>
        <w:ind w:firstLine="720"/>
        <w:rPr>
          <w:color w:val="000000"/>
          <w:szCs w:val="24"/>
        </w:rPr>
      </w:pPr>
      <w:r w:rsidRPr="00390848">
        <w:rPr>
          <w:color w:val="000000"/>
          <w:szCs w:val="24"/>
        </w:rPr>
        <w:t xml:space="preserve">On </w:t>
      </w:r>
      <w:r w:rsidR="003C3B92">
        <w:rPr>
          <w:color w:val="000000"/>
          <w:szCs w:val="24"/>
        </w:rPr>
        <w:t xml:space="preserve">December </w:t>
      </w:r>
      <w:r w:rsidR="00B9780D">
        <w:rPr>
          <w:color w:val="000000"/>
          <w:szCs w:val="24"/>
        </w:rPr>
        <w:t>9</w:t>
      </w:r>
      <w:r w:rsidRPr="00390848">
        <w:rPr>
          <w:color w:val="000000"/>
          <w:szCs w:val="24"/>
        </w:rPr>
        <w:t>, 202</w:t>
      </w:r>
      <w:r w:rsidR="00B9780D">
        <w:rPr>
          <w:color w:val="000000"/>
          <w:szCs w:val="24"/>
        </w:rPr>
        <w:t>2</w:t>
      </w:r>
      <w:r w:rsidRPr="00390848">
        <w:rPr>
          <w:color w:val="000000"/>
          <w:szCs w:val="24"/>
        </w:rPr>
        <w:t>, the Bureau released a public notice seeking comment in this proceeding</w:t>
      </w:r>
      <w:r>
        <w:rPr>
          <w:rStyle w:val="FootnoteReference"/>
          <w:szCs w:val="24"/>
        </w:rPr>
        <w:footnoteReference w:id="5"/>
      </w:r>
      <w:r w:rsidRPr="00390848">
        <w:rPr>
          <w:color w:val="000000"/>
          <w:szCs w:val="24"/>
        </w:rPr>
        <w:t xml:space="preserve"> and did not receive comments or petitions in opposition to the Application.</w:t>
      </w:r>
      <w:bookmarkStart w:id="4" w:name="co_fnRef_FN_F4_ID0EMH_1"/>
      <w:bookmarkEnd w:id="4"/>
    </w:p>
    <w:p w:rsidR="00390848" w:rsidRPr="00390848" w:rsidP="00390848" w14:paraId="1DAEEC14" w14:textId="30E1EB68">
      <w:pPr>
        <w:autoSpaceDE w:val="0"/>
        <w:autoSpaceDN w:val="0"/>
        <w:adjustRightInd w:val="0"/>
        <w:spacing w:after="120"/>
        <w:ind w:firstLine="720"/>
        <w:rPr>
          <w:b/>
          <w:bCs/>
          <w:color w:val="000000"/>
          <w:szCs w:val="24"/>
        </w:rPr>
      </w:pPr>
      <w:r w:rsidRPr="00390848">
        <w:rPr>
          <w:color w:val="000000"/>
          <w:szCs w:val="24"/>
        </w:rPr>
        <w:t xml:space="preserve">On </w:t>
      </w:r>
      <w:r w:rsidR="003D03B3">
        <w:rPr>
          <w:color w:val="000000"/>
          <w:szCs w:val="24"/>
        </w:rPr>
        <w:t xml:space="preserve">August </w:t>
      </w:r>
      <w:r w:rsidR="00F00E54">
        <w:rPr>
          <w:color w:val="000000"/>
          <w:szCs w:val="24"/>
        </w:rPr>
        <w:t>14</w:t>
      </w:r>
      <w:r>
        <w:rPr>
          <w:color w:val="000000"/>
          <w:szCs w:val="24"/>
        </w:rPr>
        <w:t>,</w:t>
      </w:r>
      <w:r w:rsidRPr="00390848">
        <w:rPr>
          <w:color w:val="000000"/>
          <w:szCs w:val="24"/>
        </w:rPr>
        <w:t xml:space="preserve"> 202</w:t>
      </w:r>
      <w:r w:rsidR="00335771">
        <w:rPr>
          <w:color w:val="000000"/>
          <w:szCs w:val="24"/>
        </w:rPr>
        <w:t>3</w:t>
      </w:r>
      <w:r w:rsidRPr="00390848">
        <w:rPr>
          <w:color w:val="000000"/>
          <w:szCs w:val="24"/>
        </w:rPr>
        <w:t xml:space="preserve">, </w:t>
      </w:r>
      <w:r w:rsidRPr="00797B66">
        <w:rPr>
          <w:color w:val="000000"/>
          <w:szCs w:val="24"/>
        </w:rPr>
        <w:t>the National Telecommunications and Information Administration (NTIA), on behalf of the Commi</w:t>
      </w:r>
      <w:r w:rsidRPr="00390848">
        <w:rPr>
          <w:color w:val="000000"/>
          <w:szCs w:val="24"/>
        </w:rPr>
        <w:t>ttee for the Assessment of Foreign Participation in the United States Telecommunications Services Sector (Committee), submitted a Petition to Adopt Conditions to Authorization</w:t>
      </w:r>
      <w:r w:rsidR="00A12718">
        <w:rPr>
          <w:color w:val="000000"/>
          <w:szCs w:val="24"/>
        </w:rPr>
        <w:t xml:space="preserve"> and License </w:t>
      </w:r>
      <w:r w:rsidRPr="00390848">
        <w:rPr>
          <w:color w:val="000000"/>
          <w:szCs w:val="24"/>
        </w:rPr>
        <w:t>(Committee Petition).</w:t>
      </w:r>
      <w:bookmarkStart w:id="5" w:name="co_fnRef_FN_F5_ID0EKAAC_1"/>
      <w:bookmarkEnd w:id="5"/>
      <w:r>
        <w:rPr>
          <w:rStyle w:val="FootnoteReference"/>
          <w:szCs w:val="24"/>
        </w:rPr>
        <w:footnoteReference w:id="6"/>
      </w:r>
      <w:r w:rsidRPr="00390848">
        <w:rPr>
          <w:color w:val="000000"/>
          <w:szCs w:val="24"/>
        </w:rPr>
        <w:t xml:space="preserve"> </w:t>
      </w:r>
      <w:r w:rsidR="00BD1492">
        <w:rPr>
          <w:color w:val="000000"/>
          <w:szCs w:val="24"/>
        </w:rPr>
        <w:t xml:space="preserve"> </w:t>
      </w:r>
      <w:r w:rsidRPr="00390848">
        <w:rPr>
          <w:color w:val="000000"/>
          <w:szCs w:val="24"/>
        </w:rPr>
        <w:t xml:space="preserve">We grant the Committee Petition and condition grant of the Application on compliance by the Applicants with the commitments and undertakings set out in the Letter of Agreement </w:t>
      </w:r>
      <w:r w:rsidR="000220F2">
        <w:rPr>
          <w:color w:val="000000"/>
          <w:szCs w:val="24"/>
        </w:rPr>
        <w:t xml:space="preserve">(LOA) </w:t>
      </w:r>
      <w:r w:rsidRPr="00390848">
        <w:rPr>
          <w:color w:val="000000"/>
          <w:szCs w:val="24"/>
        </w:rPr>
        <w:t>filed with the Committee Petition.</w:t>
      </w:r>
      <w:bookmarkStart w:id="6" w:name="co_fnRef_FN_F6_ID0E5AAC_1"/>
      <w:bookmarkEnd w:id="6"/>
      <w:r w:rsidRPr="00390848" w:rsidR="00BD1492">
        <w:rPr>
          <w:b/>
          <w:bCs/>
          <w:color w:val="000000"/>
          <w:szCs w:val="24"/>
        </w:rPr>
        <w:t xml:space="preserve"> </w:t>
      </w:r>
    </w:p>
    <w:p w:rsidR="00370BE9" w:rsidRPr="00370BE9" w:rsidP="00370BE9" w14:paraId="2A97FCC1" w14:textId="77777777">
      <w:pPr>
        <w:autoSpaceDE w:val="0"/>
        <w:autoSpaceDN w:val="0"/>
        <w:adjustRightInd w:val="0"/>
        <w:spacing w:after="120"/>
        <w:rPr>
          <w:szCs w:val="22"/>
        </w:rPr>
      </w:pPr>
      <w:r>
        <w:rPr>
          <w:szCs w:val="22"/>
        </w:rPr>
        <w:tab/>
      </w:r>
      <w:r w:rsidRPr="00370BE9">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7"/>
      </w:r>
      <w:r w:rsidRPr="00370BE9">
        <w:rPr>
          <w:szCs w:val="22"/>
        </w:rPr>
        <w:t xml:space="preserve">  As part of our public interest analysis, the Commission coordinates with the </w:t>
      </w:r>
      <w:r w:rsidRPr="00370BE9">
        <w:rPr>
          <w:szCs w:val="22"/>
        </w:rPr>
        <w:t>relevant Executive Branch agencies that have expertise in these particular issues.</w:t>
      </w:r>
      <w:r>
        <w:rPr>
          <w:szCs w:val="22"/>
          <w:vertAlign w:val="superscript"/>
        </w:rPr>
        <w:footnoteReference w:id="8"/>
      </w:r>
      <w:r w:rsidRPr="00370BE9">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9"/>
      </w:r>
      <w:r w:rsidRPr="00370BE9">
        <w:rPr>
          <w:szCs w:val="22"/>
        </w:rPr>
        <w:t xml:space="preserve">  The Commission, however, ultimately makes an independent decision on the application based on the record in the proceedings.</w:t>
      </w:r>
      <w:r>
        <w:rPr>
          <w:szCs w:val="22"/>
          <w:vertAlign w:val="superscript"/>
        </w:rPr>
        <w:footnoteReference w:id="10"/>
      </w:r>
    </w:p>
    <w:p w:rsidR="00B74439" w:rsidP="001D7297" w14:paraId="3DB706FD" w14:textId="29E4C7BF">
      <w:pPr>
        <w:autoSpaceDE w:val="0"/>
        <w:autoSpaceDN w:val="0"/>
        <w:adjustRightInd w:val="0"/>
        <w:spacing w:after="120"/>
        <w:ind w:firstLine="720"/>
        <w:rPr>
          <w:szCs w:val="22"/>
        </w:rPr>
      </w:pPr>
      <w:r w:rsidRPr="00370BE9">
        <w:rPr>
          <w:szCs w:val="22"/>
        </w:rPr>
        <w:t xml:space="preserve">Pursuant to Commission practice, the Application and </w:t>
      </w:r>
      <w:r w:rsidR="00BB3B04">
        <w:rPr>
          <w:szCs w:val="22"/>
        </w:rPr>
        <w:t xml:space="preserve">the associated international application, </w:t>
      </w:r>
      <w:r w:rsidRPr="00034436" w:rsidR="00034436">
        <w:rPr>
          <w:szCs w:val="22"/>
        </w:rPr>
        <w:t>ITC-T/C-20221117-00135</w:t>
      </w:r>
      <w:r w:rsidR="006A61ED">
        <w:rPr>
          <w:szCs w:val="22"/>
        </w:rPr>
        <w:t xml:space="preserve">, </w:t>
      </w:r>
      <w:r w:rsidRPr="00370BE9">
        <w:rPr>
          <w:szCs w:val="22"/>
        </w:rPr>
        <w:t>were 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11"/>
      </w:r>
      <w:r w:rsidRPr="00370BE9">
        <w:rPr>
          <w:szCs w:val="22"/>
        </w:rPr>
        <w:t xml:space="preserve">  On </w:t>
      </w:r>
      <w:r w:rsidR="006A61ED">
        <w:rPr>
          <w:szCs w:val="22"/>
        </w:rPr>
        <w:t xml:space="preserve">December </w:t>
      </w:r>
      <w:r w:rsidR="000219B6">
        <w:rPr>
          <w:szCs w:val="22"/>
        </w:rPr>
        <w:t>1</w:t>
      </w:r>
      <w:r w:rsidR="006A61ED">
        <w:rPr>
          <w:szCs w:val="22"/>
        </w:rPr>
        <w:t>9</w:t>
      </w:r>
      <w:r w:rsidRPr="00370BE9">
        <w:rPr>
          <w:szCs w:val="22"/>
        </w:rPr>
        <w:t>, 202</w:t>
      </w:r>
      <w:r w:rsidR="000219B6">
        <w:rPr>
          <w:szCs w:val="22"/>
        </w:rPr>
        <w:t>2</w:t>
      </w:r>
      <w:r w:rsidRPr="00370BE9">
        <w:rPr>
          <w:szCs w:val="22"/>
        </w:rPr>
        <w:t xml:space="preserve">, the </w:t>
      </w:r>
      <w:r w:rsidR="00C606D6">
        <w:rPr>
          <w:szCs w:val="22"/>
        </w:rPr>
        <w:t>U.S. Department of Justice (DOJ)</w:t>
      </w:r>
      <w:r w:rsidR="00BD7957">
        <w:rPr>
          <w:szCs w:val="22"/>
        </w:rPr>
        <w:t>,</w:t>
      </w:r>
      <w:r w:rsidR="00C606D6">
        <w:rPr>
          <w:szCs w:val="22"/>
        </w:rPr>
        <w:t xml:space="preserve"> </w:t>
      </w:r>
      <w:r w:rsidR="00CB3AE9">
        <w:rPr>
          <w:szCs w:val="22"/>
        </w:rPr>
        <w:t xml:space="preserve">on behalf of the </w:t>
      </w:r>
      <w:r w:rsidRPr="00370BE9">
        <w:rPr>
          <w:szCs w:val="22"/>
        </w:rPr>
        <w:t>Committee</w:t>
      </w:r>
      <w:r w:rsidR="00BD7957">
        <w:rPr>
          <w:szCs w:val="22"/>
        </w:rPr>
        <w:t>,</w:t>
      </w:r>
      <w:r w:rsidRPr="00370BE9">
        <w:rPr>
          <w:szCs w:val="22"/>
        </w:rPr>
        <w:t xml:space="preserve"> </w:t>
      </w:r>
      <w:r w:rsidR="007A10B6">
        <w:rPr>
          <w:szCs w:val="22"/>
        </w:rPr>
        <w:t>informed</w:t>
      </w:r>
      <w:r w:rsidRPr="00370BE9">
        <w:rPr>
          <w:szCs w:val="22"/>
        </w:rPr>
        <w:t xml:space="preserve"> the Commission that </w:t>
      </w:r>
      <w:r w:rsidR="00C606D6">
        <w:rPr>
          <w:szCs w:val="22"/>
        </w:rPr>
        <w:t>the Committee</w:t>
      </w:r>
      <w:r w:rsidRPr="00370BE9">
        <w:rPr>
          <w:szCs w:val="22"/>
        </w:rPr>
        <w:t xml:space="preserve">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12"/>
      </w:r>
      <w:r w:rsidRPr="00370BE9">
        <w:rPr>
          <w:szCs w:val="22"/>
        </w:rPr>
        <w:t xml:space="preserve">  We deferred action in response to this request from the Committee.  </w:t>
      </w:r>
      <w:r w:rsidRPr="00C606D6" w:rsidR="00C606D6">
        <w:t xml:space="preserve">Then, on April </w:t>
      </w:r>
      <w:r w:rsidR="00FF1F96">
        <w:t>3</w:t>
      </w:r>
      <w:r w:rsidRPr="00C606D6" w:rsidR="00C606D6">
        <w:t>, 202</w:t>
      </w:r>
      <w:r w:rsidR="00FF1F96">
        <w:t>3</w:t>
      </w:r>
      <w:r w:rsidRPr="00C606D6" w:rsidR="00C606D6">
        <w:t xml:space="preserve">, DOJ notified the Commission that the Committee was “conducting </w:t>
      </w:r>
      <w:r w:rsidRPr="00C606D6" w:rsidR="00C606D6">
        <w:rPr>
          <w:szCs w:val="22"/>
        </w:rPr>
        <w:t>[</w:t>
      </w:r>
      <w:r w:rsidRPr="00C606D6" w:rsidR="00C606D6">
        <w:t>a 120-day] initial review to assess whether granting the Application will pose a risk to national security or law enforcement interests of the United States</w:t>
      </w:r>
      <w:r w:rsidRPr="00C606D6" w:rsidR="00C606D6">
        <w:rPr>
          <w:szCs w:val="22"/>
        </w:rPr>
        <w:t>.”</w:t>
      </w:r>
      <w:r>
        <w:rPr>
          <w:sz w:val="20"/>
          <w:vertAlign w:val="superscript"/>
        </w:rPr>
        <w:footnoteReference w:id="13"/>
      </w:r>
    </w:p>
    <w:p w:rsidR="00BB3B04" w:rsidRPr="00BB3B04" w:rsidP="00885952" w14:paraId="28A578D1" w14:textId="3F712802">
      <w:pPr>
        <w:autoSpaceDE w:val="0"/>
        <w:autoSpaceDN w:val="0"/>
        <w:adjustRightInd w:val="0"/>
        <w:spacing w:after="120"/>
        <w:ind w:firstLine="720"/>
        <w:rPr>
          <w:szCs w:val="22"/>
        </w:rPr>
      </w:pPr>
      <w:r w:rsidRPr="00BB39D7">
        <w:rPr>
          <w:szCs w:val="22"/>
        </w:rPr>
        <w:t>In the Committee Petition</w:t>
      </w:r>
      <w:r w:rsidRPr="00BB3B04">
        <w:rPr>
          <w:szCs w:val="22"/>
        </w:rPr>
        <w:t xml:space="preserve">, the Committee advises that it </w:t>
      </w:r>
      <w:r w:rsidR="00B13724">
        <w:rPr>
          <w:szCs w:val="22"/>
        </w:rPr>
        <w:t>“</w:t>
      </w:r>
      <w:r w:rsidRPr="00BB3B04">
        <w:rPr>
          <w:szCs w:val="22"/>
        </w:rPr>
        <w:t xml:space="preserve">has no objection to </w:t>
      </w:r>
      <w:r w:rsidR="004C57F5">
        <w:rPr>
          <w:color w:val="212121"/>
          <w:sz w:val="23"/>
          <w:szCs w:val="23"/>
        </w:rPr>
        <w:t>the Commission granting the above-captioned application, provided that the Commission conditions its consent</w:t>
      </w:r>
      <w:r w:rsidR="00E71148">
        <w:rPr>
          <w:color w:val="212121"/>
          <w:sz w:val="23"/>
          <w:szCs w:val="23"/>
        </w:rPr>
        <w:t>”</w:t>
      </w:r>
      <w:r w:rsidR="004C57F5">
        <w:rPr>
          <w:color w:val="212121"/>
          <w:sz w:val="23"/>
          <w:szCs w:val="23"/>
        </w:rPr>
        <w:t xml:space="preserve"> on </w:t>
      </w:r>
      <w:r w:rsidR="004C57F5">
        <w:rPr>
          <w:color w:val="212121"/>
          <w:sz w:val="23"/>
          <w:szCs w:val="23"/>
        </w:rPr>
        <w:t xml:space="preserve">compliance with the July 25, 2023, </w:t>
      </w:r>
      <w:r w:rsidR="00E71148">
        <w:rPr>
          <w:color w:val="212121"/>
          <w:sz w:val="23"/>
          <w:szCs w:val="23"/>
        </w:rPr>
        <w:t>LOA</w:t>
      </w:r>
      <w:r w:rsidR="005F0256">
        <w:rPr>
          <w:color w:val="212121"/>
          <w:sz w:val="23"/>
          <w:szCs w:val="23"/>
        </w:rPr>
        <w:t xml:space="preserve">, </w:t>
      </w:r>
      <w:r w:rsidR="00B13724">
        <w:t xml:space="preserve">which NTIA filed with </w:t>
      </w:r>
      <w:r w:rsidRPr="00BB3B04">
        <w:rPr>
          <w:szCs w:val="22"/>
        </w:rPr>
        <w:t>the Committee Petition.</w:t>
      </w:r>
      <w:r>
        <w:rPr>
          <w:szCs w:val="22"/>
          <w:vertAlign w:val="superscript"/>
        </w:rPr>
        <w:footnoteReference w:id="14"/>
      </w:r>
    </w:p>
    <w:p w:rsidR="00B74439" w:rsidP="00781C5B" w14:paraId="35B58C3E" w14:textId="3E4F5895">
      <w:pPr>
        <w:autoSpaceDE w:val="0"/>
        <w:autoSpaceDN w:val="0"/>
        <w:adjustRightInd w:val="0"/>
        <w:spacing w:after="120"/>
        <w:ind w:firstLine="720"/>
        <w:rPr>
          <w:szCs w:val="22"/>
        </w:rPr>
      </w:pPr>
      <w:r w:rsidRPr="00BB3B04">
        <w:rPr>
          <w:szCs w:val="22"/>
        </w:rPr>
        <w:t>In accordance with the request of the Committee, and in the absence of any objection from the Applicants, we grant the Committee Petition</w:t>
      </w:r>
      <w:r w:rsidR="00AF7C51">
        <w:rPr>
          <w:szCs w:val="22"/>
        </w:rPr>
        <w:t>.</w:t>
      </w:r>
      <w:r w:rsidRPr="00BB3B04">
        <w:rPr>
          <w:szCs w:val="22"/>
        </w:rPr>
        <w:t xml:space="preserve"> </w:t>
      </w:r>
      <w:r w:rsidR="00AF7C51">
        <w:rPr>
          <w:szCs w:val="22"/>
        </w:rPr>
        <w:t xml:space="preserve"> A</w:t>
      </w:r>
      <w:r w:rsidRPr="00BB3B04">
        <w:rPr>
          <w:szCs w:val="22"/>
        </w:rPr>
        <w:t xml:space="preserve">ccordingly, we condition grant of the </w:t>
      </w:r>
      <w:r w:rsidR="00EB07CA">
        <w:rPr>
          <w:szCs w:val="22"/>
        </w:rPr>
        <w:t xml:space="preserve">Application to </w:t>
      </w:r>
      <w:r w:rsidRPr="00BB3B04">
        <w:rPr>
          <w:szCs w:val="22"/>
        </w:rPr>
        <w:t xml:space="preserve">transfer of domestic section 214 authority on compliance by the Applicants with the commitments and undertakings set </w:t>
      </w:r>
      <w:r w:rsidR="00ED38F2">
        <w:rPr>
          <w:szCs w:val="22"/>
        </w:rPr>
        <w:t>forth</w:t>
      </w:r>
      <w:r w:rsidRPr="00BB3B04">
        <w:rPr>
          <w:szCs w:val="22"/>
        </w:rPr>
        <w:t xml:space="preserve"> in the</w:t>
      </w:r>
      <w:r w:rsidR="005F0256">
        <w:rPr>
          <w:szCs w:val="22"/>
        </w:rPr>
        <w:t xml:space="preserve"> </w:t>
      </w:r>
      <w:r w:rsidRPr="00BB3B04">
        <w:rPr>
          <w:szCs w:val="22"/>
        </w:rPr>
        <w:t>LOA that apply to the Application.</w:t>
      </w:r>
      <w:r>
        <w:rPr>
          <w:szCs w:val="22"/>
          <w:vertAlign w:val="superscript"/>
        </w:rPr>
        <w:footnoteReference w:id="15"/>
      </w:r>
      <w:r w:rsidRPr="00BB3B04">
        <w:rPr>
          <w:szCs w:val="22"/>
        </w:rPr>
        <w:t xml:space="preserve">  A failure to comply with and/or remain in compliance with any of the provisions of the LOA shall constitute a failure to meet a condition of this grant</w:t>
      </w:r>
      <w:r w:rsidR="0019129A">
        <w:rPr>
          <w:szCs w:val="22"/>
        </w:rPr>
        <w:t xml:space="preserve"> and</w:t>
      </w:r>
      <w:r w:rsidRPr="00BB3B04">
        <w:rPr>
          <w:szCs w:val="22"/>
        </w:rPr>
        <w:t xml:space="preserve"> the underlying authorizations </w:t>
      </w:r>
      <w:r w:rsidR="0019129A">
        <w:rPr>
          <w:szCs w:val="22"/>
        </w:rPr>
        <w:t xml:space="preserve">and licenses </w:t>
      </w:r>
      <w:r w:rsidRPr="00BB3B04">
        <w:rPr>
          <w:szCs w:val="22"/>
        </w:rPr>
        <w:t>and thus grounds for declaring the underlying authorizations</w:t>
      </w:r>
      <w:r w:rsidR="0019129A">
        <w:rPr>
          <w:szCs w:val="22"/>
        </w:rPr>
        <w:t xml:space="preserve"> and </w:t>
      </w:r>
      <w:r w:rsidRPr="00BB3B04">
        <w:rPr>
          <w:szCs w:val="22"/>
        </w:rPr>
        <w:t xml:space="preserve">licenses terminated without further action on the part of the Commission.  </w:t>
      </w:r>
      <w:r w:rsidR="00ED38F2">
        <w:rPr>
          <w:szCs w:val="22"/>
        </w:rPr>
        <w:t>A f</w:t>
      </w:r>
      <w:r w:rsidRPr="00BB3B04">
        <w:rPr>
          <w:szCs w:val="22"/>
        </w:rPr>
        <w:t xml:space="preserve">ailure to meet a condition of this grant and the </w:t>
      </w:r>
      <w:r w:rsidR="006B4D75">
        <w:rPr>
          <w:szCs w:val="22"/>
        </w:rPr>
        <w:t xml:space="preserve">underlying </w:t>
      </w:r>
      <w:r w:rsidRPr="00BB3B04">
        <w:rPr>
          <w:szCs w:val="22"/>
        </w:rPr>
        <w:t xml:space="preserve">authorizations </w:t>
      </w:r>
      <w:r w:rsidR="006B4D75">
        <w:rPr>
          <w:szCs w:val="22"/>
        </w:rPr>
        <w:t xml:space="preserve">and licenses </w:t>
      </w:r>
      <w:r w:rsidRPr="00BB3B04">
        <w:rPr>
          <w:szCs w:val="22"/>
        </w:rPr>
        <w:t xml:space="preserve">may also result in monetary sanctions or other enforcement action by the Commission.  </w:t>
      </w:r>
    </w:p>
    <w:p w:rsidR="00204C18" w:rsidRPr="00204C18" w:rsidP="00781C5B" w14:paraId="136F1259" w14:textId="77777777">
      <w:pPr>
        <w:autoSpaceDE w:val="0"/>
        <w:autoSpaceDN w:val="0"/>
        <w:adjustRightInd w:val="0"/>
        <w:spacing w:after="120"/>
        <w:rPr>
          <w:b/>
          <w:szCs w:val="22"/>
          <w:u w:val="single"/>
        </w:rPr>
      </w:pPr>
      <w:r w:rsidRPr="00204C18">
        <w:rPr>
          <w:b/>
          <w:szCs w:val="22"/>
          <w:u w:val="single"/>
        </w:rPr>
        <w:t>Grant of Application, Subject to Condition</w:t>
      </w:r>
    </w:p>
    <w:p w:rsidR="00204C18" w:rsidRPr="00204C18" w:rsidP="00204C18" w14:paraId="271F8FD7" w14:textId="4E8D7261">
      <w:pPr>
        <w:autoSpaceDE w:val="0"/>
        <w:autoSpaceDN w:val="0"/>
        <w:adjustRightInd w:val="0"/>
        <w:spacing w:after="120"/>
        <w:ind w:firstLine="720"/>
        <w:rPr>
          <w:szCs w:val="22"/>
        </w:rPr>
      </w:pPr>
      <w:r w:rsidRPr="00204C18">
        <w:rPr>
          <w:szCs w:val="22"/>
        </w:rPr>
        <w:t>We find, upon consideration of the record, that the proposed transfer will serve the public interest, convenience, and necessity.</w:t>
      </w:r>
      <w:r>
        <w:rPr>
          <w:szCs w:val="22"/>
          <w:vertAlign w:val="superscript"/>
        </w:rPr>
        <w:footnoteReference w:id="16"/>
      </w:r>
      <w:r w:rsidRPr="00204C18">
        <w:rPr>
          <w:szCs w:val="22"/>
        </w:rPr>
        <w:t xml:space="preserve">  This grant of the Application is conditioned as set out in this Public Notice. </w:t>
      </w:r>
    </w:p>
    <w:p w:rsidR="00204C18" w:rsidP="00204C18" w14:paraId="00DDE4BB" w14:textId="735D60DD">
      <w:pPr>
        <w:autoSpaceDE w:val="0"/>
        <w:autoSpaceDN w:val="0"/>
        <w:adjustRightInd w:val="0"/>
        <w:spacing w:after="120"/>
        <w:ind w:firstLine="720"/>
        <w:rPr>
          <w:szCs w:val="22"/>
        </w:rPr>
      </w:pPr>
      <w:r w:rsidRPr="00204C18">
        <w:rPr>
          <w:szCs w:val="22"/>
        </w:rPr>
        <w:t>Pursuant to section 214 of the Act, 47 U.S.C. § 214</w:t>
      </w:r>
      <w:r w:rsidR="00C81A48">
        <w:rPr>
          <w:szCs w:val="22"/>
        </w:rPr>
        <w:t>,</w:t>
      </w:r>
      <w:r w:rsidRPr="00204C18">
        <w:rPr>
          <w:szCs w:val="22"/>
        </w:rPr>
        <w:t xml:space="preserve"> and sections 0.91, 0.291, 63.03, and 63.04 of the Commission’s rules, 47 CFR §§ 0.91, 0.291, 63.03</w:t>
      </w:r>
      <w:r w:rsidR="00987B74">
        <w:rPr>
          <w:szCs w:val="22"/>
        </w:rPr>
        <w:t>-</w:t>
      </w:r>
      <w:r w:rsidRPr="00204C18">
        <w:rPr>
          <w:szCs w:val="22"/>
        </w:rPr>
        <w:t xml:space="preserve">63.04, we grant the Application with the condition described above.  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 </w:t>
      </w:r>
    </w:p>
    <w:p w:rsidR="00A14FE9" w:rsidRPr="00DB0B2C" w:rsidP="00DB0B2C" w14:paraId="38B45BA3" w14:textId="78D6EF32">
      <w:pPr>
        <w:autoSpaceDE w:val="0"/>
        <w:autoSpaceDN w:val="0"/>
        <w:adjustRightInd w:val="0"/>
        <w:spacing w:after="120"/>
        <w:ind w:firstLine="720"/>
      </w:pPr>
      <w:r>
        <w:t>Pursuant to sections 4(i)-(j) and 214(a), of the Communications Act of 1934, as amended, 47 U.S.C. §§ 154(i)-(j) and 214(a), and sections 63.03-63.04, of the Commission’s rules, 47 CFR §§ 63.03-63.04, we grant the Committee Petition to Adopt Conditions to Authorization</w:t>
      </w:r>
      <w:r w:rsidR="00ED38F2">
        <w:t xml:space="preserve"> and License</w:t>
      </w:r>
      <w:r>
        <w:t xml:space="preserve"> filed by the NTIA. </w:t>
      </w:r>
      <w:r w:rsidR="00987B74">
        <w:t xml:space="preserve"> </w:t>
      </w:r>
      <w:r>
        <w:t xml:space="preserve">Grant of the Application is conditioned upon compliance by the Applicants with the Letter of Agreement </w:t>
      </w:r>
      <w:r w:rsidR="00A70395">
        <w:t>from David Henley, President</w:t>
      </w:r>
      <w:r w:rsidR="00C747A7">
        <w:t xml:space="preserve">, Meriplex Telecom LLC, </w:t>
      </w:r>
      <w:r>
        <w:t xml:space="preserve">to Chief, Foreign Investment Review Section (FIRS) and Deputy Chief, Compliance and Enforcement (FIRS), on behalf of the Assistant Attorney General for National Security, National Security Division, United States Department of Justice, dated </w:t>
      </w:r>
      <w:r w:rsidR="008A4CCE">
        <w:t xml:space="preserve">July </w:t>
      </w:r>
      <w:r w:rsidR="00577ABD">
        <w:t>25</w:t>
      </w:r>
      <w:r w:rsidR="008A4CCE">
        <w:t>, 202</w:t>
      </w:r>
      <w:r w:rsidR="00577ABD">
        <w:t>3.</w:t>
      </w:r>
      <w:r w:rsidR="004C4E25">
        <w:t xml:space="preserve">  Any</w:t>
      </w:r>
      <w:r>
        <w:t xml:space="preserve"> failure to comply and/or remain in compliance with any of the conditions set out in the Public Notice shall constitute a failure to meet a condition of the </w:t>
      </w:r>
      <w:r w:rsidR="0019129A">
        <w:t xml:space="preserve">grant and the </w:t>
      </w:r>
      <w:r>
        <w:t xml:space="preserve">underlying authorizations and </w:t>
      </w:r>
      <w:r w:rsidR="0019129A">
        <w:t xml:space="preserve">licenses </w:t>
      </w:r>
      <w:r w:rsidR="00D67B43">
        <w:t xml:space="preserve">and </w:t>
      </w:r>
      <w:r>
        <w:t xml:space="preserve">thus grounds for declaring the authorizations and licenses terminated without any further action on the part of the Commission. </w:t>
      </w:r>
      <w:r w:rsidR="00D67B43">
        <w:t xml:space="preserve"> </w:t>
      </w:r>
      <w:r>
        <w:t xml:space="preserve">Failure to meet a condition of the </w:t>
      </w:r>
      <w:r w:rsidR="00D67B43">
        <w:t xml:space="preserve">grant and the underlying </w:t>
      </w:r>
      <w:r>
        <w:t>authorizations</w:t>
      </w:r>
      <w:r w:rsidR="00D67B43">
        <w:t xml:space="preserve"> and</w:t>
      </w:r>
      <w:r>
        <w:t xml:space="preserve"> licenses may also result in monetary sanctions or other enforcement action by the Commission</w:t>
      </w:r>
      <w:r w:rsidR="00AE0475">
        <w:t>.</w:t>
      </w:r>
    </w:p>
    <w:p w:rsidR="00204C18" w:rsidRPr="00204C18" w:rsidP="00204C18" w14:paraId="5B9C8132" w14:textId="599689C1">
      <w:pPr>
        <w:autoSpaceDE w:val="0"/>
        <w:autoSpaceDN w:val="0"/>
        <w:adjustRightInd w:val="0"/>
        <w:spacing w:after="120"/>
        <w:ind w:firstLine="720"/>
        <w:rPr>
          <w:szCs w:val="22"/>
        </w:rPr>
      </w:pPr>
      <w:r w:rsidRPr="00204C18">
        <w:rPr>
          <w:szCs w:val="22"/>
        </w:rPr>
        <w:t xml:space="preserve">For further information, please contact </w:t>
      </w:r>
      <w:r w:rsidR="00ED776E">
        <w:rPr>
          <w:szCs w:val="22"/>
        </w:rPr>
        <w:t>Gregory Kwan</w:t>
      </w:r>
      <w:r w:rsidRPr="00204C18">
        <w:rPr>
          <w:szCs w:val="22"/>
        </w:rPr>
        <w:t>, Wireline Competition Bureau, (202) 418-</w:t>
      </w:r>
      <w:r w:rsidR="00ED776E">
        <w:rPr>
          <w:szCs w:val="22"/>
        </w:rPr>
        <w:t>1191</w:t>
      </w:r>
      <w:r w:rsidRPr="00204C18">
        <w:rPr>
          <w:szCs w:val="22"/>
        </w:rPr>
        <w:t>.</w:t>
      </w:r>
    </w:p>
    <w:p w:rsidR="00204C18" w:rsidRPr="00204C18" w:rsidP="00204C18" w14:paraId="1E153BE6" w14:textId="77777777">
      <w:pPr>
        <w:autoSpaceDE w:val="0"/>
        <w:autoSpaceDN w:val="0"/>
        <w:adjustRightInd w:val="0"/>
        <w:spacing w:after="120"/>
        <w:ind w:firstLine="720"/>
        <w:rPr>
          <w:szCs w:val="22"/>
        </w:rPr>
      </w:pPr>
    </w:p>
    <w:p w:rsidR="00257B2A" w:rsidP="00B371E8" w14:paraId="36765AFA" w14:textId="15066B40">
      <w:pPr>
        <w:autoSpaceDE w:val="0"/>
        <w:autoSpaceDN w:val="0"/>
        <w:adjustRightInd w:val="0"/>
        <w:spacing w:after="120"/>
        <w:ind w:firstLine="720"/>
        <w:jc w:val="center"/>
        <w:rPr>
          <w:b/>
          <w:color w:val="000000"/>
          <w:szCs w:val="22"/>
        </w:rPr>
      </w:pPr>
      <w:r w:rsidRPr="00204C18">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67420B" w14:textId="77777777">
    <w:pPr>
      <w:pStyle w:val="Footer"/>
      <w:framePr w:wrap="around" w:vAnchor="text" w:hAnchor="margin" w:xAlign="center" w:y="1"/>
    </w:pPr>
    <w:r>
      <w:fldChar w:fldCharType="begin"/>
    </w:r>
    <w:r>
      <w:instrText xml:space="preserve">PAGE  </w:instrText>
    </w:r>
    <w:r w:rsidR="00866896">
      <w:fldChar w:fldCharType="separate"/>
    </w:r>
    <w:r>
      <w:fldChar w:fldCharType="end"/>
    </w:r>
  </w:p>
  <w:p w:rsidR="006F7393" w14:paraId="775D7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232ABC"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8B3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79F0" w14:paraId="2E49F91C" w14:textId="77777777">
      <w:r>
        <w:separator/>
      </w:r>
    </w:p>
  </w:footnote>
  <w:footnote w:type="continuationSeparator" w:id="1">
    <w:p w:rsidR="00A579F0" w14:paraId="34299F2D" w14:textId="77777777">
      <w:pPr>
        <w:rPr>
          <w:sz w:val="20"/>
        </w:rPr>
      </w:pPr>
      <w:r>
        <w:rPr>
          <w:sz w:val="20"/>
        </w:rPr>
        <w:t xml:space="preserve">(Continued from previous page)  </w:t>
      </w:r>
      <w:r>
        <w:rPr>
          <w:sz w:val="20"/>
        </w:rPr>
        <w:separator/>
      </w:r>
    </w:p>
  </w:footnote>
  <w:footnote w:type="continuationNotice" w:id="2">
    <w:p w:rsidR="00A579F0" w:rsidP="00910F12" w14:paraId="28E75CB7" w14:textId="77777777">
      <w:pPr>
        <w:jc w:val="right"/>
        <w:rPr>
          <w:sz w:val="20"/>
        </w:rPr>
      </w:pPr>
      <w:r>
        <w:rPr>
          <w:sz w:val="20"/>
        </w:rPr>
        <w:t>(continued….)</w:t>
      </w:r>
    </w:p>
  </w:footnote>
  <w:footnote w:id="3">
    <w:p w:rsidR="00CF191A" w:rsidRPr="00126B1A" w:rsidP="00CF191A" w14:paraId="203761D7" w14:textId="6CFB20F7">
      <w:pPr>
        <w:spacing w:after="120"/>
        <w:rPr>
          <w:sz w:val="20"/>
        </w:rPr>
      </w:pPr>
      <w:r w:rsidRPr="0069342F">
        <w:rPr>
          <w:rStyle w:val="FootnoteReference"/>
          <w:sz w:val="20"/>
        </w:rPr>
        <w:footnoteRef/>
      </w:r>
      <w:r w:rsidRPr="0069342F">
        <w:rPr>
          <w:sz w:val="20"/>
        </w:rPr>
        <w:t xml:space="preserve"> </w:t>
      </w:r>
      <w:r w:rsidRPr="0069342F">
        <w:rPr>
          <w:i/>
          <w:sz w:val="20"/>
        </w:rPr>
        <w:t>See</w:t>
      </w:r>
      <w:r w:rsidRPr="0069342F">
        <w:rPr>
          <w:sz w:val="20"/>
        </w:rPr>
        <w:t xml:space="preserve"> 47 U.S.C. § 214; 47 CFR §§ 63.03-04.  </w:t>
      </w:r>
    </w:p>
  </w:footnote>
  <w:footnote w:id="4">
    <w:p w:rsidR="009C3F24" w:rsidRPr="00126B1A" w:rsidP="009C3F24" w14:paraId="456C2495" w14:textId="2C7E6E2D">
      <w:pPr>
        <w:spacing w:after="120"/>
        <w:rPr>
          <w:sz w:val="20"/>
        </w:rPr>
      </w:pPr>
      <w:r w:rsidRPr="0069342F">
        <w:rPr>
          <w:rStyle w:val="FootnoteReference"/>
          <w:sz w:val="20"/>
        </w:rPr>
        <w:footnoteRef/>
      </w:r>
      <w:r w:rsidRPr="0069342F">
        <w:rPr>
          <w:sz w:val="20"/>
        </w:rPr>
        <w:t xml:space="preserve"> </w:t>
      </w:r>
      <w:r w:rsidRPr="0069342F">
        <w:rPr>
          <w:i/>
          <w:sz w:val="20"/>
        </w:rPr>
        <w:t>See</w:t>
      </w:r>
      <w:r w:rsidRPr="0069342F">
        <w:rPr>
          <w:sz w:val="20"/>
        </w:rPr>
        <w:t xml:space="preserve"> 47 U.S.C. § 214; 47 CFR §§ 63.03-04.  Joint Section 214 Application to Transfer Control of Meriplex Telecom, LLC, WC Docket No. 22-400 (filed Nov. 17, 2022) (Application).  </w:t>
      </w:r>
      <w:r>
        <w:rPr>
          <w:sz w:val="20"/>
        </w:rPr>
        <w:t xml:space="preserve">On December 5, 2022, Applicants filed a supplement to their domestic section 214 application.  Letter from Dana Frix, Advisor to Meriplex Communications Ltd., and Rebekah Goodheart, Counsel to Vitruvian Partners LLP, to Marlene H. Dortch, Secretary, FCC, WC Docket No. 22-400 (filed Dec. 5, 2022) (Supplement).  </w:t>
      </w:r>
      <w:r w:rsidRPr="0069342F">
        <w:rPr>
          <w:sz w:val="20"/>
        </w:rPr>
        <w:t xml:space="preserve">Applicants also filed </w:t>
      </w:r>
      <w:r w:rsidR="00A72ACE">
        <w:rPr>
          <w:sz w:val="20"/>
        </w:rPr>
        <w:t xml:space="preserve">an </w:t>
      </w:r>
      <w:r w:rsidRPr="0069342F">
        <w:rPr>
          <w:sz w:val="20"/>
        </w:rPr>
        <w:t>application for the transfer of a</w:t>
      </w:r>
      <w:r w:rsidR="00A72ACE">
        <w:rPr>
          <w:sz w:val="20"/>
        </w:rPr>
        <w:t>n a</w:t>
      </w:r>
      <w:r w:rsidRPr="0069342F">
        <w:rPr>
          <w:sz w:val="20"/>
        </w:rPr>
        <w:t xml:space="preserve">uthorization associated with international services.  </w:t>
      </w:r>
      <w:r>
        <w:rPr>
          <w:i/>
          <w:iCs/>
          <w:sz w:val="20"/>
        </w:rPr>
        <w:t xml:space="preserve">See </w:t>
      </w:r>
      <w:r w:rsidRPr="00A80B13" w:rsidR="00A80B13">
        <w:rPr>
          <w:sz w:val="20"/>
        </w:rPr>
        <w:t>ITC-T/C-20221117-00135</w:t>
      </w:r>
      <w:r>
        <w:rPr>
          <w:sz w:val="20"/>
        </w:rPr>
        <w:t xml:space="preserve">.  </w:t>
      </w:r>
      <w:r w:rsidRPr="0069342F">
        <w:rPr>
          <w:sz w:val="20"/>
        </w:rPr>
        <w:t>Any action on this domestic section 214 application is without prejudice to Commission action on other related, pending applications</w:t>
      </w:r>
      <w:r w:rsidRPr="0069342F">
        <w:rPr>
          <w:bCs/>
          <w:sz w:val="20"/>
        </w:rPr>
        <w:t>.</w:t>
      </w:r>
    </w:p>
  </w:footnote>
  <w:footnote w:id="5">
    <w:p w:rsidR="00487944" w:rsidP="00487944" w14:paraId="5EA3D547" w14:textId="101E03FE">
      <w:pPr>
        <w:pStyle w:val="FootnoteText"/>
      </w:pPr>
      <w:r>
        <w:rPr>
          <w:rStyle w:val="FootnoteReference"/>
        </w:rPr>
        <w:footnoteRef/>
      </w:r>
      <w:r>
        <w:rPr>
          <w:bCs/>
          <w:i/>
        </w:rPr>
        <w:t xml:space="preserve"> Domestic Section 214 Application Filed for the Transfer of Control of Meriplex Telecom, LLC to Vitr</w:t>
      </w:r>
      <w:r w:rsidR="00930BC7">
        <w:rPr>
          <w:bCs/>
          <w:i/>
        </w:rPr>
        <w:t>uv</w:t>
      </w:r>
      <w:r>
        <w:rPr>
          <w:bCs/>
          <w:i/>
        </w:rPr>
        <w:t xml:space="preserve">ian Partners </w:t>
      </w:r>
      <w:r w:rsidRPr="001575F0">
        <w:rPr>
          <w:bCs/>
          <w:i/>
        </w:rPr>
        <w:t>LLP</w:t>
      </w:r>
      <w:r>
        <w:rPr>
          <w:bCs/>
          <w:iCs/>
        </w:rPr>
        <w:t xml:space="preserve">, </w:t>
      </w:r>
      <w:r w:rsidRPr="001575F0">
        <w:rPr>
          <w:bCs/>
          <w:iCs/>
        </w:rPr>
        <w:t>WC</w:t>
      </w:r>
      <w:r w:rsidRPr="00FC501A">
        <w:rPr>
          <w:bCs/>
        </w:rPr>
        <w:t xml:space="preserve"> Docket No. 2</w:t>
      </w:r>
      <w:r>
        <w:rPr>
          <w:bCs/>
        </w:rPr>
        <w:t>2-400</w:t>
      </w:r>
      <w:r w:rsidRPr="00FC501A">
        <w:rPr>
          <w:bCs/>
        </w:rPr>
        <w:t>, Public Notice, DA 2</w:t>
      </w:r>
      <w:r>
        <w:rPr>
          <w:bCs/>
        </w:rPr>
        <w:t>2-1274</w:t>
      </w:r>
      <w:r w:rsidRPr="00370BE9">
        <w:rPr>
          <w:bCs/>
        </w:rPr>
        <w:t xml:space="preserve"> (W</w:t>
      </w:r>
      <w:r>
        <w:rPr>
          <w:bCs/>
        </w:rPr>
        <w:t>CB 2022) (</w:t>
      </w:r>
      <w:r w:rsidRPr="006F55B6">
        <w:rPr>
          <w:bCs/>
          <w:i/>
          <w:iCs/>
        </w:rPr>
        <w:t>Public Notice</w:t>
      </w:r>
      <w:r>
        <w:rPr>
          <w:bCs/>
        </w:rPr>
        <w:t>)</w:t>
      </w:r>
      <w:r w:rsidRPr="00370BE9">
        <w:rPr>
          <w:bCs/>
        </w:rPr>
        <w:t xml:space="preserve">.  </w:t>
      </w:r>
      <w:r w:rsidRPr="00370BE9">
        <w:t xml:space="preserve">  </w:t>
      </w:r>
    </w:p>
  </w:footnote>
  <w:footnote w:id="6">
    <w:p w:rsidR="00BD1492" w14:paraId="05423281" w14:textId="0CA94C4B">
      <w:pPr>
        <w:pStyle w:val="FootnoteText"/>
      </w:pPr>
      <w:r>
        <w:rPr>
          <w:rStyle w:val="FootnoteReference"/>
        </w:rPr>
        <w:footnoteRef/>
      </w:r>
      <w:r>
        <w:t xml:space="preserve"> </w:t>
      </w:r>
      <w:r w:rsidRPr="00F57602" w:rsidR="00B13724">
        <w:t>National Telecommunications and Information Administration</w:t>
      </w:r>
      <w:r w:rsidR="00B13724">
        <w:t xml:space="preserve">, </w:t>
      </w:r>
      <w:r w:rsidR="00EC6CAE">
        <w:t>Petition to Adopt Conditions to Authorization</w:t>
      </w:r>
      <w:r w:rsidR="00A12718">
        <w:t xml:space="preserve"> and License</w:t>
      </w:r>
      <w:r w:rsidR="00EC6CAE">
        <w:t xml:space="preserve">, </w:t>
      </w:r>
      <w:r w:rsidRPr="00595B6A" w:rsidR="00370BE9">
        <w:t>WC Docket No. 2</w:t>
      </w:r>
      <w:r w:rsidR="00A366F4">
        <w:t>2-400</w:t>
      </w:r>
      <w:r w:rsidRPr="00595B6A" w:rsidR="00370BE9">
        <w:t xml:space="preserve">, </w:t>
      </w:r>
      <w:r w:rsidRPr="00A80B13" w:rsidR="00A80B13">
        <w:t xml:space="preserve">ITC-T/C-20221117-00135 </w:t>
      </w:r>
      <w:r w:rsidRPr="00595B6A" w:rsidR="00370BE9">
        <w:t>(filed</w:t>
      </w:r>
      <w:r w:rsidR="0097493E">
        <w:t xml:space="preserve"> Aug.</w:t>
      </w:r>
      <w:r w:rsidR="00A12718">
        <w:t xml:space="preserve"> </w:t>
      </w:r>
      <w:r w:rsidR="0084028B">
        <w:t>14</w:t>
      </w:r>
      <w:r w:rsidRPr="00595B6A" w:rsidR="00370BE9">
        <w:t>, 202</w:t>
      </w:r>
      <w:r w:rsidR="00A80B13">
        <w:t>3</w:t>
      </w:r>
      <w:r w:rsidRPr="00595B6A" w:rsidR="00370BE9">
        <w:t>).</w:t>
      </w:r>
    </w:p>
  </w:footnote>
  <w:footnote w:id="7">
    <w:p w:rsidR="00370BE9" w:rsidRPr="0087506E" w:rsidP="00370BE9" w14:paraId="76D2B729"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T-Mobile/Sprint Order</w:t>
      </w:r>
      <w:r w:rsidRPr="0087506E">
        <w:t xml:space="preserve">). </w:t>
      </w:r>
    </w:p>
  </w:footnote>
  <w:footnote w:id="8">
    <w:p w:rsidR="00370BE9" w:rsidRPr="0087506E" w:rsidP="00370BE9" w14:paraId="0CC9AA71"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9">
    <w:p w:rsidR="00370BE9" w:rsidRPr="0087506E" w:rsidP="00370BE9" w14:paraId="2F9C6A86" w14:textId="398EFF4B">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IB Docket No. 96-111, CC Docket No 93-23, RM-7931, Report and Order, 12 FCC Rcd 24094, 24171-72, paras. 179, 182 (1997))</w:t>
      </w:r>
      <w:r w:rsidR="00C6536D">
        <w:t>;</w:t>
      </w:r>
      <w:r w:rsidRPr="0087506E">
        <w:t xml:space="preserve"> </w:t>
      </w:r>
      <w:r w:rsidR="00C6536D">
        <w:rPr>
          <w:i/>
          <w:iCs/>
        </w:rPr>
        <w:t>s</w:t>
      </w:r>
      <w:r w:rsidRPr="0087506E">
        <w:rPr>
          <w:i/>
          <w:iCs/>
        </w:rPr>
        <w:t>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10">
    <w:p w:rsidR="00370BE9" w:rsidRPr="0087506E" w:rsidP="00370BE9" w14:paraId="1EAF565F"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11">
    <w:p w:rsidR="00370BE9" w:rsidRPr="00624936" w:rsidP="00370BE9" w14:paraId="47913D1F" w14:textId="10222B96">
      <w:pPr>
        <w:pStyle w:val="FootnoteText"/>
      </w:pPr>
      <w:r w:rsidRPr="0087506E">
        <w:rPr>
          <w:rStyle w:val="FootnoteReference"/>
          <w:sz w:val="20"/>
        </w:rPr>
        <w:footnoteRef/>
      </w:r>
      <w:r w:rsidRPr="0087506E">
        <w:t xml:space="preserve"> </w:t>
      </w:r>
      <w:r w:rsidRPr="0087506E">
        <w:rPr>
          <w:i/>
          <w:iCs/>
        </w:rPr>
        <w:t xml:space="preserve">See </w:t>
      </w:r>
      <w:r w:rsidRPr="00624936">
        <w:rPr>
          <w:i/>
          <w:iCs/>
        </w:rPr>
        <w:t>Public Notice</w:t>
      </w:r>
      <w:r w:rsidRPr="00624936" w:rsidR="00FC501A">
        <w:t xml:space="preserve"> at</w:t>
      </w:r>
      <w:r w:rsidRPr="00624936" w:rsidR="00034E2A">
        <w:t xml:space="preserve"> </w:t>
      </w:r>
      <w:r w:rsidRPr="00624936" w:rsidR="008C36CF">
        <w:t>3</w:t>
      </w:r>
      <w:r w:rsidRPr="00624936">
        <w:t>.</w:t>
      </w:r>
    </w:p>
  </w:footnote>
  <w:footnote w:id="12">
    <w:p w:rsidR="00370BE9" w:rsidRPr="00B4024A" w:rsidP="00370BE9" w14:paraId="29E2BA76" w14:textId="19356DE3">
      <w:pPr>
        <w:pStyle w:val="FootnoteText"/>
        <w:rPr>
          <w:color w:val="000000"/>
        </w:rPr>
      </w:pPr>
      <w:r w:rsidRPr="00624936">
        <w:rPr>
          <w:rStyle w:val="FootnoteReference"/>
          <w:color w:val="000000"/>
          <w:sz w:val="20"/>
        </w:rPr>
        <w:footnoteRef/>
      </w:r>
      <w:r w:rsidRPr="00624936">
        <w:rPr>
          <w:color w:val="000000"/>
        </w:rPr>
        <w:t xml:space="preserve"> Letter from </w:t>
      </w:r>
      <w:r w:rsidRPr="00624936" w:rsidR="00357EE6">
        <w:rPr>
          <w:color w:val="000000"/>
        </w:rPr>
        <w:t xml:space="preserve">Jake </w:t>
      </w:r>
      <w:r w:rsidRPr="00624936" w:rsidR="00BC400F">
        <w:rPr>
          <w:color w:val="000000"/>
        </w:rPr>
        <w:t>O. Seaboch</w:t>
      </w:r>
      <w:r w:rsidRPr="00624936">
        <w:rPr>
          <w:color w:val="000000"/>
        </w:rPr>
        <w:t xml:space="preserve">, </w:t>
      </w:r>
      <w:r w:rsidR="0033066B">
        <w:rPr>
          <w:color w:val="000000"/>
        </w:rPr>
        <w:t xml:space="preserve">Attorney Advisor, </w:t>
      </w:r>
      <w:r w:rsidR="00F12666">
        <w:rPr>
          <w:color w:val="000000"/>
        </w:rPr>
        <w:t xml:space="preserve">U.S. </w:t>
      </w:r>
      <w:r w:rsidRPr="00624936">
        <w:rPr>
          <w:color w:val="000000"/>
        </w:rPr>
        <w:t xml:space="preserve">Department of Justice, to Marlene H. Dortch, Secretary, FCC, WC Docket No. </w:t>
      </w:r>
      <w:r w:rsidRPr="00624936" w:rsidR="00366C1D">
        <w:rPr>
          <w:color w:val="000000"/>
        </w:rPr>
        <w:t>2</w:t>
      </w:r>
      <w:r w:rsidRPr="00624936" w:rsidR="00BC400F">
        <w:rPr>
          <w:color w:val="000000"/>
        </w:rPr>
        <w:t>2</w:t>
      </w:r>
      <w:r w:rsidRPr="00624936" w:rsidR="00366C1D">
        <w:rPr>
          <w:color w:val="000000"/>
        </w:rPr>
        <w:t>-</w:t>
      </w:r>
      <w:r w:rsidRPr="00B4024A" w:rsidR="00366C1D">
        <w:rPr>
          <w:color w:val="000000"/>
        </w:rPr>
        <w:t>4</w:t>
      </w:r>
      <w:r w:rsidRPr="00B4024A" w:rsidR="00BC400F">
        <w:rPr>
          <w:color w:val="000000"/>
        </w:rPr>
        <w:t>00</w:t>
      </w:r>
      <w:r w:rsidRPr="00B4024A">
        <w:rPr>
          <w:color w:val="000000"/>
        </w:rPr>
        <w:t>;</w:t>
      </w:r>
      <w:r w:rsidRPr="00B4024A" w:rsidR="00624936">
        <w:t xml:space="preserve"> ITC-T/C-20221117-00135</w:t>
      </w:r>
      <w:r w:rsidRPr="00B4024A">
        <w:rPr>
          <w:color w:val="000000"/>
        </w:rPr>
        <w:t xml:space="preserve">, and Attach. </w:t>
      </w:r>
      <w:r w:rsidRPr="00B4024A" w:rsidR="000A2255">
        <w:rPr>
          <w:color w:val="000000"/>
        </w:rPr>
        <w:t xml:space="preserve">(filed </w:t>
      </w:r>
      <w:r w:rsidRPr="00B4024A" w:rsidR="006A61ED">
        <w:rPr>
          <w:color w:val="000000"/>
        </w:rPr>
        <w:t>Dec</w:t>
      </w:r>
      <w:r w:rsidRPr="00B4024A" w:rsidR="000A2255">
        <w:rPr>
          <w:color w:val="000000"/>
        </w:rPr>
        <w:t xml:space="preserve">. </w:t>
      </w:r>
      <w:r w:rsidRPr="00B4024A" w:rsidR="00624936">
        <w:rPr>
          <w:color w:val="000000"/>
        </w:rPr>
        <w:t>1</w:t>
      </w:r>
      <w:r w:rsidRPr="00B4024A" w:rsidR="006A61ED">
        <w:rPr>
          <w:color w:val="000000"/>
        </w:rPr>
        <w:t>9</w:t>
      </w:r>
      <w:r w:rsidRPr="00B4024A" w:rsidR="000A2255">
        <w:rPr>
          <w:color w:val="000000"/>
        </w:rPr>
        <w:t>, 202</w:t>
      </w:r>
      <w:r w:rsidRPr="00B4024A" w:rsidR="00624936">
        <w:rPr>
          <w:color w:val="000000"/>
        </w:rPr>
        <w:t>2</w:t>
      </w:r>
      <w:r w:rsidRPr="00B4024A" w:rsidR="000A2255">
        <w:rPr>
          <w:color w:val="000000"/>
        </w:rPr>
        <w:t>)</w:t>
      </w:r>
      <w:r w:rsidRPr="00B4024A">
        <w:rPr>
          <w:color w:val="000000"/>
        </w:rPr>
        <w:t>.</w:t>
      </w:r>
    </w:p>
  </w:footnote>
  <w:footnote w:id="13">
    <w:p w:rsidR="00C606D6" w:rsidP="00C606D6" w14:paraId="748869FE" w14:textId="22E4D443">
      <w:pPr>
        <w:pStyle w:val="FootnoteText"/>
      </w:pPr>
      <w:r w:rsidRPr="00B4024A">
        <w:rPr>
          <w:rStyle w:val="FootnoteReference"/>
        </w:rPr>
        <w:footnoteRef/>
      </w:r>
      <w:r w:rsidRPr="00B4024A">
        <w:t xml:space="preserve"> </w:t>
      </w:r>
      <w:bookmarkStart w:id="7" w:name="_Hlk104674697"/>
      <w:r w:rsidRPr="00B4024A" w:rsidR="00FF1F96">
        <w:rPr>
          <w:color w:val="000000"/>
        </w:rPr>
        <w:t xml:space="preserve">Letter from Jake O. Seaboch, </w:t>
      </w:r>
      <w:r w:rsidR="0033066B">
        <w:rPr>
          <w:color w:val="000000"/>
        </w:rPr>
        <w:t xml:space="preserve">Attorney Advisor, </w:t>
      </w:r>
      <w:r w:rsidR="00F12666">
        <w:rPr>
          <w:color w:val="000000"/>
        </w:rPr>
        <w:t xml:space="preserve">U.S. </w:t>
      </w:r>
      <w:r w:rsidRPr="00B4024A" w:rsidR="00FF1F96">
        <w:rPr>
          <w:color w:val="000000"/>
        </w:rPr>
        <w:t>Department of Justice, to Marlene H. Dortch, Secretary, FCC, WC Docket No. 22-400;</w:t>
      </w:r>
      <w:r w:rsidRPr="00B4024A" w:rsidR="00FF1F96">
        <w:t xml:space="preserve"> ITC-T/C-20221117-00135</w:t>
      </w:r>
      <w:r w:rsidRPr="00B4024A" w:rsidR="00FF1F96">
        <w:rPr>
          <w:color w:val="000000"/>
        </w:rPr>
        <w:t>, and Attach. (filed Apr. 3, 2023)</w:t>
      </w:r>
      <w:r w:rsidRPr="00B4024A" w:rsidR="00A634A2">
        <w:rPr>
          <w:color w:val="000000"/>
        </w:rPr>
        <w:t>.</w:t>
      </w:r>
      <w:r w:rsidRPr="00B4024A">
        <w:t xml:space="preserve"> </w:t>
      </w:r>
      <w:bookmarkEnd w:id="7"/>
      <w:r w:rsidRPr="00B4024A" w:rsidR="00684AD6">
        <w:t xml:space="preserve"> </w:t>
      </w:r>
      <w:r w:rsidR="009E7B2E">
        <w:t>DOJ</w:t>
      </w:r>
      <w:r w:rsidR="004640F2">
        <w:t xml:space="preserve"> subsequently</w:t>
      </w:r>
      <w:r w:rsidR="009E7B2E">
        <w:t xml:space="preserve"> granted a </w:t>
      </w:r>
      <w:r w:rsidRPr="00B4024A" w:rsidR="00684AD6">
        <w:t xml:space="preserve">extension </w:t>
      </w:r>
      <w:r w:rsidR="004640F2">
        <w:t xml:space="preserve">so that the </w:t>
      </w:r>
      <w:r w:rsidR="00265DB4">
        <w:t>initial</w:t>
      </w:r>
      <w:r w:rsidRPr="00B4024A" w:rsidR="00684AD6">
        <w:t xml:space="preserve"> review period ended </w:t>
      </w:r>
      <w:r w:rsidR="004640F2">
        <w:t xml:space="preserve">on </w:t>
      </w:r>
      <w:r w:rsidRPr="00B4024A" w:rsidR="00684AD6">
        <w:t xml:space="preserve">August </w:t>
      </w:r>
      <w:r w:rsidRPr="00B4024A" w:rsidR="00B4024A">
        <w:t>16</w:t>
      </w:r>
      <w:r w:rsidRPr="00B4024A" w:rsidR="00684AD6">
        <w:t>, 202</w:t>
      </w:r>
      <w:r w:rsidRPr="00B4024A" w:rsidR="00B4024A">
        <w:t>3</w:t>
      </w:r>
      <w:r w:rsidRPr="00B4024A" w:rsidR="00684AD6">
        <w:t xml:space="preserve">.  </w:t>
      </w:r>
      <w:r w:rsidRPr="00B4024A" w:rsidR="00B4024A">
        <w:rPr>
          <w:color w:val="000000"/>
        </w:rPr>
        <w:t xml:space="preserve">Letter from Jake O. Seaboch, </w:t>
      </w:r>
      <w:r w:rsidR="00C876BC">
        <w:rPr>
          <w:color w:val="000000"/>
        </w:rPr>
        <w:t xml:space="preserve">Attorney Advisor, U.S. </w:t>
      </w:r>
      <w:r w:rsidRPr="00B4024A" w:rsidR="00B4024A">
        <w:rPr>
          <w:color w:val="000000"/>
        </w:rPr>
        <w:t>Department of Justice, to Marlene H. Dortch, Secretary, FCC, WC Docket No. 22-400</w:t>
      </w:r>
      <w:r w:rsidR="004640F2">
        <w:rPr>
          <w:color w:val="000000"/>
        </w:rPr>
        <w:t xml:space="preserve">; </w:t>
      </w:r>
      <w:r w:rsidRPr="00B4024A" w:rsidR="00B4024A">
        <w:t>ITC-T/C-20221117-00135</w:t>
      </w:r>
      <w:r w:rsidRPr="00B4024A" w:rsidR="00B4024A">
        <w:rPr>
          <w:color w:val="000000"/>
        </w:rPr>
        <w:t>, and Attach. (filed Jul. 5, 2023).</w:t>
      </w:r>
    </w:p>
  </w:footnote>
  <w:footnote w:id="14">
    <w:p w:rsidR="00BB3B04" w:rsidRPr="0062423A" w:rsidP="00BB3B04" w14:paraId="21AE23D0" w14:textId="4985E2C9">
      <w:pPr>
        <w:pStyle w:val="FootnoteText"/>
      </w:pPr>
      <w:r w:rsidRPr="0062423A">
        <w:rPr>
          <w:rStyle w:val="FootnoteReference"/>
          <w:sz w:val="20"/>
        </w:rPr>
        <w:footnoteRef/>
      </w:r>
      <w:r w:rsidRPr="0062423A">
        <w:t xml:space="preserve"> </w:t>
      </w:r>
      <w:r>
        <w:t xml:space="preserve">Committee Petition </w:t>
      </w:r>
      <w:r w:rsidRPr="0062423A">
        <w:t xml:space="preserve">at </w:t>
      </w:r>
      <w:r w:rsidR="00885952">
        <w:t>1</w:t>
      </w:r>
      <w:r w:rsidR="005F0256">
        <w:t>-2</w:t>
      </w:r>
      <w:r w:rsidRPr="0062423A">
        <w:t>.</w:t>
      </w:r>
    </w:p>
  </w:footnote>
  <w:footnote w:id="15">
    <w:p w:rsidR="00BB3B04" w:rsidP="00BB3B04" w14:paraId="30A09D88"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16">
    <w:p w:rsidR="00204C18" w:rsidP="00204C18" w14:paraId="6833E0B0" w14:textId="6725A72C">
      <w:pPr>
        <w:pStyle w:val="FootnoteText"/>
      </w:pPr>
      <w:r>
        <w:rPr>
          <w:rStyle w:val="FootnoteReference"/>
        </w:rPr>
        <w:footnoteRef/>
      </w:r>
      <w:r>
        <w:t xml:space="preserve"> </w:t>
      </w:r>
      <w:r w:rsidRPr="001A5851">
        <w:rPr>
          <w:i/>
          <w:iCs/>
        </w:rPr>
        <w:t>See</w:t>
      </w:r>
      <w:r>
        <w:t xml:space="preserve"> 47 U.S.C. § 214(a);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205D5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61AA8D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80CC9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34D4623E" w14:textId="77777777">
                    <w:pPr>
                      <w:rPr>
                        <w:rFonts w:ascii="Arial" w:hAnsi="Arial"/>
                        <w:b/>
                      </w:rPr>
                    </w:pPr>
                    <w:r w:rsidRPr="000F0CB5">
                      <w:rPr>
                        <w:rFonts w:ascii="Arial" w:hAnsi="Arial"/>
                        <w:b/>
                      </w:rPr>
                      <w:t>Federal Communications Commission</w:t>
                    </w:r>
                  </w:p>
                  <w:p w:rsidR="009838BC" w:rsidRPr="000F0CB5" w:rsidP="009838BC" w14:paraId="52C9C747" w14:textId="77777777">
                    <w:pPr>
                      <w:rPr>
                        <w:rFonts w:ascii="Arial" w:hAnsi="Arial"/>
                        <w:b/>
                      </w:rPr>
                    </w:pPr>
                    <w:r w:rsidRPr="000F0CB5">
                      <w:rPr>
                        <w:rFonts w:ascii="Arial" w:hAnsi="Arial"/>
                        <w:b/>
                      </w:rPr>
                      <w:t>4</w:t>
                    </w:r>
                    <w:r w:rsidR="008C5D18">
                      <w:rPr>
                        <w:rFonts w:ascii="Arial" w:hAnsi="Arial"/>
                        <w:b/>
                      </w:rPr>
                      <w:t>5 L St., N.E.</w:t>
                    </w:r>
                  </w:p>
                  <w:p w:rsidR="009838BC" w:rsidP="009838BC" w14:paraId="21EED812"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536AB6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9844089" w14:textId="77777777">
                    <w:pPr>
                      <w:spacing w:before="40"/>
                      <w:jc w:val="right"/>
                      <w:rPr>
                        <w:rFonts w:ascii="Arial" w:hAnsi="Arial"/>
                        <w:b/>
                        <w:sz w:val="16"/>
                      </w:rPr>
                    </w:pPr>
                    <w:r>
                      <w:rPr>
                        <w:rFonts w:ascii="Arial" w:hAnsi="Arial"/>
                        <w:b/>
                        <w:sz w:val="16"/>
                      </w:rPr>
                      <w:t>News Media Information 202 / 418-0500</w:t>
                    </w:r>
                  </w:p>
                  <w:p w:rsidR="009838BC" w:rsidP="009838BC" w14:paraId="51AC96F8"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652881B5" w14:textId="77777777">
                    <w:pPr>
                      <w:jc w:val="right"/>
                    </w:pPr>
                  </w:p>
                </w:txbxContent>
              </v:textbox>
            </v:shape>
          </w:pict>
        </mc:Fallback>
      </mc:AlternateContent>
    </w:r>
  </w:p>
  <w:p w:rsidR="006F7393" w:rsidRPr="009838BC" w:rsidP="009838BC" w14:paraId="6D5A7E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6146"/>
    <w:rsid w:val="00021445"/>
    <w:rsid w:val="000219B6"/>
    <w:rsid w:val="000220F2"/>
    <w:rsid w:val="00033822"/>
    <w:rsid w:val="00034436"/>
    <w:rsid w:val="00034E2A"/>
    <w:rsid w:val="00036039"/>
    <w:rsid w:val="00037F90"/>
    <w:rsid w:val="00044F6D"/>
    <w:rsid w:val="000520D9"/>
    <w:rsid w:val="00056134"/>
    <w:rsid w:val="000737E6"/>
    <w:rsid w:val="000875BF"/>
    <w:rsid w:val="000969D9"/>
    <w:rsid w:val="00096D8C"/>
    <w:rsid w:val="000A2255"/>
    <w:rsid w:val="000A514A"/>
    <w:rsid w:val="000A719C"/>
    <w:rsid w:val="000C0B65"/>
    <w:rsid w:val="000C234E"/>
    <w:rsid w:val="000D049C"/>
    <w:rsid w:val="000D79D7"/>
    <w:rsid w:val="000E3D42"/>
    <w:rsid w:val="000E5884"/>
    <w:rsid w:val="000E6601"/>
    <w:rsid w:val="000F0CB5"/>
    <w:rsid w:val="000F7AFB"/>
    <w:rsid w:val="00105F69"/>
    <w:rsid w:val="00106606"/>
    <w:rsid w:val="001155B5"/>
    <w:rsid w:val="00122BD5"/>
    <w:rsid w:val="00126B1A"/>
    <w:rsid w:val="00143609"/>
    <w:rsid w:val="001541A8"/>
    <w:rsid w:val="001575F0"/>
    <w:rsid w:val="00162A3E"/>
    <w:rsid w:val="00164EF4"/>
    <w:rsid w:val="00180117"/>
    <w:rsid w:val="0019129A"/>
    <w:rsid w:val="001979D9"/>
    <w:rsid w:val="001A3500"/>
    <w:rsid w:val="001A5851"/>
    <w:rsid w:val="001C0DFD"/>
    <w:rsid w:val="001C2305"/>
    <w:rsid w:val="001D11C0"/>
    <w:rsid w:val="001D5D80"/>
    <w:rsid w:val="001D6BCF"/>
    <w:rsid w:val="001D7297"/>
    <w:rsid w:val="001E01CA"/>
    <w:rsid w:val="001E0466"/>
    <w:rsid w:val="001E42C4"/>
    <w:rsid w:val="001F1CB2"/>
    <w:rsid w:val="001F667C"/>
    <w:rsid w:val="0020070A"/>
    <w:rsid w:val="00204C18"/>
    <w:rsid w:val="002056D2"/>
    <w:rsid w:val="002060D9"/>
    <w:rsid w:val="00207477"/>
    <w:rsid w:val="002078DE"/>
    <w:rsid w:val="00216B5D"/>
    <w:rsid w:val="00220631"/>
    <w:rsid w:val="00226822"/>
    <w:rsid w:val="002334CD"/>
    <w:rsid w:val="0024071B"/>
    <w:rsid w:val="0025082C"/>
    <w:rsid w:val="00250FD4"/>
    <w:rsid w:val="00257B2A"/>
    <w:rsid w:val="00260594"/>
    <w:rsid w:val="00265350"/>
    <w:rsid w:val="00265DB4"/>
    <w:rsid w:val="00266A8D"/>
    <w:rsid w:val="00274C55"/>
    <w:rsid w:val="00285017"/>
    <w:rsid w:val="0028684D"/>
    <w:rsid w:val="002A101D"/>
    <w:rsid w:val="002A2D2E"/>
    <w:rsid w:val="002A6989"/>
    <w:rsid w:val="002A6D6A"/>
    <w:rsid w:val="002B0207"/>
    <w:rsid w:val="002B133F"/>
    <w:rsid w:val="002C0613"/>
    <w:rsid w:val="002C0E05"/>
    <w:rsid w:val="002C3DC3"/>
    <w:rsid w:val="002C471A"/>
    <w:rsid w:val="002C7D93"/>
    <w:rsid w:val="002D50BB"/>
    <w:rsid w:val="002D5C1F"/>
    <w:rsid w:val="002D62DD"/>
    <w:rsid w:val="002E699E"/>
    <w:rsid w:val="002F2194"/>
    <w:rsid w:val="002F2339"/>
    <w:rsid w:val="002F6B1A"/>
    <w:rsid w:val="00301E74"/>
    <w:rsid w:val="00307030"/>
    <w:rsid w:val="0031328E"/>
    <w:rsid w:val="00317D86"/>
    <w:rsid w:val="00321D67"/>
    <w:rsid w:val="003275FD"/>
    <w:rsid w:val="00327E00"/>
    <w:rsid w:val="0033066B"/>
    <w:rsid w:val="00335771"/>
    <w:rsid w:val="00343749"/>
    <w:rsid w:val="00351BC2"/>
    <w:rsid w:val="00357D50"/>
    <w:rsid w:val="00357EE6"/>
    <w:rsid w:val="00366C1D"/>
    <w:rsid w:val="00370BE9"/>
    <w:rsid w:val="00381F74"/>
    <w:rsid w:val="00390848"/>
    <w:rsid w:val="003925DC"/>
    <w:rsid w:val="003955A4"/>
    <w:rsid w:val="00397845"/>
    <w:rsid w:val="003A5261"/>
    <w:rsid w:val="003B0550"/>
    <w:rsid w:val="003B694F"/>
    <w:rsid w:val="003C3B92"/>
    <w:rsid w:val="003C4579"/>
    <w:rsid w:val="003D03B3"/>
    <w:rsid w:val="003D1DB7"/>
    <w:rsid w:val="003E2EFE"/>
    <w:rsid w:val="003E302F"/>
    <w:rsid w:val="003E3330"/>
    <w:rsid w:val="003E5C72"/>
    <w:rsid w:val="003E7B6C"/>
    <w:rsid w:val="003F171C"/>
    <w:rsid w:val="003F6DED"/>
    <w:rsid w:val="00410C27"/>
    <w:rsid w:val="00412959"/>
    <w:rsid w:val="00412FC5"/>
    <w:rsid w:val="00413423"/>
    <w:rsid w:val="0042206A"/>
    <w:rsid w:val="00422276"/>
    <w:rsid w:val="004242F1"/>
    <w:rsid w:val="004352C3"/>
    <w:rsid w:val="0044058F"/>
    <w:rsid w:val="00445A00"/>
    <w:rsid w:val="00451B0F"/>
    <w:rsid w:val="00453AB1"/>
    <w:rsid w:val="0046125F"/>
    <w:rsid w:val="004640F2"/>
    <w:rsid w:val="00466B8E"/>
    <w:rsid w:val="00467D60"/>
    <w:rsid w:val="00470A40"/>
    <w:rsid w:val="004753F7"/>
    <w:rsid w:val="004808CE"/>
    <w:rsid w:val="00485408"/>
    <w:rsid w:val="00487524"/>
    <w:rsid w:val="004876D1"/>
    <w:rsid w:val="00487944"/>
    <w:rsid w:val="004903BF"/>
    <w:rsid w:val="004943CA"/>
    <w:rsid w:val="004954BE"/>
    <w:rsid w:val="00496106"/>
    <w:rsid w:val="004A3764"/>
    <w:rsid w:val="004B091D"/>
    <w:rsid w:val="004C12D0"/>
    <w:rsid w:val="004C2EE3"/>
    <w:rsid w:val="004C4BDF"/>
    <w:rsid w:val="004C4E25"/>
    <w:rsid w:val="004C57F5"/>
    <w:rsid w:val="004C67D6"/>
    <w:rsid w:val="004D22C3"/>
    <w:rsid w:val="004E1B98"/>
    <w:rsid w:val="004E4A22"/>
    <w:rsid w:val="005054E6"/>
    <w:rsid w:val="00511968"/>
    <w:rsid w:val="00516C98"/>
    <w:rsid w:val="0052012D"/>
    <w:rsid w:val="00530C22"/>
    <w:rsid w:val="00531267"/>
    <w:rsid w:val="005459B0"/>
    <w:rsid w:val="0055614C"/>
    <w:rsid w:val="005614FA"/>
    <w:rsid w:val="00571590"/>
    <w:rsid w:val="00577ABD"/>
    <w:rsid w:val="00593FE6"/>
    <w:rsid w:val="00595B6A"/>
    <w:rsid w:val="005A0E75"/>
    <w:rsid w:val="005A6D7D"/>
    <w:rsid w:val="005A768D"/>
    <w:rsid w:val="005B1183"/>
    <w:rsid w:val="005B1A88"/>
    <w:rsid w:val="005B4290"/>
    <w:rsid w:val="005C680A"/>
    <w:rsid w:val="005D2CD8"/>
    <w:rsid w:val="005D47C0"/>
    <w:rsid w:val="005E15F6"/>
    <w:rsid w:val="005E7217"/>
    <w:rsid w:val="005E74A9"/>
    <w:rsid w:val="005F0256"/>
    <w:rsid w:val="005F214B"/>
    <w:rsid w:val="006020BB"/>
    <w:rsid w:val="00607BA5"/>
    <w:rsid w:val="0062423A"/>
    <w:rsid w:val="00624936"/>
    <w:rsid w:val="006258CD"/>
    <w:rsid w:val="00626EB6"/>
    <w:rsid w:val="006275B0"/>
    <w:rsid w:val="00631B71"/>
    <w:rsid w:val="006353A3"/>
    <w:rsid w:val="00642AA4"/>
    <w:rsid w:val="00642E7B"/>
    <w:rsid w:val="006438AD"/>
    <w:rsid w:val="006549B8"/>
    <w:rsid w:val="00655D03"/>
    <w:rsid w:val="0066370B"/>
    <w:rsid w:val="00664903"/>
    <w:rsid w:val="00664AB4"/>
    <w:rsid w:val="0067536F"/>
    <w:rsid w:val="00680A3D"/>
    <w:rsid w:val="00683F84"/>
    <w:rsid w:val="00684AD6"/>
    <w:rsid w:val="0069342F"/>
    <w:rsid w:val="006A61ED"/>
    <w:rsid w:val="006A6A81"/>
    <w:rsid w:val="006B3292"/>
    <w:rsid w:val="006B4D75"/>
    <w:rsid w:val="006B6F46"/>
    <w:rsid w:val="006C735C"/>
    <w:rsid w:val="006D40DD"/>
    <w:rsid w:val="006D6039"/>
    <w:rsid w:val="006E26AF"/>
    <w:rsid w:val="006F55B6"/>
    <w:rsid w:val="006F7393"/>
    <w:rsid w:val="00701CCB"/>
    <w:rsid w:val="0070224F"/>
    <w:rsid w:val="007115F7"/>
    <w:rsid w:val="007134E1"/>
    <w:rsid w:val="00714A85"/>
    <w:rsid w:val="0074675A"/>
    <w:rsid w:val="007575F6"/>
    <w:rsid w:val="00761FF7"/>
    <w:rsid w:val="0076436F"/>
    <w:rsid w:val="00781400"/>
    <w:rsid w:val="00781C5B"/>
    <w:rsid w:val="00785689"/>
    <w:rsid w:val="00795A64"/>
    <w:rsid w:val="0079676F"/>
    <w:rsid w:val="0079754B"/>
    <w:rsid w:val="00797B66"/>
    <w:rsid w:val="007A10B6"/>
    <w:rsid w:val="007A1E6D"/>
    <w:rsid w:val="007A7B3A"/>
    <w:rsid w:val="007B71D5"/>
    <w:rsid w:val="007C0AC0"/>
    <w:rsid w:val="007C2228"/>
    <w:rsid w:val="007C674D"/>
    <w:rsid w:val="007D3761"/>
    <w:rsid w:val="007D3887"/>
    <w:rsid w:val="007E3903"/>
    <w:rsid w:val="007E5B80"/>
    <w:rsid w:val="007F2FED"/>
    <w:rsid w:val="008068FD"/>
    <w:rsid w:val="00821EF1"/>
    <w:rsid w:val="00822CE0"/>
    <w:rsid w:val="00827D4A"/>
    <w:rsid w:val="008301C5"/>
    <w:rsid w:val="0083155B"/>
    <w:rsid w:val="0083364B"/>
    <w:rsid w:val="00837C62"/>
    <w:rsid w:val="0084028B"/>
    <w:rsid w:val="0084061A"/>
    <w:rsid w:val="00841AB1"/>
    <w:rsid w:val="00845944"/>
    <w:rsid w:val="00851E64"/>
    <w:rsid w:val="00853442"/>
    <w:rsid w:val="008540A1"/>
    <w:rsid w:val="008623A2"/>
    <w:rsid w:val="00866896"/>
    <w:rsid w:val="0087506E"/>
    <w:rsid w:val="00876862"/>
    <w:rsid w:val="008802A4"/>
    <w:rsid w:val="00880408"/>
    <w:rsid w:val="00885952"/>
    <w:rsid w:val="008A205A"/>
    <w:rsid w:val="008A3AF0"/>
    <w:rsid w:val="008A4CCE"/>
    <w:rsid w:val="008A6586"/>
    <w:rsid w:val="008A7AE5"/>
    <w:rsid w:val="008C22FD"/>
    <w:rsid w:val="008C2513"/>
    <w:rsid w:val="008C36CF"/>
    <w:rsid w:val="008C5D18"/>
    <w:rsid w:val="008E63B2"/>
    <w:rsid w:val="008F072E"/>
    <w:rsid w:val="008F1449"/>
    <w:rsid w:val="008F2D9A"/>
    <w:rsid w:val="008F7321"/>
    <w:rsid w:val="00910F12"/>
    <w:rsid w:val="00914C39"/>
    <w:rsid w:val="00926503"/>
    <w:rsid w:val="00930BC7"/>
    <w:rsid w:val="00930ECF"/>
    <w:rsid w:val="0097493E"/>
    <w:rsid w:val="00974A8E"/>
    <w:rsid w:val="00975E59"/>
    <w:rsid w:val="00976129"/>
    <w:rsid w:val="00977D8A"/>
    <w:rsid w:val="00980335"/>
    <w:rsid w:val="009838BC"/>
    <w:rsid w:val="0098517C"/>
    <w:rsid w:val="00987B74"/>
    <w:rsid w:val="00987D28"/>
    <w:rsid w:val="00987EE2"/>
    <w:rsid w:val="009B044F"/>
    <w:rsid w:val="009B3988"/>
    <w:rsid w:val="009B63B0"/>
    <w:rsid w:val="009C3F24"/>
    <w:rsid w:val="009C7B6C"/>
    <w:rsid w:val="009D28AB"/>
    <w:rsid w:val="009D36AB"/>
    <w:rsid w:val="009E0A80"/>
    <w:rsid w:val="009E7B2E"/>
    <w:rsid w:val="00A07202"/>
    <w:rsid w:val="00A12718"/>
    <w:rsid w:val="00A14FE9"/>
    <w:rsid w:val="00A17EEF"/>
    <w:rsid w:val="00A366F4"/>
    <w:rsid w:val="00A45F4F"/>
    <w:rsid w:val="00A579F0"/>
    <w:rsid w:val="00A600A9"/>
    <w:rsid w:val="00A634A2"/>
    <w:rsid w:val="00A70395"/>
    <w:rsid w:val="00A70EE1"/>
    <w:rsid w:val="00A726A5"/>
    <w:rsid w:val="00A72ACE"/>
    <w:rsid w:val="00A80B13"/>
    <w:rsid w:val="00A866AC"/>
    <w:rsid w:val="00A93453"/>
    <w:rsid w:val="00AA1FB9"/>
    <w:rsid w:val="00AA55B7"/>
    <w:rsid w:val="00AA5B9E"/>
    <w:rsid w:val="00AB1746"/>
    <w:rsid w:val="00AB2407"/>
    <w:rsid w:val="00AB53DF"/>
    <w:rsid w:val="00AC0010"/>
    <w:rsid w:val="00AC7814"/>
    <w:rsid w:val="00AE0475"/>
    <w:rsid w:val="00AE19F5"/>
    <w:rsid w:val="00AE2DC1"/>
    <w:rsid w:val="00AF77E2"/>
    <w:rsid w:val="00AF7C51"/>
    <w:rsid w:val="00AF7DA5"/>
    <w:rsid w:val="00B00DBA"/>
    <w:rsid w:val="00B01C96"/>
    <w:rsid w:val="00B07E5C"/>
    <w:rsid w:val="00B13724"/>
    <w:rsid w:val="00B326E3"/>
    <w:rsid w:val="00B371E8"/>
    <w:rsid w:val="00B4024A"/>
    <w:rsid w:val="00B44339"/>
    <w:rsid w:val="00B711AE"/>
    <w:rsid w:val="00B7124D"/>
    <w:rsid w:val="00B74439"/>
    <w:rsid w:val="00B811F7"/>
    <w:rsid w:val="00B82285"/>
    <w:rsid w:val="00B85CA1"/>
    <w:rsid w:val="00B91103"/>
    <w:rsid w:val="00B959E6"/>
    <w:rsid w:val="00B96584"/>
    <w:rsid w:val="00B9780D"/>
    <w:rsid w:val="00BA5DC6"/>
    <w:rsid w:val="00BA6196"/>
    <w:rsid w:val="00BB39D7"/>
    <w:rsid w:val="00BB3B04"/>
    <w:rsid w:val="00BC400F"/>
    <w:rsid w:val="00BC6D8C"/>
    <w:rsid w:val="00BD1492"/>
    <w:rsid w:val="00BD1F31"/>
    <w:rsid w:val="00BD34F1"/>
    <w:rsid w:val="00BD5F51"/>
    <w:rsid w:val="00BD7957"/>
    <w:rsid w:val="00BE6279"/>
    <w:rsid w:val="00BF1AB9"/>
    <w:rsid w:val="00BF6638"/>
    <w:rsid w:val="00C03F95"/>
    <w:rsid w:val="00C0742F"/>
    <w:rsid w:val="00C16AF2"/>
    <w:rsid w:val="00C17705"/>
    <w:rsid w:val="00C26B94"/>
    <w:rsid w:val="00C34006"/>
    <w:rsid w:val="00C35272"/>
    <w:rsid w:val="00C367FB"/>
    <w:rsid w:val="00C426B1"/>
    <w:rsid w:val="00C45A39"/>
    <w:rsid w:val="00C502B2"/>
    <w:rsid w:val="00C54865"/>
    <w:rsid w:val="00C606D6"/>
    <w:rsid w:val="00C6536D"/>
    <w:rsid w:val="00C67232"/>
    <w:rsid w:val="00C747A7"/>
    <w:rsid w:val="00C81A48"/>
    <w:rsid w:val="00C822C7"/>
    <w:rsid w:val="00C82B6B"/>
    <w:rsid w:val="00C83A25"/>
    <w:rsid w:val="00C876BC"/>
    <w:rsid w:val="00C90D6A"/>
    <w:rsid w:val="00C9237B"/>
    <w:rsid w:val="00C95AE7"/>
    <w:rsid w:val="00CA17EA"/>
    <w:rsid w:val="00CA3E69"/>
    <w:rsid w:val="00CA60A9"/>
    <w:rsid w:val="00CB3AE9"/>
    <w:rsid w:val="00CC239D"/>
    <w:rsid w:val="00CC4541"/>
    <w:rsid w:val="00CC6A10"/>
    <w:rsid w:val="00CC72B6"/>
    <w:rsid w:val="00CE1A4A"/>
    <w:rsid w:val="00CE29E4"/>
    <w:rsid w:val="00CF191A"/>
    <w:rsid w:val="00CF1DFA"/>
    <w:rsid w:val="00CF28E3"/>
    <w:rsid w:val="00CF33D4"/>
    <w:rsid w:val="00CF4487"/>
    <w:rsid w:val="00D0218D"/>
    <w:rsid w:val="00D02B16"/>
    <w:rsid w:val="00D04B72"/>
    <w:rsid w:val="00D12B3C"/>
    <w:rsid w:val="00D216CD"/>
    <w:rsid w:val="00D256F8"/>
    <w:rsid w:val="00D268B1"/>
    <w:rsid w:val="00D53B88"/>
    <w:rsid w:val="00D67B43"/>
    <w:rsid w:val="00D67BF7"/>
    <w:rsid w:val="00D7034E"/>
    <w:rsid w:val="00D70AB4"/>
    <w:rsid w:val="00D851AB"/>
    <w:rsid w:val="00D93B1B"/>
    <w:rsid w:val="00D97850"/>
    <w:rsid w:val="00DA2529"/>
    <w:rsid w:val="00DA3851"/>
    <w:rsid w:val="00DA455F"/>
    <w:rsid w:val="00DB0B2C"/>
    <w:rsid w:val="00DB0FA2"/>
    <w:rsid w:val="00DB130A"/>
    <w:rsid w:val="00DB54CA"/>
    <w:rsid w:val="00DC062A"/>
    <w:rsid w:val="00DC10A1"/>
    <w:rsid w:val="00DC184E"/>
    <w:rsid w:val="00DC655F"/>
    <w:rsid w:val="00DD0F22"/>
    <w:rsid w:val="00DD7EBD"/>
    <w:rsid w:val="00DE0E89"/>
    <w:rsid w:val="00DF1B24"/>
    <w:rsid w:val="00DF62B6"/>
    <w:rsid w:val="00E014AC"/>
    <w:rsid w:val="00E07225"/>
    <w:rsid w:val="00E155B7"/>
    <w:rsid w:val="00E25939"/>
    <w:rsid w:val="00E302B7"/>
    <w:rsid w:val="00E37C44"/>
    <w:rsid w:val="00E5409F"/>
    <w:rsid w:val="00E71148"/>
    <w:rsid w:val="00E72298"/>
    <w:rsid w:val="00E74CDB"/>
    <w:rsid w:val="00E80C5A"/>
    <w:rsid w:val="00E871B4"/>
    <w:rsid w:val="00E9172C"/>
    <w:rsid w:val="00E929F0"/>
    <w:rsid w:val="00E9579E"/>
    <w:rsid w:val="00E96B4B"/>
    <w:rsid w:val="00E96C1C"/>
    <w:rsid w:val="00E97FC3"/>
    <w:rsid w:val="00EB07CA"/>
    <w:rsid w:val="00EB0ED4"/>
    <w:rsid w:val="00EB2C44"/>
    <w:rsid w:val="00EB662D"/>
    <w:rsid w:val="00EC0185"/>
    <w:rsid w:val="00EC1D0F"/>
    <w:rsid w:val="00EC58F4"/>
    <w:rsid w:val="00EC6CAE"/>
    <w:rsid w:val="00EC7832"/>
    <w:rsid w:val="00ED38F2"/>
    <w:rsid w:val="00ED776E"/>
    <w:rsid w:val="00EF034C"/>
    <w:rsid w:val="00F00637"/>
    <w:rsid w:val="00F00E54"/>
    <w:rsid w:val="00F01780"/>
    <w:rsid w:val="00F021FA"/>
    <w:rsid w:val="00F12666"/>
    <w:rsid w:val="00F14D69"/>
    <w:rsid w:val="00F273CF"/>
    <w:rsid w:val="00F2771F"/>
    <w:rsid w:val="00F34A9F"/>
    <w:rsid w:val="00F46CE7"/>
    <w:rsid w:val="00F52785"/>
    <w:rsid w:val="00F57602"/>
    <w:rsid w:val="00F57ACA"/>
    <w:rsid w:val="00F619C5"/>
    <w:rsid w:val="00F62E97"/>
    <w:rsid w:val="00F64209"/>
    <w:rsid w:val="00F66D37"/>
    <w:rsid w:val="00F70514"/>
    <w:rsid w:val="00F72B31"/>
    <w:rsid w:val="00F802D0"/>
    <w:rsid w:val="00F93BF5"/>
    <w:rsid w:val="00F94BA2"/>
    <w:rsid w:val="00F96F63"/>
    <w:rsid w:val="00FA3284"/>
    <w:rsid w:val="00FB7981"/>
    <w:rsid w:val="00FC501A"/>
    <w:rsid w:val="00FE0EE0"/>
    <w:rsid w:val="00FE3B39"/>
    <w:rsid w:val="00FE416A"/>
    <w:rsid w:val="00FF1F96"/>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8C398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character" w:styleId="UnresolvedMention">
    <w:name w:val="Unresolved Mention"/>
    <w:basedOn w:val="DefaultParagraphFont"/>
    <w:uiPriority w:val="99"/>
    <w:rsid w:val="00390848"/>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606D6"/>
  </w:style>
  <w:style w:type="paragraph" w:styleId="Revision">
    <w:name w:val="Revision"/>
    <w:hidden/>
    <w:uiPriority w:val="99"/>
    <w:semiHidden/>
    <w:rsid w:val="00CF19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