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2B39E436">
            <w:pPr>
              <w:pStyle w:val="TOAHeading"/>
              <w:rPr>
                <w:szCs w:val="22"/>
              </w:rPr>
            </w:pPr>
            <w:r>
              <w:rPr>
                <w:szCs w:val="22"/>
              </w:rPr>
              <w:t>Complaint No</w:t>
            </w:r>
            <w:r w:rsidRPr="00EF2C5A">
              <w:rPr>
                <w:szCs w:val="22"/>
              </w:rPr>
              <w:t>.</w:t>
            </w:r>
            <w:r w:rsidR="006F2F56">
              <w:rPr>
                <w:szCs w:val="22"/>
              </w:rPr>
              <w:t xml:space="preserve"> </w:t>
            </w:r>
            <w:r w:rsidR="00104663">
              <w:rPr>
                <w:szCs w:val="22"/>
              </w:rPr>
              <w:t>5</w:t>
            </w:r>
            <w:r w:rsidR="00E40707">
              <w:rPr>
                <w:szCs w:val="22"/>
              </w:rPr>
              <w:t>925469</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1D98A813">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E40707">
        <w:rPr>
          <w:b/>
          <w:spacing w:val="-2"/>
        </w:rPr>
        <w:t>January</w:t>
      </w:r>
      <w:r w:rsidRPr="00142D97">
        <w:rPr>
          <w:b/>
          <w:spacing w:val="-2"/>
        </w:rPr>
        <w:t xml:space="preserve"> </w:t>
      </w:r>
      <w:r w:rsidR="002C5CBE">
        <w:rPr>
          <w:b/>
          <w:spacing w:val="-2"/>
        </w:rPr>
        <w:t>25</w:t>
      </w:r>
      <w:r w:rsidRPr="00142D97">
        <w:rPr>
          <w:b/>
          <w:spacing w:val="-2"/>
        </w:rPr>
        <w:t>, 20</w:t>
      </w:r>
      <w:r w:rsidR="006D6CC3">
        <w:rPr>
          <w:b/>
          <w:spacing w:val="-2"/>
        </w:rPr>
        <w:t>2</w:t>
      </w:r>
      <w:r w:rsidR="00E40707">
        <w:rPr>
          <w:b/>
          <w:spacing w:val="-2"/>
        </w:rPr>
        <w:t>3</w:t>
      </w:r>
      <w:r w:rsidRPr="00142D97">
        <w:rPr>
          <w:b/>
          <w:spacing w:val="-2"/>
        </w:rPr>
        <w:tab/>
      </w:r>
      <w:r w:rsidR="008036CD">
        <w:rPr>
          <w:b/>
          <w:spacing w:val="-2"/>
        </w:rPr>
        <w:tab/>
      </w:r>
      <w:r w:rsidRPr="00142D97">
        <w:rPr>
          <w:b/>
          <w:spacing w:val="-2"/>
        </w:rPr>
        <w:t xml:space="preserve">Released: </w:t>
      </w:r>
      <w:r w:rsidR="00442324">
        <w:rPr>
          <w:b/>
          <w:spacing w:val="-2"/>
        </w:rPr>
        <w:t xml:space="preserve"> </w:t>
      </w:r>
      <w:r w:rsidR="00E40707">
        <w:rPr>
          <w:b/>
          <w:spacing w:val="-2"/>
        </w:rPr>
        <w:t>January</w:t>
      </w:r>
      <w:r w:rsidR="00EB0A91">
        <w:rPr>
          <w:b/>
          <w:spacing w:val="-2"/>
        </w:rPr>
        <w:t xml:space="preserve"> </w:t>
      </w:r>
      <w:r w:rsidR="002C5CBE">
        <w:rPr>
          <w:b/>
          <w:spacing w:val="-2"/>
        </w:rPr>
        <w:t>25</w:t>
      </w:r>
      <w:r w:rsidRPr="00142D97">
        <w:rPr>
          <w:b/>
          <w:spacing w:val="-2"/>
        </w:rPr>
        <w:t>, 20</w:t>
      </w:r>
      <w:r w:rsidR="006D6CC3">
        <w:rPr>
          <w:b/>
          <w:spacing w:val="-2"/>
        </w:rPr>
        <w:t>2</w:t>
      </w:r>
      <w:r w:rsidR="00E40707">
        <w:rPr>
          <w:b/>
          <w:spacing w:val="-2"/>
        </w:rPr>
        <w:t>3</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0A1F9AA8">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671EBF5B">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xml:space="preserve">, upon a finding of material misrepresentation during </w:t>
      </w:r>
      <w:r w:rsidRPr="00B82B45" w:rsidR="00B82B45">
        <w:rPr>
          <w:szCs w:val="22"/>
        </w:rPr>
        <w:t>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5F3ED0" w:rsidRPr="00126D53" w:rsidP="00440166" w14:paraId="5292A789" w14:textId="1701C6A2">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11"/>
      </w:r>
      <w:r w:rsidRPr="00142D97">
        <w:t xml:space="preserve">  </w:t>
      </w:r>
      <w:r>
        <w:rPr>
          <w:szCs w:val="22"/>
        </w:rPr>
        <w:t xml:space="preserve">In the complaint, </w:t>
      </w:r>
      <w:r w:rsidRPr="00126D53">
        <w:rPr>
          <w:szCs w:val="22"/>
        </w:rPr>
        <w:t xml:space="preserve">Complainant also alleges that </w:t>
      </w:r>
      <w:r w:rsidRPr="00126D53" w:rsidR="00104663">
        <w:rPr>
          <w:szCs w:val="22"/>
        </w:rPr>
        <w:t>Clear Rate</w:t>
      </w:r>
      <w:r w:rsidRPr="00126D53">
        <w:rPr>
          <w:szCs w:val="22"/>
        </w:rPr>
        <w:t>’s telemarketer “</w:t>
      </w:r>
      <w:r w:rsidR="00E40707">
        <w:rPr>
          <w:szCs w:val="22"/>
        </w:rPr>
        <w:t>convinced h</w:t>
      </w:r>
      <w:r w:rsidR="001D51E5">
        <w:rPr>
          <w:szCs w:val="22"/>
        </w:rPr>
        <w:t>er</w:t>
      </w:r>
      <w:r w:rsidR="00E40707">
        <w:rPr>
          <w:szCs w:val="22"/>
        </w:rPr>
        <w:t xml:space="preserve"> </w:t>
      </w:r>
      <w:r w:rsidR="007D5686">
        <w:rPr>
          <w:szCs w:val="22"/>
        </w:rPr>
        <w:t>[aunt]</w:t>
      </w:r>
      <w:r w:rsidR="00E40707">
        <w:rPr>
          <w:szCs w:val="22"/>
        </w:rPr>
        <w:t xml:space="preserve"> without her understanding</w:t>
      </w:r>
      <w:r w:rsidR="007D5686">
        <w:rPr>
          <w:szCs w:val="22"/>
        </w:rPr>
        <w:t xml:space="preserve"> to change her Verizon service that she has had for more than 30 years to their service</w:t>
      </w:r>
      <w:r w:rsidR="00990DB6">
        <w:rPr>
          <w:szCs w:val="22"/>
        </w:rPr>
        <w:t>.</w:t>
      </w:r>
      <w:r w:rsidR="007D5686">
        <w:rPr>
          <w:szCs w:val="22"/>
        </w:rPr>
        <w:t>”</w:t>
      </w:r>
      <w:r>
        <w:rPr>
          <w:rStyle w:val="FootnoteReference"/>
          <w:szCs w:val="22"/>
        </w:rPr>
        <w:footnoteReference w:id="12"/>
      </w:r>
      <w:r w:rsidRPr="00126D53">
        <w:rPr>
          <w:szCs w:val="22"/>
        </w:rPr>
        <w:t xml:space="preserve">  </w:t>
      </w:r>
    </w:p>
    <w:p w:rsidR="000C39CD" w:rsidRPr="000C39CD" w:rsidP="00A23350" w14:paraId="10163473" w14:textId="3E118691">
      <w:pPr>
        <w:numPr>
          <w:ilvl w:val="0"/>
          <w:numId w:val="7"/>
        </w:numPr>
        <w:tabs>
          <w:tab w:val="clear" w:pos="1440"/>
        </w:tabs>
        <w:spacing w:after="120"/>
        <w:ind w:left="0" w:firstLine="720"/>
      </w:pPr>
      <w:r w:rsidRPr="00126D53">
        <w:t xml:space="preserve">Pursuant to our rules, we notified </w:t>
      </w:r>
      <w:r w:rsidRPr="00126D53" w:rsidR="00104663">
        <w:t>Clear Rate</w:t>
      </w:r>
      <w:r w:rsidRPr="00126D53">
        <w:t xml:space="preserve"> of the complaint.</w:t>
      </w:r>
      <w:r>
        <w:rPr>
          <w:rStyle w:val="FootnoteReference"/>
        </w:rPr>
        <w:footnoteReference w:id="13"/>
      </w:r>
      <w:r w:rsidRPr="00126D53">
        <w:t xml:space="preserve">  </w:t>
      </w:r>
      <w:r w:rsidR="00AC2250">
        <w:t>Clear Rate responded, stating that the Complainant agreed to and authorized the carrier switch.</w:t>
      </w:r>
      <w:r>
        <w:rPr>
          <w:rStyle w:val="FootnoteReference"/>
        </w:rPr>
        <w:footnoteReference w:id="14"/>
      </w:r>
      <w:r w:rsidR="00AC2250">
        <w:t xml:space="preserve">  It also provided two audio recordings—a third party verification recording (TPV) and a recording Clear Rate characterized as a “quality assurance call.”</w:t>
      </w:r>
      <w:r>
        <w:rPr>
          <w:rStyle w:val="FootnoteReference"/>
        </w:rPr>
        <w:footnoteReference w:id="15"/>
      </w:r>
      <w:r w:rsidR="00AC2250">
        <w:t xml:space="preserve">  Clear Rate did not provide a recording of the sales call or any other evidence related to the sales call.</w:t>
      </w:r>
    </w:p>
    <w:p w:rsidR="00E87EC4" w:rsidP="00A23350" w14:paraId="7E5B2A35" w14:textId="17D4293D">
      <w:pPr>
        <w:numPr>
          <w:ilvl w:val="0"/>
          <w:numId w:val="7"/>
        </w:numPr>
        <w:tabs>
          <w:tab w:val="clear" w:pos="1440"/>
        </w:tabs>
        <w:spacing w:after="120"/>
        <w:ind w:left="0" w:firstLine="720"/>
      </w:pPr>
      <w:r w:rsidRPr="00126D53">
        <w:rPr>
          <w:szCs w:val="24"/>
        </w:rPr>
        <w:t>The Division thoroughly</w:t>
      </w:r>
      <w:r w:rsidRPr="00CB7D2F">
        <w:rPr>
          <w:szCs w:val="24"/>
        </w:rPr>
        <w:t xml:space="preserve"> reviewed all the evidence provided by both the Complainant and </w:t>
      </w:r>
      <w:r w:rsidR="00104663">
        <w:rPr>
          <w:szCs w:val="24"/>
        </w:rPr>
        <w:t>Clear Rate</w:t>
      </w:r>
      <w:r w:rsidRPr="00CB7D2F">
        <w:rPr>
          <w:szCs w:val="24"/>
        </w:rPr>
        <w:t xml:space="preserve">. </w:t>
      </w:r>
      <w:r w:rsidRPr="00CB7D2F">
        <w:rPr>
          <w:szCs w:val="22"/>
        </w:rPr>
        <w:t xml:space="preserve"> 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6"/>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w:t>
      </w:r>
      <w:r w:rsidRPr="00CB7D2F">
        <w:rPr>
          <w:szCs w:val="22"/>
        </w:rPr>
        <w:t xml:space="preserve">provider, as defined by the rules, and we discuss </w:t>
      </w:r>
      <w:r w:rsidR="00104663">
        <w:rPr>
          <w:szCs w:val="22"/>
        </w:rPr>
        <w:t>Clear Rate</w:t>
      </w:r>
      <w:r w:rsidRPr="00CB7D2F">
        <w:rPr>
          <w:szCs w:val="22"/>
        </w:rPr>
        <w:t>’s liability below.</w:t>
      </w:r>
      <w:r>
        <w:rPr>
          <w:rStyle w:val="FootnoteReference"/>
          <w:szCs w:val="22"/>
        </w:rPr>
        <w:footnoteReference w:id="17"/>
      </w:r>
      <w:r w:rsidRPr="00A23350" w:rsidR="00FD5F16">
        <w:rPr>
          <w:szCs w:val="24"/>
        </w:rPr>
        <w:t xml:space="preserve">      </w:t>
      </w:r>
    </w:p>
    <w:p w:rsidR="00E87EC4" w:rsidP="004A1870" w14:paraId="0A6F2D17" w14:textId="1269D977">
      <w:pPr>
        <w:widowControl/>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8"/>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19"/>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0"/>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3F77E708">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2683F9C3">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EB0A91">
        <w:t>5</w:t>
      </w:r>
      <w:r w:rsidR="00E40707">
        <w:t>925469</w:t>
      </w:r>
      <w:r>
        <w:t xml:space="preserve"> (filed </w:t>
      </w:r>
      <w:r w:rsidR="00E40707">
        <w:t>Dec</w:t>
      </w:r>
      <w:r w:rsidR="008036CD">
        <w:t>.</w:t>
      </w:r>
      <w:r w:rsidR="003D262D">
        <w:t xml:space="preserve"> </w:t>
      </w:r>
      <w:r w:rsidR="00E40707">
        <w:t>20</w:t>
      </w:r>
      <w:r>
        <w:t>, 202</w:t>
      </w:r>
      <w:r w:rsidR="00126D53">
        <w:t>2</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w:t>
      </w:r>
      <w:r>
        <w:rPr>
          <w:i/>
        </w:rPr>
        <w:t>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3CD1484A">
      <w:pPr>
        <w:pStyle w:val="FootnoteText"/>
      </w:pPr>
      <w:r>
        <w:rPr>
          <w:rStyle w:val="FootnoteReference"/>
        </w:rPr>
        <w:footnoteRef/>
      </w:r>
      <w:r>
        <w:t xml:space="preserve"> </w:t>
      </w:r>
      <w:r w:rsidRPr="000C7E88">
        <w:rPr>
          <w:i/>
          <w:iCs/>
        </w:rPr>
        <w:t>See</w:t>
      </w:r>
      <w:r>
        <w:t xml:space="preserve"> Informal Complaint No. </w:t>
      </w:r>
      <w:r w:rsidR="00EB0A91">
        <w:t>5</w:t>
      </w:r>
      <w:r w:rsidR="001D51E5">
        <w:t>925469</w:t>
      </w:r>
      <w:r>
        <w:t>.</w:t>
      </w:r>
    </w:p>
  </w:footnote>
  <w:footnote w:id="12">
    <w:p w:rsidR="002C43CB" w:rsidRPr="007D5686" w14:paraId="56F82300" w14:textId="1AD331AF">
      <w:pPr>
        <w:pStyle w:val="FootnoteText"/>
      </w:pPr>
      <w:r>
        <w:rPr>
          <w:rStyle w:val="FootnoteReference"/>
        </w:rPr>
        <w:footnoteRef/>
      </w:r>
      <w:r>
        <w:t xml:space="preserve"> </w:t>
      </w:r>
      <w:r w:rsidRPr="002C43CB">
        <w:rPr>
          <w:i/>
          <w:iCs/>
        </w:rPr>
        <w:t>Id.</w:t>
      </w:r>
      <w:r w:rsidR="007D5686">
        <w:rPr>
          <w:i/>
          <w:iCs/>
        </w:rPr>
        <w:t xml:space="preserve"> </w:t>
      </w:r>
      <w:r w:rsidR="007D5686">
        <w:t xml:space="preserve"> Complainant also stated that Clear Rate “had her aunt’s phone service turned off, so she went weeks with</w:t>
      </w:r>
      <w:r w:rsidR="00C849DD">
        <w:t xml:space="preserve"> no </w:t>
      </w:r>
      <w:r w:rsidR="007D5686">
        <w:t xml:space="preserve">landline, and she has a Pace Maker attached to </w:t>
      </w:r>
      <w:r w:rsidR="00C849DD">
        <w:t>[</w:t>
      </w:r>
      <w:r w:rsidR="007D5686">
        <w:t>the</w:t>
      </w:r>
      <w:r w:rsidR="00C849DD">
        <w:t>]</w:t>
      </w:r>
      <w:r w:rsidR="007D5686">
        <w:t xml:space="preserve"> phone service.  It took many hours and lots of trouble to get Verizon to get her service back.”  </w:t>
      </w:r>
      <w:r w:rsidRPr="007D5686" w:rsidR="007D5686">
        <w:rPr>
          <w:i/>
          <w:iCs/>
        </w:rPr>
        <w:t>Id.</w:t>
      </w:r>
      <w:r w:rsidR="007D5686">
        <w:t xml:space="preserve"> </w:t>
      </w:r>
    </w:p>
  </w:footnote>
  <w:footnote w:id="13">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4">
    <w:p w:rsidR="00AC2250" w:rsidP="00AC2250" w14:paraId="14984A76" w14:textId="7B93E4A3">
      <w:pPr>
        <w:pStyle w:val="FootnoteText"/>
      </w:pPr>
      <w:r>
        <w:rPr>
          <w:rStyle w:val="FootnoteReference"/>
        </w:rPr>
        <w:footnoteRef/>
      </w:r>
      <w:r>
        <w:rPr>
          <w:i/>
        </w:rPr>
        <w:t xml:space="preserve"> </w:t>
      </w:r>
      <w:r>
        <w:rPr>
          <w:i/>
        </w:rPr>
        <w:t xml:space="preserve">See </w:t>
      </w:r>
      <w:r>
        <w:t>Clear Rate Response to Informal Complaint No. 59</w:t>
      </w:r>
      <w:r w:rsidR="009040A3">
        <w:t>25469</w:t>
      </w:r>
      <w:r>
        <w:t xml:space="preserve"> (filed Jan. 1</w:t>
      </w:r>
      <w:r w:rsidR="009040A3">
        <w:t>8</w:t>
      </w:r>
      <w:r>
        <w:t>, 2023) (</w:t>
      </w:r>
      <w:r w:rsidRPr="00DB5DA2">
        <w:rPr>
          <w:i/>
          <w:iCs/>
        </w:rPr>
        <w:t>Clear Rate Response</w:t>
      </w:r>
      <w:r>
        <w:t xml:space="preserve">); </w:t>
      </w:r>
      <w:r w:rsidRPr="00504345">
        <w:rPr>
          <w:i/>
        </w:rPr>
        <w:t>see also</w:t>
      </w:r>
      <w:r>
        <w:t xml:space="preserve"> 47 CFR § 64.1160.    </w:t>
      </w:r>
    </w:p>
  </w:footnote>
  <w:footnote w:id="15">
    <w:p w:rsidR="007A1BC6" w14:paraId="41644AAF" w14:textId="75337766">
      <w:pPr>
        <w:pStyle w:val="FootnoteText"/>
      </w:pPr>
      <w:r>
        <w:rPr>
          <w:rStyle w:val="FootnoteReference"/>
        </w:rPr>
        <w:footnoteRef/>
      </w:r>
      <w:r>
        <w:t xml:space="preserve"> </w:t>
      </w:r>
      <w:r>
        <w:t xml:space="preserve">We note that on the TPV recording provided by Clear Rate, the third-party verifier repeats the same question several times, even after the </w:t>
      </w:r>
      <w:r w:rsidR="00FC7284">
        <w:t>C</w:t>
      </w:r>
      <w:r>
        <w:t xml:space="preserve">omplainant responds “no,” until the verifier receives a “yes” response.    </w:t>
      </w:r>
    </w:p>
  </w:footnote>
  <w:footnote w:id="16">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7">
    <w:p w:rsidR="006D7D9E" w:rsidP="006D7D9E" w14:paraId="76F398F1" w14:textId="77777777">
      <w:pPr>
        <w:pStyle w:val="FootnoteText"/>
      </w:pPr>
      <w:r>
        <w:rPr>
          <w:rStyle w:val="FootnoteReference"/>
        </w:rPr>
        <w:footnoteRef/>
      </w:r>
      <w:r>
        <w:t xml:space="preserve"> </w:t>
      </w:r>
      <w:r>
        <w:t xml:space="preserve">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8">
    <w:p w:rsidR="00E87EC4" w:rsidP="00E87EC4" w14:paraId="4F3D9E70" w14:textId="530A0348">
      <w:pPr>
        <w:pStyle w:val="FootnoteText"/>
      </w:pPr>
      <w:r>
        <w:rPr>
          <w:rStyle w:val="FootnoteReference"/>
        </w:rPr>
        <w:footnoteRef/>
      </w:r>
      <w:r>
        <w:t xml:space="preserve"> </w:t>
      </w:r>
      <w:r w:rsidRPr="003D1861">
        <w:rPr>
          <w:i/>
        </w:rPr>
        <w:t>See</w:t>
      </w:r>
      <w:r>
        <w:rPr>
          <w:i/>
        </w:rPr>
        <w:t xml:space="preserve"> id.</w:t>
      </w:r>
      <w:r>
        <w:t xml:space="preserve"> § 64.1160(b).</w:t>
      </w:r>
      <w:r w:rsidR="00AC2250">
        <w:t xml:space="preserve">  Clear Rate stated that </w:t>
      </w:r>
      <w:r w:rsidR="001B7B64">
        <w:t xml:space="preserve">it received </w:t>
      </w:r>
      <w:r w:rsidR="00AC2250">
        <w:t>$103.72</w:t>
      </w:r>
      <w:r w:rsidR="001B7B64">
        <w:t xml:space="preserve"> from Complainant.  </w:t>
      </w:r>
      <w:r w:rsidRPr="001B7B64" w:rsidR="001B7B64">
        <w:rPr>
          <w:i/>
          <w:iCs/>
        </w:rPr>
        <w:t>See Clear Rate Response</w:t>
      </w:r>
      <w:r w:rsidR="001B7B64">
        <w:t xml:space="preserve"> at 2.</w:t>
      </w:r>
    </w:p>
  </w:footnote>
  <w:footnote w:id="19">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0">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34DD9224">
    <w:pPr>
      <w:pStyle w:val="Header"/>
      <w:rPr>
        <w:b w:val="0"/>
      </w:rPr>
    </w:pPr>
    <w:r>
      <w:tab/>
    </w:r>
    <w:r>
      <w:t>Federal Communications Commission</w:t>
    </w:r>
    <w:r>
      <w:tab/>
    </w:r>
    <w:r w:rsidR="00AE241C">
      <w:t xml:space="preserve">DA </w:t>
    </w:r>
    <w:r w:rsidR="003D262D">
      <w:t>2</w:t>
    </w:r>
    <w:r w:rsidR="00E40707">
      <w:t>3</w:t>
    </w:r>
    <w:r w:rsidR="003D262D">
      <w:t>-</w:t>
    </w:r>
    <w:r w:rsidR="002C5CBE">
      <w:t>71</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24CF814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41C">
      <w:rPr>
        <w:spacing w:val="-2"/>
      </w:rPr>
      <w:t xml:space="preserve">DA </w:t>
    </w:r>
    <w:r w:rsidR="006D6CC3">
      <w:rPr>
        <w:spacing w:val="-2"/>
      </w:rPr>
      <w:t>2</w:t>
    </w:r>
    <w:r w:rsidR="00E40707">
      <w:rPr>
        <w:spacing w:val="-2"/>
      </w:rPr>
      <w:t>3</w:t>
    </w:r>
    <w:r w:rsidR="003D262D">
      <w:rPr>
        <w:spacing w:val="-2"/>
      </w:rPr>
      <w:t>-</w:t>
    </w:r>
    <w:r w:rsidR="002C5CBE">
      <w:rPr>
        <w:spacing w:val="-2"/>
      </w:rPr>
      <w:t>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37AB"/>
    <w:rsid w:val="000267DE"/>
    <w:rsid w:val="00036039"/>
    <w:rsid w:val="00037F90"/>
    <w:rsid w:val="000409FA"/>
    <w:rsid w:val="00056F0B"/>
    <w:rsid w:val="000875BF"/>
    <w:rsid w:val="00096D8C"/>
    <w:rsid w:val="000A1D19"/>
    <w:rsid w:val="000C0B65"/>
    <w:rsid w:val="000C39CD"/>
    <w:rsid w:val="000C7E88"/>
    <w:rsid w:val="000E05FE"/>
    <w:rsid w:val="000E3D42"/>
    <w:rsid w:val="00104663"/>
    <w:rsid w:val="001211C2"/>
    <w:rsid w:val="00122BD5"/>
    <w:rsid w:val="00126D53"/>
    <w:rsid w:val="00133F79"/>
    <w:rsid w:val="00142D97"/>
    <w:rsid w:val="00194A66"/>
    <w:rsid w:val="001B7B64"/>
    <w:rsid w:val="001C1F54"/>
    <w:rsid w:val="001D51E5"/>
    <w:rsid w:val="001D6BCF"/>
    <w:rsid w:val="001E01CA"/>
    <w:rsid w:val="001E09ED"/>
    <w:rsid w:val="001F3959"/>
    <w:rsid w:val="00210356"/>
    <w:rsid w:val="00275CF5"/>
    <w:rsid w:val="0028301F"/>
    <w:rsid w:val="0028304E"/>
    <w:rsid w:val="00285017"/>
    <w:rsid w:val="002A2D2E"/>
    <w:rsid w:val="002C00E8"/>
    <w:rsid w:val="002C43CB"/>
    <w:rsid w:val="002C5CBE"/>
    <w:rsid w:val="002F09DF"/>
    <w:rsid w:val="002F77BE"/>
    <w:rsid w:val="00305DCB"/>
    <w:rsid w:val="00343749"/>
    <w:rsid w:val="003605AE"/>
    <w:rsid w:val="003660ED"/>
    <w:rsid w:val="0037166F"/>
    <w:rsid w:val="00384F89"/>
    <w:rsid w:val="003B0550"/>
    <w:rsid w:val="003B341C"/>
    <w:rsid w:val="003B694F"/>
    <w:rsid w:val="003D1861"/>
    <w:rsid w:val="003D262D"/>
    <w:rsid w:val="003F171C"/>
    <w:rsid w:val="00412FC5"/>
    <w:rsid w:val="00422276"/>
    <w:rsid w:val="004242F1"/>
    <w:rsid w:val="00424582"/>
    <w:rsid w:val="00440166"/>
    <w:rsid w:val="00442324"/>
    <w:rsid w:val="0044528B"/>
    <w:rsid w:val="00445A00"/>
    <w:rsid w:val="00451B0F"/>
    <w:rsid w:val="00484334"/>
    <w:rsid w:val="004A1870"/>
    <w:rsid w:val="004A7371"/>
    <w:rsid w:val="004B41C6"/>
    <w:rsid w:val="004C2EE3"/>
    <w:rsid w:val="004E4A22"/>
    <w:rsid w:val="00504345"/>
    <w:rsid w:val="00511968"/>
    <w:rsid w:val="0055614C"/>
    <w:rsid w:val="00566D06"/>
    <w:rsid w:val="005734DB"/>
    <w:rsid w:val="0059509C"/>
    <w:rsid w:val="005E14C2"/>
    <w:rsid w:val="005F3ED0"/>
    <w:rsid w:val="005F7CD1"/>
    <w:rsid w:val="00607BA5"/>
    <w:rsid w:val="0061180A"/>
    <w:rsid w:val="00626EB6"/>
    <w:rsid w:val="00653ADB"/>
    <w:rsid w:val="00655D03"/>
    <w:rsid w:val="00683388"/>
    <w:rsid w:val="00683F84"/>
    <w:rsid w:val="006A6A81"/>
    <w:rsid w:val="006D6CC3"/>
    <w:rsid w:val="006D7D9E"/>
    <w:rsid w:val="006F2F56"/>
    <w:rsid w:val="006F7393"/>
    <w:rsid w:val="0070224F"/>
    <w:rsid w:val="007115F7"/>
    <w:rsid w:val="007257B8"/>
    <w:rsid w:val="00763B1E"/>
    <w:rsid w:val="00766B85"/>
    <w:rsid w:val="00785689"/>
    <w:rsid w:val="0079754B"/>
    <w:rsid w:val="007A1BC6"/>
    <w:rsid w:val="007A1E6D"/>
    <w:rsid w:val="007B0EB2"/>
    <w:rsid w:val="007D5686"/>
    <w:rsid w:val="008036CD"/>
    <w:rsid w:val="00810B6F"/>
    <w:rsid w:val="00822CE0"/>
    <w:rsid w:val="00841AB1"/>
    <w:rsid w:val="00855334"/>
    <w:rsid w:val="00856985"/>
    <w:rsid w:val="008A178E"/>
    <w:rsid w:val="008A32BF"/>
    <w:rsid w:val="008A4A8D"/>
    <w:rsid w:val="008B5281"/>
    <w:rsid w:val="008C68F1"/>
    <w:rsid w:val="009040A3"/>
    <w:rsid w:val="00910DFB"/>
    <w:rsid w:val="00921803"/>
    <w:rsid w:val="00923668"/>
    <w:rsid w:val="00926503"/>
    <w:rsid w:val="00955FC0"/>
    <w:rsid w:val="009726D8"/>
    <w:rsid w:val="00990DB6"/>
    <w:rsid w:val="00996AA4"/>
    <w:rsid w:val="009D7308"/>
    <w:rsid w:val="009F0064"/>
    <w:rsid w:val="009F6F0E"/>
    <w:rsid w:val="009F76DB"/>
    <w:rsid w:val="00A15D6E"/>
    <w:rsid w:val="00A23350"/>
    <w:rsid w:val="00A32C3B"/>
    <w:rsid w:val="00A45F4F"/>
    <w:rsid w:val="00A600A9"/>
    <w:rsid w:val="00A8283A"/>
    <w:rsid w:val="00A92978"/>
    <w:rsid w:val="00AA55B7"/>
    <w:rsid w:val="00AA5B9E"/>
    <w:rsid w:val="00AB2407"/>
    <w:rsid w:val="00AB53DF"/>
    <w:rsid w:val="00AC2250"/>
    <w:rsid w:val="00AE241C"/>
    <w:rsid w:val="00B06C6D"/>
    <w:rsid w:val="00B07E5C"/>
    <w:rsid w:val="00B205BD"/>
    <w:rsid w:val="00B30D69"/>
    <w:rsid w:val="00B469CE"/>
    <w:rsid w:val="00B64743"/>
    <w:rsid w:val="00B811F7"/>
    <w:rsid w:val="00B82B45"/>
    <w:rsid w:val="00B841CA"/>
    <w:rsid w:val="00B91DEB"/>
    <w:rsid w:val="00BA5DC6"/>
    <w:rsid w:val="00BA6196"/>
    <w:rsid w:val="00BC6D8C"/>
    <w:rsid w:val="00C34006"/>
    <w:rsid w:val="00C36B4C"/>
    <w:rsid w:val="00C426B1"/>
    <w:rsid w:val="00C525ED"/>
    <w:rsid w:val="00C66160"/>
    <w:rsid w:val="00C721AC"/>
    <w:rsid w:val="00C849DD"/>
    <w:rsid w:val="00C90D6A"/>
    <w:rsid w:val="00CA247E"/>
    <w:rsid w:val="00CA6D21"/>
    <w:rsid w:val="00CB7D2F"/>
    <w:rsid w:val="00CC72B6"/>
    <w:rsid w:val="00CE1F45"/>
    <w:rsid w:val="00CE5BF4"/>
    <w:rsid w:val="00CF10D8"/>
    <w:rsid w:val="00D0218D"/>
    <w:rsid w:val="00D22481"/>
    <w:rsid w:val="00D25FB5"/>
    <w:rsid w:val="00D26C2C"/>
    <w:rsid w:val="00D44223"/>
    <w:rsid w:val="00D60674"/>
    <w:rsid w:val="00D64893"/>
    <w:rsid w:val="00DA2529"/>
    <w:rsid w:val="00DB130A"/>
    <w:rsid w:val="00DB2EBB"/>
    <w:rsid w:val="00DB5DA2"/>
    <w:rsid w:val="00DC10A1"/>
    <w:rsid w:val="00DC655F"/>
    <w:rsid w:val="00DD0B59"/>
    <w:rsid w:val="00DD7EBD"/>
    <w:rsid w:val="00DF62B6"/>
    <w:rsid w:val="00E07225"/>
    <w:rsid w:val="00E32F24"/>
    <w:rsid w:val="00E40707"/>
    <w:rsid w:val="00E5409F"/>
    <w:rsid w:val="00E87EC4"/>
    <w:rsid w:val="00EB0A91"/>
    <w:rsid w:val="00ED0DB7"/>
    <w:rsid w:val="00EE6488"/>
    <w:rsid w:val="00EF2C5A"/>
    <w:rsid w:val="00F021FA"/>
    <w:rsid w:val="00F2035B"/>
    <w:rsid w:val="00F62E97"/>
    <w:rsid w:val="00F64209"/>
    <w:rsid w:val="00F86B2C"/>
    <w:rsid w:val="00F93BF5"/>
    <w:rsid w:val="00FA1C98"/>
    <w:rsid w:val="00FA75A5"/>
    <w:rsid w:val="00FC7284"/>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