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867A89" w:rsidRPr="00BF0DCA" w:rsidP="00867A89" w14:paraId="649FBCD0" w14:textId="77777777">
      <w:pPr>
        <w:jc w:val="center"/>
        <w:rPr>
          <w:b/>
          <w:color w:val="000000"/>
        </w:rPr>
      </w:pPr>
      <w:r w:rsidRPr="00BF0DCA">
        <w:rPr>
          <w:b/>
          <w:color w:val="000000"/>
        </w:rPr>
        <w:t>Before the</w:t>
      </w:r>
    </w:p>
    <w:p w:rsidR="00867A89" w:rsidRPr="00BF0DCA" w:rsidP="00867A89" w14:paraId="5F1B6A93" w14:textId="77777777">
      <w:pPr>
        <w:jc w:val="center"/>
        <w:rPr>
          <w:b/>
          <w:bCs/>
          <w:caps/>
          <w:color w:val="000000"/>
          <w:szCs w:val="22"/>
        </w:rPr>
      </w:pPr>
      <w:r w:rsidRPr="00BF0DCA">
        <w:rPr>
          <w:b/>
          <w:bCs/>
          <w:caps/>
          <w:color w:val="000000"/>
          <w:szCs w:val="22"/>
        </w:rPr>
        <w:t>F</w:t>
      </w:r>
      <w:r w:rsidRPr="00BF0DCA">
        <w:rPr>
          <w:b/>
          <w:bCs/>
          <w:color w:val="000000"/>
          <w:szCs w:val="22"/>
        </w:rPr>
        <w:t>ederal Communications Commission</w:t>
      </w:r>
    </w:p>
    <w:p w:rsidR="00867A89" w:rsidRPr="00BF0DCA" w:rsidP="00867A89" w14:paraId="39D482A3" w14:textId="77777777">
      <w:pPr>
        <w:jc w:val="center"/>
        <w:rPr>
          <w:b/>
          <w:color w:val="000000"/>
        </w:rPr>
      </w:pPr>
      <w:r w:rsidRPr="00BF0DCA">
        <w:rPr>
          <w:b/>
          <w:color w:val="000000"/>
        </w:rPr>
        <w:t xml:space="preserve">Washington, DC 20554 </w:t>
      </w:r>
    </w:p>
    <w:tbl>
      <w:tblPr>
        <w:tblW w:w="8850" w:type="dxa"/>
        <w:tblLayout w:type="fixed"/>
        <w:tblLook w:val="0000"/>
      </w:tblPr>
      <w:tblGrid>
        <w:gridCol w:w="4343"/>
        <w:gridCol w:w="581"/>
        <w:gridCol w:w="3926"/>
      </w:tblGrid>
      <w:tr w14:paraId="7AA7C5EC" w14:textId="77777777">
        <w:tblPrEx>
          <w:tblW w:w="8850" w:type="dxa"/>
          <w:tblLayout w:type="fixed"/>
          <w:tblLook w:val="0000"/>
        </w:tblPrEx>
        <w:trPr>
          <w:trHeight w:val="117"/>
        </w:trPr>
        <w:tc>
          <w:tcPr>
            <w:tcW w:w="4343" w:type="dxa"/>
          </w:tcPr>
          <w:p w:rsidR="00867A89" w:rsidRPr="00EC48BE" w14:paraId="28A47D02" w14:textId="77777777">
            <w:pPr>
              <w:tabs>
                <w:tab w:val="left" w:pos="2160"/>
                <w:tab w:val="center" w:pos="4680"/>
                <w:tab w:val="right" w:leader="dot" w:pos="9360"/>
              </w:tabs>
              <w:suppressAutoHyphens/>
              <w:ind w:left="2160" w:hanging="360"/>
              <w:rPr>
                <w:spacing w:val="-2"/>
              </w:rPr>
            </w:pPr>
          </w:p>
        </w:tc>
        <w:tc>
          <w:tcPr>
            <w:tcW w:w="581" w:type="dxa"/>
          </w:tcPr>
          <w:p w:rsidR="00867A89" w:rsidRPr="00EC48BE" w14:paraId="495C8EBE" w14:textId="77777777">
            <w:pPr>
              <w:tabs>
                <w:tab w:val="left" w:pos="2160"/>
                <w:tab w:val="center" w:pos="4680"/>
                <w:tab w:val="right" w:leader="dot" w:pos="9360"/>
              </w:tabs>
              <w:suppressAutoHyphens/>
              <w:ind w:left="2160" w:hanging="360"/>
              <w:rPr>
                <w:spacing w:val="-2"/>
              </w:rPr>
            </w:pPr>
          </w:p>
        </w:tc>
        <w:tc>
          <w:tcPr>
            <w:tcW w:w="3926" w:type="dxa"/>
          </w:tcPr>
          <w:p w:rsidR="00867A89" w:rsidRPr="00EC48BE" w14:paraId="7EDCE0C4" w14:textId="77777777">
            <w:pPr>
              <w:tabs>
                <w:tab w:val="left" w:pos="2160"/>
                <w:tab w:val="center" w:pos="4680"/>
                <w:tab w:val="right" w:leader="dot" w:pos="9360"/>
              </w:tabs>
              <w:suppressAutoHyphens/>
              <w:ind w:left="2160" w:hanging="360"/>
              <w:rPr>
                <w:spacing w:val="-2"/>
              </w:rPr>
            </w:pPr>
          </w:p>
        </w:tc>
      </w:tr>
      <w:tr w14:paraId="7BDDDC3E" w14:textId="77777777">
        <w:tblPrEx>
          <w:tblW w:w="8850" w:type="dxa"/>
          <w:tblLayout w:type="fixed"/>
          <w:tblLook w:val="0000"/>
        </w:tblPrEx>
        <w:trPr>
          <w:trHeight w:val="1716"/>
        </w:trPr>
        <w:tc>
          <w:tcPr>
            <w:tcW w:w="4343" w:type="dxa"/>
          </w:tcPr>
          <w:p w:rsidR="00867A89" w:rsidRPr="00EC48BE" w14:paraId="1160DF5B" w14:textId="77777777">
            <w:pPr>
              <w:tabs>
                <w:tab w:val="center" w:pos="4680"/>
              </w:tabs>
              <w:suppressAutoHyphens/>
            </w:pPr>
            <w:r w:rsidRPr="00BF0DCA">
              <w:t>In the Matter of</w:t>
            </w:r>
          </w:p>
          <w:p w:rsidR="00867A89" w14:paraId="4C6559D5" w14:textId="77777777">
            <w:pPr>
              <w:tabs>
                <w:tab w:val="left" w:pos="2160"/>
                <w:tab w:val="center" w:pos="4680"/>
                <w:tab w:val="right" w:leader="dot" w:pos="9360"/>
              </w:tabs>
              <w:suppressAutoHyphens/>
              <w:ind w:left="2160" w:hanging="360"/>
              <w:rPr>
                <w:bCs/>
              </w:rPr>
            </w:pPr>
          </w:p>
          <w:p w:rsidR="00867A89" w14:paraId="67342DEC" w14:textId="77777777">
            <w:pPr>
              <w:tabs>
                <w:tab w:val="left" w:pos="2160"/>
                <w:tab w:val="center" w:pos="4680"/>
                <w:tab w:val="right" w:leader="dot" w:pos="9360"/>
              </w:tabs>
              <w:suppressAutoHyphens/>
            </w:pPr>
            <w:bookmarkStart w:id="0" w:name="_Hlk143531115"/>
            <w:r w:rsidRPr="15E51704">
              <w:t>Re</w:t>
            </w:r>
            <w:r>
              <w:t>view</w:t>
            </w:r>
            <w:r w:rsidRPr="15E51704">
              <w:t xml:space="preserve"> of International Section 214 Authorizations to Assess Evolving National Security,</w:t>
            </w:r>
            <w:r>
              <w:t xml:space="preserve"> Law Enforcement, Foreign Policy, and Trade Policy </w:t>
            </w:r>
            <w:r w:rsidRPr="15E51704">
              <w:t>Risks</w:t>
            </w:r>
            <w:r>
              <w:t>;</w:t>
            </w:r>
            <w:bookmarkEnd w:id="0"/>
          </w:p>
          <w:p w:rsidR="00867A89" w14:paraId="57D2A600" w14:textId="77777777">
            <w:pPr>
              <w:tabs>
                <w:tab w:val="left" w:pos="2160"/>
                <w:tab w:val="center" w:pos="4680"/>
                <w:tab w:val="right" w:leader="dot" w:pos="9360"/>
              </w:tabs>
              <w:suppressAutoHyphens/>
            </w:pPr>
          </w:p>
          <w:p w:rsidR="00867A89" w14:paraId="47374416" w14:textId="77777777">
            <w:pPr>
              <w:tabs>
                <w:tab w:val="left" w:pos="2160"/>
                <w:tab w:val="center" w:pos="4680"/>
                <w:tab w:val="right" w:leader="dot" w:pos="9360"/>
              </w:tabs>
              <w:suppressAutoHyphens/>
              <w:rPr>
                <w:bCs/>
              </w:rPr>
            </w:pPr>
            <w:r>
              <w:t>Amendment of the Schedule of Application Fees Set Forth in Sections 1.1102 through 1.1109 of the Commission’s Rules</w:t>
            </w:r>
          </w:p>
          <w:p w:rsidR="00867A89" w:rsidRPr="00EC48BE" w14:paraId="2E3BE406" w14:textId="77777777">
            <w:pPr>
              <w:tabs>
                <w:tab w:val="left" w:pos="2160"/>
                <w:tab w:val="center" w:pos="4680"/>
                <w:tab w:val="right" w:leader="dot" w:pos="9360"/>
              </w:tabs>
              <w:suppressAutoHyphens/>
              <w:rPr>
                <w:spacing w:val="-2"/>
              </w:rPr>
            </w:pPr>
          </w:p>
        </w:tc>
        <w:tc>
          <w:tcPr>
            <w:tcW w:w="581" w:type="dxa"/>
          </w:tcPr>
          <w:p w:rsidR="00867A89" w:rsidRPr="00EC48BE" w14:paraId="4AA78076" w14:textId="77777777">
            <w:pPr>
              <w:tabs>
                <w:tab w:val="center" w:pos="4680"/>
              </w:tabs>
              <w:suppressAutoHyphens/>
              <w:rPr>
                <w:b/>
                <w:spacing w:val="-2"/>
              </w:rPr>
            </w:pPr>
            <w:r w:rsidRPr="00BF0DCA">
              <w:rPr>
                <w:b/>
                <w:spacing w:val="-2"/>
              </w:rPr>
              <w:t>)</w:t>
            </w:r>
          </w:p>
          <w:p w:rsidR="00867A89" w:rsidRPr="00EC48BE" w14:paraId="16F8173F" w14:textId="77777777">
            <w:pPr>
              <w:tabs>
                <w:tab w:val="center" w:pos="4680"/>
              </w:tabs>
              <w:suppressAutoHyphens/>
              <w:rPr>
                <w:b/>
                <w:spacing w:val="-2"/>
              </w:rPr>
            </w:pPr>
            <w:r w:rsidRPr="00BF0DCA">
              <w:rPr>
                <w:b/>
                <w:spacing w:val="-2"/>
              </w:rPr>
              <w:t>)</w:t>
            </w:r>
          </w:p>
          <w:p w:rsidR="00867A89" w:rsidRPr="00EC48BE" w14:paraId="46A08056" w14:textId="77777777">
            <w:pPr>
              <w:tabs>
                <w:tab w:val="center" w:pos="4680"/>
              </w:tabs>
              <w:suppressAutoHyphens/>
              <w:rPr>
                <w:b/>
                <w:spacing w:val="-2"/>
              </w:rPr>
            </w:pPr>
            <w:r w:rsidRPr="00BF0DCA">
              <w:rPr>
                <w:b/>
                <w:spacing w:val="-2"/>
              </w:rPr>
              <w:t>)</w:t>
            </w:r>
          </w:p>
          <w:p w:rsidR="00867A89" w:rsidRPr="00EC48BE" w14:paraId="166842C7" w14:textId="77777777">
            <w:pPr>
              <w:tabs>
                <w:tab w:val="center" w:pos="4680"/>
              </w:tabs>
              <w:suppressAutoHyphens/>
              <w:rPr>
                <w:b/>
                <w:spacing w:val="-2"/>
              </w:rPr>
            </w:pPr>
            <w:r w:rsidRPr="00BF0DCA">
              <w:rPr>
                <w:b/>
                <w:spacing w:val="-2"/>
              </w:rPr>
              <w:t>)</w:t>
            </w:r>
          </w:p>
          <w:p w:rsidR="00867A89" w:rsidRPr="00EC48BE" w14:paraId="38D69679" w14:textId="77777777">
            <w:pPr>
              <w:tabs>
                <w:tab w:val="center" w:pos="4680"/>
              </w:tabs>
              <w:suppressAutoHyphens/>
              <w:rPr>
                <w:b/>
                <w:spacing w:val="-2"/>
              </w:rPr>
            </w:pPr>
            <w:r w:rsidRPr="00BF0DCA">
              <w:rPr>
                <w:b/>
                <w:spacing w:val="-2"/>
              </w:rPr>
              <w:t>)</w:t>
            </w:r>
          </w:p>
          <w:p w:rsidR="00867A89" w:rsidRPr="00EC48BE" w14:paraId="1B57730E" w14:textId="77777777">
            <w:pPr>
              <w:tabs>
                <w:tab w:val="center" w:pos="4680"/>
              </w:tabs>
              <w:suppressAutoHyphens/>
              <w:rPr>
                <w:b/>
                <w:spacing w:val="-2"/>
              </w:rPr>
            </w:pPr>
            <w:r w:rsidRPr="00BF0DCA">
              <w:rPr>
                <w:b/>
                <w:spacing w:val="-2"/>
              </w:rPr>
              <w:t>)</w:t>
            </w:r>
          </w:p>
          <w:p w:rsidR="00867A89" w:rsidRPr="00EC48BE" w14:paraId="04E5A46D" w14:textId="77777777">
            <w:pPr>
              <w:tabs>
                <w:tab w:val="center" w:pos="4680"/>
              </w:tabs>
              <w:suppressAutoHyphens/>
              <w:rPr>
                <w:b/>
                <w:spacing w:val="-2"/>
              </w:rPr>
            </w:pPr>
            <w:r w:rsidRPr="00BF0DCA">
              <w:rPr>
                <w:b/>
                <w:spacing w:val="-2"/>
              </w:rPr>
              <w:t>)</w:t>
            </w:r>
          </w:p>
          <w:p w:rsidR="00867A89" w:rsidRPr="00EC48BE" w14:paraId="78E18FE2" w14:textId="77777777">
            <w:pPr>
              <w:tabs>
                <w:tab w:val="center" w:pos="4680"/>
              </w:tabs>
              <w:suppressAutoHyphens/>
              <w:rPr>
                <w:b/>
                <w:spacing w:val="-2"/>
              </w:rPr>
            </w:pPr>
            <w:r w:rsidRPr="00BF0DCA">
              <w:rPr>
                <w:b/>
                <w:spacing w:val="-2"/>
              </w:rPr>
              <w:t>)</w:t>
            </w:r>
          </w:p>
          <w:p w:rsidR="00867A89" w:rsidRPr="00EC48BE" w14:paraId="0059CA57" w14:textId="77777777">
            <w:pPr>
              <w:tabs>
                <w:tab w:val="center" w:pos="4680"/>
              </w:tabs>
              <w:suppressAutoHyphens/>
              <w:rPr>
                <w:b/>
                <w:spacing w:val="-2"/>
              </w:rPr>
            </w:pPr>
            <w:r w:rsidRPr="00BF0DCA">
              <w:rPr>
                <w:b/>
                <w:spacing w:val="-2"/>
              </w:rPr>
              <w:t>)</w:t>
            </w:r>
          </w:p>
          <w:p w:rsidR="00867A89" w:rsidRPr="00EC48BE" w14:paraId="0FB41B30" w14:textId="77777777">
            <w:pPr>
              <w:tabs>
                <w:tab w:val="center" w:pos="4680"/>
              </w:tabs>
              <w:suppressAutoHyphens/>
              <w:rPr>
                <w:b/>
                <w:spacing w:val="-2"/>
              </w:rPr>
            </w:pPr>
            <w:r w:rsidRPr="00BF0DCA">
              <w:rPr>
                <w:b/>
                <w:spacing w:val="-2"/>
              </w:rPr>
              <w:t>)</w:t>
            </w:r>
          </w:p>
          <w:p w:rsidR="00867A89" w:rsidRPr="00EC48BE" w14:paraId="0B83C108" w14:textId="77777777">
            <w:pPr>
              <w:tabs>
                <w:tab w:val="center" w:pos="4680"/>
              </w:tabs>
              <w:suppressAutoHyphens/>
              <w:rPr>
                <w:b/>
                <w:spacing w:val="-2"/>
              </w:rPr>
            </w:pPr>
          </w:p>
        </w:tc>
        <w:tc>
          <w:tcPr>
            <w:tcW w:w="3926" w:type="dxa"/>
          </w:tcPr>
          <w:p w:rsidR="00867A89" w14:paraId="5891016A" w14:textId="77777777">
            <w:pPr>
              <w:tabs>
                <w:tab w:val="left" w:pos="2160"/>
                <w:tab w:val="center" w:pos="4680"/>
                <w:tab w:val="right" w:leader="dot" w:pos="9360"/>
              </w:tabs>
              <w:suppressAutoHyphens/>
              <w:rPr>
                <w:color w:val="000000"/>
                <w:szCs w:val="22"/>
              </w:rPr>
            </w:pPr>
          </w:p>
          <w:p w:rsidR="00867A89" w14:paraId="4DF023AB" w14:textId="77777777">
            <w:pPr>
              <w:tabs>
                <w:tab w:val="left" w:pos="2160"/>
                <w:tab w:val="center" w:pos="4680"/>
                <w:tab w:val="right" w:leader="dot" w:pos="9360"/>
              </w:tabs>
              <w:suppressAutoHyphens/>
              <w:rPr>
                <w:color w:val="000000"/>
                <w:szCs w:val="22"/>
              </w:rPr>
            </w:pPr>
          </w:p>
          <w:p w:rsidR="00867A89" w:rsidRPr="00EC48BE" w14:paraId="10953336" w14:textId="77777777">
            <w:pPr>
              <w:tabs>
                <w:tab w:val="left" w:pos="2160"/>
                <w:tab w:val="center" w:pos="4680"/>
                <w:tab w:val="right" w:leader="dot" w:pos="9360"/>
              </w:tabs>
              <w:suppressAutoHyphens/>
            </w:pPr>
            <w:r w:rsidRPr="001920E6">
              <w:rPr>
                <w:color w:val="000000"/>
                <w:szCs w:val="22"/>
              </w:rPr>
              <w:t>IB Docket No. 23-119</w:t>
            </w:r>
          </w:p>
          <w:p w:rsidR="00867A89" w14:paraId="46DA5B29" w14:textId="77777777">
            <w:pPr>
              <w:tabs>
                <w:tab w:val="left" w:pos="2160"/>
                <w:tab w:val="center" w:pos="4680"/>
                <w:tab w:val="right" w:leader="dot" w:pos="9360"/>
              </w:tabs>
              <w:suppressAutoHyphens/>
              <w:rPr>
                <w:bCs/>
              </w:rPr>
            </w:pPr>
          </w:p>
          <w:p w:rsidR="00867A89" w14:paraId="41E804BE" w14:textId="77777777">
            <w:pPr>
              <w:tabs>
                <w:tab w:val="left" w:pos="2160"/>
                <w:tab w:val="center" w:pos="4680"/>
                <w:tab w:val="right" w:leader="dot" w:pos="9360"/>
              </w:tabs>
              <w:suppressAutoHyphens/>
              <w:rPr>
                <w:bCs/>
              </w:rPr>
            </w:pPr>
          </w:p>
          <w:p w:rsidR="00867A89" w14:paraId="7D0AC67C" w14:textId="77777777">
            <w:pPr>
              <w:tabs>
                <w:tab w:val="left" w:pos="2160"/>
                <w:tab w:val="center" w:pos="4680"/>
                <w:tab w:val="right" w:leader="dot" w:pos="9360"/>
              </w:tabs>
              <w:suppressAutoHyphens/>
              <w:rPr>
                <w:bCs/>
              </w:rPr>
            </w:pPr>
          </w:p>
          <w:p w:rsidR="00867A89" w14:paraId="216D7E9B" w14:textId="77777777">
            <w:pPr>
              <w:tabs>
                <w:tab w:val="left" w:pos="2160"/>
                <w:tab w:val="center" w:pos="4680"/>
                <w:tab w:val="right" w:leader="dot" w:pos="9360"/>
              </w:tabs>
              <w:suppressAutoHyphens/>
              <w:rPr>
                <w:bCs/>
              </w:rPr>
            </w:pPr>
          </w:p>
          <w:p w:rsidR="00867A89" w:rsidRPr="00EC48BE" w14:paraId="009EC805" w14:textId="77777777">
            <w:pPr>
              <w:tabs>
                <w:tab w:val="left" w:pos="2160"/>
                <w:tab w:val="center" w:pos="4680"/>
                <w:tab w:val="right" w:leader="dot" w:pos="9360"/>
              </w:tabs>
              <w:suppressAutoHyphens/>
            </w:pPr>
            <w:r w:rsidRPr="001920E6">
              <w:rPr>
                <w:bCs/>
              </w:rPr>
              <w:t>MD Docket No. 23-134</w:t>
            </w:r>
            <w:r w:rsidRPr="00BF0DCA">
              <w:t xml:space="preserve"> </w:t>
            </w:r>
          </w:p>
          <w:p w:rsidR="00867A89" w14:paraId="666C14C5" w14:textId="77777777"/>
          <w:p w:rsidR="00867A89" w14:paraId="5B65C92B" w14:textId="77777777">
            <w:pPr>
              <w:rPr>
                <w:color w:val="000000"/>
                <w:szCs w:val="22"/>
              </w:rPr>
            </w:pPr>
          </w:p>
          <w:p w:rsidR="00867A89" w14:paraId="6AE368BC" w14:textId="77777777"/>
          <w:p w:rsidR="00867A89" w:rsidRPr="00BF0DCA" w14:paraId="3135E6A4" w14:textId="77777777"/>
        </w:tc>
      </w:tr>
    </w:tbl>
    <w:p w:rsidR="00867A89" w:rsidRPr="00BF0DCA" w:rsidP="00867A89" w14:paraId="09573F59" w14:textId="77777777">
      <w:pPr>
        <w:pStyle w:val="StyleBoldCentered"/>
      </w:pPr>
      <w:r w:rsidRPr="00BF0DCA">
        <w:t>order</w:t>
      </w:r>
    </w:p>
    <w:p w:rsidR="00867A89" w:rsidRPr="00BF0DCA" w:rsidP="00867A89" w14:paraId="7325E084" w14:textId="77777777">
      <w:pPr>
        <w:tabs>
          <w:tab w:val="left" w:pos="-720"/>
        </w:tabs>
        <w:suppressAutoHyphens/>
        <w:spacing w:line="227" w:lineRule="auto"/>
      </w:pPr>
    </w:p>
    <w:p w:rsidR="00867A89" w:rsidRPr="00BF0DCA" w:rsidP="00867A89" w14:paraId="0F232815" w14:textId="77777777">
      <w:pPr>
        <w:tabs>
          <w:tab w:val="left" w:pos="720"/>
          <w:tab w:val="right" w:pos="9360"/>
        </w:tabs>
        <w:suppressAutoHyphens/>
      </w:pPr>
      <w:r w:rsidRPr="00BF0DCA">
        <w:rPr>
          <w:b/>
          <w:spacing w:val="-2"/>
        </w:rPr>
        <w:t xml:space="preserve">Adopted:  </w:t>
      </w:r>
      <w:r>
        <w:rPr>
          <w:b/>
          <w:spacing w:val="-2"/>
        </w:rPr>
        <w:t>August 22, 2023</w:t>
      </w:r>
      <w:r w:rsidRPr="00BF0DCA">
        <w:rPr>
          <w:b/>
          <w:spacing w:val="-2"/>
        </w:rPr>
        <w:tab/>
        <w:t xml:space="preserve">Released:  </w:t>
      </w:r>
      <w:r>
        <w:rPr>
          <w:b/>
          <w:spacing w:val="-2"/>
        </w:rPr>
        <w:t>August 22, 2023</w:t>
      </w:r>
    </w:p>
    <w:p w:rsidR="00867A89" w:rsidRPr="00BF0DCA" w:rsidP="00867A89" w14:paraId="52C5787B" w14:textId="77777777"/>
    <w:p w:rsidR="00867A89" w:rsidRPr="00BF0DCA" w:rsidP="00867A89" w14:paraId="7CABF221" w14:textId="77777777">
      <w:pPr>
        <w:tabs>
          <w:tab w:val="left" w:pos="720"/>
          <w:tab w:val="left" w:pos="5760"/>
        </w:tabs>
        <w:suppressAutoHyphens/>
        <w:spacing w:line="227" w:lineRule="auto"/>
        <w:rPr>
          <w:szCs w:val="22"/>
        </w:rPr>
      </w:pPr>
      <w:r w:rsidRPr="00BF0DCA">
        <w:rPr>
          <w:szCs w:val="22"/>
        </w:rPr>
        <w:t xml:space="preserve">By the Chief, </w:t>
      </w:r>
      <w:r>
        <w:rPr>
          <w:color w:val="000000"/>
          <w:szCs w:val="22"/>
        </w:rPr>
        <w:t>Telecommunications and Analysis Division, Office of International Affairs</w:t>
      </w:r>
      <w:r w:rsidRPr="00BF0DCA">
        <w:rPr>
          <w:szCs w:val="22"/>
        </w:rPr>
        <w:t>:</w:t>
      </w:r>
    </w:p>
    <w:p w:rsidR="00867A89" w:rsidP="00867A89" w14:paraId="6B74C7F5" w14:textId="77777777"/>
    <w:p w:rsidR="00867A89" w:rsidRPr="0090511A" w:rsidP="00867A89" w14:paraId="7A27F876" w14:textId="77777777">
      <w:pPr>
        <w:pStyle w:val="Heading1"/>
      </w:pPr>
      <w:r>
        <w:t>Introduction</w:t>
      </w:r>
    </w:p>
    <w:p w:rsidR="00867A89" w:rsidRPr="00E02F24" w:rsidP="00867A89" w14:paraId="6A73CDD0" w14:textId="77777777">
      <w:pPr>
        <w:pStyle w:val="ParaNum"/>
        <w:widowControl w:val="0"/>
        <w:tabs>
          <w:tab w:val="clear" w:pos="360"/>
        </w:tabs>
        <w:ind w:firstLine="720"/>
      </w:pPr>
      <w:r>
        <w:rPr>
          <w:color w:val="000000"/>
          <w:szCs w:val="22"/>
        </w:rPr>
        <w:t>On April 20, 2023, the Federal Communications Commission (Commission</w:t>
      </w:r>
      <w:r w:rsidRPr="003A7DD0">
        <w:rPr>
          <w:color w:val="000000"/>
          <w:szCs w:val="22"/>
        </w:rPr>
        <w:t>) adopted</w:t>
      </w:r>
      <w:r w:rsidRPr="00DA5C9B">
        <w:rPr>
          <w:i/>
          <w:color w:val="000000"/>
          <w:szCs w:val="22"/>
        </w:rPr>
        <w:t xml:space="preserve"> </w:t>
      </w:r>
      <w:r w:rsidRPr="00CC744C">
        <w:rPr>
          <w:color w:val="000000"/>
          <w:szCs w:val="22"/>
        </w:rPr>
        <w:t xml:space="preserve">the </w:t>
      </w:r>
      <w:r w:rsidRPr="00DA5C9B">
        <w:rPr>
          <w:i/>
          <w:color w:val="000000"/>
          <w:szCs w:val="22"/>
        </w:rPr>
        <w:t>Evolving Risks Order and N</w:t>
      </w:r>
      <w:r>
        <w:rPr>
          <w:i/>
          <w:color w:val="000000"/>
          <w:szCs w:val="22"/>
        </w:rPr>
        <w:t>PR</w:t>
      </w:r>
      <w:r w:rsidRPr="00DA5C9B">
        <w:rPr>
          <w:i/>
          <w:color w:val="000000"/>
          <w:szCs w:val="22"/>
        </w:rPr>
        <w:t>M</w:t>
      </w:r>
      <w:r>
        <w:rPr>
          <w:color w:val="000000"/>
          <w:szCs w:val="22"/>
        </w:rPr>
        <w:t xml:space="preserve"> </w:t>
      </w:r>
      <w:r w:rsidRPr="00E27B15">
        <w:rPr>
          <w:color w:val="000000"/>
          <w:szCs w:val="22"/>
        </w:rPr>
        <w:t>to protect the nation’s telecommunications infrastructure from threats</w:t>
      </w:r>
      <w:r w:rsidRPr="003F51FD">
        <w:rPr>
          <w:color w:val="000000"/>
          <w:szCs w:val="22"/>
        </w:rPr>
        <w:t xml:space="preserve"> in </w:t>
      </w:r>
      <w:r w:rsidRPr="00E27B15">
        <w:rPr>
          <w:color w:val="000000"/>
          <w:szCs w:val="22"/>
        </w:rPr>
        <w:t>an evolving national security and law enforcement landscape by proposing comprehensive changes to the Commission’s rules that allow carriers to provide international telecommunications service pursuant to section 214 of the Communications Act of 1934, as amended (Act)</w:t>
      </w:r>
      <w:r>
        <w:rPr>
          <w:color w:val="000000"/>
          <w:szCs w:val="22"/>
        </w:rPr>
        <w:t>.</w:t>
      </w:r>
      <w:r>
        <w:rPr>
          <w:rStyle w:val="FootnoteReference"/>
          <w:szCs w:val="22"/>
        </w:rPr>
        <w:footnoteReference w:id="3"/>
      </w:r>
      <w:r>
        <w:rPr>
          <w:szCs w:val="22"/>
        </w:rPr>
        <w:t xml:space="preserve">  </w:t>
      </w:r>
      <w:r>
        <w:rPr>
          <w:color w:val="000000"/>
          <w:szCs w:val="22"/>
        </w:rPr>
        <w:t>In the Order, the Commission adopted a one-time collection of foreign ownership information (One-Time Information Collection) from international section 214 authorization holders (Authorization Holders).</w:t>
      </w:r>
      <w:r>
        <w:rPr>
          <w:rStyle w:val="FootnoteReference"/>
          <w:szCs w:val="22"/>
        </w:rPr>
        <w:footnoteReference w:id="4"/>
      </w:r>
      <w:r>
        <w:rPr>
          <w:color w:val="000000"/>
          <w:szCs w:val="22"/>
        </w:rPr>
        <w:t xml:space="preserve">  In the NPRM, the Commission sought comment on proposed </w:t>
      </w:r>
      <w:r w:rsidRPr="002D263B">
        <w:rPr>
          <w:color w:val="000000"/>
          <w:szCs w:val="22"/>
        </w:rPr>
        <w:t>rules and possible alternative approaches,</w:t>
      </w:r>
      <w:r>
        <w:rPr>
          <w:color w:val="000000"/>
          <w:szCs w:val="22"/>
        </w:rPr>
        <w:t xml:space="preserve"> </w:t>
      </w:r>
      <w:r w:rsidRPr="002D263B">
        <w:rPr>
          <w:color w:val="000000"/>
          <w:szCs w:val="22"/>
        </w:rPr>
        <w:t xml:space="preserve">including alternatives for small entities, that will further </w:t>
      </w:r>
      <w:r>
        <w:rPr>
          <w:color w:val="000000"/>
          <w:szCs w:val="22"/>
        </w:rPr>
        <w:t>the Commission’s</w:t>
      </w:r>
      <w:r w:rsidRPr="002D263B">
        <w:rPr>
          <w:color w:val="000000"/>
          <w:szCs w:val="22"/>
        </w:rPr>
        <w:t xml:space="preserve"> goal of ensuring that the Commission</w:t>
      </w:r>
      <w:r>
        <w:rPr>
          <w:color w:val="000000"/>
          <w:szCs w:val="22"/>
        </w:rPr>
        <w:t xml:space="preserve"> </w:t>
      </w:r>
      <w:r w:rsidRPr="002D263B">
        <w:rPr>
          <w:color w:val="000000"/>
          <w:szCs w:val="22"/>
        </w:rPr>
        <w:t>continually accounts for evolving public interest considerations associated with international section 214</w:t>
      </w:r>
      <w:r>
        <w:rPr>
          <w:color w:val="000000"/>
          <w:szCs w:val="22"/>
        </w:rPr>
        <w:t xml:space="preserve"> </w:t>
      </w:r>
      <w:r w:rsidRPr="002D263B">
        <w:rPr>
          <w:color w:val="000000"/>
          <w:szCs w:val="22"/>
        </w:rPr>
        <w:t>authorizations following an initial grant of the authority</w:t>
      </w:r>
      <w:r>
        <w:rPr>
          <w:color w:val="000000"/>
          <w:szCs w:val="22"/>
        </w:rPr>
        <w:t>.</w:t>
      </w:r>
      <w:r>
        <w:rPr>
          <w:rStyle w:val="FootnoteReference"/>
          <w:szCs w:val="22"/>
        </w:rPr>
        <w:footnoteReference w:id="5"/>
      </w:r>
      <w:r>
        <w:rPr>
          <w:color w:val="000000"/>
          <w:szCs w:val="22"/>
        </w:rPr>
        <w:t xml:space="preserve">  The comments on the NPRM are due by August 31, 2023 and reply comments by October 2, 2023.</w:t>
      </w:r>
      <w:r>
        <w:rPr>
          <w:rStyle w:val="FootnoteReference"/>
          <w:szCs w:val="22"/>
        </w:rPr>
        <w:footnoteReference w:id="6"/>
      </w:r>
    </w:p>
    <w:p w:rsidR="00867A89" w:rsidRPr="00342DB5" w:rsidP="00867A89" w14:paraId="77AB83A5" w14:textId="77777777">
      <w:pPr>
        <w:pStyle w:val="ParaNum"/>
        <w:widowControl w:val="0"/>
        <w:tabs>
          <w:tab w:val="clear" w:pos="360"/>
        </w:tabs>
        <w:ind w:firstLine="720"/>
      </w:pPr>
      <w:r>
        <w:rPr>
          <w:color w:val="000000" w:themeColor="text1"/>
        </w:rPr>
        <w:t>In this Order</w:t>
      </w:r>
      <w:r w:rsidRPr="73AF1752">
        <w:rPr>
          <w:color w:val="000000" w:themeColor="text1"/>
        </w:rPr>
        <w:t xml:space="preserve">, </w:t>
      </w:r>
      <w:r>
        <w:rPr>
          <w:color w:val="000000" w:themeColor="text1"/>
        </w:rPr>
        <w:t>we</w:t>
      </w:r>
      <w:r w:rsidRPr="73AF1752">
        <w:rPr>
          <w:color w:val="000000" w:themeColor="text1"/>
        </w:rPr>
        <w:t xml:space="preserve"> </w:t>
      </w:r>
      <w:r>
        <w:rPr>
          <w:color w:val="000000" w:themeColor="text1"/>
        </w:rPr>
        <w:t>deny</w:t>
      </w:r>
      <w:r w:rsidRPr="73AF1752">
        <w:rPr>
          <w:color w:val="000000" w:themeColor="text1"/>
        </w:rPr>
        <w:t xml:space="preserve"> a Motion for Extension of Time </w:t>
      </w:r>
      <w:r>
        <w:rPr>
          <w:color w:val="000000" w:themeColor="text1"/>
        </w:rPr>
        <w:t xml:space="preserve">(Motion) </w:t>
      </w:r>
      <w:r w:rsidRPr="73AF1752">
        <w:rPr>
          <w:color w:val="000000" w:themeColor="text1"/>
        </w:rPr>
        <w:t xml:space="preserve">filed by </w:t>
      </w:r>
      <w:r w:rsidRPr="4B41DD1C">
        <w:rPr>
          <w:color w:val="000000" w:themeColor="text1"/>
        </w:rPr>
        <w:t>INCOMPAS and Morgan, Lewis &amp; Bockius, LLP</w:t>
      </w:r>
      <w:r>
        <w:rPr>
          <w:color w:val="000000" w:themeColor="text1"/>
        </w:rPr>
        <w:t xml:space="preserve"> (Morgan Lewis) seeking an extension of the deadlines </w:t>
      </w:r>
      <w:r w:rsidRPr="73AF1752">
        <w:rPr>
          <w:color w:val="000000" w:themeColor="text1"/>
        </w:rPr>
        <w:t xml:space="preserve">to file comments and reply comments on the </w:t>
      </w:r>
      <w:r>
        <w:rPr>
          <w:i/>
          <w:iCs/>
          <w:color w:val="000000" w:themeColor="text1"/>
        </w:rPr>
        <w:t xml:space="preserve">Evolving Risks </w:t>
      </w:r>
      <w:r w:rsidRPr="00EE0A9F">
        <w:rPr>
          <w:i/>
          <w:color w:val="000000" w:themeColor="text1"/>
        </w:rPr>
        <w:t>NPRM</w:t>
      </w:r>
      <w:r w:rsidRPr="73AF1752">
        <w:rPr>
          <w:color w:val="000000" w:themeColor="text1"/>
        </w:rPr>
        <w:t>.</w:t>
      </w:r>
      <w:r>
        <w:rPr>
          <w:color w:val="000000" w:themeColor="text1"/>
        </w:rPr>
        <w:t xml:space="preserve">  Second, </w:t>
      </w:r>
      <w:r w:rsidRPr="73AF1752">
        <w:rPr>
          <w:color w:val="000000" w:themeColor="text1"/>
        </w:rPr>
        <w:t xml:space="preserve">we </w:t>
      </w:r>
      <w:r>
        <w:t>e</w:t>
      </w:r>
      <w:r w:rsidRPr="00D236AD">
        <w:rPr>
          <w:color w:val="000000" w:themeColor="text1"/>
        </w:rPr>
        <w:t xml:space="preserve">xempt </w:t>
      </w:r>
      <w:r>
        <w:rPr>
          <w:color w:val="000000" w:themeColor="text1"/>
        </w:rPr>
        <w:t>q</w:t>
      </w:r>
      <w:r w:rsidRPr="00D236AD">
        <w:rPr>
          <w:color w:val="000000" w:themeColor="text1"/>
        </w:rPr>
        <w:t xml:space="preserve">ualifying </w:t>
      </w:r>
      <w:r>
        <w:rPr>
          <w:color w:val="000000" w:themeColor="text1"/>
        </w:rPr>
        <w:t>A</w:t>
      </w:r>
      <w:r w:rsidRPr="00D236AD">
        <w:rPr>
          <w:color w:val="000000" w:themeColor="text1"/>
        </w:rPr>
        <w:t xml:space="preserve">uthorization </w:t>
      </w:r>
      <w:r>
        <w:rPr>
          <w:color w:val="000000" w:themeColor="text1"/>
        </w:rPr>
        <w:t>H</w:t>
      </w:r>
      <w:r w:rsidRPr="00D236AD">
        <w:rPr>
          <w:color w:val="000000" w:themeColor="text1"/>
        </w:rPr>
        <w:t xml:space="preserve">olders from </w:t>
      </w:r>
      <w:r>
        <w:rPr>
          <w:color w:val="000000" w:themeColor="text1"/>
        </w:rPr>
        <w:t>d</w:t>
      </w:r>
      <w:r w:rsidRPr="00D236AD">
        <w:rPr>
          <w:color w:val="000000" w:themeColor="text1"/>
        </w:rPr>
        <w:t xml:space="preserve">isclosing </w:t>
      </w:r>
      <w:r>
        <w:rPr>
          <w:color w:val="000000" w:themeColor="text1"/>
        </w:rPr>
        <w:t>c</w:t>
      </w:r>
      <w:r w:rsidRPr="00D236AD">
        <w:rPr>
          <w:color w:val="000000" w:themeColor="text1"/>
        </w:rPr>
        <w:t xml:space="preserve">ertain </w:t>
      </w:r>
      <w:r>
        <w:rPr>
          <w:color w:val="000000" w:themeColor="text1"/>
        </w:rPr>
        <w:t>d</w:t>
      </w:r>
      <w:r w:rsidRPr="00D236AD">
        <w:rPr>
          <w:color w:val="000000" w:themeColor="text1"/>
        </w:rPr>
        <w:t>etails of</w:t>
      </w:r>
      <w:r>
        <w:rPr>
          <w:color w:val="000000" w:themeColor="text1"/>
        </w:rPr>
        <w:t xml:space="preserve"> their</w:t>
      </w:r>
      <w:r w:rsidRPr="00D236AD">
        <w:rPr>
          <w:color w:val="000000" w:themeColor="text1"/>
        </w:rPr>
        <w:t xml:space="preserve"> </w:t>
      </w:r>
      <w:r>
        <w:rPr>
          <w:color w:val="000000" w:themeColor="text1"/>
        </w:rPr>
        <w:t>r</w:t>
      </w:r>
      <w:r w:rsidRPr="00D236AD">
        <w:rPr>
          <w:color w:val="000000" w:themeColor="text1"/>
        </w:rPr>
        <w:t xml:space="preserve">eportable </w:t>
      </w:r>
      <w:r>
        <w:rPr>
          <w:color w:val="000000" w:themeColor="text1"/>
        </w:rPr>
        <w:t>f</w:t>
      </w:r>
      <w:r w:rsidRPr="00D236AD">
        <w:rPr>
          <w:color w:val="000000" w:themeColor="text1"/>
        </w:rPr>
        <w:t xml:space="preserve">oreign </w:t>
      </w:r>
      <w:r>
        <w:rPr>
          <w:color w:val="000000" w:themeColor="text1"/>
        </w:rPr>
        <w:t>o</w:t>
      </w:r>
      <w:r w:rsidRPr="00D236AD">
        <w:rPr>
          <w:color w:val="000000" w:themeColor="text1"/>
        </w:rPr>
        <w:t xml:space="preserve">wnership in the </w:t>
      </w:r>
      <w:r>
        <w:rPr>
          <w:color w:val="000000" w:themeColor="text1"/>
        </w:rPr>
        <w:t>O</w:t>
      </w:r>
      <w:r w:rsidRPr="00D236AD">
        <w:rPr>
          <w:color w:val="000000" w:themeColor="text1"/>
        </w:rPr>
        <w:t>ne-</w:t>
      </w:r>
      <w:r>
        <w:rPr>
          <w:color w:val="000000" w:themeColor="text1"/>
        </w:rPr>
        <w:t>T</w:t>
      </w:r>
      <w:r w:rsidRPr="00D236AD">
        <w:rPr>
          <w:color w:val="000000" w:themeColor="text1"/>
        </w:rPr>
        <w:t xml:space="preserve">ime </w:t>
      </w:r>
      <w:r>
        <w:rPr>
          <w:color w:val="000000" w:themeColor="text1"/>
        </w:rPr>
        <w:t>I</w:t>
      </w:r>
      <w:r w:rsidRPr="00D236AD">
        <w:rPr>
          <w:color w:val="000000" w:themeColor="text1"/>
        </w:rPr>
        <w:t xml:space="preserve">nformation </w:t>
      </w:r>
      <w:r>
        <w:rPr>
          <w:color w:val="000000" w:themeColor="text1"/>
        </w:rPr>
        <w:t>C</w:t>
      </w:r>
      <w:r w:rsidRPr="00D236AD">
        <w:rPr>
          <w:color w:val="000000" w:themeColor="text1"/>
        </w:rPr>
        <w:t>ollection</w:t>
      </w:r>
      <w:r>
        <w:rPr>
          <w:color w:val="000000" w:themeColor="text1"/>
        </w:rPr>
        <w:t xml:space="preserve">.  Finally, in anticipation of the One-Time Information Collection, </w:t>
      </w:r>
      <w:r w:rsidRPr="00342DB5">
        <w:rPr>
          <w:color w:val="000000" w:themeColor="text1"/>
        </w:rPr>
        <w:t>we remind all Authorization Holders that they must have an FCC Registration Number (FRN) in order to file their responses.</w:t>
      </w:r>
      <w:r>
        <w:rPr>
          <w:rStyle w:val="FootnoteReference"/>
        </w:rPr>
        <w:footnoteReference w:id="7"/>
      </w:r>
      <w:r w:rsidRPr="00342DB5">
        <w:rPr>
          <w:color w:val="000000" w:themeColor="text1"/>
        </w:rPr>
        <w:t xml:space="preserve">  </w:t>
      </w:r>
    </w:p>
    <w:p w:rsidR="00867A89" w:rsidP="00867A89" w14:paraId="09E63E0A" w14:textId="77777777">
      <w:pPr>
        <w:pStyle w:val="Heading1"/>
        <w:rPr>
          <w:color w:val="000000" w:themeColor="text1"/>
        </w:rPr>
      </w:pPr>
      <w:r w:rsidRPr="00867A89">
        <w:rPr>
          <w:color w:val="000000" w:themeColor="text1"/>
        </w:rPr>
        <w:t>Denial of Motion for Extension of Time</w:t>
      </w:r>
    </w:p>
    <w:p w:rsidR="00867A89" w:rsidRPr="0090089E" w:rsidP="001E2753" w14:paraId="60E6CB17" w14:textId="77777777">
      <w:pPr>
        <w:pStyle w:val="ParaNum"/>
        <w:ind w:firstLine="720"/>
      </w:pPr>
      <w:r w:rsidRPr="00867A89">
        <w:t xml:space="preserve">On August 7, 2023, INCOMPAS and Morgan Lewis, on behalf of its clients, filed a Motion for Extension of Time (Motion) requesting a 30-day extension of the comment and reply comment deadlines of the </w:t>
      </w:r>
      <w:r w:rsidRPr="00867A89">
        <w:rPr>
          <w:i/>
          <w:iCs/>
        </w:rPr>
        <w:t>Evolving Risks NPRM</w:t>
      </w:r>
      <w:r w:rsidRPr="00867A89">
        <w:t>, which, if granted, would move the comment date from August 31, 2023 to September 30, 2023, and the reply comment date from October 2, 2023 to November 1, 2023.</w:t>
      </w:r>
      <w:r>
        <w:rPr>
          <w:vertAlign w:val="superscript"/>
        </w:rPr>
        <w:footnoteReference w:id="8"/>
      </w:r>
    </w:p>
    <w:p w:rsidR="00867A89" w:rsidRPr="0050326A" w:rsidP="00867A89" w14:paraId="110A19CF" w14:textId="77777777">
      <w:pPr>
        <w:pStyle w:val="ParaNum"/>
        <w:widowControl w:val="0"/>
        <w:tabs>
          <w:tab w:val="clear" w:pos="360"/>
        </w:tabs>
        <w:ind w:firstLine="720"/>
      </w:pPr>
      <w:r>
        <w:rPr>
          <w:color w:val="000000" w:themeColor="text1"/>
        </w:rPr>
        <w:t>In support of their Motion, INCOMPAS and Morgan Lewis state that “the questions posed by the Commission’s [</w:t>
      </w:r>
      <w:r>
        <w:rPr>
          <w:i/>
          <w:iCs/>
          <w:color w:val="000000" w:themeColor="text1"/>
        </w:rPr>
        <w:t>Evolving Risks</w:t>
      </w:r>
      <w:r>
        <w:rPr>
          <w:i/>
          <w:color w:val="000000" w:themeColor="text1"/>
        </w:rPr>
        <w:t xml:space="preserve"> </w:t>
      </w:r>
      <w:r>
        <w:rPr>
          <w:i/>
          <w:iCs/>
          <w:color w:val="000000" w:themeColor="text1"/>
        </w:rPr>
        <w:t>NPRM</w:t>
      </w:r>
      <w:r>
        <w:rPr>
          <w:color w:val="000000" w:themeColor="text1"/>
        </w:rPr>
        <w:t>] involve complex economic, operational, and policy issues and will require [them] to closely consult with [their] respective members and clients.”</w:t>
      </w:r>
      <w:r>
        <w:rPr>
          <w:rStyle w:val="FootnoteReference"/>
        </w:rPr>
        <w:footnoteReference w:id="9"/>
      </w:r>
      <w:r>
        <w:rPr>
          <w:color w:val="000000" w:themeColor="text1"/>
        </w:rPr>
        <w:t xml:space="preserve">  INCOMPAS and Morgan Lewis further state </w:t>
      </w:r>
      <w:r w:rsidRPr="65C4DE54">
        <w:rPr>
          <w:color w:val="000000" w:themeColor="text1"/>
        </w:rPr>
        <w:t xml:space="preserve">that the comment due date </w:t>
      </w:r>
      <w:r>
        <w:rPr>
          <w:color w:val="000000" w:themeColor="text1"/>
        </w:rPr>
        <w:t>“</w:t>
      </w:r>
      <w:r w:rsidRPr="65C4DE54">
        <w:rPr>
          <w:color w:val="000000" w:themeColor="text1"/>
        </w:rPr>
        <w:t>falls at the end of August</w:t>
      </w:r>
      <w:r w:rsidRPr="01F94B7B">
        <w:rPr>
          <w:color w:val="000000" w:themeColor="text1"/>
        </w:rPr>
        <w:t>,</w:t>
      </w:r>
      <w:r>
        <w:rPr>
          <w:color w:val="000000" w:themeColor="text1"/>
        </w:rPr>
        <w:t>”</w:t>
      </w:r>
      <w:r w:rsidRPr="65C4DE54">
        <w:rPr>
          <w:color w:val="000000" w:themeColor="text1"/>
        </w:rPr>
        <w:t xml:space="preserve"> a time </w:t>
      </w:r>
      <w:r>
        <w:rPr>
          <w:color w:val="000000" w:themeColor="text1"/>
        </w:rPr>
        <w:t xml:space="preserve">when </w:t>
      </w:r>
      <w:r w:rsidRPr="65C4DE54">
        <w:rPr>
          <w:color w:val="000000" w:themeColor="text1"/>
        </w:rPr>
        <w:t xml:space="preserve">key staff of their members and clients </w:t>
      </w:r>
      <w:r>
        <w:rPr>
          <w:color w:val="000000" w:themeColor="text1"/>
        </w:rPr>
        <w:t>“</w:t>
      </w:r>
      <w:r w:rsidRPr="65C4DE54">
        <w:rPr>
          <w:color w:val="000000" w:themeColor="text1"/>
        </w:rPr>
        <w:t>will not be available for consultation due to summer holidays</w:t>
      </w:r>
      <w:r w:rsidRPr="01F94B7B">
        <w:rPr>
          <w:color w:val="000000" w:themeColor="text1"/>
        </w:rPr>
        <w:t>.</w:t>
      </w:r>
      <w:r>
        <w:rPr>
          <w:color w:val="000000" w:themeColor="text1"/>
        </w:rPr>
        <w:t>”</w:t>
      </w:r>
      <w:r>
        <w:rPr>
          <w:color w:val="000000" w:themeColor="text1"/>
          <w:vertAlign w:val="superscript"/>
        </w:rPr>
        <w:footnoteReference w:id="10"/>
      </w:r>
      <w:r>
        <w:rPr>
          <w:color w:val="000000" w:themeColor="text1"/>
        </w:rPr>
        <w:t xml:space="preserve">  They state that they are engaged in “a number of other proceedings . . . that also have similar due dates.”</w:t>
      </w:r>
      <w:r>
        <w:rPr>
          <w:rStyle w:val="FootnoteReference"/>
        </w:rPr>
        <w:footnoteReference w:id="11"/>
      </w:r>
      <w:r>
        <w:rPr>
          <w:color w:val="000000" w:themeColor="text1"/>
        </w:rPr>
        <w:t xml:space="preserve">  Additionally, they assert that additional time would enable parties to develop feedback on the proposals and provide the Commission “a more robust record with meaningful comment from key stakeholders.”</w:t>
      </w:r>
      <w:r>
        <w:rPr>
          <w:rStyle w:val="FootnoteReference"/>
        </w:rPr>
        <w:footnoteReference w:id="12"/>
      </w:r>
    </w:p>
    <w:p w:rsidR="00867A89" w:rsidRPr="00867A89" w:rsidP="001E2753" w14:paraId="4B8CD59E" w14:textId="77777777">
      <w:pPr>
        <w:pStyle w:val="ParaNum"/>
        <w:ind w:firstLine="720"/>
      </w:pPr>
      <w:r>
        <w:t xml:space="preserve">We deny the Motion filed by INCOMPAS and Morgan Lewis.  As set forth in section </w:t>
      </w:r>
      <w:r>
        <w:rPr>
          <w:rStyle w:val="cosearchterm"/>
        </w:rPr>
        <w:t>1</w:t>
      </w:r>
      <w:r>
        <w:t>.</w:t>
      </w:r>
      <w:r>
        <w:rPr>
          <w:rStyle w:val="cosearchterm"/>
        </w:rPr>
        <w:t>46(a)</w:t>
      </w:r>
      <w:r>
        <w:t xml:space="preserve"> of the Commission's rules, “[</w:t>
      </w:r>
      <w:r>
        <w:t>i</w:t>
      </w:r>
      <w:r>
        <w:t xml:space="preserve">]t is the policy of the Commission that extensions of time shall </w:t>
      </w:r>
      <w:r>
        <w:rPr>
          <w:rStyle w:val="cosearchterm"/>
        </w:rPr>
        <w:t>not</w:t>
      </w:r>
      <w:r>
        <w:t xml:space="preserve"> be </w:t>
      </w:r>
      <w:r>
        <w:rPr>
          <w:rStyle w:val="cosearchterm"/>
        </w:rPr>
        <w:t>routinely</w:t>
      </w:r>
      <w:r>
        <w:t xml:space="preserve"> </w:t>
      </w:r>
      <w:r>
        <w:rPr>
          <w:rStyle w:val="cosearchterm"/>
        </w:rPr>
        <w:t>granted</w:t>
      </w:r>
      <w:r>
        <w:t>.”</w:t>
      </w:r>
      <w:r>
        <w:rPr>
          <w:rStyle w:val="FootnoteReference"/>
        </w:rPr>
        <w:footnoteReference w:id="13"/>
      </w:r>
      <w:r>
        <w:t xml:space="preserve">  We find nothing sufficiently unique or unusual in this instance that would warrant granting the extensions of the comment and reply comment deadlines.  Moreover,</w:t>
      </w:r>
      <w:r w:rsidRPr="004D490F">
        <w:t xml:space="preserve"> </w:t>
      </w:r>
      <w:r>
        <w:t xml:space="preserve">the Commission made the </w:t>
      </w:r>
      <w:r>
        <w:rPr>
          <w:i/>
          <w:iCs/>
        </w:rPr>
        <w:t xml:space="preserve">Evolving Risks </w:t>
      </w:r>
      <w:r>
        <w:rPr>
          <w:rStyle w:val="Emphasis"/>
        </w:rPr>
        <w:t>NPRM</w:t>
      </w:r>
      <w:r>
        <w:t xml:space="preserve"> publicly available on April 25, 2023, and then published Federal Register notice providing 30 days thereafter for initial comments and an additional 30 days for reply comments, giving interested parties ample time to prepare their comments in advance of the deadlines.</w:t>
      </w:r>
      <w:r>
        <w:rPr>
          <w:rStyle w:val="FootnoteReference"/>
        </w:rPr>
        <w:footnoteReference w:id="14"/>
      </w:r>
    </w:p>
    <w:p w:rsidR="00867A89" w:rsidP="00867A89" w14:paraId="74EBE9CF" w14:textId="77777777">
      <w:pPr>
        <w:pStyle w:val="Heading1"/>
      </w:pPr>
      <w:r w:rsidRPr="00DA5C9B">
        <w:t>One-</w:t>
      </w:r>
      <w:r>
        <w:t>T</w:t>
      </w:r>
      <w:r w:rsidRPr="00DA5C9B">
        <w:t>ime Information Collection</w:t>
      </w:r>
    </w:p>
    <w:p w:rsidR="00867A89" w:rsidRPr="00FF05A5" w:rsidP="00867A89" w14:paraId="19759B1E" w14:textId="77777777">
      <w:pPr>
        <w:pStyle w:val="ParaNum"/>
        <w:widowControl w:val="0"/>
        <w:tabs>
          <w:tab w:val="clear" w:pos="360"/>
        </w:tabs>
        <w:ind w:firstLine="720"/>
      </w:pPr>
      <w:r w:rsidRPr="4CD4F2F9">
        <w:rPr>
          <w:color w:val="000000"/>
        </w:rPr>
        <w:t xml:space="preserve">The </w:t>
      </w:r>
      <w:r w:rsidRPr="4CD4F2F9">
        <w:rPr>
          <w:i/>
          <w:color w:val="000000"/>
        </w:rPr>
        <w:t xml:space="preserve">Evolving Risks Order </w:t>
      </w:r>
      <w:r w:rsidRPr="4CD4F2F9">
        <w:rPr>
          <w:color w:val="000000"/>
        </w:rPr>
        <w:t>requires all Authorization Holders to respond to a One-Time Information Collection to update the Commission’s records regarding their foreign ownership.</w:t>
      </w:r>
      <w:r>
        <w:rPr>
          <w:rStyle w:val="FootnoteReference"/>
        </w:rPr>
        <w:footnoteReference w:id="15"/>
      </w:r>
      <w:r w:rsidRPr="4CD4F2F9">
        <w:rPr>
          <w:color w:val="000000"/>
        </w:rPr>
        <w:t xml:space="preserve">  In the </w:t>
      </w:r>
      <w:r w:rsidRPr="4CD4F2F9">
        <w:rPr>
          <w:color w:val="000000"/>
        </w:rPr>
        <w:t>Order, the Commission directed each Authorization Holder to identify its 10% or greater direct or indirect foreign interest holders that hold such equity and/or voting interests</w:t>
      </w:r>
      <w:r w:rsidRPr="00FF05A5">
        <w:t>, or a controlling interest, in the Authorization Holder</w:t>
      </w:r>
      <w:r w:rsidRPr="00FF05A5">
        <w:rPr>
          <w:color w:val="000000"/>
        </w:rPr>
        <w:t xml:space="preserve"> (Reportable Foreign Interest Holders) as of thirty (30) days prior to the filing deadline,</w:t>
      </w:r>
      <w:r>
        <w:rPr>
          <w:rStyle w:val="FootnoteReference"/>
          <w:szCs w:val="22"/>
        </w:rPr>
        <w:footnoteReference w:id="16"/>
      </w:r>
      <w:r w:rsidRPr="00FF05A5">
        <w:rPr>
          <w:color w:val="000000"/>
        </w:rPr>
        <w:t xml:space="preserve"> and to certify as to the accuracy of the information provided.</w:t>
      </w:r>
      <w:r>
        <w:rPr>
          <w:rStyle w:val="FootnoteReference"/>
        </w:rPr>
        <w:footnoteReference w:id="17"/>
      </w:r>
      <w:r w:rsidRPr="00FF05A5">
        <w:rPr>
          <w:color w:val="000000"/>
        </w:rPr>
        <w:t xml:space="preserve">  The Commission directed the Office of International Affairs (OIA) to conduct the information collection</w:t>
      </w:r>
      <w:r>
        <w:rPr>
          <w:rStyle w:val="FootnoteReference"/>
        </w:rPr>
        <w:footnoteReference w:id="18"/>
      </w:r>
      <w:r w:rsidRPr="00FF05A5">
        <w:rPr>
          <w:color w:val="000000"/>
        </w:rPr>
        <w:t xml:space="preserve"> and directed OIA to take into account information recently provided to the Commission on the record that has not materially changed.</w:t>
      </w:r>
      <w:r>
        <w:rPr>
          <w:rStyle w:val="FootnoteReference"/>
        </w:rPr>
        <w:footnoteReference w:id="19"/>
      </w:r>
    </w:p>
    <w:p w:rsidR="00867A89" w:rsidRPr="00AC2FFB" w:rsidP="00867A89" w14:paraId="4FCC9D8C" w14:textId="5DCA4F07">
      <w:pPr>
        <w:pStyle w:val="ParaNum"/>
        <w:widowControl w:val="0"/>
        <w:tabs>
          <w:tab w:val="clear" w:pos="360"/>
        </w:tabs>
        <w:ind w:firstLine="720"/>
      </w:pPr>
      <w:r w:rsidRPr="00FF05A5">
        <w:rPr>
          <w:color w:val="000000" w:themeColor="text1"/>
        </w:rPr>
        <w:t>Pursuant to the Commission’s directive to take into account recently-provided information that has not changed, OIA adopts an exemption (Exemption) for Authorization Holders</w:t>
      </w:r>
      <w:r w:rsidR="00303190">
        <w:rPr>
          <w:color w:val="000000" w:themeColor="text1"/>
        </w:rPr>
        <w:t xml:space="preserve"> </w:t>
      </w:r>
      <w:r>
        <w:rPr>
          <w:color w:val="000000" w:themeColor="text1"/>
        </w:rPr>
        <w:t>whose</w:t>
      </w:r>
      <w:r w:rsidRPr="00FF05A5">
        <w:rPr>
          <w:color w:val="000000" w:themeColor="text1"/>
        </w:rPr>
        <w:t xml:space="preserve"> applications </w:t>
      </w:r>
      <w:r>
        <w:rPr>
          <w:color w:val="000000" w:themeColor="text1"/>
        </w:rPr>
        <w:t xml:space="preserve">were granted </w:t>
      </w:r>
      <w:r w:rsidRPr="00FF05A5">
        <w:rPr>
          <w:color w:val="000000" w:themeColor="text1"/>
        </w:rPr>
        <w:t>within three years prior to the deadline of the One-Time Information Collection.  The Exemption will reduce the burden for qualifying Authorization Holders while still allowing the Commission to collect necessary information from the One-Time Information Collection.  Under this Exemption, qualifying Authorization Holders are exempt from answering questions in the One-Time Information Collection regarding the identities, specific equity and voting interests, and description of controlling interests, of their Reportable Foreign Interest Holders.  Instead, Authorization Holders that qualify for the Exemption will be required to identify, on an aggregated basis, all of the citizenship</w:t>
      </w:r>
      <w:r w:rsidRPr="4CD4F2F9">
        <w:rPr>
          <w:color w:val="000000" w:themeColor="text1"/>
        </w:rPr>
        <w:t xml:space="preserve">(s) or place(s) of organization of their </w:t>
      </w:r>
      <w:r w:rsidRPr="4CD4F2F9">
        <w:rPr>
          <w:rStyle w:val="normaltextrun"/>
        </w:rPr>
        <w:t>Reportable Foreign Interest Holders</w:t>
      </w:r>
      <w:r w:rsidRPr="4CD4F2F9">
        <w:rPr>
          <w:color w:val="000000" w:themeColor="text1"/>
        </w:rPr>
        <w:t>.  Specifically, to qualify for the Exemption:</w:t>
      </w:r>
    </w:p>
    <w:p w:rsidR="00867A89" w:rsidRPr="00EF47E6" w:rsidP="00867A89" w14:paraId="77C4E0EB" w14:textId="0617B3DE">
      <w:pPr>
        <w:pStyle w:val="ParaNum"/>
        <w:widowControl w:val="0"/>
        <w:numPr>
          <w:ilvl w:val="0"/>
          <w:numId w:val="12"/>
        </w:numPr>
        <w:tabs>
          <w:tab w:val="clear" w:pos="1440"/>
        </w:tabs>
      </w:pPr>
      <w:r w:rsidRPr="00A61AA2">
        <w:rPr>
          <w:rStyle w:val="normaltextrun"/>
          <w:szCs w:val="22"/>
        </w:rPr>
        <w:t xml:space="preserve">The Authorization Holder must have filed an application for an initial International Section 214 Authorization, modification, </w:t>
      </w:r>
      <w:r w:rsidRPr="00D02677">
        <w:rPr>
          <w:rStyle w:val="normaltextrun"/>
          <w:szCs w:val="22"/>
        </w:rPr>
        <w:t xml:space="preserve">or </w:t>
      </w:r>
      <w:r w:rsidRPr="00D02677">
        <w:rPr>
          <w:rStyle w:val="normaltextrun"/>
          <w:i/>
          <w:iCs/>
          <w:szCs w:val="22"/>
        </w:rPr>
        <w:t>substantial</w:t>
      </w:r>
      <w:r w:rsidRPr="00A61AA2">
        <w:rPr>
          <w:rStyle w:val="normaltextrun"/>
          <w:b/>
          <w:bCs/>
          <w:i/>
          <w:iCs/>
          <w:szCs w:val="22"/>
        </w:rPr>
        <w:t xml:space="preserve"> </w:t>
      </w:r>
      <w:r w:rsidRPr="00A61AA2">
        <w:rPr>
          <w:rStyle w:val="normaltextrun"/>
          <w:szCs w:val="22"/>
        </w:rPr>
        <w:t xml:space="preserve">(not a </w:t>
      </w:r>
      <w:r w:rsidRPr="00A61AA2">
        <w:rPr>
          <w:rStyle w:val="normaltextrun"/>
          <w:i/>
          <w:iCs/>
          <w:szCs w:val="22"/>
        </w:rPr>
        <w:t>pro forma</w:t>
      </w:r>
      <w:r w:rsidRPr="00A61AA2">
        <w:rPr>
          <w:rStyle w:val="normaltextrun"/>
          <w:szCs w:val="22"/>
        </w:rPr>
        <w:t xml:space="preserve"> filing) assignment or transfer of control of the authorization that was reviewed by the Executive Branch agencies and was granted by the Commission </w:t>
      </w:r>
      <w:r w:rsidR="00BF430C">
        <w:rPr>
          <w:rStyle w:val="normaltextrun"/>
          <w:szCs w:val="22"/>
        </w:rPr>
        <w:t xml:space="preserve">on or </w:t>
      </w:r>
      <w:r w:rsidRPr="00EF47E6">
        <w:rPr>
          <w:rStyle w:val="normaltextrun"/>
          <w:szCs w:val="22"/>
        </w:rPr>
        <w:t>after</w:t>
      </w:r>
      <w:r>
        <w:rPr>
          <w:rStyle w:val="normaltextrun"/>
          <w:szCs w:val="22"/>
        </w:rPr>
        <w:t xml:space="preserve"> [date 3 years before date of filing deadline, 2020</w:t>
      </w:r>
      <w:r w:rsidRPr="7E747E5C">
        <w:rPr>
          <w:rStyle w:val="normaltextrun"/>
          <w:szCs w:val="22"/>
        </w:rPr>
        <w:t>];</w:t>
      </w:r>
      <w:r w:rsidRPr="00EF47E6">
        <w:rPr>
          <w:rStyle w:val="normaltextrun"/>
          <w:szCs w:val="22"/>
        </w:rPr>
        <w:t xml:space="preserve"> and</w:t>
      </w:r>
      <w:r w:rsidRPr="7E747E5C">
        <w:rPr>
          <w:rStyle w:val="eop"/>
        </w:rPr>
        <w:t> </w:t>
      </w:r>
    </w:p>
    <w:p w:rsidR="00867A89" w:rsidRPr="00160CCB" w:rsidP="00867A89" w14:paraId="56F58823" w14:textId="77777777">
      <w:pPr>
        <w:pStyle w:val="ParaNum"/>
        <w:widowControl w:val="0"/>
        <w:numPr>
          <w:ilvl w:val="0"/>
          <w:numId w:val="12"/>
        </w:numPr>
        <w:tabs>
          <w:tab w:val="clear" w:pos="1440"/>
        </w:tabs>
        <w:rPr>
          <w:rStyle w:val="normaltextrun"/>
        </w:rPr>
      </w:pPr>
      <w:r w:rsidRPr="00EF47E6">
        <w:rPr>
          <w:rStyle w:val="normaltextrun"/>
          <w:szCs w:val="22"/>
        </w:rPr>
        <w:t xml:space="preserve">There are no </w:t>
      </w:r>
      <w:r>
        <w:rPr>
          <w:rStyle w:val="normaltextrun"/>
          <w:szCs w:val="22"/>
        </w:rPr>
        <w:t>R</w:t>
      </w:r>
      <w:r w:rsidRPr="00EF47E6">
        <w:rPr>
          <w:rStyle w:val="normaltextrun"/>
          <w:szCs w:val="22"/>
        </w:rPr>
        <w:t xml:space="preserve">eportable Foreign Interest Holders of the Authorization Holder other than those disclosed in the application (including any amendment), and there are no changes to the </w:t>
      </w:r>
      <w:r>
        <w:rPr>
          <w:rStyle w:val="normaltextrun"/>
          <w:szCs w:val="22"/>
        </w:rPr>
        <w:t>R</w:t>
      </w:r>
      <w:r w:rsidRPr="00EF47E6">
        <w:rPr>
          <w:rStyle w:val="normaltextrun"/>
          <w:szCs w:val="22"/>
        </w:rPr>
        <w:t>eportable Foreign Interest Holders disclosed in the application (including any amendment) as of</w:t>
      </w:r>
      <w:r>
        <w:rPr>
          <w:rStyle w:val="normaltextrun"/>
          <w:szCs w:val="22"/>
        </w:rPr>
        <w:t xml:space="preserve"> [date 30 days prior to filing deadline, 2023]</w:t>
      </w:r>
      <w:r w:rsidRPr="00EF47E6">
        <w:rPr>
          <w:rStyle w:val="normaltextrun"/>
          <w:szCs w:val="22"/>
        </w:rPr>
        <w:t>.</w:t>
      </w:r>
      <w:r>
        <w:rPr>
          <w:rStyle w:val="FootnoteReference"/>
          <w:szCs w:val="22"/>
        </w:rPr>
        <w:footnoteReference w:id="20"/>
      </w:r>
    </w:p>
    <w:p w:rsidR="00867A89" w:rsidRPr="00DD0D6F" w:rsidP="00867A89" w14:paraId="24748ECB" w14:textId="77777777">
      <w:pPr>
        <w:pStyle w:val="ParaNum"/>
        <w:widowControl w:val="0"/>
        <w:tabs>
          <w:tab w:val="clear" w:pos="360"/>
        </w:tabs>
        <w:ind w:firstLine="720"/>
      </w:pPr>
      <w:r w:rsidRPr="46F17DA5">
        <w:rPr>
          <w:color w:val="000000" w:themeColor="text1"/>
        </w:rPr>
        <w:t>To qualify for the Exemption, Authorization Holders will also need to supply the File Number of the application that fulfills all of these requirements.</w:t>
      </w:r>
    </w:p>
    <w:p w:rsidR="00867A89" w:rsidRPr="00B31181" w:rsidP="00867A89" w14:paraId="2696C0B0" w14:textId="77777777">
      <w:pPr>
        <w:pStyle w:val="Heading1"/>
        <w:rPr>
          <w:color w:val="000000" w:themeColor="text1"/>
        </w:rPr>
      </w:pPr>
      <w:r w:rsidRPr="00B31181">
        <w:rPr>
          <w:color w:val="000000"/>
          <w:szCs w:val="22"/>
        </w:rPr>
        <w:t xml:space="preserve">One-Time Information Collection - </w:t>
      </w:r>
      <w:r w:rsidRPr="00B31181">
        <w:rPr>
          <w:color w:val="000000" w:themeColor="text1"/>
        </w:rPr>
        <w:t xml:space="preserve">Requirement for an FRN  </w:t>
      </w:r>
    </w:p>
    <w:p w:rsidR="00867A89" w:rsidRPr="006336A3" w:rsidP="00867A89" w14:paraId="006AE999" w14:textId="77777777">
      <w:pPr>
        <w:pStyle w:val="ParaNum"/>
        <w:widowControl w:val="0"/>
        <w:tabs>
          <w:tab w:val="clear" w:pos="360"/>
        </w:tabs>
        <w:ind w:firstLine="720"/>
      </w:pPr>
      <w:r>
        <w:rPr>
          <w:color w:val="000000" w:themeColor="text1"/>
        </w:rPr>
        <w:t xml:space="preserve">In anticipation of the One-Time Information Collection, we </w:t>
      </w:r>
      <w:r w:rsidRPr="4CD4F2F9">
        <w:rPr>
          <w:color w:val="000000" w:themeColor="text1"/>
        </w:rPr>
        <w:t xml:space="preserve">remind </w:t>
      </w:r>
      <w:r>
        <w:rPr>
          <w:color w:val="000000" w:themeColor="text1"/>
        </w:rPr>
        <w:t>a</w:t>
      </w:r>
      <w:r w:rsidRPr="4E3871FC">
        <w:rPr>
          <w:color w:val="000000" w:themeColor="text1"/>
        </w:rPr>
        <w:t xml:space="preserve">ll Authorization Holders </w:t>
      </w:r>
      <w:r w:rsidRPr="4CD4F2F9">
        <w:rPr>
          <w:color w:val="000000" w:themeColor="text1"/>
        </w:rPr>
        <w:t xml:space="preserve">that they must </w:t>
      </w:r>
      <w:r w:rsidRPr="4E3871FC">
        <w:rPr>
          <w:color w:val="000000" w:themeColor="text1"/>
        </w:rPr>
        <w:t>have an FRN</w:t>
      </w:r>
      <w:r>
        <w:rPr>
          <w:color w:val="000000" w:themeColor="text1"/>
        </w:rPr>
        <w:t xml:space="preserve"> </w:t>
      </w:r>
      <w:r w:rsidRPr="4E3871FC">
        <w:rPr>
          <w:color w:val="000000" w:themeColor="text1"/>
        </w:rPr>
        <w:t>to file their responses.</w:t>
      </w:r>
      <w:r>
        <w:rPr>
          <w:rStyle w:val="FootnoteReference"/>
        </w:rPr>
        <w:footnoteReference w:id="21"/>
      </w:r>
      <w:r w:rsidRPr="4E3871FC">
        <w:rPr>
          <w:color w:val="000000" w:themeColor="text1"/>
        </w:rPr>
        <w:t xml:space="preserve">  </w:t>
      </w:r>
      <w:r>
        <w:rPr>
          <w:color w:val="000000" w:themeColor="text1"/>
        </w:rPr>
        <w:t xml:space="preserve">OIA will </w:t>
      </w:r>
      <w:r w:rsidRPr="007B05FB">
        <w:rPr>
          <w:color w:val="000000" w:themeColor="text1"/>
        </w:rPr>
        <w:t>conduct th</w:t>
      </w:r>
      <w:r>
        <w:rPr>
          <w:color w:val="000000" w:themeColor="text1"/>
        </w:rPr>
        <w:t>e One-Time I</w:t>
      </w:r>
      <w:r w:rsidRPr="007B05FB">
        <w:rPr>
          <w:color w:val="000000" w:themeColor="text1"/>
        </w:rPr>
        <w:t xml:space="preserve">nformation </w:t>
      </w:r>
      <w:r>
        <w:rPr>
          <w:color w:val="000000" w:themeColor="text1"/>
        </w:rPr>
        <w:t>C</w:t>
      </w:r>
      <w:r w:rsidRPr="007B05FB">
        <w:rPr>
          <w:color w:val="000000" w:themeColor="text1"/>
        </w:rPr>
        <w:t>ollection, including</w:t>
      </w:r>
      <w:r>
        <w:rPr>
          <w:color w:val="000000" w:themeColor="text1"/>
        </w:rPr>
        <w:t xml:space="preserve"> the</w:t>
      </w:r>
      <w:r w:rsidRPr="007B05FB">
        <w:rPr>
          <w:color w:val="000000" w:themeColor="text1"/>
        </w:rPr>
        <w:t xml:space="preserve"> creat</w:t>
      </w:r>
      <w:r>
        <w:rPr>
          <w:color w:val="000000" w:themeColor="text1"/>
        </w:rPr>
        <w:t>ion of</w:t>
      </w:r>
      <w:r w:rsidRPr="007B05FB">
        <w:rPr>
          <w:color w:val="000000" w:themeColor="text1"/>
        </w:rPr>
        <w:t xml:space="preserve"> the forms, submit the information</w:t>
      </w:r>
      <w:r>
        <w:rPr>
          <w:color w:val="000000" w:themeColor="text1"/>
        </w:rPr>
        <w:t xml:space="preserve"> </w:t>
      </w:r>
      <w:r w:rsidRPr="007B05FB">
        <w:rPr>
          <w:color w:val="000000" w:themeColor="text1"/>
        </w:rPr>
        <w:t>collection for Office of Management and Budget (OMB) review and, following OMB review, publish</w:t>
      </w:r>
      <w:r>
        <w:rPr>
          <w:color w:val="000000" w:themeColor="text1"/>
        </w:rPr>
        <w:t xml:space="preserve"> </w:t>
      </w:r>
      <w:r w:rsidRPr="007B05FB">
        <w:rPr>
          <w:color w:val="000000" w:themeColor="text1"/>
        </w:rPr>
        <w:t xml:space="preserve">notice of the effective </w:t>
      </w:r>
      <w:r w:rsidRPr="007B05FB">
        <w:rPr>
          <w:color w:val="000000" w:themeColor="text1"/>
        </w:rPr>
        <w:t>date of the information collection requirement and the filing deadline in the Federal</w:t>
      </w:r>
      <w:r>
        <w:rPr>
          <w:color w:val="000000" w:themeColor="text1"/>
        </w:rPr>
        <w:t xml:space="preserve"> </w:t>
      </w:r>
      <w:r w:rsidRPr="007B05FB">
        <w:rPr>
          <w:color w:val="000000" w:themeColor="text1"/>
        </w:rPr>
        <w:t>Register.</w:t>
      </w:r>
      <w:r>
        <w:rPr>
          <w:rStyle w:val="FootnoteReference"/>
        </w:rPr>
        <w:footnoteReference w:id="22"/>
      </w:r>
      <w:r w:rsidRPr="007B05FB">
        <w:rPr>
          <w:color w:val="000000" w:themeColor="text1"/>
        </w:rPr>
        <w:t xml:space="preserve"> </w:t>
      </w:r>
      <w:r>
        <w:rPr>
          <w:color w:val="000000" w:themeColor="text1"/>
        </w:rPr>
        <w:t xml:space="preserve"> </w:t>
      </w:r>
      <w:r w:rsidRPr="007B05FB">
        <w:rPr>
          <w:color w:val="000000" w:themeColor="text1"/>
        </w:rPr>
        <w:t>The filing deadline shall be</w:t>
      </w:r>
      <w:r>
        <w:rPr>
          <w:color w:val="000000" w:themeColor="text1"/>
        </w:rPr>
        <w:t xml:space="preserve"> </w:t>
      </w:r>
      <w:r w:rsidRPr="007B05FB">
        <w:rPr>
          <w:color w:val="000000" w:themeColor="text1"/>
        </w:rPr>
        <w:t>no fewer than thirty (30) days following the effective date.</w:t>
      </w:r>
      <w:r>
        <w:rPr>
          <w:rStyle w:val="FootnoteReference"/>
        </w:rPr>
        <w:footnoteReference w:id="23"/>
      </w:r>
      <w:r w:rsidRPr="007B05FB">
        <w:rPr>
          <w:color w:val="000000" w:themeColor="text1"/>
        </w:rPr>
        <w:t xml:space="preserve"> </w:t>
      </w:r>
      <w:r>
        <w:rPr>
          <w:color w:val="000000" w:themeColor="text1"/>
        </w:rPr>
        <w:t xml:space="preserve"> We note that OIA</w:t>
      </w:r>
      <w:r w:rsidRPr="007B05FB">
        <w:rPr>
          <w:color w:val="000000" w:themeColor="text1"/>
        </w:rPr>
        <w:t xml:space="preserve"> will </w:t>
      </w:r>
      <w:r>
        <w:rPr>
          <w:color w:val="000000" w:themeColor="text1"/>
        </w:rPr>
        <w:t>also</w:t>
      </w:r>
      <w:r w:rsidRPr="007B05FB">
        <w:rPr>
          <w:color w:val="000000" w:themeColor="text1"/>
        </w:rPr>
        <w:t xml:space="preserve"> issue a </w:t>
      </w:r>
      <w:r>
        <w:rPr>
          <w:color w:val="000000" w:themeColor="text1"/>
        </w:rPr>
        <w:t xml:space="preserve">separate </w:t>
      </w:r>
      <w:r w:rsidRPr="007B05FB">
        <w:rPr>
          <w:color w:val="000000" w:themeColor="text1"/>
        </w:rPr>
        <w:t>Public Notice announcing the deadline and will provide instructions for filing this</w:t>
      </w:r>
      <w:r>
        <w:rPr>
          <w:color w:val="000000" w:themeColor="text1"/>
        </w:rPr>
        <w:t xml:space="preserve"> </w:t>
      </w:r>
      <w:r w:rsidRPr="007B05FB">
        <w:rPr>
          <w:color w:val="000000" w:themeColor="text1"/>
        </w:rPr>
        <w:t>information with the Commission.</w:t>
      </w:r>
      <w:r>
        <w:rPr>
          <w:rStyle w:val="FootnoteReference"/>
        </w:rPr>
        <w:footnoteReference w:id="24"/>
      </w:r>
    </w:p>
    <w:p w:rsidR="00867A89" w:rsidRPr="006F3062" w:rsidP="00867A89" w14:paraId="209034E7" w14:textId="77777777">
      <w:pPr>
        <w:pStyle w:val="ParaNum"/>
        <w:widowControl w:val="0"/>
        <w:tabs>
          <w:tab w:val="clear" w:pos="360"/>
        </w:tabs>
        <w:ind w:firstLine="720"/>
      </w:pPr>
      <w:r w:rsidRPr="00867A89">
        <w:rPr>
          <w:color w:val="000000" w:themeColor="text1"/>
        </w:rPr>
        <w:t>It is important for all Authorization Holders to ensure they have or obtain an FRN.</w:t>
      </w:r>
      <w:r>
        <w:rPr>
          <w:color w:val="000000" w:themeColor="text1"/>
        </w:rPr>
        <w:t xml:space="preserve">  </w:t>
      </w:r>
      <w:r w:rsidRPr="4E3871FC">
        <w:rPr>
          <w:color w:val="000000" w:themeColor="text1"/>
        </w:rPr>
        <w:t>An FRN is the 10-digit number assigned to all individuals and entities that transact business with the Commission,</w:t>
      </w:r>
      <w:r>
        <w:rPr>
          <w:rStyle w:val="FootnoteReference"/>
        </w:rPr>
        <w:footnoteReference w:id="25"/>
      </w:r>
      <w:r w:rsidRPr="4E3871FC">
        <w:rPr>
          <w:color w:val="000000" w:themeColor="text1"/>
        </w:rPr>
        <w:t xml:space="preserve"> and it must be provided any time an </w:t>
      </w:r>
      <w:r>
        <w:rPr>
          <w:color w:val="000000" w:themeColor="text1"/>
        </w:rPr>
        <w:t>A</w:t>
      </w:r>
      <w:r w:rsidRPr="4E3871FC">
        <w:rPr>
          <w:color w:val="000000" w:themeColor="text1"/>
        </w:rPr>
        <w:t xml:space="preserve">uthorization </w:t>
      </w:r>
      <w:r>
        <w:rPr>
          <w:color w:val="000000" w:themeColor="text1"/>
        </w:rPr>
        <w:t>H</w:t>
      </w:r>
      <w:r w:rsidRPr="4E3871FC">
        <w:rPr>
          <w:color w:val="000000" w:themeColor="text1"/>
        </w:rPr>
        <w:t>older submits a</w:t>
      </w:r>
      <w:r>
        <w:rPr>
          <w:color w:val="000000" w:themeColor="text1"/>
        </w:rPr>
        <w:t>n</w:t>
      </w:r>
      <w:r w:rsidRPr="4E3871FC">
        <w:rPr>
          <w:color w:val="000000" w:themeColor="text1"/>
        </w:rPr>
        <w:t xml:space="preserve"> application in ICFS.</w:t>
      </w:r>
      <w:r>
        <w:rPr>
          <w:rStyle w:val="FootnoteReference"/>
        </w:rPr>
        <w:footnoteReference w:id="26"/>
      </w:r>
      <w:r w:rsidRPr="4E3871FC">
        <w:rPr>
          <w:color w:val="000000" w:themeColor="text1"/>
        </w:rPr>
        <w:t xml:space="preserve">  </w:t>
      </w:r>
      <w:r>
        <w:rPr>
          <w:color w:val="000000" w:themeColor="text1"/>
        </w:rPr>
        <w:t xml:space="preserve">As the Commission stated in the </w:t>
      </w:r>
      <w:r w:rsidRPr="4CD4F2F9">
        <w:rPr>
          <w:i/>
          <w:iCs/>
          <w:color w:val="000000" w:themeColor="text1"/>
        </w:rPr>
        <w:t xml:space="preserve">Evolving Risks Order, </w:t>
      </w:r>
      <w:r w:rsidRPr="4E3871FC">
        <w:rPr>
          <w:color w:val="000000" w:themeColor="text1"/>
        </w:rPr>
        <w:t>many international section 214 authorizations were granted to entities prior to the Commission requiring an FRN in 2001</w:t>
      </w:r>
      <w:r>
        <w:rPr>
          <w:color w:val="000000" w:themeColor="text1"/>
        </w:rPr>
        <w:t>.</w:t>
      </w:r>
      <w:r>
        <w:rPr>
          <w:rStyle w:val="FootnoteReference"/>
        </w:rPr>
        <w:footnoteReference w:id="27"/>
      </w:r>
      <w:r>
        <w:rPr>
          <w:color w:val="000000" w:themeColor="text1"/>
        </w:rPr>
        <w:t xml:space="preserve">  </w:t>
      </w:r>
      <w:r>
        <w:t>Such entities will need to obtain an FRN prior to filing their response to the information collection.</w:t>
      </w:r>
      <w:r>
        <w:rPr>
          <w:rStyle w:val="FootnoteReference"/>
        </w:rPr>
        <w:footnoteReference w:id="28"/>
      </w:r>
      <w:r w:rsidR="73AE1DD4">
        <w:t xml:space="preserve"> </w:t>
      </w:r>
    </w:p>
    <w:p w:rsidR="00867A89" w:rsidP="00867A89" w14:paraId="574A3CBD" w14:textId="77777777">
      <w:pPr>
        <w:pStyle w:val="Heading1"/>
      </w:pPr>
      <w:r>
        <w:t>ordering clauses</w:t>
      </w:r>
    </w:p>
    <w:p w:rsidR="001262AE" w:rsidP="00867A89" w14:paraId="5608F431" w14:textId="77777777">
      <w:pPr>
        <w:pStyle w:val="ParaNum"/>
        <w:widowControl w:val="0"/>
        <w:tabs>
          <w:tab w:val="clear" w:pos="360"/>
        </w:tabs>
        <w:ind w:firstLine="720"/>
      </w:pPr>
      <w:r>
        <w:t xml:space="preserve">Accordingly, IT IS ORDERED, pursuant to sections 0.19, 0.204, 0.351, and </w:t>
      </w:r>
      <w:r>
        <w:rPr>
          <w:rStyle w:val="cosearchterm"/>
        </w:rPr>
        <w:t>1</w:t>
      </w:r>
      <w:r>
        <w:t>.</w:t>
      </w:r>
      <w:r>
        <w:rPr>
          <w:rStyle w:val="cosearchterm"/>
        </w:rPr>
        <w:t>46</w:t>
      </w:r>
      <w:r>
        <w:t xml:space="preserve"> of the Commission's rules, 47 CFR §§ 0.19, 0.204, 0.351, 1.46, that the </w:t>
      </w:r>
      <w:r>
        <w:rPr>
          <w:rStyle w:val="cosearchterm"/>
        </w:rPr>
        <w:t>Motion</w:t>
      </w:r>
      <w:r>
        <w:t xml:space="preserve"> for </w:t>
      </w:r>
      <w:r>
        <w:rPr>
          <w:rStyle w:val="cosearchterm"/>
        </w:rPr>
        <w:t>Extension of</w:t>
      </w:r>
      <w:r>
        <w:t xml:space="preserve"> Time is DENIED.</w:t>
      </w:r>
    </w:p>
    <w:p w:rsidR="00867A89" w:rsidP="00867A89" w14:paraId="308CCF92" w14:textId="77777777">
      <w:pPr>
        <w:pStyle w:val="ParaNum"/>
        <w:widowControl w:val="0"/>
        <w:tabs>
          <w:tab w:val="clear" w:pos="360"/>
        </w:tabs>
        <w:ind w:firstLine="720"/>
      </w:pPr>
      <w:r w:rsidRPr="00765DA9">
        <w:t>Accordingly,</w:t>
      </w:r>
      <w:r>
        <w:t xml:space="preserve"> </w:t>
      </w:r>
      <w:r w:rsidRPr="00E27B15">
        <w:t>IT IS ORDERED</w:t>
      </w:r>
      <w:r w:rsidRPr="491AA5E7">
        <w:t xml:space="preserve">, pursuant to </w:t>
      </w:r>
      <w:r>
        <w:t>sections</w:t>
      </w:r>
      <w:r w:rsidRPr="491AA5E7">
        <w:t xml:space="preserve"> </w:t>
      </w:r>
      <w:r>
        <w:t>4(</w:t>
      </w:r>
      <w:r>
        <w:t>i</w:t>
      </w:r>
      <w:r>
        <w:t xml:space="preserve">), 214, </w:t>
      </w:r>
      <w:r w:rsidRPr="491AA5E7">
        <w:t xml:space="preserve">218, 219, </w:t>
      </w:r>
      <w:r>
        <w:t xml:space="preserve">and </w:t>
      </w:r>
      <w:r w:rsidRPr="491AA5E7">
        <w:t xml:space="preserve">403 of the Communications Act of 1934, as amended, 47 U.S.C. §§ </w:t>
      </w:r>
      <w:r>
        <w:t>4(</w:t>
      </w:r>
      <w:r>
        <w:t>i</w:t>
      </w:r>
      <w:r>
        <w:t xml:space="preserve">), 214, </w:t>
      </w:r>
      <w:r w:rsidRPr="491AA5E7">
        <w:t xml:space="preserve">218, 219, </w:t>
      </w:r>
      <w:r>
        <w:t xml:space="preserve">and </w:t>
      </w:r>
      <w:r w:rsidRPr="491AA5E7">
        <w:t xml:space="preserve">403, </w:t>
      </w:r>
      <w:r w:rsidR="008550EE">
        <w:t xml:space="preserve">and sections 0.19, 0.204, and 0.351 of the Commission's rules, 47 CFR §§ 0.19, 0.204, 0.351, </w:t>
      </w:r>
      <w:r>
        <w:t xml:space="preserve">that </w:t>
      </w:r>
      <w:r w:rsidRPr="491AA5E7">
        <w:t>th</w:t>
      </w:r>
      <w:r>
        <w:t xml:space="preserve">e Exemption from responding to certain portions of the One-Time Information Collection, as described herein, is </w:t>
      </w:r>
      <w:r w:rsidRPr="491AA5E7">
        <w:t>ADOPTED.</w:t>
      </w:r>
    </w:p>
    <w:p w:rsidR="00867A89" w:rsidP="00246DED" w14:paraId="2503F0BA" w14:textId="77777777">
      <w:pPr>
        <w:pStyle w:val="ParaNum"/>
        <w:widowControl w:val="0"/>
        <w:numPr>
          <w:ilvl w:val="0"/>
          <w:numId w:val="0"/>
        </w:numPr>
        <w:tabs>
          <w:tab w:val="clear" w:pos="1440"/>
        </w:tabs>
        <w:ind w:left="720"/>
      </w:pPr>
    </w:p>
    <w:p w:rsidR="00867A89" w:rsidP="00867A89" w14:paraId="2336DD7F" w14:textId="77777777">
      <w:pPr>
        <w:keepNext/>
        <w:keepLines/>
        <w:spacing w:after="120"/>
        <w:ind w:left="4320"/>
      </w:pPr>
    </w:p>
    <w:p w:rsidR="00867A89" w:rsidRPr="00BF0DCA" w:rsidP="00867A89" w14:paraId="0ADC2762" w14:textId="77777777">
      <w:pPr>
        <w:keepNext/>
        <w:keepLines/>
        <w:spacing w:after="120"/>
        <w:ind w:left="4320"/>
      </w:pPr>
      <w:r w:rsidRPr="00BF0DCA">
        <w:t>FEDERAL COMMUNICATIONS COMMISSION</w:t>
      </w:r>
    </w:p>
    <w:p w:rsidR="00867A89" w:rsidRPr="00BF0DCA" w:rsidP="00867A89" w14:paraId="3ADF90B3" w14:textId="77777777">
      <w:pPr>
        <w:keepNext/>
        <w:keepLines/>
      </w:pPr>
      <w:r w:rsidRPr="00BF0DCA">
        <w:tab/>
      </w:r>
      <w:r w:rsidRPr="00BF0DCA">
        <w:tab/>
      </w:r>
      <w:r w:rsidRPr="00BF0DCA">
        <w:tab/>
      </w:r>
    </w:p>
    <w:p w:rsidR="00867A89" w:rsidRPr="00BF0DCA" w:rsidP="00867A89" w14:paraId="2DBF026A" w14:textId="77777777">
      <w:pPr>
        <w:keepNext/>
        <w:keepLines/>
        <w:rPr>
          <w:color w:val="000000"/>
        </w:rPr>
      </w:pPr>
    </w:p>
    <w:p w:rsidR="00867A89" w:rsidRPr="00BF0DCA" w:rsidP="00867A89" w14:paraId="13CC58C1" w14:textId="77777777">
      <w:pPr>
        <w:keepNext/>
        <w:keepLines/>
        <w:ind w:left="4320"/>
        <w:rPr>
          <w:color w:val="000000"/>
        </w:rPr>
      </w:pPr>
      <w:r w:rsidRPr="00BF0DCA">
        <w:rPr>
          <w:color w:val="000000"/>
        </w:rPr>
        <w:tab/>
      </w:r>
      <w:r w:rsidRPr="00BF0DCA">
        <w:rPr>
          <w:color w:val="000000"/>
        </w:rPr>
        <w:tab/>
      </w:r>
      <w:r w:rsidRPr="00BF0DCA">
        <w:rPr>
          <w:color w:val="000000"/>
        </w:rPr>
        <w:tab/>
      </w:r>
      <w:r w:rsidRPr="00BF0DCA">
        <w:rPr>
          <w:color w:val="000000"/>
        </w:rPr>
        <w:tab/>
      </w:r>
      <w:r w:rsidRPr="00BF0DCA">
        <w:rPr>
          <w:color w:val="000000"/>
        </w:rPr>
        <w:tab/>
      </w:r>
    </w:p>
    <w:p w:rsidR="00867A89" w:rsidRPr="00BF0DCA" w:rsidP="00867A89" w14:paraId="21759917" w14:textId="77777777">
      <w:pPr>
        <w:keepNext/>
        <w:keepLines/>
        <w:ind w:left="4320"/>
        <w:rPr>
          <w:color w:val="000000"/>
        </w:rPr>
      </w:pPr>
    </w:p>
    <w:p w:rsidR="00867A89" w:rsidP="00867A89" w14:paraId="377ECAF1" w14:textId="77777777">
      <w:pPr>
        <w:keepNext/>
        <w:keepLines/>
        <w:ind w:left="4320"/>
      </w:pPr>
      <w:r>
        <w:t>Denise Coca</w:t>
      </w:r>
    </w:p>
    <w:p w:rsidR="00867A89" w:rsidRPr="00BF0DCA" w:rsidP="00867A89" w14:paraId="163C5340" w14:textId="77777777">
      <w:pPr>
        <w:keepNext/>
        <w:keepLines/>
        <w:ind w:left="4320"/>
      </w:pPr>
      <w:r w:rsidRPr="00BF0DCA">
        <w:t>Chief</w:t>
      </w:r>
    </w:p>
    <w:p w:rsidR="00867A89" w:rsidP="00867A89" w14:paraId="23526D9B" w14:textId="77777777">
      <w:pPr>
        <w:pStyle w:val="ParaNum"/>
        <w:numPr>
          <w:ilvl w:val="0"/>
          <w:numId w:val="0"/>
        </w:numPr>
        <w:spacing w:after="0"/>
        <w:ind w:left="3600" w:firstLine="720"/>
        <w:rPr>
          <w:color w:val="000000"/>
          <w:szCs w:val="22"/>
        </w:rPr>
      </w:pPr>
      <w:r>
        <w:rPr>
          <w:color w:val="000000"/>
          <w:szCs w:val="22"/>
        </w:rPr>
        <w:t xml:space="preserve">Telecommunications and Analysis Division </w:t>
      </w:r>
    </w:p>
    <w:p w:rsidR="00B67503" w:rsidP="007A4D41" w14:paraId="2C43A55B" w14:textId="77777777">
      <w:pPr>
        <w:ind w:left="3600" w:firstLine="720"/>
      </w:pPr>
      <w:r>
        <w:rPr>
          <w:color w:val="000000"/>
          <w:szCs w:val="22"/>
        </w:rPr>
        <w:t>Office of International Affairs</w:t>
      </w:r>
    </w:p>
    <w:sectPr>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Heavy Heap"/>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730B" w14:paraId="20A16A1B" w14:textId="77777777">
    <w:pPr>
      <w:pStyle w:val="Footer"/>
      <w:framePr w:wrap="around" w:vAnchor="text" w:hAnchor="margin" w:xAlign="center" w:y="1"/>
    </w:pPr>
    <w:r>
      <w:fldChar w:fldCharType="begin"/>
    </w:r>
    <w:r>
      <w:instrText xml:space="preserve">PAGE  </w:instrText>
    </w:r>
    <w:r w:rsidR="00BF430C">
      <w:fldChar w:fldCharType="separate"/>
    </w:r>
    <w:r>
      <w:fldChar w:fldCharType="end"/>
    </w:r>
  </w:p>
  <w:p w:rsidR="00B4730B" w14:paraId="6B704DA5" w14:textId="77777777">
    <w:pPr>
      <w:pStyle w:val="Footer"/>
    </w:pPr>
  </w:p>
  <w:p w:rsidR="00123BEE" w14:paraId="4E5FA9DA" w14:textId="77777777"/>
  <w:p w:rsidR="00123BEE" w14:paraId="4703F439"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730B" w14:paraId="5ACF3412"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123BEE" w14:paraId="5A0D716D" w14:textId="77777777"/>
  <w:p w:rsidR="00123BEE" w14:paraId="50C54919"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730B" w14:paraId="4BFC33C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C32FB" w14:paraId="3A2B69ED" w14:textId="77777777">
      <w:r>
        <w:separator/>
      </w:r>
    </w:p>
  </w:footnote>
  <w:footnote w:type="continuationSeparator" w:id="1">
    <w:p w:rsidR="00CC32FB" w14:paraId="3A16B841" w14:textId="77777777">
      <w:pPr>
        <w:rPr>
          <w:sz w:val="20"/>
        </w:rPr>
      </w:pPr>
      <w:r>
        <w:rPr>
          <w:sz w:val="20"/>
        </w:rPr>
        <w:t xml:space="preserve">(Continued from previous page)  </w:t>
      </w:r>
      <w:r>
        <w:rPr>
          <w:sz w:val="20"/>
        </w:rPr>
        <w:separator/>
      </w:r>
    </w:p>
  </w:footnote>
  <w:footnote w:type="continuationNotice" w:id="2">
    <w:p w:rsidR="00CC32FB" w14:paraId="7773FAE9" w14:textId="77777777">
      <w:pPr>
        <w:jc w:val="right"/>
        <w:rPr>
          <w:sz w:val="20"/>
        </w:rPr>
      </w:pPr>
      <w:r>
        <w:rPr>
          <w:sz w:val="20"/>
        </w:rPr>
        <w:t>(continued….)</w:t>
      </w:r>
    </w:p>
  </w:footnote>
  <w:footnote w:id="3">
    <w:p w:rsidR="00867A89" w:rsidP="00867A89" w14:paraId="370C96F1" w14:textId="77777777">
      <w:pPr>
        <w:pStyle w:val="FootnoteText"/>
      </w:pPr>
      <w:r w:rsidRPr="00951D9C">
        <w:rPr>
          <w:rStyle w:val="FootnoteReference"/>
          <w:sz w:val="20"/>
        </w:rPr>
        <w:footnoteRef/>
      </w:r>
      <w:r>
        <w:t xml:space="preserve"> </w:t>
      </w:r>
      <w:bookmarkStart w:id="1" w:name="_Hlk143531137"/>
      <w:r w:rsidRPr="00516053">
        <w:rPr>
          <w:i/>
          <w:iCs/>
        </w:rPr>
        <w:t>Review of International Section 214 Authorizations to Assess Evolving National Security, Law Enforcement, Foreign Policy, and Trade Policy Risks</w:t>
      </w:r>
      <w:r w:rsidRPr="00EE0A9F">
        <w:t xml:space="preserve">; </w:t>
      </w:r>
      <w:r w:rsidRPr="00516053">
        <w:rPr>
          <w:i/>
          <w:iCs/>
        </w:rPr>
        <w:t>Amendment of the Schedule of Application Fees Set Forth in Sections 1.1102 through 1.1109 of the Commission’s Rules</w:t>
      </w:r>
      <w:r>
        <w:t>, IB Docket No. 23-119, MD Docket No. 23-134, Order and Notice of Proposed Rulemaking, FCC 23-28, 2023 WL 3152050 (Apr. 20, 2023)</w:t>
      </w:r>
      <w:bookmarkEnd w:id="1"/>
      <w:r>
        <w:t xml:space="preserve"> (</w:t>
      </w:r>
      <w:r>
        <w:rPr>
          <w:i/>
          <w:iCs/>
        </w:rPr>
        <w:t>Evolving Risks Order and NPRM</w:t>
      </w:r>
      <w:r>
        <w:t>).</w:t>
      </w:r>
    </w:p>
  </w:footnote>
  <w:footnote w:id="4">
    <w:p w:rsidR="00867A89" w:rsidRPr="00AC211A" w:rsidP="00867A89" w14:paraId="79076BDF" w14:textId="77777777">
      <w:pPr>
        <w:pStyle w:val="FootnoteText"/>
      </w:pPr>
      <w:r>
        <w:rPr>
          <w:rStyle w:val="FootnoteReference"/>
        </w:rPr>
        <w:footnoteRef/>
      </w:r>
      <w:r>
        <w:t xml:space="preserve"> </w:t>
      </w:r>
      <w:r>
        <w:rPr>
          <w:i/>
          <w:iCs/>
        </w:rPr>
        <w:t xml:space="preserve">Id. </w:t>
      </w:r>
      <w:r>
        <w:t>at *1, para. 1.</w:t>
      </w:r>
    </w:p>
  </w:footnote>
  <w:footnote w:id="5">
    <w:p w:rsidR="00867A89" w:rsidRPr="002618FD" w:rsidP="00867A89" w14:paraId="2CC23F6D" w14:textId="77777777">
      <w:pPr>
        <w:pStyle w:val="FootnoteText"/>
      </w:pPr>
      <w:r>
        <w:rPr>
          <w:rStyle w:val="FootnoteReference"/>
        </w:rPr>
        <w:footnoteRef/>
      </w:r>
      <w:r>
        <w:t xml:space="preserve"> </w:t>
      </w:r>
      <w:r>
        <w:rPr>
          <w:i/>
          <w:iCs/>
        </w:rPr>
        <w:t>See id.</w:t>
      </w:r>
      <w:r>
        <w:t xml:space="preserve"> at *12, para. 24.</w:t>
      </w:r>
    </w:p>
  </w:footnote>
  <w:footnote w:id="6">
    <w:p w:rsidR="00867A89" w:rsidP="00867A89" w14:paraId="3308045A" w14:textId="77777777">
      <w:pPr>
        <w:pStyle w:val="FootnoteText"/>
      </w:pPr>
      <w:r>
        <w:rPr>
          <w:rStyle w:val="FootnoteReference"/>
        </w:rPr>
        <w:footnoteRef/>
      </w:r>
      <w:r>
        <w:t xml:space="preserve"> </w:t>
      </w:r>
      <w:r w:rsidRPr="00EB6FDD">
        <w:t>Federal Communications Commission, Review of International Authorizations To Assess Evolving National Security, Law Enforcement, Foreign Policy, and Trade Policy Risks; Amendment of the Schedule of Application Fees, 88 Fed. Reg. 50486 (Aug. 1, 2023)</w:t>
      </w:r>
      <w:r>
        <w:t xml:space="preserve"> (FCC Review of International Authorizations)</w:t>
      </w:r>
      <w:r w:rsidRPr="00EB6FDD">
        <w:t>.</w:t>
      </w:r>
    </w:p>
  </w:footnote>
  <w:footnote w:id="7">
    <w:p w:rsidR="00867A89" w:rsidP="00867A89" w14:paraId="559BBCAC" w14:textId="77777777">
      <w:pPr>
        <w:pStyle w:val="FootnoteText"/>
      </w:pPr>
      <w:r>
        <w:rPr>
          <w:rStyle w:val="FootnoteReference"/>
        </w:rPr>
        <w:footnoteRef/>
      </w:r>
      <w:r>
        <w:t xml:space="preserve"> </w:t>
      </w:r>
      <w:r w:rsidRPr="00D705D3">
        <w:rPr>
          <w:i/>
          <w:iCs/>
        </w:rPr>
        <w:t>Evolving Risks Order</w:t>
      </w:r>
      <w:r>
        <w:rPr>
          <w:i/>
          <w:iCs/>
        </w:rPr>
        <w:t xml:space="preserve"> and NPRM</w:t>
      </w:r>
      <w:r>
        <w:t xml:space="preserve"> at *11, para. 22.</w:t>
      </w:r>
    </w:p>
  </w:footnote>
  <w:footnote w:id="8">
    <w:p w:rsidR="00867A89" w:rsidRPr="00EB6FDD" w:rsidP="00867A89" w14:paraId="52A1F35E" w14:textId="77777777">
      <w:pPr>
        <w:pStyle w:val="FootnoteText"/>
      </w:pPr>
      <w:r w:rsidRPr="00DA5C9B">
        <w:rPr>
          <w:vertAlign w:val="superscript"/>
        </w:rPr>
        <w:footnoteRef/>
      </w:r>
      <w:r w:rsidRPr="00DA5C9B">
        <w:rPr>
          <w:vertAlign w:val="superscript"/>
        </w:rPr>
        <w:t xml:space="preserve"> </w:t>
      </w:r>
      <w:bookmarkStart w:id="2" w:name="_Hlk143531086"/>
      <w:r w:rsidRPr="00EB6FDD">
        <w:t xml:space="preserve">Motion for Extension of Time </w:t>
      </w:r>
      <w:r>
        <w:t>of</w:t>
      </w:r>
      <w:r w:rsidRPr="00EB6FDD">
        <w:t xml:space="preserve"> INCOMPAS and Morgan, Lewis &amp; Bockius, LLP, IB Docket No. 23-119, MD Docket No. 23-134, at 1-2 (filed Aug. 7, 2023), </w:t>
      </w:r>
      <w:hyperlink r:id="rId1" w:history="1">
        <w:r w:rsidRPr="00EB6FDD">
          <w:rPr>
            <w:rStyle w:val="Hyperlink"/>
          </w:rPr>
          <w:t>https://www.fcc.gov/ecfs/document/10807516728823/1</w:t>
        </w:r>
      </w:hyperlink>
      <w:r w:rsidRPr="00EB6FDD">
        <w:t xml:space="preserve"> </w:t>
      </w:r>
      <w:r w:rsidR="002531E5">
        <w:t xml:space="preserve">(Motion); </w:t>
      </w:r>
      <w:r w:rsidRPr="00102016">
        <w:rPr>
          <w:i/>
        </w:rPr>
        <w:t>see</w:t>
      </w:r>
      <w:r w:rsidRPr="00DA5C9B">
        <w:t xml:space="preserve"> </w:t>
      </w:r>
      <w:r>
        <w:t>FCC Review of International Authorizations</w:t>
      </w:r>
      <w:r w:rsidRPr="00EB6FDD">
        <w:t>, 88 Fed. Reg. 50486.</w:t>
      </w:r>
      <w:bookmarkEnd w:id="2"/>
    </w:p>
  </w:footnote>
  <w:footnote w:id="9">
    <w:p w:rsidR="00867A89" w:rsidRPr="00EB6FDD" w:rsidP="00867A89" w14:paraId="2A0231AB" w14:textId="77777777">
      <w:pPr>
        <w:pStyle w:val="FootnoteText"/>
      </w:pPr>
      <w:r w:rsidRPr="00DA5C9B">
        <w:rPr>
          <w:rStyle w:val="FootnoteReference"/>
          <w:sz w:val="20"/>
        </w:rPr>
        <w:footnoteRef/>
      </w:r>
      <w:r w:rsidRPr="00EB6FDD">
        <w:t xml:space="preserve"> </w:t>
      </w:r>
      <w:r w:rsidR="002531E5">
        <w:t xml:space="preserve">Motion </w:t>
      </w:r>
      <w:r w:rsidRPr="00EB6FDD">
        <w:t>at 2.</w:t>
      </w:r>
    </w:p>
  </w:footnote>
  <w:footnote w:id="10">
    <w:p w:rsidR="00867A89" w:rsidRPr="00EB6FDD" w:rsidP="00867A89" w14:paraId="313842C4" w14:textId="77777777">
      <w:pPr>
        <w:pStyle w:val="FootnoteText"/>
      </w:pPr>
      <w:r w:rsidRPr="00DA5C9B">
        <w:rPr>
          <w:vertAlign w:val="superscript"/>
        </w:rPr>
        <w:footnoteRef/>
      </w:r>
      <w:r w:rsidRPr="00DA5C9B">
        <w:rPr>
          <w:vertAlign w:val="superscript"/>
        </w:rPr>
        <w:t xml:space="preserve"> </w:t>
      </w:r>
      <w:r w:rsidRPr="00DA5C9B">
        <w:rPr>
          <w:i/>
        </w:rPr>
        <w:t>Id</w:t>
      </w:r>
      <w:r w:rsidRPr="00EB6FDD">
        <w:t xml:space="preserve">. </w:t>
      </w:r>
    </w:p>
  </w:footnote>
  <w:footnote w:id="11">
    <w:p w:rsidR="00867A89" w:rsidRPr="00EB6FDD" w:rsidP="00867A89" w14:paraId="56662448" w14:textId="77777777">
      <w:pPr>
        <w:pStyle w:val="FootnoteText"/>
      </w:pPr>
      <w:r w:rsidRPr="00DA5C9B">
        <w:rPr>
          <w:rStyle w:val="FootnoteReference"/>
          <w:sz w:val="20"/>
        </w:rPr>
        <w:footnoteRef/>
      </w:r>
      <w:r w:rsidRPr="00EB6FDD">
        <w:t xml:space="preserve"> </w:t>
      </w:r>
      <w:r w:rsidRPr="00DA5C9B">
        <w:rPr>
          <w:i/>
        </w:rPr>
        <w:t>Id</w:t>
      </w:r>
      <w:r w:rsidRPr="00EB6FDD">
        <w:t>. at 2-3 (</w:t>
      </w:r>
      <w:r>
        <w:t>providing</w:t>
      </w:r>
      <w:r w:rsidRPr="00EB6FDD">
        <w:t xml:space="preserve"> that “[</w:t>
      </w:r>
      <w:r w:rsidRPr="00EB6FDD">
        <w:t>i</w:t>
      </w:r>
      <w:r w:rsidRPr="00EB6FDD">
        <w:t>]n the case of INCOMPAS, [they] are a small staff and are in the middle of several proceedings at the FCC, including 12 GHz, robocalls, MVPD pricing, and [they] are working on comments that are due to the Senate’s USF working group on August 25.  Morgan Lewis represents numerous clients directly and indirectly in other ongoing FCC proceedings and transaction reviews, with varying deadlines”) (internal citations omitted).</w:t>
      </w:r>
    </w:p>
  </w:footnote>
  <w:footnote w:id="12">
    <w:p w:rsidR="00867A89" w:rsidRPr="00EB6FDD" w:rsidP="00867A89" w14:paraId="278AB826" w14:textId="77777777">
      <w:pPr>
        <w:pStyle w:val="FootnoteText"/>
      </w:pPr>
      <w:r w:rsidRPr="00DA5C9B">
        <w:rPr>
          <w:rStyle w:val="FootnoteReference"/>
          <w:sz w:val="20"/>
        </w:rPr>
        <w:footnoteRef/>
      </w:r>
      <w:r w:rsidRPr="00EB6FDD">
        <w:t xml:space="preserve"> </w:t>
      </w:r>
      <w:r w:rsidRPr="00DA5C9B">
        <w:rPr>
          <w:i/>
        </w:rPr>
        <w:t>Id</w:t>
      </w:r>
      <w:r w:rsidRPr="00EB6FDD">
        <w:t>. at 3.</w:t>
      </w:r>
    </w:p>
  </w:footnote>
  <w:footnote w:id="13">
    <w:p w:rsidR="00867A89" w:rsidRPr="00EB6FDD" w:rsidP="00867A89" w14:paraId="0FC7430E" w14:textId="77777777">
      <w:pPr>
        <w:pStyle w:val="FootnoteText"/>
      </w:pPr>
      <w:r w:rsidRPr="00DA5C9B">
        <w:rPr>
          <w:rStyle w:val="FootnoteReference"/>
          <w:sz w:val="20"/>
        </w:rPr>
        <w:footnoteRef/>
      </w:r>
      <w:r w:rsidRPr="00EB6FDD">
        <w:t xml:space="preserve"> </w:t>
      </w:r>
      <w:r>
        <w:t>47 CFR § 1.46.</w:t>
      </w:r>
    </w:p>
  </w:footnote>
  <w:footnote w:id="14">
    <w:p w:rsidR="00867A89" w:rsidP="00867A89" w14:paraId="6A641ADE" w14:textId="77777777">
      <w:pPr>
        <w:pStyle w:val="FootnoteText"/>
      </w:pPr>
      <w:r>
        <w:rPr>
          <w:rStyle w:val="FootnoteReference"/>
        </w:rPr>
        <w:footnoteRef/>
      </w:r>
      <w:r>
        <w:t xml:space="preserve"> FCC Review of International Authorizations,</w:t>
      </w:r>
      <w:r w:rsidRPr="00EB6FDD">
        <w:t xml:space="preserve"> 88 Fed. Reg. 50486</w:t>
      </w:r>
      <w:r>
        <w:t>.</w:t>
      </w:r>
    </w:p>
  </w:footnote>
  <w:footnote w:id="15">
    <w:p w:rsidR="00867A89" w:rsidP="00867A89" w14:paraId="1D67ABFD" w14:textId="77777777">
      <w:pPr>
        <w:pStyle w:val="FootnoteText"/>
      </w:pPr>
      <w:r>
        <w:rPr>
          <w:rStyle w:val="FootnoteReference"/>
        </w:rPr>
        <w:footnoteRef/>
      </w:r>
      <w:r>
        <w:t xml:space="preserve"> </w:t>
      </w:r>
      <w:bookmarkStart w:id="3" w:name="_Hlk143187825"/>
      <w:r w:rsidRPr="00D705D3" w:rsidR="006B7AE0">
        <w:rPr>
          <w:i/>
          <w:iCs/>
        </w:rPr>
        <w:t>Evolving Risks Order</w:t>
      </w:r>
      <w:r w:rsidR="006B7AE0">
        <w:rPr>
          <w:i/>
          <w:iCs/>
        </w:rPr>
        <w:t xml:space="preserve"> and NPRM</w:t>
      </w:r>
      <w:r>
        <w:t xml:space="preserve"> </w:t>
      </w:r>
      <w:bookmarkEnd w:id="3"/>
      <w:r>
        <w:t>at *9, para. 16.</w:t>
      </w:r>
    </w:p>
  </w:footnote>
  <w:footnote w:id="16">
    <w:p w:rsidR="00867A89" w:rsidP="00867A89" w14:paraId="2D3DCD9F" w14:textId="77777777">
      <w:pPr>
        <w:pStyle w:val="FootnoteText"/>
      </w:pPr>
      <w:r>
        <w:rPr>
          <w:rStyle w:val="FootnoteReference"/>
        </w:rPr>
        <w:footnoteRef/>
      </w:r>
      <w:r>
        <w:t xml:space="preserve"> </w:t>
      </w:r>
      <w:r>
        <w:rPr>
          <w:i/>
          <w:iCs/>
        </w:rPr>
        <w:t>Id.</w:t>
      </w:r>
      <w:r>
        <w:t xml:space="preserve"> at *10, para. 18 &amp; nn.73-74.</w:t>
      </w:r>
    </w:p>
  </w:footnote>
  <w:footnote w:id="17">
    <w:p w:rsidR="00867A89" w:rsidP="00867A89" w14:paraId="370615E5" w14:textId="77777777">
      <w:pPr>
        <w:pStyle w:val="FootnoteText"/>
      </w:pPr>
      <w:r w:rsidRPr="00DA5C9B">
        <w:rPr>
          <w:rStyle w:val="FootnoteReference"/>
          <w:sz w:val="20"/>
        </w:rPr>
        <w:footnoteRef/>
      </w:r>
      <w:r>
        <w:t xml:space="preserve"> </w:t>
      </w:r>
      <w:r>
        <w:rPr>
          <w:i/>
          <w:iCs/>
        </w:rPr>
        <w:t>Id.</w:t>
      </w:r>
      <w:r>
        <w:t xml:space="preserve"> at *10, para. 18.</w:t>
      </w:r>
    </w:p>
  </w:footnote>
  <w:footnote w:id="18">
    <w:p w:rsidR="00867A89" w:rsidRPr="00DA2AF7" w:rsidP="00867A89" w14:paraId="7F82B074" w14:textId="77777777">
      <w:pPr>
        <w:pStyle w:val="FootnoteText"/>
      </w:pPr>
      <w:r>
        <w:rPr>
          <w:rStyle w:val="FootnoteReference"/>
        </w:rPr>
        <w:footnoteRef/>
      </w:r>
      <w:r>
        <w:t xml:space="preserve"> </w:t>
      </w:r>
      <w:r>
        <w:rPr>
          <w:i/>
          <w:iCs/>
        </w:rPr>
        <w:t xml:space="preserve">Id. </w:t>
      </w:r>
      <w:r>
        <w:t>at *11, para. 21.</w:t>
      </w:r>
    </w:p>
  </w:footnote>
  <w:footnote w:id="19">
    <w:p w:rsidR="00867A89" w:rsidP="00867A89" w14:paraId="53B8502B" w14:textId="77777777">
      <w:pPr>
        <w:pStyle w:val="FootnoteText"/>
      </w:pPr>
      <w:r w:rsidRPr="00DA5C9B">
        <w:rPr>
          <w:rStyle w:val="FootnoteReference"/>
          <w:sz w:val="20"/>
        </w:rPr>
        <w:footnoteRef/>
      </w:r>
      <w:r>
        <w:t xml:space="preserve"> </w:t>
      </w:r>
      <w:r>
        <w:rPr>
          <w:i/>
          <w:iCs/>
        </w:rPr>
        <w:t xml:space="preserve">Id. </w:t>
      </w:r>
      <w:r>
        <w:t xml:space="preserve">(citing Letter from Angie Kronenberg, President, INCOMPAS, to Marlene H. Dortch, Secretary, FCC, IB Docket No. 23-119, at 1-2 (filed April 14, 2023) (INCOMPAS </w:t>
      </w:r>
      <w:r>
        <w:rPr>
          <w:i/>
          <w:iCs/>
        </w:rPr>
        <w:t xml:space="preserve">Ex </w:t>
      </w:r>
      <w:r>
        <w:rPr>
          <w:i/>
          <w:iCs/>
        </w:rPr>
        <w:t>Parte</w:t>
      </w:r>
      <w:r>
        <w:t xml:space="preserve">)). </w:t>
      </w:r>
    </w:p>
  </w:footnote>
  <w:footnote w:id="20">
    <w:p w:rsidR="00867A89" w:rsidRPr="00980E2B" w:rsidP="00867A89" w14:paraId="60E86F8A" w14:textId="77777777">
      <w:pPr>
        <w:pStyle w:val="FootnoteText"/>
        <w:rPr>
          <w:i/>
        </w:rPr>
      </w:pPr>
      <w:r>
        <w:rPr>
          <w:rStyle w:val="FootnoteReference"/>
        </w:rPr>
        <w:footnoteRef/>
      </w:r>
      <w:r>
        <w:t xml:space="preserve"> To qualify for the Exemption, there must be </w:t>
      </w:r>
      <w:r w:rsidRPr="002F5AD3">
        <w:t xml:space="preserve">no changes to the </w:t>
      </w:r>
      <w:r>
        <w:t>R</w:t>
      </w:r>
      <w:r w:rsidRPr="002F5AD3">
        <w:t xml:space="preserve">eportable Foreign Interest Holders disclosed in the application </w:t>
      </w:r>
      <w:bookmarkStart w:id="4" w:name="_Hlk142956943"/>
      <w:r w:rsidRPr="002F5AD3">
        <w:t>(including any amendment)</w:t>
      </w:r>
      <w:bookmarkEnd w:id="4"/>
      <w:r>
        <w:t xml:space="preserve">, including </w:t>
      </w:r>
      <w:r w:rsidRPr="00764A2C">
        <w:rPr>
          <w:rStyle w:val="cf01"/>
          <w:rFonts w:ascii="Times New Roman" w:hAnsi="Times New Roman" w:eastAsiaTheme="minorEastAsia" w:cs="Times New Roman"/>
          <w:i w:val="0"/>
          <w:iCs w:val="0"/>
          <w:sz w:val="20"/>
          <w:szCs w:val="20"/>
        </w:rPr>
        <w:t>but not limited to</w:t>
      </w:r>
      <w:r>
        <w:t xml:space="preserve">: </w:t>
      </w:r>
      <w:r w:rsidRPr="00AB36FA">
        <w:t>no change in the reported citizenship(s),</w:t>
      </w:r>
      <w:r w:rsidRPr="008C756E">
        <w:t xml:space="preserve"> including dual or multiple citizenships, </w:t>
      </w:r>
      <w:r>
        <w:t xml:space="preserve">and/or place(s) of organization </w:t>
      </w:r>
      <w:r w:rsidRPr="008C756E">
        <w:t xml:space="preserve">of any </w:t>
      </w:r>
      <w:r>
        <w:t>R</w:t>
      </w:r>
      <w:r w:rsidRPr="008C756E">
        <w:t>eportable Foreign Interest Holder;</w:t>
      </w:r>
      <w:r>
        <w:t xml:space="preserve"> n</w:t>
      </w:r>
      <w:r w:rsidRPr="00DF3B8F">
        <w:t xml:space="preserve">o removal of any </w:t>
      </w:r>
      <w:r>
        <w:t>R</w:t>
      </w:r>
      <w:r w:rsidRPr="00DF3B8F">
        <w:t>eportable Foreign Interest Holder from an Authorization Holder’s chain of ownership; and</w:t>
      </w:r>
      <w:r>
        <w:t xml:space="preserve"> n</w:t>
      </w:r>
      <w:r w:rsidRPr="009A1D34">
        <w:t xml:space="preserve">o change in a </w:t>
      </w:r>
      <w:r>
        <w:t>R</w:t>
      </w:r>
      <w:r w:rsidRPr="009A1D34">
        <w:t>eportable Foreign Interest Holder’s ownership interests to less than 10% equity and/or voting interests or less than a controlling interest.</w:t>
      </w:r>
      <w:r w:rsidR="00C37C2F">
        <w:t xml:space="preserve">  </w:t>
      </w:r>
      <w:r w:rsidR="00980E2B">
        <w:rPr>
          <w:i/>
          <w:iCs/>
        </w:rPr>
        <w:t xml:space="preserve">See </w:t>
      </w:r>
      <w:r w:rsidRPr="00D705D3" w:rsidR="00980E2B">
        <w:rPr>
          <w:i/>
          <w:iCs/>
        </w:rPr>
        <w:t>Evolving Risks Order</w:t>
      </w:r>
      <w:r w:rsidR="00980E2B">
        <w:rPr>
          <w:i/>
          <w:iCs/>
        </w:rPr>
        <w:t xml:space="preserve"> and NPRM</w:t>
      </w:r>
      <w:r w:rsidR="00980E2B">
        <w:t xml:space="preserve"> at </w:t>
      </w:r>
      <w:r w:rsidR="00906E3D">
        <w:t xml:space="preserve">*10-11, </w:t>
      </w:r>
      <w:r w:rsidR="00424B3A">
        <w:t>par</w:t>
      </w:r>
      <w:r w:rsidR="003B4CA9">
        <w:t>as. 18-20 &amp; nn.</w:t>
      </w:r>
      <w:r w:rsidR="005C0FB3">
        <w:t>72</w:t>
      </w:r>
      <w:r w:rsidR="00D049AE">
        <w:t>-</w:t>
      </w:r>
      <w:r w:rsidR="005C0FB3">
        <w:t>7</w:t>
      </w:r>
      <w:r w:rsidR="007A6832">
        <w:t>4</w:t>
      </w:r>
      <w:r w:rsidR="00E620CB">
        <w:t>, 78-80</w:t>
      </w:r>
      <w:r w:rsidR="00D049AE">
        <w:t>.</w:t>
      </w:r>
    </w:p>
  </w:footnote>
  <w:footnote w:id="21">
    <w:p w:rsidR="00867A89" w:rsidP="00867A89" w14:paraId="500BECE1" w14:textId="77777777">
      <w:pPr>
        <w:pStyle w:val="FootnoteText"/>
      </w:pPr>
      <w:r>
        <w:rPr>
          <w:rStyle w:val="FootnoteReference"/>
        </w:rPr>
        <w:footnoteRef/>
      </w:r>
      <w:r>
        <w:t xml:space="preserve"> </w:t>
      </w:r>
      <w:r w:rsidR="00850E00">
        <w:rPr>
          <w:i/>
          <w:iCs/>
        </w:rPr>
        <w:t>Id.</w:t>
      </w:r>
      <w:r>
        <w:t xml:space="preserve"> at *11, para. 22.</w:t>
      </w:r>
    </w:p>
  </w:footnote>
  <w:footnote w:id="22">
    <w:p w:rsidR="00867A89" w:rsidP="00867A89" w14:paraId="748B5538" w14:textId="77777777">
      <w:pPr>
        <w:pStyle w:val="FootnoteText"/>
      </w:pPr>
      <w:r>
        <w:rPr>
          <w:rStyle w:val="FootnoteReference"/>
        </w:rPr>
        <w:footnoteRef/>
      </w:r>
      <w:r>
        <w:t xml:space="preserve"> </w:t>
      </w:r>
      <w:r w:rsidRPr="00EB6FDD">
        <w:rPr>
          <w:i/>
          <w:iCs/>
        </w:rPr>
        <w:t>Id</w:t>
      </w:r>
      <w:r w:rsidRPr="00EB6FDD">
        <w:t>.</w:t>
      </w:r>
      <w:r>
        <w:t xml:space="preserve"> at *11, para. 21.</w:t>
      </w:r>
      <w:r w:rsidR="000930D0">
        <w:t xml:space="preserve">  </w:t>
      </w:r>
      <w:r w:rsidR="00532B40">
        <w:t xml:space="preserve">On June </w:t>
      </w:r>
      <w:r w:rsidRPr="00532B40" w:rsidR="00532B40">
        <w:t>6</w:t>
      </w:r>
      <w:r w:rsidR="00532B40">
        <w:t xml:space="preserve">, </w:t>
      </w:r>
      <w:r w:rsidRPr="00532B40" w:rsidR="00532B40">
        <w:t>2023</w:t>
      </w:r>
      <w:r w:rsidR="00532B40">
        <w:t xml:space="preserve">, </w:t>
      </w:r>
      <w:r w:rsidR="00871447">
        <w:t xml:space="preserve">OMB granted approval of the </w:t>
      </w:r>
      <w:r w:rsidR="00FC0AB7">
        <w:t xml:space="preserve">new information collection adopted in the </w:t>
      </w:r>
      <w:r w:rsidRPr="00D705D3" w:rsidR="00FC0AB7">
        <w:rPr>
          <w:i/>
          <w:iCs/>
        </w:rPr>
        <w:t>Evolving Risks Order</w:t>
      </w:r>
      <w:r w:rsidR="00532B40">
        <w:t>.</w:t>
      </w:r>
      <w:r w:rsidR="00547893">
        <w:t xml:space="preserve">  </w:t>
      </w:r>
      <w:r w:rsidRPr="000D02B5" w:rsidR="001A0A82">
        <w:rPr>
          <w:i/>
          <w:iCs/>
        </w:rPr>
        <w:t>Reporting On Foreign Ownership of International Section 214 Authorization Holders</w:t>
      </w:r>
      <w:r w:rsidR="001A0A82">
        <w:t xml:space="preserve">, </w:t>
      </w:r>
      <w:r w:rsidRPr="004B7ABC" w:rsidR="004B7ABC">
        <w:t xml:space="preserve">Notice </w:t>
      </w:r>
      <w:r w:rsidR="004B7ABC">
        <w:t>o</w:t>
      </w:r>
      <w:r w:rsidRPr="004B7ABC" w:rsidR="004B7ABC">
        <w:t xml:space="preserve">f Office </w:t>
      </w:r>
      <w:r w:rsidR="004B7ABC">
        <w:t>o</w:t>
      </w:r>
      <w:r w:rsidRPr="004B7ABC" w:rsidR="004B7ABC">
        <w:t xml:space="preserve">f Management </w:t>
      </w:r>
      <w:r w:rsidR="004B7ABC">
        <w:t>a</w:t>
      </w:r>
      <w:r w:rsidRPr="004B7ABC" w:rsidR="004B7ABC">
        <w:t>nd Budget Action</w:t>
      </w:r>
      <w:r w:rsidR="00DF1512">
        <w:t xml:space="preserve">, </w:t>
      </w:r>
      <w:r w:rsidRPr="00DF1512" w:rsidR="00DF1512">
        <w:t>OMB Control No</w:t>
      </w:r>
      <w:r w:rsidR="00DF1512">
        <w:t>.</w:t>
      </w:r>
      <w:r w:rsidRPr="00DF1512" w:rsidR="00DF1512">
        <w:t xml:space="preserve"> 3060-1308</w:t>
      </w:r>
      <w:r w:rsidRPr="00B630CF" w:rsidR="00B630CF">
        <w:t xml:space="preserve"> </w:t>
      </w:r>
      <w:r w:rsidR="00B630CF">
        <w:t xml:space="preserve">(June 6, 2023), </w:t>
      </w:r>
      <w:hyperlink r:id="rId2" w:history="1">
        <w:r w:rsidRPr="006E7EB6" w:rsidR="00B630CF">
          <w:rPr>
            <w:rStyle w:val="Hyperlink"/>
          </w:rPr>
          <w:t>https://www.reginfo.gov/public/do/PRAViewICR?ref_nbr=202305-3060-001#</w:t>
        </w:r>
      </w:hyperlink>
      <w:r w:rsidR="00A8085E">
        <w:t xml:space="preserve">; </w:t>
      </w:r>
      <w:r w:rsidRPr="00102016" w:rsidR="00F362B3">
        <w:rPr>
          <w:i/>
        </w:rPr>
        <w:t>see</w:t>
      </w:r>
      <w:r w:rsidRPr="00DA5C9B" w:rsidR="00F362B3">
        <w:t xml:space="preserve"> </w:t>
      </w:r>
      <w:r w:rsidR="00F362B3">
        <w:t>FCC Review of International Authorizations</w:t>
      </w:r>
      <w:r w:rsidRPr="00EB6FDD" w:rsidR="00F362B3">
        <w:t>, 88 Fed. Reg. 50486.</w:t>
      </w:r>
    </w:p>
  </w:footnote>
  <w:footnote w:id="23">
    <w:p w:rsidR="00867A89" w:rsidP="00867A89" w14:paraId="20512B40" w14:textId="77777777">
      <w:pPr>
        <w:pStyle w:val="FootnoteText"/>
      </w:pPr>
      <w:r>
        <w:rPr>
          <w:rStyle w:val="FootnoteReference"/>
        </w:rPr>
        <w:footnoteRef/>
      </w:r>
      <w:r>
        <w:t xml:space="preserve"> </w:t>
      </w:r>
      <w:r w:rsidRPr="00D705D3" w:rsidR="000F60D3">
        <w:rPr>
          <w:i/>
          <w:iCs/>
        </w:rPr>
        <w:t>Evolving Risks Order</w:t>
      </w:r>
      <w:r w:rsidR="000F60D3">
        <w:rPr>
          <w:i/>
          <w:iCs/>
        </w:rPr>
        <w:t xml:space="preserve"> and NPRM</w:t>
      </w:r>
      <w:r w:rsidR="000F60D3">
        <w:t xml:space="preserve"> at *11, para. 21.</w:t>
      </w:r>
    </w:p>
  </w:footnote>
  <w:footnote w:id="24">
    <w:p w:rsidR="00867A89" w:rsidP="00867A89" w14:paraId="64F4EAEC" w14:textId="77777777">
      <w:pPr>
        <w:pStyle w:val="FootnoteText"/>
      </w:pPr>
      <w:r>
        <w:rPr>
          <w:rStyle w:val="FootnoteReference"/>
        </w:rPr>
        <w:footnoteRef/>
      </w:r>
      <w:r>
        <w:t xml:space="preserve"> </w:t>
      </w:r>
      <w:r w:rsidRPr="00EB6FDD">
        <w:rPr>
          <w:i/>
          <w:iCs/>
        </w:rPr>
        <w:t>Id</w:t>
      </w:r>
      <w:r w:rsidRPr="00EB6FDD">
        <w:t>.</w:t>
      </w:r>
    </w:p>
  </w:footnote>
  <w:footnote w:id="25">
    <w:p w:rsidR="00867A89" w:rsidP="00867A89" w14:paraId="22E5542D" w14:textId="77777777">
      <w:pPr>
        <w:pStyle w:val="FootnoteText"/>
      </w:pPr>
      <w:r>
        <w:rPr>
          <w:rStyle w:val="FootnoteReference"/>
        </w:rPr>
        <w:footnoteRef/>
      </w:r>
      <w:r>
        <w:t xml:space="preserve"> </w:t>
      </w:r>
      <w:r w:rsidRPr="00AE11EF">
        <w:t xml:space="preserve">47 CFR § 1.8002(a) (“The FRN must be obtained by anyone doing business with the Commission, see 31 U.S.C. 7701(c)(2) . . . .”).  </w:t>
      </w:r>
    </w:p>
  </w:footnote>
  <w:footnote w:id="26">
    <w:p w:rsidR="00867A89" w:rsidP="00867A89" w14:paraId="52DB002A" w14:textId="77777777">
      <w:pPr>
        <w:pStyle w:val="FootnoteText"/>
      </w:pPr>
      <w:r>
        <w:rPr>
          <w:rStyle w:val="FootnoteReference"/>
        </w:rPr>
        <w:footnoteRef/>
      </w:r>
      <w:r>
        <w:t xml:space="preserve"> </w:t>
      </w:r>
      <w:r w:rsidRPr="00D705D3">
        <w:rPr>
          <w:i/>
          <w:iCs/>
        </w:rPr>
        <w:t>Evolving Risks Order</w:t>
      </w:r>
      <w:r>
        <w:rPr>
          <w:i/>
          <w:iCs/>
        </w:rPr>
        <w:t xml:space="preserve"> and NPRM</w:t>
      </w:r>
      <w:r>
        <w:t xml:space="preserve"> at *11, para. 22.</w:t>
      </w:r>
    </w:p>
  </w:footnote>
  <w:footnote w:id="27">
    <w:p w:rsidR="00867A89" w:rsidRPr="00EE0A9F" w:rsidP="00867A89" w14:paraId="36A21F7A" w14:textId="77777777">
      <w:pPr>
        <w:pStyle w:val="FootnoteText"/>
        <w:rPr>
          <w:i/>
        </w:rPr>
      </w:pPr>
      <w:r>
        <w:rPr>
          <w:rStyle w:val="FootnoteReference"/>
        </w:rPr>
        <w:footnoteRef/>
      </w:r>
      <w:r>
        <w:t xml:space="preserve"> </w:t>
      </w:r>
      <w:r>
        <w:rPr>
          <w:i/>
          <w:iCs/>
        </w:rPr>
        <w:t>Id.</w:t>
      </w:r>
    </w:p>
  </w:footnote>
  <w:footnote w:id="28">
    <w:p w:rsidR="00867A89" w:rsidP="00867A89" w14:paraId="049E6B75" w14:textId="77777777">
      <w:pPr>
        <w:pStyle w:val="FootnoteText"/>
      </w:pPr>
      <w:r>
        <w:rPr>
          <w:rStyle w:val="FootnoteReference"/>
        </w:rPr>
        <w:footnoteRef/>
      </w:r>
      <w:r>
        <w:t xml:space="preserve"> </w:t>
      </w:r>
      <w:r>
        <w:rPr>
          <w:i/>
          <w:iCs/>
        </w:rPr>
        <w:t>I</w:t>
      </w:r>
      <w:r w:rsidRPr="00EB6FDD">
        <w:rPr>
          <w:i/>
          <w:iCs/>
        </w:rPr>
        <w:t>d</w:t>
      </w:r>
      <w:r w:rsidRPr="00EB6FDD">
        <w:t>.</w:t>
      </w:r>
      <w:r w:rsidR="007517E5">
        <w:t xml:space="preserve">  </w:t>
      </w:r>
      <w:r w:rsidRPr="00AE11EF" w:rsidR="007517E5">
        <w:t xml:space="preserve">An authorization holder may obtain an FRN through the Commission’s CORES webpage.  FCC, </w:t>
      </w:r>
      <w:r w:rsidRPr="00AE11EF" w:rsidR="007517E5">
        <w:rPr>
          <w:i/>
        </w:rPr>
        <w:t>Commission Registration System (CORES)</w:t>
      </w:r>
      <w:r w:rsidRPr="00AE11EF" w:rsidR="007517E5">
        <w:t xml:space="preserve">, </w:t>
      </w:r>
      <w:hyperlink r:id="rId3" w:history="1">
        <w:r w:rsidRPr="00AE11EF" w:rsidR="007517E5">
          <w:rPr>
            <w:rStyle w:val="Hyperlink"/>
          </w:rPr>
          <w:t>https://apps.fcc.gov/cores/userLogin.do</w:t>
        </w:r>
      </w:hyperlink>
      <w:r w:rsidRPr="00AE11EF" w:rsidR="007517E5">
        <w:rPr>
          <w:rStyle w:val="Hyperlink"/>
          <w:u w:val="none"/>
        </w:rPr>
        <w:t xml:space="preserve"> </w:t>
      </w:r>
      <w:r w:rsidRPr="00AE11EF" w:rsidR="007517E5">
        <w:t xml:space="preserve">(last visited </w:t>
      </w:r>
      <w:r w:rsidR="007517E5">
        <w:t xml:space="preserve">Aug. </w:t>
      </w:r>
      <w:r w:rsidR="00A230F0">
        <w:t>22</w:t>
      </w:r>
      <w:r w:rsidR="007517E5">
        <w:t xml:space="preserve">, </w:t>
      </w:r>
      <w:r w:rsidRPr="00AE11EF" w:rsidR="007517E5">
        <w:t>2023)</w:t>
      </w:r>
      <w:r w:rsidR="00070A9F">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730B" w14:paraId="05541A38" w14:textId="77777777">
    <w:pPr>
      <w:tabs>
        <w:tab w:val="center" w:pos="4680"/>
        <w:tab w:val="right" w:pos="9360"/>
      </w:tabs>
    </w:pPr>
    <w:r>
      <w:rPr>
        <w:b/>
      </w:rPr>
      <w:tab/>
      <w:t>Federal Communications Commission</w:t>
    </w:r>
    <w:r>
      <w:rPr>
        <w:b/>
      </w:rPr>
      <w:tab/>
    </w:r>
    <w:r w:rsidR="00460A03">
      <w:rPr>
        <w:b/>
      </w:rPr>
      <w:t xml:space="preserve">DA </w:t>
    </w:r>
    <w:r w:rsidRPr="00184CC8" w:rsidR="00460A03">
      <w:rPr>
        <w:b/>
      </w:rPr>
      <w:t>23-745</w:t>
    </w:r>
  </w:p>
  <w:p w:rsidR="00B4730B" w14:paraId="067E94B0"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123BEE" w14:paraId="411ADC35"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C3041" w:rsidP="00FC3041" w14:paraId="725B9855" w14:textId="77777777">
    <w:pPr>
      <w:tabs>
        <w:tab w:val="center" w:pos="4680"/>
        <w:tab w:val="right" w:pos="9360"/>
      </w:tabs>
    </w:pPr>
    <w:r>
      <w:rPr>
        <w:b/>
      </w:rPr>
      <w:tab/>
      <w:t>Federal Communications Commission</w:t>
    </w:r>
    <w:r>
      <w:rPr>
        <w:b/>
      </w:rPr>
      <w:tab/>
    </w:r>
    <w:r w:rsidR="00184CC8">
      <w:rPr>
        <w:b/>
      </w:rPr>
      <w:t xml:space="preserve">DA </w:t>
    </w:r>
    <w:r w:rsidRPr="00184CC8" w:rsidR="00184CC8">
      <w:rPr>
        <w:b/>
      </w:rPr>
      <w:t>23-745</w:t>
    </w:r>
  </w:p>
  <w:p w:rsidR="00FC3041" w:rsidP="00FC3041" w14:paraId="3EEFDC0E"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150994436" name="Rectangle 115099443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150994436" o:spid="_x0000_s2050"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BE7497F"/>
    <w:multiLevelType w:val="hybridMultilevel"/>
    <w:tmpl w:val="278EE25C"/>
    <w:lvl w:ilvl="0">
      <w:start w:val="1"/>
      <w:numFmt w:val="decimal"/>
      <w:lvlText w:val="(%1)"/>
      <w:lvlJc w:val="left"/>
      <w:pPr>
        <w:ind w:left="1080" w:hanging="360"/>
      </w:pPr>
      <w:rPr>
        <w:rFonts w:hint="default"/>
        <w:sz w:val="22"/>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178B54D8"/>
    <w:multiLevelType w:val="hybridMultilevel"/>
    <w:tmpl w:val="061C9B80"/>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
    <w:nsid w:val="59BA0F8A"/>
    <w:multiLevelType w:val="singleLevel"/>
    <w:tmpl w:val="C03E86D2"/>
    <w:lvl w:ilvl="0">
      <w:start w:val="1"/>
      <w:numFmt w:val="bullet"/>
      <w:lvlText w:val=""/>
      <w:lvlJc w:val="left"/>
      <w:pPr>
        <w:tabs>
          <w:tab w:val="num" w:pos="2520"/>
        </w:tabs>
        <w:ind w:left="2520" w:hanging="360"/>
      </w:pPr>
      <w:rPr>
        <w:rFonts w:ascii="Symbol" w:hAnsi="Symbol" w:hint="default"/>
      </w:rPr>
    </w:lvl>
  </w:abstractNum>
  <w:abstractNum w:abstractNumId="9">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0">
    <w:nsid w:val="67963E44"/>
    <w:multiLevelType w:val="hybridMultilevel"/>
    <w:tmpl w:val="D2164AC8"/>
    <w:lvl w:ilvl="0">
      <w:start w:val="1"/>
      <w:numFmt w:val="decimal"/>
      <w:lvlText w:val="(%1)"/>
      <w:lvlJc w:val="left"/>
      <w:pPr>
        <w:ind w:left="1080" w:hanging="360"/>
      </w:pPr>
      <w:rPr>
        <w:rFonts w:hint="default"/>
        <w:sz w:val="22"/>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6BE20A48"/>
    <w:multiLevelType w:val="multilevel"/>
    <w:tmpl w:val="58645E2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ind w:left="108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5"/>
  </w:num>
  <w:num w:numId="4">
    <w:abstractNumId w:val="6"/>
  </w:num>
  <w:num w:numId="5">
    <w:abstractNumId w:val="4"/>
  </w:num>
  <w:num w:numId="6">
    <w:abstractNumId w:val="0"/>
  </w:num>
  <w:num w:numId="7">
    <w:abstractNumId w:val="8"/>
  </w:num>
  <w:num w:numId="8">
    <w:abstractNumId w:val="7"/>
  </w:num>
  <w:num w:numId="9">
    <w:abstractNumId w:val="11"/>
  </w:num>
  <w:num w:numId="10">
    <w:abstractNumId w:val="2"/>
  </w:num>
  <w:num w:numId="11">
    <w:abstractNumId w:val="10"/>
  </w:num>
  <w:num w:numId="12">
    <w:abstractNumId w:val="1"/>
  </w:num>
  <w:num w:numId="13">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75C"/>
    <w:rsid w:val="00000BE6"/>
    <w:rsid w:val="000010DD"/>
    <w:rsid w:val="00001C42"/>
    <w:rsid w:val="00001C54"/>
    <w:rsid w:val="00001E50"/>
    <w:rsid w:val="00002551"/>
    <w:rsid w:val="0000344B"/>
    <w:rsid w:val="0000465A"/>
    <w:rsid w:val="00004EFB"/>
    <w:rsid w:val="00006865"/>
    <w:rsid w:val="000102AB"/>
    <w:rsid w:val="000104A4"/>
    <w:rsid w:val="00010EB3"/>
    <w:rsid w:val="0001115B"/>
    <w:rsid w:val="000147DE"/>
    <w:rsid w:val="00015E2B"/>
    <w:rsid w:val="00016E5D"/>
    <w:rsid w:val="000200DC"/>
    <w:rsid w:val="00020DB0"/>
    <w:rsid w:val="0002156D"/>
    <w:rsid w:val="0002298F"/>
    <w:rsid w:val="00022B2D"/>
    <w:rsid w:val="0002335D"/>
    <w:rsid w:val="00024B4E"/>
    <w:rsid w:val="000260D3"/>
    <w:rsid w:val="00027DB2"/>
    <w:rsid w:val="00030F49"/>
    <w:rsid w:val="00031654"/>
    <w:rsid w:val="0003189E"/>
    <w:rsid w:val="00031D1C"/>
    <w:rsid w:val="000323DC"/>
    <w:rsid w:val="00032D33"/>
    <w:rsid w:val="00032EB8"/>
    <w:rsid w:val="0003303C"/>
    <w:rsid w:val="000347BC"/>
    <w:rsid w:val="000352C6"/>
    <w:rsid w:val="0003570F"/>
    <w:rsid w:val="00035B6C"/>
    <w:rsid w:val="000362D5"/>
    <w:rsid w:val="00037A8C"/>
    <w:rsid w:val="00041ADF"/>
    <w:rsid w:val="00042000"/>
    <w:rsid w:val="00043D4F"/>
    <w:rsid w:val="0004449F"/>
    <w:rsid w:val="00044714"/>
    <w:rsid w:val="00044FBD"/>
    <w:rsid w:val="00045215"/>
    <w:rsid w:val="00045CD8"/>
    <w:rsid w:val="00045FBB"/>
    <w:rsid w:val="00046A8F"/>
    <w:rsid w:val="00047C84"/>
    <w:rsid w:val="00047D31"/>
    <w:rsid w:val="00050F47"/>
    <w:rsid w:val="000523AD"/>
    <w:rsid w:val="00052591"/>
    <w:rsid w:val="00052691"/>
    <w:rsid w:val="000527E1"/>
    <w:rsid w:val="0005301C"/>
    <w:rsid w:val="000546D0"/>
    <w:rsid w:val="000549B9"/>
    <w:rsid w:val="000555BE"/>
    <w:rsid w:val="000556CE"/>
    <w:rsid w:val="00055D5F"/>
    <w:rsid w:val="00055DD8"/>
    <w:rsid w:val="000566F6"/>
    <w:rsid w:val="00062028"/>
    <w:rsid w:val="00062392"/>
    <w:rsid w:val="00063EF7"/>
    <w:rsid w:val="00063F0B"/>
    <w:rsid w:val="00064A00"/>
    <w:rsid w:val="0006562E"/>
    <w:rsid w:val="00070A9F"/>
    <w:rsid w:val="000723CA"/>
    <w:rsid w:val="0007296E"/>
    <w:rsid w:val="0007366C"/>
    <w:rsid w:val="00074685"/>
    <w:rsid w:val="00076172"/>
    <w:rsid w:val="00076512"/>
    <w:rsid w:val="00081355"/>
    <w:rsid w:val="00082537"/>
    <w:rsid w:val="000828AA"/>
    <w:rsid w:val="000829C4"/>
    <w:rsid w:val="00083EAB"/>
    <w:rsid w:val="00085326"/>
    <w:rsid w:val="00086042"/>
    <w:rsid w:val="00086139"/>
    <w:rsid w:val="00087120"/>
    <w:rsid w:val="00087ACA"/>
    <w:rsid w:val="00087D8F"/>
    <w:rsid w:val="0009182A"/>
    <w:rsid w:val="00092D45"/>
    <w:rsid w:val="000930D0"/>
    <w:rsid w:val="000944DB"/>
    <w:rsid w:val="00094874"/>
    <w:rsid w:val="000951DA"/>
    <w:rsid w:val="00096E08"/>
    <w:rsid w:val="000A1089"/>
    <w:rsid w:val="000A1803"/>
    <w:rsid w:val="000A1E4B"/>
    <w:rsid w:val="000A2DE3"/>
    <w:rsid w:val="000A357F"/>
    <w:rsid w:val="000A3D4E"/>
    <w:rsid w:val="000A5A14"/>
    <w:rsid w:val="000A7731"/>
    <w:rsid w:val="000B0859"/>
    <w:rsid w:val="000B0EBE"/>
    <w:rsid w:val="000B1DC5"/>
    <w:rsid w:val="000B233B"/>
    <w:rsid w:val="000B2CED"/>
    <w:rsid w:val="000B3869"/>
    <w:rsid w:val="000B5B3D"/>
    <w:rsid w:val="000B5E84"/>
    <w:rsid w:val="000C1152"/>
    <w:rsid w:val="000C1339"/>
    <w:rsid w:val="000C22AF"/>
    <w:rsid w:val="000C287B"/>
    <w:rsid w:val="000C2C8A"/>
    <w:rsid w:val="000C3558"/>
    <w:rsid w:val="000C3B23"/>
    <w:rsid w:val="000C477B"/>
    <w:rsid w:val="000C47C0"/>
    <w:rsid w:val="000C536F"/>
    <w:rsid w:val="000C6B80"/>
    <w:rsid w:val="000C76BE"/>
    <w:rsid w:val="000C7788"/>
    <w:rsid w:val="000D02B5"/>
    <w:rsid w:val="000D0CAB"/>
    <w:rsid w:val="000D1084"/>
    <w:rsid w:val="000D265C"/>
    <w:rsid w:val="000D3092"/>
    <w:rsid w:val="000D4DEA"/>
    <w:rsid w:val="000D65A9"/>
    <w:rsid w:val="000D66B2"/>
    <w:rsid w:val="000E0278"/>
    <w:rsid w:val="000E2155"/>
    <w:rsid w:val="000E4515"/>
    <w:rsid w:val="000E4691"/>
    <w:rsid w:val="000E541C"/>
    <w:rsid w:val="000E5AE8"/>
    <w:rsid w:val="000E644E"/>
    <w:rsid w:val="000F0414"/>
    <w:rsid w:val="000F1594"/>
    <w:rsid w:val="000F3BBD"/>
    <w:rsid w:val="000F3D78"/>
    <w:rsid w:val="000F42EA"/>
    <w:rsid w:val="000F4386"/>
    <w:rsid w:val="000F494F"/>
    <w:rsid w:val="000F4A93"/>
    <w:rsid w:val="000F4CB8"/>
    <w:rsid w:val="000F60D3"/>
    <w:rsid w:val="000F636D"/>
    <w:rsid w:val="000F63F4"/>
    <w:rsid w:val="000F65E8"/>
    <w:rsid w:val="000F669F"/>
    <w:rsid w:val="000F7845"/>
    <w:rsid w:val="000F79FF"/>
    <w:rsid w:val="0010094E"/>
    <w:rsid w:val="00101C7D"/>
    <w:rsid w:val="00101ED5"/>
    <w:rsid w:val="00101F1D"/>
    <w:rsid w:val="00102009"/>
    <w:rsid w:val="00102016"/>
    <w:rsid w:val="00102227"/>
    <w:rsid w:val="001033DE"/>
    <w:rsid w:val="001062AF"/>
    <w:rsid w:val="00106ABF"/>
    <w:rsid w:val="00106B24"/>
    <w:rsid w:val="00107B87"/>
    <w:rsid w:val="001101A1"/>
    <w:rsid w:val="00110FAE"/>
    <w:rsid w:val="00111E40"/>
    <w:rsid w:val="0011284B"/>
    <w:rsid w:val="00112B77"/>
    <w:rsid w:val="0011353C"/>
    <w:rsid w:val="00114033"/>
    <w:rsid w:val="001149AA"/>
    <w:rsid w:val="001155D1"/>
    <w:rsid w:val="0011602B"/>
    <w:rsid w:val="00116355"/>
    <w:rsid w:val="00116E00"/>
    <w:rsid w:val="0011708E"/>
    <w:rsid w:val="00120797"/>
    <w:rsid w:val="00120A4A"/>
    <w:rsid w:val="00120BE5"/>
    <w:rsid w:val="0012226C"/>
    <w:rsid w:val="00122C48"/>
    <w:rsid w:val="00123713"/>
    <w:rsid w:val="00123BEE"/>
    <w:rsid w:val="0012427C"/>
    <w:rsid w:val="001253A4"/>
    <w:rsid w:val="00125FED"/>
    <w:rsid w:val="00126070"/>
    <w:rsid w:val="001261E4"/>
    <w:rsid w:val="001262AE"/>
    <w:rsid w:val="001279A5"/>
    <w:rsid w:val="001307CA"/>
    <w:rsid w:val="00130A5F"/>
    <w:rsid w:val="00130B19"/>
    <w:rsid w:val="00130D99"/>
    <w:rsid w:val="001319C1"/>
    <w:rsid w:val="00131E5B"/>
    <w:rsid w:val="00132490"/>
    <w:rsid w:val="001345DE"/>
    <w:rsid w:val="0013494F"/>
    <w:rsid w:val="00135041"/>
    <w:rsid w:val="0013556D"/>
    <w:rsid w:val="00135660"/>
    <w:rsid w:val="00135A95"/>
    <w:rsid w:val="00137B27"/>
    <w:rsid w:val="00141CA3"/>
    <w:rsid w:val="00141F87"/>
    <w:rsid w:val="00142ABE"/>
    <w:rsid w:val="001445B9"/>
    <w:rsid w:val="001447F5"/>
    <w:rsid w:val="00144B9F"/>
    <w:rsid w:val="00145E69"/>
    <w:rsid w:val="00145F72"/>
    <w:rsid w:val="00146CC7"/>
    <w:rsid w:val="00146F76"/>
    <w:rsid w:val="001500A6"/>
    <w:rsid w:val="00150438"/>
    <w:rsid w:val="00151121"/>
    <w:rsid w:val="001549CB"/>
    <w:rsid w:val="001577F5"/>
    <w:rsid w:val="0016014A"/>
    <w:rsid w:val="00160CCB"/>
    <w:rsid w:val="001616CC"/>
    <w:rsid w:val="0016182B"/>
    <w:rsid w:val="001627B6"/>
    <w:rsid w:val="00163129"/>
    <w:rsid w:val="001631E7"/>
    <w:rsid w:val="001642F9"/>
    <w:rsid w:val="00164787"/>
    <w:rsid w:val="00165748"/>
    <w:rsid w:val="001669D1"/>
    <w:rsid w:val="00170227"/>
    <w:rsid w:val="00170B23"/>
    <w:rsid w:val="00171300"/>
    <w:rsid w:val="00172B1D"/>
    <w:rsid w:val="00173FA3"/>
    <w:rsid w:val="001748DF"/>
    <w:rsid w:val="00175874"/>
    <w:rsid w:val="00175901"/>
    <w:rsid w:val="00175AE8"/>
    <w:rsid w:val="00176EA5"/>
    <w:rsid w:val="0017780A"/>
    <w:rsid w:val="00177EFD"/>
    <w:rsid w:val="001810C5"/>
    <w:rsid w:val="00181579"/>
    <w:rsid w:val="00182547"/>
    <w:rsid w:val="0018369D"/>
    <w:rsid w:val="00183BD2"/>
    <w:rsid w:val="001840C7"/>
    <w:rsid w:val="00184102"/>
    <w:rsid w:val="00184332"/>
    <w:rsid w:val="00184CC8"/>
    <w:rsid w:val="0018573D"/>
    <w:rsid w:val="0018611F"/>
    <w:rsid w:val="00186A80"/>
    <w:rsid w:val="00190658"/>
    <w:rsid w:val="00190C44"/>
    <w:rsid w:val="00191D44"/>
    <w:rsid w:val="00191FAF"/>
    <w:rsid w:val="001920E6"/>
    <w:rsid w:val="00192250"/>
    <w:rsid w:val="00192808"/>
    <w:rsid w:val="00193BDB"/>
    <w:rsid w:val="00194346"/>
    <w:rsid w:val="0019503D"/>
    <w:rsid w:val="001952EA"/>
    <w:rsid w:val="00195392"/>
    <w:rsid w:val="001954BB"/>
    <w:rsid w:val="0019560D"/>
    <w:rsid w:val="00197218"/>
    <w:rsid w:val="0019729F"/>
    <w:rsid w:val="001973F8"/>
    <w:rsid w:val="001A03C0"/>
    <w:rsid w:val="001A0A82"/>
    <w:rsid w:val="001A3065"/>
    <w:rsid w:val="001A3539"/>
    <w:rsid w:val="001A3686"/>
    <w:rsid w:val="001A3D58"/>
    <w:rsid w:val="001A4134"/>
    <w:rsid w:val="001A5C20"/>
    <w:rsid w:val="001A6A96"/>
    <w:rsid w:val="001A78C6"/>
    <w:rsid w:val="001A7C59"/>
    <w:rsid w:val="001B013A"/>
    <w:rsid w:val="001B07B9"/>
    <w:rsid w:val="001B1EB8"/>
    <w:rsid w:val="001B264D"/>
    <w:rsid w:val="001B319E"/>
    <w:rsid w:val="001B65FD"/>
    <w:rsid w:val="001B6EB9"/>
    <w:rsid w:val="001B7D51"/>
    <w:rsid w:val="001C01D0"/>
    <w:rsid w:val="001C148F"/>
    <w:rsid w:val="001C14AC"/>
    <w:rsid w:val="001C39FD"/>
    <w:rsid w:val="001C3ED9"/>
    <w:rsid w:val="001C4394"/>
    <w:rsid w:val="001C67C7"/>
    <w:rsid w:val="001C7492"/>
    <w:rsid w:val="001C7A07"/>
    <w:rsid w:val="001C7F9D"/>
    <w:rsid w:val="001D0581"/>
    <w:rsid w:val="001D1099"/>
    <w:rsid w:val="001D178E"/>
    <w:rsid w:val="001D260F"/>
    <w:rsid w:val="001D302B"/>
    <w:rsid w:val="001D33C7"/>
    <w:rsid w:val="001D4429"/>
    <w:rsid w:val="001D443C"/>
    <w:rsid w:val="001D575D"/>
    <w:rsid w:val="001D6414"/>
    <w:rsid w:val="001D6977"/>
    <w:rsid w:val="001D7A30"/>
    <w:rsid w:val="001E031C"/>
    <w:rsid w:val="001E05E2"/>
    <w:rsid w:val="001E0BC7"/>
    <w:rsid w:val="001E1133"/>
    <w:rsid w:val="001E1B0B"/>
    <w:rsid w:val="001E1D6D"/>
    <w:rsid w:val="001E22A1"/>
    <w:rsid w:val="001E2753"/>
    <w:rsid w:val="001E32D6"/>
    <w:rsid w:val="001E33A3"/>
    <w:rsid w:val="001E377F"/>
    <w:rsid w:val="001E4E8E"/>
    <w:rsid w:val="001E5C0B"/>
    <w:rsid w:val="001E63B8"/>
    <w:rsid w:val="001E675E"/>
    <w:rsid w:val="001E71C4"/>
    <w:rsid w:val="001E7C75"/>
    <w:rsid w:val="001F0E8A"/>
    <w:rsid w:val="001F10A2"/>
    <w:rsid w:val="001F1858"/>
    <w:rsid w:val="001F1A82"/>
    <w:rsid w:val="001F2BCB"/>
    <w:rsid w:val="001F2CE8"/>
    <w:rsid w:val="001F40A3"/>
    <w:rsid w:val="001F41C8"/>
    <w:rsid w:val="001F51A1"/>
    <w:rsid w:val="001F5228"/>
    <w:rsid w:val="001F523C"/>
    <w:rsid w:val="001F69E5"/>
    <w:rsid w:val="001F7848"/>
    <w:rsid w:val="00200754"/>
    <w:rsid w:val="00200DFD"/>
    <w:rsid w:val="0020186E"/>
    <w:rsid w:val="002029C0"/>
    <w:rsid w:val="00202C98"/>
    <w:rsid w:val="00204D1B"/>
    <w:rsid w:val="00204D2C"/>
    <w:rsid w:val="00204EDA"/>
    <w:rsid w:val="00205401"/>
    <w:rsid w:val="00205650"/>
    <w:rsid w:val="0020643F"/>
    <w:rsid w:val="00206515"/>
    <w:rsid w:val="0020769D"/>
    <w:rsid w:val="00207B5C"/>
    <w:rsid w:val="00207EB5"/>
    <w:rsid w:val="00207F7B"/>
    <w:rsid w:val="00210F8D"/>
    <w:rsid w:val="00211324"/>
    <w:rsid w:val="00211957"/>
    <w:rsid w:val="002121E3"/>
    <w:rsid w:val="00212B4C"/>
    <w:rsid w:val="00212DFE"/>
    <w:rsid w:val="00213221"/>
    <w:rsid w:val="00214009"/>
    <w:rsid w:val="0021485F"/>
    <w:rsid w:val="00215B5D"/>
    <w:rsid w:val="00215BB4"/>
    <w:rsid w:val="002160DB"/>
    <w:rsid w:val="00216C4A"/>
    <w:rsid w:val="002170E5"/>
    <w:rsid w:val="00220808"/>
    <w:rsid w:val="00221E52"/>
    <w:rsid w:val="00223576"/>
    <w:rsid w:val="00223EB3"/>
    <w:rsid w:val="00224212"/>
    <w:rsid w:val="00224BB5"/>
    <w:rsid w:val="00225562"/>
    <w:rsid w:val="00225677"/>
    <w:rsid w:val="00226298"/>
    <w:rsid w:val="002267DC"/>
    <w:rsid w:val="002269A8"/>
    <w:rsid w:val="00226E1B"/>
    <w:rsid w:val="00227708"/>
    <w:rsid w:val="00227DB5"/>
    <w:rsid w:val="002308C0"/>
    <w:rsid w:val="002312AE"/>
    <w:rsid w:val="00232900"/>
    <w:rsid w:val="00234422"/>
    <w:rsid w:val="00235313"/>
    <w:rsid w:val="002353EA"/>
    <w:rsid w:val="002359E5"/>
    <w:rsid w:val="00236B6A"/>
    <w:rsid w:val="00237C8A"/>
    <w:rsid w:val="00242323"/>
    <w:rsid w:val="0024399C"/>
    <w:rsid w:val="0024472C"/>
    <w:rsid w:val="00244C4E"/>
    <w:rsid w:val="00245E22"/>
    <w:rsid w:val="002463CE"/>
    <w:rsid w:val="00246818"/>
    <w:rsid w:val="00246DED"/>
    <w:rsid w:val="00247CBB"/>
    <w:rsid w:val="002503A3"/>
    <w:rsid w:val="00250D79"/>
    <w:rsid w:val="002525BF"/>
    <w:rsid w:val="00252BC8"/>
    <w:rsid w:val="002531E5"/>
    <w:rsid w:val="002534D1"/>
    <w:rsid w:val="00253772"/>
    <w:rsid w:val="00253ED0"/>
    <w:rsid w:val="00255C37"/>
    <w:rsid w:val="002566AB"/>
    <w:rsid w:val="002606DB"/>
    <w:rsid w:val="002611E9"/>
    <w:rsid w:val="00261521"/>
    <w:rsid w:val="002618FD"/>
    <w:rsid w:val="002625FF"/>
    <w:rsid w:val="00263107"/>
    <w:rsid w:val="002639B7"/>
    <w:rsid w:val="002652FF"/>
    <w:rsid w:val="00266074"/>
    <w:rsid w:val="002666AB"/>
    <w:rsid w:val="0026705F"/>
    <w:rsid w:val="00267418"/>
    <w:rsid w:val="0026769C"/>
    <w:rsid w:val="00267824"/>
    <w:rsid w:val="00270372"/>
    <w:rsid w:val="0027105C"/>
    <w:rsid w:val="002711D1"/>
    <w:rsid w:val="00271E7B"/>
    <w:rsid w:val="00272CA2"/>
    <w:rsid w:val="00272CE6"/>
    <w:rsid w:val="00273451"/>
    <w:rsid w:val="0027372C"/>
    <w:rsid w:val="00273771"/>
    <w:rsid w:val="00274EED"/>
    <w:rsid w:val="00275203"/>
    <w:rsid w:val="00275414"/>
    <w:rsid w:val="002754AD"/>
    <w:rsid w:val="002754CC"/>
    <w:rsid w:val="00276CC6"/>
    <w:rsid w:val="00276F08"/>
    <w:rsid w:val="00277271"/>
    <w:rsid w:val="00277896"/>
    <w:rsid w:val="00277D4E"/>
    <w:rsid w:val="00277EDF"/>
    <w:rsid w:val="002802F0"/>
    <w:rsid w:val="0028068A"/>
    <w:rsid w:val="00282610"/>
    <w:rsid w:val="00282C67"/>
    <w:rsid w:val="002838C3"/>
    <w:rsid w:val="002846A6"/>
    <w:rsid w:val="002848FA"/>
    <w:rsid w:val="002849C4"/>
    <w:rsid w:val="002851FF"/>
    <w:rsid w:val="00285981"/>
    <w:rsid w:val="00286037"/>
    <w:rsid w:val="00286313"/>
    <w:rsid w:val="0028656B"/>
    <w:rsid w:val="00287444"/>
    <w:rsid w:val="00287622"/>
    <w:rsid w:val="00290064"/>
    <w:rsid w:val="00291201"/>
    <w:rsid w:val="00292E39"/>
    <w:rsid w:val="00293CEC"/>
    <w:rsid w:val="0029455A"/>
    <w:rsid w:val="00294A45"/>
    <w:rsid w:val="00294F07"/>
    <w:rsid w:val="00296F68"/>
    <w:rsid w:val="002971A5"/>
    <w:rsid w:val="002A1EB2"/>
    <w:rsid w:val="002A2EE0"/>
    <w:rsid w:val="002A3FC7"/>
    <w:rsid w:val="002A4D06"/>
    <w:rsid w:val="002A5190"/>
    <w:rsid w:val="002A56E3"/>
    <w:rsid w:val="002A5978"/>
    <w:rsid w:val="002A5D95"/>
    <w:rsid w:val="002A6207"/>
    <w:rsid w:val="002A6418"/>
    <w:rsid w:val="002B09F5"/>
    <w:rsid w:val="002B2EBD"/>
    <w:rsid w:val="002B2F8B"/>
    <w:rsid w:val="002B3794"/>
    <w:rsid w:val="002B583E"/>
    <w:rsid w:val="002B5A44"/>
    <w:rsid w:val="002B64A9"/>
    <w:rsid w:val="002B6707"/>
    <w:rsid w:val="002B7344"/>
    <w:rsid w:val="002B75C6"/>
    <w:rsid w:val="002B7773"/>
    <w:rsid w:val="002B7DB3"/>
    <w:rsid w:val="002C0EB6"/>
    <w:rsid w:val="002C33F6"/>
    <w:rsid w:val="002C3464"/>
    <w:rsid w:val="002C59A6"/>
    <w:rsid w:val="002C5BCF"/>
    <w:rsid w:val="002C5CE4"/>
    <w:rsid w:val="002C6CD3"/>
    <w:rsid w:val="002D0268"/>
    <w:rsid w:val="002D099E"/>
    <w:rsid w:val="002D263B"/>
    <w:rsid w:val="002D2C66"/>
    <w:rsid w:val="002D2DDC"/>
    <w:rsid w:val="002D45D2"/>
    <w:rsid w:val="002D4884"/>
    <w:rsid w:val="002D5DBD"/>
    <w:rsid w:val="002D7913"/>
    <w:rsid w:val="002D7986"/>
    <w:rsid w:val="002D7B17"/>
    <w:rsid w:val="002D7C72"/>
    <w:rsid w:val="002E00D1"/>
    <w:rsid w:val="002E00E5"/>
    <w:rsid w:val="002E0267"/>
    <w:rsid w:val="002E1E47"/>
    <w:rsid w:val="002E38A1"/>
    <w:rsid w:val="002E3D29"/>
    <w:rsid w:val="002E4A4D"/>
    <w:rsid w:val="002E5632"/>
    <w:rsid w:val="002E5EA8"/>
    <w:rsid w:val="002E68A1"/>
    <w:rsid w:val="002E7DC2"/>
    <w:rsid w:val="002F06A7"/>
    <w:rsid w:val="002F1A55"/>
    <w:rsid w:val="002F35DF"/>
    <w:rsid w:val="002F38CB"/>
    <w:rsid w:val="002F38D2"/>
    <w:rsid w:val="002F3D65"/>
    <w:rsid w:val="002F4BB2"/>
    <w:rsid w:val="002F5AD3"/>
    <w:rsid w:val="002F5D9B"/>
    <w:rsid w:val="002F61C5"/>
    <w:rsid w:val="002F6E41"/>
    <w:rsid w:val="002F768F"/>
    <w:rsid w:val="00300885"/>
    <w:rsid w:val="00300A4D"/>
    <w:rsid w:val="00300A70"/>
    <w:rsid w:val="00302360"/>
    <w:rsid w:val="00302DC7"/>
    <w:rsid w:val="00302F05"/>
    <w:rsid w:val="00303190"/>
    <w:rsid w:val="003052B9"/>
    <w:rsid w:val="0030576B"/>
    <w:rsid w:val="00306158"/>
    <w:rsid w:val="00306577"/>
    <w:rsid w:val="00306A6F"/>
    <w:rsid w:val="00307350"/>
    <w:rsid w:val="0031159E"/>
    <w:rsid w:val="00311E0D"/>
    <w:rsid w:val="00311FB3"/>
    <w:rsid w:val="003131D6"/>
    <w:rsid w:val="00313C72"/>
    <w:rsid w:val="00313D4C"/>
    <w:rsid w:val="0031422F"/>
    <w:rsid w:val="0031444F"/>
    <w:rsid w:val="0031445C"/>
    <w:rsid w:val="003144C1"/>
    <w:rsid w:val="00314887"/>
    <w:rsid w:val="00314C90"/>
    <w:rsid w:val="0031547E"/>
    <w:rsid w:val="00317C18"/>
    <w:rsid w:val="00317E41"/>
    <w:rsid w:val="00320ABE"/>
    <w:rsid w:val="00321459"/>
    <w:rsid w:val="00321E66"/>
    <w:rsid w:val="00322345"/>
    <w:rsid w:val="00322919"/>
    <w:rsid w:val="00322DA8"/>
    <w:rsid w:val="00323234"/>
    <w:rsid w:val="00323446"/>
    <w:rsid w:val="003303A2"/>
    <w:rsid w:val="00330709"/>
    <w:rsid w:val="003315E2"/>
    <w:rsid w:val="003316F5"/>
    <w:rsid w:val="003327B8"/>
    <w:rsid w:val="003334E6"/>
    <w:rsid w:val="00334308"/>
    <w:rsid w:val="003343DD"/>
    <w:rsid w:val="00334FB7"/>
    <w:rsid w:val="003379BF"/>
    <w:rsid w:val="00337A4B"/>
    <w:rsid w:val="00340DF6"/>
    <w:rsid w:val="00342D75"/>
    <w:rsid w:val="00342DB5"/>
    <w:rsid w:val="00342DED"/>
    <w:rsid w:val="003431D9"/>
    <w:rsid w:val="0034374F"/>
    <w:rsid w:val="00344BFD"/>
    <w:rsid w:val="003455A1"/>
    <w:rsid w:val="00345DA3"/>
    <w:rsid w:val="003467AB"/>
    <w:rsid w:val="00347522"/>
    <w:rsid w:val="003516F1"/>
    <w:rsid w:val="003517E7"/>
    <w:rsid w:val="00351835"/>
    <w:rsid w:val="00352169"/>
    <w:rsid w:val="003522B0"/>
    <w:rsid w:val="003524D2"/>
    <w:rsid w:val="00352531"/>
    <w:rsid w:val="00354201"/>
    <w:rsid w:val="00355857"/>
    <w:rsid w:val="003559FF"/>
    <w:rsid w:val="00355ACD"/>
    <w:rsid w:val="00355D3C"/>
    <w:rsid w:val="003566E5"/>
    <w:rsid w:val="00356EAE"/>
    <w:rsid w:val="00357288"/>
    <w:rsid w:val="003579EE"/>
    <w:rsid w:val="0036161D"/>
    <w:rsid w:val="003627CB"/>
    <w:rsid w:val="00363D7F"/>
    <w:rsid w:val="00365984"/>
    <w:rsid w:val="00365B0D"/>
    <w:rsid w:val="003667D6"/>
    <w:rsid w:val="00366813"/>
    <w:rsid w:val="003706E4"/>
    <w:rsid w:val="00370C99"/>
    <w:rsid w:val="00370E32"/>
    <w:rsid w:val="0037696A"/>
    <w:rsid w:val="00376A8C"/>
    <w:rsid w:val="003776CF"/>
    <w:rsid w:val="0038035C"/>
    <w:rsid w:val="003803B2"/>
    <w:rsid w:val="00382168"/>
    <w:rsid w:val="00383A93"/>
    <w:rsid w:val="00383BC8"/>
    <w:rsid w:val="003840EB"/>
    <w:rsid w:val="00384E45"/>
    <w:rsid w:val="003859F6"/>
    <w:rsid w:val="00386F62"/>
    <w:rsid w:val="00387E99"/>
    <w:rsid w:val="0039107B"/>
    <w:rsid w:val="00391B35"/>
    <w:rsid w:val="00392E82"/>
    <w:rsid w:val="0039414E"/>
    <w:rsid w:val="0039431B"/>
    <w:rsid w:val="00394860"/>
    <w:rsid w:val="0039497E"/>
    <w:rsid w:val="00396A76"/>
    <w:rsid w:val="0039787D"/>
    <w:rsid w:val="003A099B"/>
    <w:rsid w:val="003A0C22"/>
    <w:rsid w:val="003A1222"/>
    <w:rsid w:val="003A13B8"/>
    <w:rsid w:val="003A1829"/>
    <w:rsid w:val="003A38A0"/>
    <w:rsid w:val="003A38DC"/>
    <w:rsid w:val="003A432D"/>
    <w:rsid w:val="003A43A5"/>
    <w:rsid w:val="003A44B7"/>
    <w:rsid w:val="003A478E"/>
    <w:rsid w:val="003A4F59"/>
    <w:rsid w:val="003A7A9D"/>
    <w:rsid w:val="003A7AA6"/>
    <w:rsid w:val="003A7DD0"/>
    <w:rsid w:val="003A7E66"/>
    <w:rsid w:val="003A7F5D"/>
    <w:rsid w:val="003B0057"/>
    <w:rsid w:val="003B0930"/>
    <w:rsid w:val="003B22DA"/>
    <w:rsid w:val="003B2D77"/>
    <w:rsid w:val="003B3078"/>
    <w:rsid w:val="003B3745"/>
    <w:rsid w:val="003B3EE4"/>
    <w:rsid w:val="003B3FF5"/>
    <w:rsid w:val="003B4235"/>
    <w:rsid w:val="003B44A4"/>
    <w:rsid w:val="003B4CA9"/>
    <w:rsid w:val="003B5074"/>
    <w:rsid w:val="003B55B3"/>
    <w:rsid w:val="003B59CE"/>
    <w:rsid w:val="003B6C31"/>
    <w:rsid w:val="003C4D7F"/>
    <w:rsid w:val="003C5981"/>
    <w:rsid w:val="003C5E3F"/>
    <w:rsid w:val="003C7791"/>
    <w:rsid w:val="003D05FB"/>
    <w:rsid w:val="003D1CB8"/>
    <w:rsid w:val="003D2423"/>
    <w:rsid w:val="003D3287"/>
    <w:rsid w:val="003D414A"/>
    <w:rsid w:val="003D4AFC"/>
    <w:rsid w:val="003D4D8D"/>
    <w:rsid w:val="003D5020"/>
    <w:rsid w:val="003D5047"/>
    <w:rsid w:val="003D50BF"/>
    <w:rsid w:val="003E13EC"/>
    <w:rsid w:val="003E2B90"/>
    <w:rsid w:val="003E2EAF"/>
    <w:rsid w:val="003E3334"/>
    <w:rsid w:val="003E3807"/>
    <w:rsid w:val="003E4627"/>
    <w:rsid w:val="003E49B2"/>
    <w:rsid w:val="003E49FF"/>
    <w:rsid w:val="003E7E63"/>
    <w:rsid w:val="003F00BC"/>
    <w:rsid w:val="003F16CB"/>
    <w:rsid w:val="003F1E0F"/>
    <w:rsid w:val="003F2049"/>
    <w:rsid w:val="003F26DF"/>
    <w:rsid w:val="003F2B66"/>
    <w:rsid w:val="003F38A3"/>
    <w:rsid w:val="003F51FD"/>
    <w:rsid w:val="003F7B00"/>
    <w:rsid w:val="00400C66"/>
    <w:rsid w:val="0040121A"/>
    <w:rsid w:val="00402383"/>
    <w:rsid w:val="00402406"/>
    <w:rsid w:val="00402B34"/>
    <w:rsid w:val="00403C28"/>
    <w:rsid w:val="00403E4A"/>
    <w:rsid w:val="00404B61"/>
    <w:rsid w:val="00404F0E"/>
    <w:rsid w:val="0040556D"/>
    <w:rsid w:val="0040681C"/>
    <w:rsid w:val="00406ECB"/>
    <w:rsid w:val="00406EEB"/>
    <w:rsid w:val="00406F7F"/>
    <w:rsid w:val="00407C83"/>
    <w:rsid w:val="004101E3"/>
    <w:rsid w:val="00410D36"/>
    <w:rsid w:val="00411A36"/>
    <w:rsid w:val="004139B2"/>
    <w:rsid w:val="00414309"/>
    <w:rsid w:val="0041589A"/>
    <w:rsid w:val="00416851"/>
    <w:rsid w:val="004202F6"/>
    <w:rsid w:val="00420626"/>
    <w:rsid w:val="00420A45"/>
    <w:rsid w:val="00420DCB"/>
    <w:rsid w:val="00424B3A"/>
    <w:rsid w:val="00425733"/>
    <w:rsid w:val="004260F2"/>
    <w:rsid w:val="0042630B"/>
    <w:rsid w:val="0042767A"/>
    <w:rsid w:val="0043145C"/>
    <w:rsid w:val="00431478"/>
    <w:rsid w:val="00431792"/>
    <w:rsid w:val="0043192A"/>
    <w:rsid w:val="00431A4E"/>
    <w:rsid w:val="00432713"/>
    <w:rsid w:val="004327D1"/>
    <w:rsid w:val="00432A90"/>
    <w:rsid w:val="00433C31"/>
    <w:rsid w:val="00434141"/>
    <w:rsid w:val="00434936"/>
    <w:rsid w:val="0043529B"/>
    <w:rsid w:val="004362C8"/>
    <w:rsid w:val="00436781"/>
    <w:rsid w:val="0043690F"/>
    <w:rsid w:val="0043768D"/>
    <w:rsid w:val="004400DC"/>
    <w:rsid w:val="00440A1A"/>
    <w:rsid w:val="00440F42"/>
    <w:rsid w:val="00441880"/>
    <w:rsid w:val="00441EC6"/>
    <w:rsid w:val="00446D46"/>
    <w:rsid w:val="0044702E"/>
    <w:rsid w:val="004503BA"/>
    <w:rsid w:val="00450550"/>
    <w:rsid w:val="00451580"/>
    <w:rsid w:val="00452130"/>
    <w:rsid w:val="00452572"/>
    <w:rsid w:val="00452CDB"/>
    <w:rsid w:val="00453D65"/>
    <w:rsid w:val="004546B2"/>
    <w:rsid w:val="00454FB6"/>
    <w:rsid w:val="00455882"/>
    <w:rsid w:val="00456E2C"/>
    <w:rsid w:val="00460A03"/>
    <w:rsid w:val="004616F0"/>
    <w:rsid w:val="00461E0A"/>
    <w:rsid w:val="004627B5"/>
    <w:rsid w:val="00463518"/>
    <w:rsid w:val="00464603"/>
    <w:rsid w:val="00464EC9"/>
    <w:rsid w:val="00465493"/>
    <w:rsid w:val="00465495"/>
    <w:rsid w:val="00465B91"/>
    <w:rsid w:val="004662AB"/>
    <w:rsid w:val="00466FD8"/>
    <w:rsid w:val="0046768A"/>
    <w:rsid w:val="00471687"/>
    <w:rsid w:val="0047174F"/>
    <w:rsid w:val="00472173"/>
    <w:rsid w:val="004726F9"/>
    <w:rsid w:val="0047422D"/>
    <w:rsid w:val="004749A5"/>
    <w:rsid w:val="00474D3D"/>
    <w:rsid w:val="00474D60"/>
    <w:rsid w:val="00475EC6"/>
    <w:rsid w:val="0048022E"/>
    <w:rsid w:val="00480F13"/>
    <w:rsid w:val="004828A9"/>
    <w:rsid w:val="00482EBF"/>
    <w:rsid w:val="00484E11"/>
    <w:rsid w:val="004871E5"/>
    <w:rsid w:val="004877AD"/>
    <w:rsid w:val="00490F01"/>
    <w:rsid w:val="00491170"/>
    <w:rsid w:val="0049190E"/>
    <w:rsid w:val="004935DE"/>
    <w:rsid w:val="0049373F"/>
    <w:rsid w:val="00494E16"/>
    <w:rsid w:val="00496160"/>
    <w:rsid w:val="00496DBC"/>
    <w:rsid w:val="0049774B"/>
    <w:rsid w:val="00497C15"/>
    <w:rsid w:val="004A0E09"/>
    <w:rsid w:val="004A2143"/>
    <w:rsid w:val="004A35DD"/>
    <w:rsid w:val="004A41E7"/>
    <w:rsid w:val="004A433F"/>
    <w:rsid w:val="004A53F6"/>
    <w:rsid w:val="004A542A"/>
    <w:rsid w:val="004A6EEA"/>
    <w:rsid w:val="004A73BF"/>
    <w:rsid w:val="004A79B0"/>
    <w:rsid w:val="004A7FDE"/>
    <w:rsid w:val="004B007D"/>
    <w:rsid w:val="004B1ED3"/>
    <w:rsid w:val="004B2B0F"/>
    <w:rsid w:val="004B43FF"/>
    <w:rsid w:val="004B5C43"/>
    <w:rsid w:val="004B60F4"/>
    <w:rsid w:val="004B738F"/>
    <w:rsid w:val="004B7ABC"/>
    <w:rsid w:val="004C044E"/>
    <w:rsid w:val="004C0C62"/>
    <w:rsid w:val="004C1C2A"/>
    <w:rsid w:val="004C320F"/>
    <w:rsid w:val="004C34E6"/>
    <w:rsid w:val="004C6694"/>
    <w:rsid w:val="004D01A0"/>
    <w:rsid w:val="004D13D7"/>
    <w:rsid w:val="004D1E6D"/>
    <w:rsid w:val="004D2042"/>
    <w:rsid w:val="004D206E"/>
    <w:rsid w:val="004D29D0"/>
    <w:rsid w:val="004D3FCD"/>
    <w:rsid w:val="004D490F"/>
    <w:rsid w:val="004D7BC1"/>
    <w:rsid w:val="004E0659"/>
    <w:rsid w:val="004E0C5A"/>
    <w:rsid w:val="004E1193"/>
    <w:rsid w:val="004E1CAF"/>
    <w:rsid w:val="004E4ECC"/>
    <w:rsid w:val="004E501E"/>
    <w:rsid w:val="004E58ED"/>
    <w:rsid w:val="004E5D86"/>
    <w:rsid w:val="004E5D93"/>
    <w:rsid w:val="004E6381"/>
    <w:rsid w:val="004E684A"/>
    <w:rsid w:val="004E6BF9"/>
    <w:rsid w:val="004E7E0B"/>
    <w:rsid w:val="004E7FDE"/>
    <w:rsid w:val="004F06A2"/>
    <w:rsid w:val="004F0CC6"/>
    <w:rsid w:val="004F0DD5"/>
    <w:rsid w:val="004F1BE9"/>
    <w:rsid w:val="004F1DD4"/>
    <w:rsid w:val="004F295D"/>
    <w:rsid w:val="004F30EB"/>
    <w:rsid w:val="004F33C4"/>
    <w:rsid w:val="004F4E1C"/>
    <w:rsid w:val="004F57C4"/>
    <w:rsid w:val="004F59F2"/>
    <w:rsid w:val="004F613A"/>
    <w:rsid w:val="004F6894"/>
    <w:rsid w:val="004F6B38"/>
    <w:rsid w:val="004F7445"/>
    <w:rsid w:val="004F7DED"/>
    <w:rsid w:val="004F7F71"/>
    <w:rsid w:val="00500BC8"/>
    <w:rsid w:val="0050209A"/>
    <w:rsid w:val="00502F08"/>
    <w:rsid w:val="0050326A"/>
    <w:rsid w:val="0050375C"/>
    <w:rsid w:val="00503A41"/>
    <w:rsid w:val="00503C32"/>
    <w:rsid w:val="00505550"/>
    <w:rsid w:val="00506196"/>
    <w:rsid w:val="0050666F"/>
    <w:rsid w:val="0050676F"/>
    <w:rsid w:val="00507691"/>
    <w:rsid w:val="00510771"/>
    <w:rsid w:val="00510B93"/>
    <w:rsid w:val="00511530"/>
    <w:rsid w:val="00512F7B"/>
    <w:rsid w:val="005130E0"/>
    <w:rsid w:val="0051378A"/>
    <w:rsid w:val="00513F30"/>
    <w:rsid w:val="005146FC"/>
    <w:rsid w:val="00514B35"/>
    <w:rsid w:val="005157F2"/>
    <w:rsid w:val="00516053"/>
    <w:rsid w:val="00517081"/>
    <w:rsid w:val="0052025C"/>
    <w:rsid w:val="0052029C"/>
    <w:rsid w:val="00521576"/>
    <w:rsid w:val="00522A01"/>
    <w:rsid w:val="005230CF"/>
    <w:rsid w:val="00523B59"/>
    <w:rsid w:val="005244C6"/>
    <w:rsid w:val="00525B18"/>
    <w:rsid w:val="00526179"/>
    <w:rsid w:val="0052640D"/>
    <w:rsid w:val="00526752"/>
    <w:rsid w:val="00527F50"/>
    <w:rsid w:val="005300B4"/>
    <w:rsid w:val="005314CD"/>
    <w:rsid w:val="005319D2"/>
    <w:rsid w:val="00531E48"/>
    <w:rsid w:val="00532764"/>
    <w:rsid w:val="00532B40"/>
    <w:rsid w:val="005339F8"/>
    <w:rsid w:val="00533B65"/>
    <w:rsid w:val="005353CF"/>
    <w:rsid w:val="00535563"/>
    <w:rsid w:val="00535C33"/>
    <w:rsid w:val="00537D2E"/>
    <w:rsid w:val="00541A59"/>
    <w:rsid w:val="00541D16"/>
    <w:rsid w:val="00542048"/>
    <w:rsid w:val="00542140"/>
    <w:rsid w:val="00542213"/>
    <w:rsid w:val="005425AD"/>
    <w:rsid w:val="00542C70"/>
    <w:rsid w:val="00542E18"/>
    <w:rsid w:val="005437B8"/>
    <w:rsid w:val="00543BAD"/>
    <w:rsid w:val="00545246"/>
    <w:rsid w:val="0054608B"/>
    <w:rsid w:val="00546FBE"/>
    <w:rsid w:val="00547280"/>
    <w:rsid w:val="00547624"/>
    <w:rsid w:val="00547893"/>
    <w:rsid w:val="005506E5"/>
    <w:rsid w:val="00551546"/>
    <w:rsid w:val="00551CFA"/>
    <w:rsid w:val="0055277C"/>
    <w:rsid w:val="005541EE"/>
    <w:rsid w:val="0055479C"/>
    <w:rsid w:val="00554F7E"/>
    <w:rsid w:val="00555925"/>
    <w:rsid w:val="00556B50"/>
    <w:rsid w:val="00557CA1"/>
    <w:rsid w:val="005600E4"/>
    <w:rsid w:val="005607FE"/>
    <w:rsid w:val="00561670"/>
    <w:rsid w:val="00562327"/>
    <w:rsid w:val="00562B67"/>
    <w:rsid w:val="0056355C"/>
    <w:rsid w:val="005638FA"/>
    <w:rsid w:val="00563B8F"/>
    <w:rsid w:val="00563E1B"/>
    <w:rsid w:val="005641DE"/>
    <w:rsid w:val="00564A97"/>
    <w:rsid w:val="00564CC6"/>
    <w:rsid w:val="00564FD5"/>
    <w:rsid w:val="00565F30"/>
    <w:rsid w:val="005660F6"/>
    <w:rsid w:val="005664EE"/>
    <w:rsid w:val="00566686"/>
    <w:rsid w:val="00567313"/>
    <w:rsid w:val="00567969"/>
    <w:rsid w:val="00567E8B"/>
    <w:rsid w:val="005701C8"/>
    <w:rsid w:val="005708EA"/>
    <w:rsid w:val="0057162B"/>
    <w:rsid w:val="005723BF"/>
    <w:rsid w:val="005724D0"/>
    <w:rsid w:val="00573292"/>
    <w:rsid w:val="00573CA5"/>
    <w:rsid w:val="005749C2"/>
    <w:rsid w:val="00574C19"/>
    <w:rsid w:val="0057658F"/>
    <w:rsid w:val="00576742"/>
    <w:rsid w:val="00577242"/>
    <w:rsid w:val="00577EB4"/>
    <w:rsid w:val="005810E7"/>
    <w:rsid w:val="005813C5"/>
    <w:rsid w:val="005819FE"/>
    <w:rsid w:val="0058210F"/>
    <w:rsid w:val="0058253D"/>
    <w:rsid w:val="00582EBE"/>
    <w:rsid w:val="0058438F"/>
    <w:rsid w:val="005859DA"/>
    <w:rsid w:val="00586A09"/>
    <w:rsid w:val="00587F29"/>
    <w:rsid w:val="00590134"/>
    <w:rsid w:val="00590529"/>
    <w:rsid w:val="0059057E"/>
    <w:rsid w:val="005908D6"/>
    <w:rsid w:val="00590ABB"/>
    <w:rsid w:val="005911B9"/>
    <w:rsid w:val="005911CC"/>
    <w:rsid w:val="005923B2"/>
    <w:rsid w:val="00592D0D"/>
    <w:rsid w:val="00592D24"/>
    <w:rsid w:val="00594051"/>
    <w:rsid w:val="0059439A"/>
    <w:rsid w:val="005952B0"/>
    <w:rsid w:val="0059595D"/>
    <w:rsid w:val="005967D5"/>
    <w:rsid w:val="00596BD3"/>
    <w:rsid w:val="00596D3A"/>
    <w:rsid w:val="00597CC9"/>
    <w:rsid w:val="005A03ED"/>
    <w:rsid w:val="005A2662"/>
    <w:rsid w:val="005A4284"/>
    <w:rsid w:val="005A524E"/>
    <w:rsid w:val="005A5999"/>
    <w:rsid w:val="005A5C44"/>
    <w:rsid w:val="005B0B20"/>
    <w:rsid w:val="005B26FC"/>
    <w:rsid w:val="005B3004"/>
    <w:rsid w:val="005B474D"/>
    <w:rsid w:val="005B5F48"/>
    <w:rsid w:val="005B6331"/>
    <w:rsid w:val="005B6894"/>
    <w:rsid w:val="005B6E6A"/>
    <w:rsid w:val="005C0AEB"/>
    <w:rsid w:val="005C0B99"/>
    <w:rsid w:val="005C0FB3"/>
    <w:rsid w:val="005C18C5"/>
    <w:rsid w:val="005C2C53"/>
    <w:rsid w:val="005C2F56"/>
    <w:rsid w:val="005C441B"/>
    <w:rsid w:val="005C45A0"/>
    <w:rsid w:val="005C4877"/>
    <w:rsid w:val="005C4ECF"/>
    <w:rsid w:val="005C4F11"/>
    <w:rsid w:val="005C5026"/>
    <w:rsid w:val="005C519B"/>
    <w:rsid w:val="005C5E04"/>
    <w:rsid w:val="005C755B"/>
    <w:rsid w:val="005C761F"/>
    <w:rsid w:val="005C76B4"/>
    <w:rsid w:val="005D03DE"/>
    <w:rsid w:val="005D2AC8"/>
    <w:rsid w:val="005D44C2"/>
    <w:rsid w:val="005D56B4"/>
    <w:rsid w:val="005D5920"/>
    <w:rsid w:val="005D62B8"/>
    <w:rsid w:val="005D66DD"/>
    <w:rsid w:val="005E0FB9"/>
    <w:rsid w:val="005E18D9"/>
    <w:rsid w:val="005E241D"/>
    <w:rsid w:val="005E4A66"/>
    <w:rsid w:val="005E4CF9"/>
    <w:rsid w:val="005E7112"/>
    <w:rsid w:val="005E73F1"/>
    <w:rsid w:val="005E7E17"/>
    <w:rsid w:val="005F011F"/>
    <w:rsid w:val="005F0636"/>
    <w:rsid w:val="005F1EFA"/>
    <w:rsid w:val="005F5691"/>
    <w:rsid w:val="005F6116"/>
    <w:rsid w:val="005F6961"/>
    <w:rsid w:val="005F7900"/>
    <w:rsid w:val="00600955"/>
    <w:rsid w:val="00600E5B"/>
    <w:rsid w:val="006024CE"/>
    <w:rsid w:val="00602613"/>
    <w:rsid w:val="00602752"/>
    <w:rsid w:val="006046D1"/>
    <w:rsid w:val="00604785"/>
    <w:rsid w:val="0060673A"/>
    <w:rsid w:val="006067FD"/>
    <w:rsid w:val="00606CC8"/>
    <w:rsid w:val="006078A4"/>
    <w:rsid w:val="00610A4C"/>
    <w:rsid w:val="006116AE"/>
    <w:rsid w:val="006122A9"/>
    <w:rsid w:val="00612D09"/>
    <w:rsid w:val="0061386C"/>
    <w:rsid w:val="0061485E"/>
    <w:rsid w:val="006151D1"/>
    <w:rsid w:val="006165FE"/>
    <w:rsid w:val="00621D0B"/>
    <w:rsid w:val="00621EB2"/>
    <w:rsid w:val="006224D7"/>
    <w:rsid w:val="0062304B"/>
    <w:rsid w:val="00623181"/>
    <w:rsid w:val="006236EA"/>
    <w:rsid w:val="006250C8"/>
    <w:rsid w:val="00625AD9"/>
    <w:rsid w:val="00625C60"/>
    <w:rsid w:val="00625DD1"/>
    <w:rsid w:val="00626F71"/>
    <w:rsid w:val="00627E6A"/>
    <w:rsid w:val="006302C8"/>
    <w:rsid w:val="00630469"/>
    <w:rsid w:val="00630E62"/>
    <w:rsid w:val="00631BCF"/>
    <w:rsid w:val="00632577"/>
    <w:rsid w:val="0063309B"/>
    <w:rsid w:val="006336A3"/>
    <w:rsid w:val="00633A46"/>
    <w:rsid w:val="00633CE7"/>
    <w:rsid w:val="006349AA"/>
    <w:rsid w:val="00635E2C"/>
    <w:rsid w:val="00636836"/>
    <w:rsid w:val="00637D0A"/>
    <w:rsid w:val="00640025"/>
    <w:rsid w:val="00640249"/>
    <w:rsid w:val="00641580"/>
    <w:rsid w:val="006429DC"/>
    <w:rsid w:val="00642CC3"/>
    <w:rsid w:val="00643B35"/>
    <w:rsid w:val="00643FF9"/>
    <w:rsid w:val="006445F0"/>
    <w:rsid w:val="0064678E"/>
    <w:rsid w:val="00646CA3"/>
    <w:rsid w:val="00647828"/>
    <w:rsid w:val="006501DA"/>
    <w:rsid w:val="00650351"/>
    <w:rsid w:val="006503C0"/>
    <w:rsid w:val="006504CE"/>
    <w:rsid w:val="0065074B"/>
    <w:rsid w:val="006511BC"/>
    <w:rsid w:val="00651538"/>
    <w:rsid w:val="00651647"/>
    <w:rsid w:val="006527DC"/>
    <w:rsid w:val="00652E89"/>
    <w:rsid w:val="0065342C"/>
    <w:rsid w:val="00653739"/>
    <w:rsid w:val="00655498"/>
    <w:rsid w:val="00655907"/>
    <w:rsid w:val="00656A16"/>
    <w:rsid w:val="006570FE"/>
    <w:rsid w:val="00657EA0"/>
    <w:rsid w:val="00660C08"/>
    <w:rsid w:val="00661E8E"/>
    <w:rsid w:val="006626B7"/>
    <w:rsid w:val="006630F3"/>
    <w:rsid w:val="00664622"/>
    <w:rsid w:val="006649E7"/>
    <w:rsid w:val="00665A99"/>
    <w:rsid w:val="00670FD0"/>
    <w:rsid w:val="006750AA"/>
    <w:rsid w:val="006750BF"/>
    <w:rsid w:val="00675E82"/>
    <w:rsid w:val="006763FE"/>
    <w:rsid w:val="00676922"/>
    <w:rsid w:val="006771C5"/>
    <w:rsid w:val="006801A6"/>
    <w:rsid w:val="00680B1C"/>
    <w:rsid w:val="00680E6C"/>
    <w:rsid w:val="00682A79"/>
    <w:rsid w:val="00683D38"/>
    <w:rsid w:val="00683ED5"/>
    <w:rsid w:val="006903D4"/>
    <w:rsid w:val="00690DF5"/>
    <w:rsid w:val="006916D0"/>
    <w:rsid w:val="00692024"/>
    <w:rsid w:val="00694B97"/>
    <w:rsid w:val="00694E70"/>
    <w:rsid w:val="00695640"/>
    <w:rsid w:val="0069591D"/>
    <w:rsid w:val="00695BAB"/>
    <w:rsid w:val="00696FDA"/>
    <w:rsid w:val="0069711C"/>
    <w:rsid w:val="006973DE"/>
    <w:rsid w:val="006974A5"/>
    <w:rsid w:val="006979D6"/>
    <w:rsid w:val="006A02AF"/>
    <w:rsid w:val="006A043F"/>
    <w:rsid w:val="006A1E0F"/>
    <w:rsid w:val="006A2723"/>
    <w:rsid w:val="006A2E42"/>
    <w:rsid w:val="006A40B7"/>
    <w:rsid w:val="006A49AA"/>
    <w:rsid w:val="006A4CEF"/>
    <w:rsid w:val="006A6C00"/>
    <w:rsid w:val="006A6CAB"/>
    <w:rsid w:val="006A6E31"/>
    <w:rsid w:val="006A7056"/>
    <w:rsid w:val="006A70BF"/>
    <w:rsid w:val="006A727A"/>
    <w:rsid w:val="006B0C44"/>
    <w:rsid w:val="006B0E85"/>
    <w:rsid w:val="006B13D6"/>
    <w:rsid w:val="006B49B7"/>
    <w:rsid w:val="006B4F8B"/>
    <w:rsid w:val="006B56D0"/>
    <w:rsid w:val="006B6578"/>
    <w:rsid w:val="006B66FE"/>
    <w:rsid w:val="006B73BB"/>
    <w:rsid w:val="006B7AE0"/>
    <w:rsid w:val="006C0275"/>
    <w:rsid w:val="006C07DD"/>
    <w:rsid w:val="006C0840"/>
    <w:rsid w:val="006C10D2"/>
    <w:rsid w:val="006C1916"/>
    <w:rsid w:val="006C1D2F"/>
    <w:rsid w:val="006C2650"/>
    <w:rsid w:val="006C2E05"/>
    <w:rsid w:val="006C4155"/>
    <w:rsid w:val="006C43E2"/>
    <w:rsid w:val="006C44CC"/>
    <w:rsid w:val="006C5023"/>
    <w:rsid w:val="006C5A70"/>
    <w:rsid w:val="006C5B0E"/>
    <w:rsid w:val="006C7793"/>
    <w:rsid w:val="006C7AAC"/>
    <w:rsid w:val="006C7DEF"/>
    <w:rsid w:val="006D1E08"/>
    <w:rsid w:val="006D1ECD"/>
    <w:rsid w:val="006D23FF"/>
    <w:rsid w:val="006D2B2E"/>
    <w:rsid w:val="006D3987"/>
    <w:rsid w:val="006D4114"/>
    <w:rsid w:val="006D454A"/>
    <w:rsid w:val="006D587B"/>
    <w:rsid w:val="006D5953"/>
    <w:rsid w:val="006D5FBF"/>
    <w:rsid w:val="006D794C"/>
    <w:rsid w:val="006D7CD1"/>
    <w:rsid w:val="006D7D0D"/>
    <w:rsid w:val="006D7E3D"/>
    <w:rsid w:val="006D7E61"/>
    <w:rsid w:val="006E003D"/>
    <w:rsid w:val="006E16B1"/>
    <w:rsid w:val="006E16C0"/>
    <w:rsid w:val="006E5866"/>
    <w:rsid w:val="006E7EB6"/>
    <w:rsid w:val="006F2D5A"/>
    <w:rsid w:val="006F3062"/>
    <w:rsid w:val="006F33DD"/>
    <w:rsid w:val="006F578C"/>
    <w:rsid w:val="006F69C8"/>
    <w:rsid w:val="006F6B60"/>
    <w:rsid w:val="006F6CF4"/>
    <w:rsid w:val="006F710B"/>
    <w:rsid w:val="006F7861"/>
    <w:rsid w:val="00700680"/>
    <w:rsid w:val="007027A3"/>
    <w:rsid w:val="00702D13"/>
    <w:rsid w:val="007032AE"/>
    <w:rsid w:val="007041EE"/>
    <w:rsid w:val="00704400"/>
    <w:rsid w:val="007046D1"/>
    <w:rsid w:val="0070496A"/>
    <w:rsid w:val="00704F86"/>
    <w:rsid w:val="00705917"/>
    <w:rsid w:val="00710524"/>
    <w:rsid w:val="00710BF3"/>
    <w:rsid w:val="00711453"/>
    <w:rsid w:val="0071173A"/>
    <w:rsid w:val="0071294D"/>
    <w:rsid w:val="007136E9"/>
    <w:rsid w:val="007146D3"/>
    <w:rsid w:val="00714AD8"/>
    <w:rsid w:val="00715A05"/>
    <w:rsid w:val="00716375"/>
    <w:rsid w:val="007164E1"/>
    <w:rsid w:val="007174AF"/>
    <w:rsid w:val="0071756D"/>
    <w:rsid w:val="007226FD"/>
    <w:rsid w:val="00723283"/>
    <w:rsid w:val="0072356E"/>
    <w:rsid w:val="00724272"/>
    <w:rsid w:val="00724BFB"/>
    <w:rsid w:val="00725097"/>
    <w:rsid w:val="0072557E"/>
    <w:rsid w:val="00725F2C"/>
    <w:rsid w:val="00726C7D"/>
    <w:rsid w:val="00727D86"/>
    <w:rsid w:val="007300A1"/>
    <w:rsid w:val="00730F90"/>
    <w:rsid w:val="0073115C"/>
    <w:rsid w:val="00734539"/>
    <w:rsid w:val="00734870"/>
    <w:rsid w:val="007350FC"/>
    <w:rsid w:val="00735E02"/>
    <w:rsid w:val="007371FD"/>
    <w:rsid w:val="007415F6"/>
    <w:rsid w:val="007428D0"/>
    <w:rsid w:val="0074370E"/>
    <w:rsid w:val="00743C40"/>
    <w:rsid w:val="00743E85"/>
    <w:rsid w:val="00744973"/>
    <w:rsid w:val="00744FD2"/>
    <w:rsid w:val="00745703"/>
    <w:rsid w:val="007457CE"/>
    <w:rsid w:val="007463C4"/>
    <w:rsid w:val="00746E0C"/>
    <w:rsid w:val="00746F64"/>
    <w:rsid w:val="00747490"/>
    <w:rsid w:val="00750165"/>
    <w:rsid w:val="0075068C"/>
    <w:rsid w:val="00750EBC"/>
    <w:rsid w:val="007513C5"/>
    <w:rsid w:val="007517E5"/>
    <w:rsid w:val="0075181D"/>
    <w:rsid w:val="007530A6"/>
    <w:rsid w:val="00754015"/>
    <w:rsid w:val="00754199"/>
    <w:rsid w:val="00756ABE"/>
    <w:rsid w:val="00756C1D"/>
    <w:rsid w:val="00756ED9"/>
    <w:rsid w:val="00756F25"/>
    <w:rsid w:val="00756FD8"/>
    <w:rsid w:val="0075746A"/>
    <w:rsid w:val="007575C8"/>
    <w:rsid w:val="0075775E"/>
    <w:rsid w:val="007602C0"/>
    <w:rsid w:val="007609FF"/>
    <w:rsid w:val="00761DAE"/>
    <w:rsid w:val="007621D4"/>
    <w:rsid w:val="007625D6"/>
    <w:rsid w:val="00762A33"/>
    <w:rsid w:val="007638FE"/>
    <w:rsid w:val="0076449C"/>
    <w:rsid w:val="00764691"/>
    <w:rsid w:val="00764A2C"/>
    <w:rsid w:val="0076545C"/>
    <w:rsid w:val="0076555E"/>
    <w:rsid w:val="007656C1"/>
    <w:rsid w:val="007656F7"/>
    <w:rsid w:val="00765DA9"/>
    <w:rsid w:val="00766573"/>
    <w:rsid w:val="0076720A"/>
    <w:rsid w:val="00767879"/>
    <w:rsid w:val="00767EBF"/>
    <w:rsid w:val="00770F0F"/>
    <w:rsid w:val="00771059"/>
    <w:rsid w:val="00772608"/>
    <w:rsid w:val="007728A0"/>
    <w:rsid w:val="0077307F"/>
    <w:rsid w:val="007743DA"/>
    <w:rsid w:val="007746E7"/>
    <w:rsid w:val="00774A65"/>
    <w:rsid w:val="00775342"/>
    <w:rsid w:val="0077587B"/>
    <w:rsid w:val="00776752"/>
    <w:rsid w:val="00776C08"/>
    <w:rsid w:val="00776D60"/>
    <w:rsid w:val="00781C3A"/>
    <w:rsid w:val="00781EFA"/>
    <w:rsid w:val="00782EF1"/>
    <w:rsid w:val="00783503"/>
    <w:rsid w:val="00783CFB"/>
    <w:rsid w:val="00783E37"/>
    <w:rsid w:val="00783E68"/>
    <w:rsid w:val="00784101"/>
    <w:rsid w:val="007841AE"/>
    <w:rsid w:val="00784E9A"/>
    <w:rsid w:val="00785604"/>
    <w:rsid w:val="00785C9C"/>
    <w:rsid w:val="00786AFE"/>
    <w:rsid w:val="00787F54"/>
    <w:rsid w:val="00790903"/>
    <w:rsid w:val="00792D83"/>
    <w:rsid w:val="007931F8"/>
    <w:rsid w:val="00793A8C"/>
    <w:rsid w:val="00793B38"/>
    <w:rsid w:val="007962DC"/>
    <w:rsid w:val="007A0276"/>
    <w:rsid w:val="007A121F"/>
    <w:rsid w:val="007A1290"/>
    <w:rsid w:val="007A4D41"/>
    <w:rsid w:val="007A6038"/>
    <w:rsid w:val="007A6832"/>
    <w:rsid w:val="007A7113"/>
    <w:rsid w:val="007B03EC"/>
    <w:rsid w:val="007B05FB"/>
    <w:rsid w:val="007B060C"/>
    <w:rsid w:val="007B1BCE"/>
    <w:rsid w:val="007B3926"/>
    <w:rsid w:val="007B3E37"/>
    <w:rsid w:val="007B419C"/>
    <w:rsid w:val="007B50C6"/>
    <w:rsid w:val="007B55EF"/>
    <w:rsid w:val="007B5B31"/>
    <w:rsid w:val="007B686E"/>
    <w:rsid w:val="007B7458"/>
    <w:rsid w:val="007B74F6"/>
    <w:rsid w:val="007B76FA"/>
    <w:rsid w:val="007B7A94"/>
    <w:rsid w:val="007B7F30"/>
    <w:rsid w:val="007C12BF"/>
    <w:rsid w:val="007C1671"/>
    <w:rsid w:val="007C1F33"/>
    <w:rsid w:val="007C236B"/>
    <w:rsid w:val="007C2F9C"/>
    <w:rsid w:val="007C2FD8"/>
    <w:rsid w:val="007C312C"/>
    <w:rsid w:val="007C3CA6"/>
    <w:rsid w:val="007C4B63"/>
    <w:rsid w:val="007C4E2B"/>
    <w:rsid w:val="007C52E4"/>
    <w:rsid w:val="007C5DBE"/>
    <w:rsid w:val="007C6C78"/>
    <w:rsid w:val="007C7669"/>
    <w:rsid w:val="007D032F"/>
    <w:rsid w:val="007D0A6C"/>
    <w:rsid w:val="007D0D4A"/>
    <w:rsid w:val="007D1B95"/>
    <w:rsid w:val="007D2481"/>
    <w:rsid w:val="007D2E7C"/>
    <w:rsid w:val="007D354F"/>
    <w:rsid w:val="007D3F3E"/>
    <w:rsid w:val="007D495C"/>
    <w:rsid w:val="007D52E8"/>
    <w:rsid w:val="007D5C49"/>
    <w:rsid w:val="007D61D4"/>
    <w:rsid w:val="007D6666"/>
    <w:rsid w:val="007E057D"/>
    <w:rsid w:val="007E2609"/>
    <w:rsid w:val="007E2A40"/>
    <w:rsid w:val="007E2A73"/>
    <w:rsid w:val="007E316A"/>
    <w:rsid w:val="007E359E"/>
    <w:rsid w:val="007E399C"/>
    <w:rsid w:val="007E5C2E"/>
    <w:rsid w:val="007E6288"/>
    <w:rsid w:val="007E78F8"/>
    <w:rsid w:val="007E7F62"/>
    <w:rsid w:val="007F0692"/>
    <w:rsid w:val="007F090B"/>
    <w:rsid w:val="007F15D2"/>
    <w:rsid w:val="007F173D"/>
    <w:rsid w:val="007F1889"/>
    <w:rsid w:val="007F2861"/>
    <w:rsid w:val="007F2BCB"/>
    <w:rsid w:val="007F38F4"/>
    <w:rsid w:val="007F3FC1"/>
    <w:rsid w:val="007F4021"/>
    <w:rsid w:val="007F478F"/>
    <w:rsid w:val="007F4967"/>
    <w:rsid w:val="007F4A92"/>
    <w:rsid w:val="007F560F"/>
    <w:rsid w:val="007F5A9C"/>
    <w:rsid w:val="007F6EA0"/>
    <w:rsid w:val="007F7263"/>
    <w:rsid w:val="007F7800"/>
    <w:rsid w:val="007F7ADB"/>
    <w:rsid w:val="00801DD1"/>
    <w:rsid w:val="008030E6"/>
    <w:rsid w:val="0080374E"/>
    <w:rsid w:val="00803F8C"/>
    <w:rsid w:val="00804B7B"/>
    <w:rsid w:val="00805826"/>
    <w:rsid w:val="008059A0"/>
    <w:rsid w:val="008067BB"/>
    <w:rsid w:val="00807036"/>
    <w:rsid w:val="0080796B"/>
    <w:rsid w:val="00813809"/>
    <w:rsid w:val="00813FEA"/>
    <w:rsid w:val="00815890"/>
    <w:rsid w:val="00815CB9"/>
    <w:rsid w:val="00815E71"/>
    <w:rsid w:val="008165D3"/>
    <w:rsid w:val="00816B33"/>
    <w:rsid w:val="00817E12"/>
    <w:rsid w:val="008205FB"/>
    <w:rsid w:val="008207F0"/>
    <w:rsid w:val="0082122B"/>
    <w:rsid w:val="00821C53"/>
    <w:rsid w:val="008220D9"/>
    <w:rsid w:val="00822BED"/>
    <w:rsid w:val="008233F7"/>
    <w:rsid w:val="00823405"/>
    <w:rsid w:val="008238F7"/>
    <w:rsid w:val="00823AAA"/>
    <w:rsid w:val="008250CB"/>
    <w:rsid w:val="00825469"/>
    <w:rsid w:val="00825D31"/>
    <w:rsid w:val="00826187"/>
    <w:rsid w:val="00826369"/>
    <w:rsid w:val="008266D6"/>
    <w:rsid w:val="00827FD6"/>
    <w:rsid w:val="00830314"/>
    <w:rsid w:val="0083354F"/>
    <w:rsid w:val="00833B7B"/>
    <w:rsid w:val="0083736C"/>
    <w:rsid w:val="00837697"/>
    <w:rsid w:val="00841184"/>
    <w:rsid w:val="008414C3"/>
    <w:rsid w:val="008428E8"/>
    <w:rsid w:val="00842F8A"/>
    <w:rsid w:val="00843231"/>
    <w:rsid w:val="00843CF3"/>
    <w:rsid w:val="00843D72"/>
    <w:rsid w:val="008448D4"/>
    <w:rsid w:val="00844D09"/>
    <w:rsid w:val="00846071"/>
    <w:rsid w:val="00846285"/>
    <w:rsid w:val="00846F12"/>
    <w:rsid w:val="00850E00"/>
    <w:rsid w:val="00850E4C"/>
    <w:rsid w:val="00850E8B"/>
    <w:rsid w:val="00851950"/>
    <w:rsid w:val="00853C46"/>
    <w:rsid w:val="00854074"/>
    <w:rsid w:val="00854151"/>
    <w:rsid w:val="008550EE"/>
    <w:rsid w:val="00856728"/>
    <w:rsid w:val="00860EC1"/>
    <w:rsid w:val="00861145"/>
    <w:rsid w:val="00861CEB"/>
    <w:rsid w:val="00862E1B"/>
    <w:rsid w:val="00864CFA"/>
    <w:rsid w:val="00864F49"/>
    <w:rsid w:val="008653B7"/>
    <w:rsid w:val="00865A23"/>
    <w:rsid w:val="00865F34"/>
    <w:rsid w:val="0086782D"/>
    <w:rsid w:val="00867A89"/>
    <w:rsid w:val="00867CD2"/>
    <w:rsid w:val="00870021"/>
    <w:rsid w:val="00871447"/>
    <w:rsid w:val="00871EB4"/>
    <w:rsid w:val="00872DCC"/>
    <w:rsid w:val="0087358C"/>
    <w:rsid w:val="00873639"/>
    <w:rsid w:val="00873E5B"/>
    <w:rsid w:val="0087424A"/>
    <w:rsid w:val="00874611"/>
    <w:rsid w:val="00874D7B"/>
    <w:rsid w:val="00875332"/>
    <w:rsid w:val="0087587F"/>
    <w:rsid w:val="0087670F"/>
    <w:rsid w:val="00877CDD"/>
    <w:rsid w:val="008809C8"/>
    <w:rsid w:val="00880A06"/>
    <w:rsid w:val="0088131B"/>
    <w:rsid w:val="00882081"/>
    <w:rsid w:val="00882B67"/>
    <w:rsid w:val="00882C85"/>
    <w:rsid w:val="008836F1"/>
    <w:rsid w:val="00883F63"/>
    <w:rsid w:val="00884152"/>
    <w:rsid w:val="00884C70"/>
    <w:rsid w:val="00885B6D"/>
    <w:rsid w:val="00885D28"/>
    <w:rsid w:val="0088630D"/>
    <w:rsid w:val="008876F8"/>
    <w:rsid w:val="00887ED0"/>
    <w:rsid w:val="008907AE"/>
    <w:rsid w:val="00891C47"/>
    <w:rsid w:val="00891DE8"/>
    <w:rsid w:val="00891E40"/>
    <w:rsid w:val="00892C6D"/>
    <w:rsid w:val="0089342E"/>
    <w:rsid w:val="008935A0"/>
    <w:rsid w:val="008935C3"/>
    <w:rsid w:val="00893812"/>
    <w:rsid w:val="00893878"/>
    <w:rsid w:val="008941E7"/>
    <w:rsid w:val="008942AA"/>
    <w:rsid w:val="00895523"/>
    <w:rsid w:val="008957FF"/>
    <w:rsid w:val="008964CF"/>
    <w:rsid w:val="008974A1"/>
    <w:rsid w:val="008978EA"/>
    <w:rsid w:val="008A0A35"/>
    <w:rsid w:val="008A2C02"/>
    <w:rsid w:val="008A47DE"/>
    <w:rsid w:val="008A573A"/>
    <w:rsid w:val="008A59E1"/>
    <w:rsid w:val="008A5C68"/>
    <w:rsid w:val="008A68DF"/>
    <w:rsid w:val="008A6AE8"/>
    <w:rsid w:val="008A6B86"/>
    <w:rsid w:val="008A7091"/>
    <w:rsid w:val="008A7C06"/>
    <w:rsid w:val="008B0086"/>
    <w:rsid w:val="008B07AD"/>
    <w:rsid w:val="008B205F"/>
    <w:rsid w:val="008B2B92"/>
    <w:rsid w:val="008B3E46"/>
    <w:rsid w:val="008B5ACD"/>
    <w:rsid w:val="008B5B98"/>
    <w:rsid w:val="008B6234"/>
    <w:rsid w:val="008B6526"/>
    <w:rsid w:val="008B7709"/>
    <w:rsid w:val="008C2E40"/>
    <w:rsid w:val="008C33BA"/>
    <w:rsid w:val="008C3BF8"/>
    <w:rsid w:val="008C4404"/>
    <w:rsid w:val="008C450C"/>
    <w:rsid w:val="008C4584"/>
    <w:rsid w:val="008C50F4"/>
    <w:rsid w:val="008C5818"/>
    <w:rsid w:val="008C6540"/>
    <w:rsid w:val="008C6567"/>
    <w:rsid w:val="008C756E"/>
    <w:rsid w:val="008C796C"/>
    <w:rsid w:val="008D0AB1"/>
    <w:rsid w:val="008D1973"/>
    <w:rsid w:val="008D3442"/>
    <w:rsid w:val="008D3725"/>
    <w:rsid w:val="008D396B"/>
    <w:rsid w:val="008D6241"/>
    <w:rsid w:val="008D696E"/>
    <w:rsid w:val="008D7D37"/>
    <w:rsid w:val="008D7F59"/>
    <w:rsid w:val="008E0403"/>
    <w:rsid w:val="008E287A"/>
    <w:rsid w:val="008E3C4E"/>
    <w:rsid w:val="008E56C8"/>
    <w:rsid w:val="008E5DC3"/>
    <w:rsid w:val="008E5E23"/>
    <w:rsid w:val="008E5F75"/>
    <w:rsid w:val="008E7B70"/>
    <w:rsid w:val="008F0E1E"/>
    <w:rsid w:val="008F10EC"/>
    <w:rsid w:val="008F11F6"/>
    <w:rsid w:val="008F22DB"/>
    <w:rsid w:val="008F22E1"/>
    <w:rsid w:val="008F401F"/>
    <w:rsid w:val="008F446A"/>
    <w:rsid w:val="008F4E39"/>
    <w:rsid w:val="008F4E9B"/>
    <w:rsid w:val="008F5633"/>
    <w:rsid w:val="008F69BB"/>
    <w:rsid w:val="008F6A29"/>
    <w:rsid w:val="008F7385"/>
    <w:rsid w:val="008F772A"/>
    <w:rsid w:val="009002B4"/>
    <w:rsid w:val="0090089E"/>
    <w:rsid w:val="00900FCD"/>
    <w:rsid w:val="00904FBE"/>
    <w:rsid w:val="0090511A"/>
    <w:rsid w:val="00906E3D"/>
    <w:rsid w:val="00907F59"/>
    <w:rsid w:val="0091067E"/>
    <w:rsid w:val="00910946"/>
    <w:rsid w:val="00911073"/>
    <w:rsid w:val="00911F56"/>
    <w:rsid w:val="00912294"/>
    <w:rsid w:val="00913231"/>
    <w:rsid w:val="0091392E"/>
    <w:rsid w:val="00914084"/>
    <w:rsid w:val="00915EB9"/>
    <w:rsid w:val="009162BB"/>
    <w:rsid w:val="00916A30"/>
    <w:rsid w:val="00917A07"/>
    <w:rsid w:val="009206C8"/>
    <w:rsid w:val="0092109C"/>
    <w:rsid w:val="00921123"/>
    <w:rsid w:val="00921A99"/>
    <w:rsid w:val="009225DA"/>
    <w:rsid w:val="00922892"/>
    <w:rsid w:val="00922DFF"/>
    <w:rsid w:val="0092429B"/>
    <w:rsid w:val="00925520"/>
    <w:rsid w:val="00925910"/>
    <w:rsid w:val="00926034"/>
    <w:rsid w:val="0092643B"/>
    <w:rsid w:val="0092685A"/>
    <w:rsid w:val="0092776F"/>
    <w:rsid w:val="00927F80"/>
    <w:rsid w:val="009300CA"/>
    <w:rsid w:val="009311CB"/>
    <w:rsid w:val="00931FAF"/>
    <w:rsid w:val="009332C3"/>
    <w:rsid w:val="00934046"/>
    <w:rsid w:val="00934072"/>
    <w:rsid w:val="00934493"/>
    <w:rsid w:val="00934D79"/>
    <w:rsid w:val="00935D15"/>
    <w:rsid w:val="00935F70"/>
    <w:rsid w:val="0093614B"/>
    <w:rsid w:val="00936EFB"/>
    <w:rsid w:val="00937222"/>
    <w:rsid w:val="009377BE"/>
    <w:rsid w:val="00940BEB"/>
    <w:rsid w:val="00941286"/>
    <w:rsid w:val="00941F16"/>
    <w:rsid w:val="00942720"/>
    <w:rsid w:val="0094518E"/>
    <w:rsid w:val="00946E80"/>
    <w:rsid w:val="00947141"/>
    <w:rsid w:val="0095058C"/>
    <w:rsid w:val="00950DAE"/>
    <w:rsid w:val="0095265D"/>
    <w:rsid w:val="00952B37"/>
    <w:rsid w:val="00953997"/>
    <w:rsid w:val="00953F16"/>
    <w:rsid w:val="009547C1"/>
    <w:rsid w:val="00954988"/>
    <w:rsid w:val="00954C63"/>
    <w:rsid w:val="00956E42"/>
    <w:rsid w:val="009577F5"/>
    <w:rsid w:val="00957976"/>
    <w:rsid w:val="00960F02"/>
    <w:rsid w:val="00961319"/>
    <w:rsid w:val="009621B5"/>
    <w:rsid w:val="009624F7"/>
    <w:rsid w:val="00962A5C"/>
    <w:rsid w:val="009631BC"/>
    <w:rsid w:val="00965619"/>
    <w:rsid w:val="00965B5F"/>
    <w:rsid w:val="009709CD"/>
    <w:rsid w:val="00971447"/>
    <w:rsid w:val="009716B4"/>
    <w:rsid w:val="00971EB3"/>
    <w:rsid w:val="00974402"/>
    <w:rsid w:val="0097569D"/>
    <w:rsid w:val="00975918"/>
    <w:rsid w:val="009766DE"/>
    <w:rsid w:val="00976745"/>
    <w:rsid w:val="0097686C"/>
    <w:rsid w:val="00977049"/>
    <w:rsid w:val="00977301"/>
    <w:rsid w:val="00977E13"/>
    <w:rsid w:val="00980E2B"/>
    <w:rsid w:val="00981B32"/>
    <w:rsid w:val="00981F62"/>
    <w:rsid w:val="00984172"/>
    <w:rsid w:val="00985714"/>
    <w:rsid w:val="00985ADB"/>
    <w:rsid w:val="00985F1E"/>
    <w:rsid w:val="00986649"/>
    <w:rsid w:val="00987473"/>
    <w:rsid w:val="00987705"/>
    <w:rsid w:val="00990BCA"/>
    <w:rsid w:val="009924FE"/>
    <w:rsid w:val="00993A00"/>
    <w:rsid w:val="009976EB"/>
    <w:rsid w:val="00997EE1"/>
    <w:rsid w:val="00997F7A"/>
    <w:rsid w:val="00997FCC"/>
    <w:rsid w:val="00997FED"/>
    <w:rsid w:val="009A00C6"/>
    <w:rsid w:val="009A020B"/>
    <w:rsid w:val="009A0F50"/>
    <w:rsid w:val="009A1703"/>
    <w:rsid w:val="009A1D34"/>
    <w:rsid w:val="009A278B"/>
    <w:rsid w:val="009A368C"/>
    <w:rsid w:val="009A3A80"/>
    <w:rsid w:val="009A3D66"/>
    <w:rsid w:val="009A4051"/>
    <w:rsid w:val="009A58F5"/>
    <w:rsid w:val="009A5E02"/>
    <w:rsid w:val="009A616E"/>
    <w:rsid w:val="009A707A"/>
    <w:rsid w:val="009B06DF"/>
    <w:rsid w:val="009B2CFE"/>
    <w:rsid w:val="009B2E15"/>
    <w:rsid w:val="009B3036"/>
    <w:rsid w:val="009B3F86"/>
    <w:rsid w:val="009B4297"/>
    <w:rsid w:val="009B6673"/>
    <w:rsid w:val="009B66B9"/>
    <w:rsid w:val="009B7581"/>
    <w:rsid w:val="009C0321"/>
    <w:rsid w:val="009C185D"/>
    <w:rsid w:val="009C2C62"/>
    <w:rsid w:val="009C33B0"/>
    <w:rsid w:val="009C393D"/>
    <w:rsid w:val="009C3C72"/>
    <w:rsid w:val="009C41FB"/>
    <w:rsid w:val="009C4844"/>
    <w:rsid w:val="009C4BD5"/>
    <w:rsid w:val="009C4DED"/>
    <w:rsid w:val="009C531B"/>
    <w:rsid w:val="009C6801"/>
    <w:rsid w:val="009C6B46"/>
    <w:rsid w:val="009C718D"/>
    <w:rsid w:val="009C76B3"/>
    <w:rsid w:val="009D05B0"/>
    <w:rsid w:val="009D0F40"/>
    <w:rsid w:val="009D11C1"/>
    <w:rsid w:val="009D208D"/>
    <w:rsid w:val="009D4543"/>
    <w:rsid w:val="009D48C0"/>
    <w:rsid w:val="009D5296"/>
    <w:rsid w:val="009D5BC9"/>
    <w:rsid w:val="009D6657"/>
    <w:rsid w:val="009D7695"/>
    <w:rsid w:val="009D7AF9"/>
    <w:rsid w:val="009D7C0D"/>
    <w:rsid w:val="009E029B"/>
    <w:rsid w:val="009E04AC"/>
    <w:rsid w:val="009E196E"/>
    <w:rsid w:val="009E1D87"/>
    <w:rsid w:val="009E238A"/>
    <w:rsid w:val="009E51CC"/>
    <w:rsid w:val="009E5536"/>
    <w:rsid w:val="009E6899"/>
    <w:rsid w:val="009E78FE"/>
    <w:rsid w:val="009E7BF3"/>
    <w:rsid w:val="009E7FFB"/>
    <w:rsid w:val="009F0238"/>
    <w:rsid w:val="009F03D3"/>
    <w:rsid w:val="009F0B92"/>
    <w:rsid w:val="009F13BB"/>
    <w:rsid w:val="009F254A"/>
    <w:rsid w:val="009F272F"/>
    <w:rsid w:val="009F375F"/>
    <w:rsid w:val="009F3F2F"/>
    <w:rsid w:val="009F40AB"/>
    <w:rsid w:val="009F4562"/>
    <w:rsid w:val="009F506A"/>
    <w:rsid w:val="009F5159"/>
    <w:rsid w:val="009F58AD"/>
    <w:rsid w:val="009F5B9D"/>
    <w:rsid w:val="009F5F2D"/>
    <w:rsid w:val="009F740F"/>
    <w:rsid w:val="009F77C1"/>
    <w:rsid w:val="00A00A2C"/>
    <w:rsid w:val="00A00FE6"/>
    <w:rsid w:val="00A0163C"/>
    <w:rsid w:val="00A019A5"/>
    <w:rsid w:val="00A033F8"/>
    <w:rsid w:val="00A040ED"/>
    <w:rsid w:val="00A05F66"/>
    <w:rsid w:val="00A06776"/>
    <w:rsid w:val="00A074A3"/>
    <w:rsid w:val="00A115F8"/>
    <w:rsid w:val="00A1228C"/>
    <w:rsid w:val="00A122A3"/>
    <w:rsid w:val="00A13CAE"/>
    <w:rsid w:val="00A1430E"/>
    <w:rsid w:val="00A14EC5"/>
    <w:rsid w:val="00A1510E"/>
    <w:rsid w:val="00A155EE"/>
    <w:rsid w:val="00A15638"/>
    <w:rsid w:val="00A15E59"/>
    <w:rsid w:val="00A16BD7"/>
    <w:rsid w:val="00A16D23"/>
    <w:rsid w:val="00A2014E"/>
    <w:rsid w:val="00A201F7"/>
    <w:rsid w:val="00A20708"/>
    <w:rsid w:val="00A20F27"/>
    <w:rsid w:val="00A22D94"/>
    <w:rsid w:val="00A230F0"/>
    <w:rsid w:val="00A23B6B"/>
    <w:rsid w:val="00A23B77"/>
    <w:rsid w:val="00A23F7A"/>
    <w:rsid w:val="00A249DC"/>
    <w:rsid w:val="00A249DE"/>
    <w:rsid w:val="00A25969"/>
    <w:rsid w:val="00A30F8E"/>
    <w:rsid w:val="00A3148A"/>
    <w:rsid w:val="00A31B24"/>
    <w:rsid w:val="00A31EC7"/>
    <w:rsid w:val="00A32A22"/>
    <w:rsid w:val="00A32E96"/>
    <w:rsid w:val="00A331B6"/>
    <w:rsid w:val="00A3324C"/>
    <w:rsid w:val="00A34A40"/>
    <w:rsid w:val="00A3635F"/>
    <w:rsid w:val="00A36D12"/>
    <w:rsid w:val="00A406AD"/>
    <w:rsid w:val="00A4190C"/>
    <w:rsid w:val="00A42A53"/>
    <w:rsid w:val="00A43126"/>
    <w:rsid w:val="00A43550"/>
    <w:rsid w:val="00A4586E"/>
    <w:rsid w:val="00A45B90"/>
    <w:rsid w:val="00A464BF"/>
    <w:rsid w:val="00A4699A"/>
    <w:rsid w:val="00A46E15"/>
    <w:rsid w:val="00A477AA"/>
    <w:rsid w:val="00A51013"/>
    <w:rsid w:val="00A519D9"/>
    <w:rsid w:val="00A51BFE"/>
    <w:rsid w:val="00A52ABF"/>
    <w:rsid w:val="00A52CE1"/>
    <w:rsid w:val="00A551A9"/>
    <w:rsid w:val="00A55468"/>
    <w:rsid w:val="00A55595"/>
    <w:rsid w:val="00A56159"/>
    <w:rsid w:val="00A575CE"/>
    <w:rsid w:val="00A60B03"/>
    <w:rsid w:val="00A6137C"/>
    <w:rsid w:val="00A61AA2"/>
    <w:rsid w:val="00A65069"/>
    <w:rsid w:val="00A651E6"/>
    <w:rsid w:val="00A65F18"/>
    <w:rsid w:val="00A66536"/>
    <w:rsid w:val="00A66D9F"/>
    <w:rsid w:val="00A67934"/>
    <w:rsid w:val="00A704E2"/>
    <w:rsid w:val="00A7076B"/>
    <w:rsid w:val="00A723C3"/>
    <w:rsid w:val="00A72B45"/>
    <w:rsid w:val="00A73CC5"/>
    <w:rsid w:val="00A73D93"/>
    <w:rsid w:val="00A740FB"/>
    <w:rsid w:val="00A74B1D"/>
    <w:rsid w:val="00A74D2C"/>
    <w:rsid w:val="00A74D89"/>
    <w:rsid w:val="00A757B0"/>
    <w:rsid w:val="00A75BCF"/>
    <w:rsid w:val="00A75DFA"/>
    <w:rsid w:val="00A75E3D"/>
    <w:rsid w:val="00A763C6"/>
    <w:rsid w:val="00A766C5"/>
    <w:rsid w:val="00A76777"/>
    <w:rsid w:val="00A77093"/>
    <w:rsid w:val="00A7710A"/>
    <w:rsid w:val="00A779BC"/>
    <w:rsid w:val="00A8085E"/>
    <w:rsid w:val="00A81911"/>
    <w:rsid w:val="00A81AD6"/>
    <w:rsid w:val="00A81BCF"/>
    <w:rsid w:val="00A82383"/>
    <w:rsid w:val="00A838FF"/>
    <w:rsid w:val="00A839DD"/>
    <w:rsid w:val="00A850C7"/>
    <w:rsid w:val="00A85A28"/>
    <w:rsid w:val="00A85B4B"/>
    <w:rsid w:val="00A875FC"/>
    <w:rsid w:val="00A908E4"/>
    <w:rsid w:val="00A92E3D"/>
    <w:rsid w:val="00A93849"/>
    <w:rsid w:val="00A94D4F"/>
    <w:rsid w:val="00A94FA9"/>
    <w:rsid w:val="00A9501C"/>
    <w:rsid w:val="00A952E1"/>
    <w:rsid w:val="00A95757"/>
    <w:rsid w:val="00A96240"/>
    <w:rsid w:val="00A96AF1"/>
    <w:rsid w:val="00A97076"/>
    <w:rsid w:val="00AA0E98"/>
    <w:rsid w:val="00AA2D6D"/>
    <w:rsid w:val="00AA3645"/>
    <w:rsid w:val="00AA4C7C"/>
    <w:rsid w:val="00AA4F12"/>
    <w:rsid w:val="00AA54AD"/>
    <w:rsid w:val="00AA5E9C"/>
    <w:rsid w:val="00AA642C"/>
    <w:rsid w:val="00AA659F"/>
    <w:rsid w:val="00AB0E6C"/>
    <w:rsid w:val="00AB1A98"/>
    <w:rsid w:val="00AB1E61"/>
    <w:rsid w:val="00AB36FA"/>
    <w:rsid w:val="00AB4E44"/>
    <w:rsid w:val="00AB50CD"/>
    <w:rsid w:val="00AB6CD8"/>
    <w:rsid w:val="00AB7075"/>
    <w:rsid w:val="00AB756F"/>
    <w:rsid w:val="00AC0A56"/>
    <w:rsid w:val="00AC211A"/>
    <w:rsid w:val="00AC2509"/>
    <w:rsid w:val="00AC2FFB"/>
    <w:rsid w:val="00AC32BC"/>
    <w:rsid w:val="00AC36CB"/>
    <w:rsid w:val="00AC4CF9"/>
    <w:rsid w:val="00AC5F11"/>
    <w:rsid w:val="00AC6C6F"/>
    <w:rsid w:val="00AC787A"/>
    <w:rsid w:val="00AC7E37"/>
    <w:rsid w:val="00AD01C9"/>
    <w:rsid w:val="00AD0348"/>
    <w:rsid w:val="00AD104D"/>
    <w:rsid w:val="00AD170A"/>
    <w:rsid w:val="00AD2047"/>
    <w:rsid w:val="00AD25BC"/>
    <w:rsid w:val="00AD5C0B"/>
    <w:rsid w:val="00AD6725"/>
    <w:rsid w:val="00AD76EE"/>
    <w:rsid w:val="00AD7C29"/>
    <w:rsid w:val="00AD7D2A"/>
    <w:rsid w:val="00AE082A"/>
    <w:rsid w:val="00AE09E4"/>
    <w:rsid w:val="00AE10ED"/>
    <w:rsid w:val="00AE11EF"/>
    <w:rsid w:val="00AE1276"/>
    <w:rsid w:val="00AE2BE8"/>
    <w:rsid w:val="00AE2FEB"/>
    <w:rsid w:val="00AE419D"/>
    <w:rsid w:val="00AE42BC"/>
    <w:rsid w:val="00AE5A1F"/>
    <w:rsid w:val="00AE6AB6"/>
    <w:rsid w:val="00AE7BF6"/>
    <w:rsid w:val="00AE7C93"/>
    <w:rsid w:val="00AF1EE8"/>
    <w:rsid w:val="00AF3629"/>
    <w:rsid w:val="00AF4CF0"/>
    <w:rsid w:val="00AF5699"/>
    <w:rsid w:val="00AF57EE"/>
    <w:rsid w:val="00AF5B80"/>
    <w:rsid w:val="00AF5DC1"/>
    <w:rsid w:val="00AF6020"/>
    <w:rsid w:val="00AF7AA9"/>
    <w:rsid w:val="00B01E72"/>
    <w:rsid w:val="00B03A87"/>
    <w:rsid w:val="00B03E60"/>
    <w:rsid w:val="00B047BA"/>
    <w:rsid w:val="00B04B4F"/>
    <w:rsid w:val="00B04B8B"/>
    <w:rsid w:val="00B04ECE"/>
    <w:rsid w:val="00B05436"/>
    <w:rsid w:val="00B05505"/>
    <w:rsid w:val="00B060A9"/>
    <w:rsid w:val="00B06B2D"/>
    <w:rsid w:val="00B07D80"/>
    <w:rsid w:val="00B12B14"/>
    <w:rsid w:val="00B12EAE"/>
    <w:rsid w:val="00B135B8"/>
    <w:rsid w:val="00B1367C"/>
    <w:rsid w:val="00B136F7"/>
    <w:rsid w:val="00B13D3A"/>
    <w:rsid w:val="00B13D59"/>
    <w:rsid w:val="00B14216"/>
    <w:rsid w:val="00B145AA"/>
    <w:rsid w:val="00B149F0"/>
    <w:rsid w:val="00B160F1"/>
    <w:rsid w:val="00B1794B"/>
    <w:rsid w:val="00B20841"/>
    <w:rsid w:val="00B20D8B"/>
    <w:rsid w:val="00B230A2"/>
    <w:rsid w:val="00B2313F"/>
    <w:rsid w:val="00B23C6A"/>
    <w:rsid w:val="00B253D6"/>
    <w:rsid w:val="00B254D2"/>
    <w:rsid w:val="00B257BE"/>
    <w:rsid w:val="00B27989"/>
    <w:rsid w:val="00B27C6D"/>
    <w:rsid w:val="00B30943"/>
    <w:rsid w:val="00B31181"/>
    <w:rsid w:val="00B329D8"/>
    <w:rsid w:val="00B3407F"/>
    <w:rsid w:val="00B3581C"/>
    <w:rsid w:val="00B3632F"/>
    <w:rsid w:val="00B376C3"/>
    <w:rsid w:val="00B37A92"/>
    <w:rsid w:val="00B40315"/>
    <w:rsid w:val="00B40AFF"/>
    <w:rsid w:val="00B41005"/>
    <w:rsid w:val="00B419A3"/>
    <w:rsid w:val="00B419E8"/>
    <w:rsid w:val="00B41D55"/>
    <w:rsid w:val="00B41F38"/>
    <w:rsid w:val="00B43276"/>
    <w:rsid w:val="00B44BE2"/>
    <w:rsid w:val="00B4680F"/>
    <w:rsid w:val="00B4730B"/>
    <w:rsid w:val="00B47AB8"/>
    <w:rsid w:val="00B5144C"/>
    <w:rsid w:val="00B51DC4"/>
    <w:rsid w:val="00B55F4E"/>
    <w:rsid w:val="00B561BB"/>
    <w:rsid w:val="00B56C85"/>
    <w:rsid w:val="00B56CF6"/>
    <w:rsid w:val="00B57132"/>
    <w:rsid w:val="00B575A1"/>
    <w:rsid w:val="00B61D2A"/>
    <w:rsid w:val="00B6239A"/>
    <w:rsid w:val="00B627CD"/>
    <w:rsid w:val="00B627FF"/>
    <w:rsid w:val="00B62B81"/>
    <w:rsid w:val="00B62D89"/>
    <w:rsid w:val="00B62F05"/>
    <w:rsid w:val="00B63090"/>
    <w:rsid w:val="00B630CF"/>
    <w:rsid w:val="00B646C7"/>
    <w:rsid w:val="00B6656F"/>
    <w:rsid w:val="00B67503"/>
    <w:rsid w:val="00B67BE8"/>
    <w:rsid w:val="00B70020"/>
    <w:rsid w:val="00B7008C"/>
    <w:rsid w:val="00B70451"/>
    <w:rsid w:val="00B7077C"/>
    <w:rsid w:val="00B710AB"/>
    <w:rsid w:val="00B712EF"/>
    <w:rsid w:val="00B72BCF"/>
    <w:rsid w:val="00B73EA4"/>
    <w:rsid w:val="00B74EFF"/>
    <w:rsid w:val="00B7621B"/>
    <w:rsid w:val="00B76A94"/>
    <w:rsid w:val="00B773F0"/>
    <w:rsid w:val="00B77458"/>
    <w:rsid w:val="00B80012"/>
    <w:rsid w:val="00B8060A"/>
    <w:rsid w:val="00B82D32"/>
    <w:rsid w:val="00B82FB8"/>
    <w:rsid w:val="00B83F42"/>
    <w:rsid w:val="00B86788"/>
    <w:rsid w:val="00B86F2F"/>
    <w:rsid w:val="00B8754A"/>
    <w:rsid w:val="00B878FA"/>
    <w:rsid w:val="00B902E2"/>
    <w:rsid w:val="00B90A14"/>
    <w:rsid w:val="00B90B54"/>
    <w:rsid w:val="00B9114E"/>
    <w:rsid w:val="00B926A5"/>
    <w:rsid w:val="00B9278E"/>
    <w:rsid w:val="00B92FF8"/>
    <w:rsid w:val="00B94E1E"/>
    <w:rsid w:val="00B94E26"/>
    <w:rsid w:val="00B94EB0"/>
    <w:rsid w:val="00B95A39"/>
    <w:rsid w:val="00B97BC3"/>
    <w:rsid w:val="00B97EB2"/>
    <w:rsid w:val="00BA05FA"/>
    <w:rsid w:val="00BA18D9"/>
    <w:rsid w:val="00BA1C07"/>
    <w:rsid w:val="00BA1EA1"/>
    <w:rsid w:val="00BA350E"/>
    <w:rsid w:val="00BA36F4"/>
    <w:rsid w:val="00BA507B"/>
    <w:rsid w:val="00BA55CF"/>
    <w:rsid w:val="00BA56D2"/>
    <w:rsid w:val="00BA56D9"/>
    <w:rsid w:val="00BA57B4"/>
    <w:rsid w:val="00BA5996"/>
    <w:rsid w:val="00BA7BE5"/>
    <w:rsid w:val="00BB0D56"/>
    <w:rsid w:val="00BB1383"/>
    <w:rsid w:val="00BB1418"/>
    <w:rsid w:val="00BB1895"/>
    <w:rsid w:val="00BB1F24"/>
    <w:rsid w:val="00BB30D4"/>
    <w:rsid w:val="00BB52C7"/>
    <w:rsid w:val="00BB7E38"/>
    <w:rsid w:val="00BC0398"/>
    <w:rsid w:val="00BC128B"/>
    <w:rsid w:val="00BC1374"/>
    <w:rsid w:val="00BC181B"/>
    <w:rsid w:val="00BC3938"/>
    <w:rsid w:val="00BC3949"/>
    <w:rsid w:val="00BC4068"/>
    <w:rsid w:val="00BC538E"/>
    <w:rsid w:val="00BC5CBF"/>
    <w:rsid w:val="00BC67DC"/>
    <w:rsid w:val="00BC6DE2"/>
    <w:rsid w:val="00BC6E96"/>
    <w:rsid w:val="00BC7625"/>
    <w:rsid w:val="00BD0425"/>
    <w:rsid w:val="00BD1EAC"/>
    <w:rsid w:val="00BD2FAE"/>
    <w:rsid w:val="00BD3F43"/>
    <w:rsid w:val="00BD4443"/>
    <w:rsid w:val="00BD44E2"/>
    <w:rsid w:val="00BD4B65"/>
    <w:rsid w:val="00BD4E14"/>
    <w:rsid w:val="00BD4F90"/>
    <w:rsid w:val="00BE0871"/>
    <w:rsid w:val="00BE0BC0"/>
    <w:rsid w:val="00BE0F9A"/>
    <w:rsid w:val="00BE241E"/>
    <w:rsid w:val="00BE271A"/>
    <w:rsid w:val="00BE34DE"/>
    <w:rsid w:val="00BE3820"/>
    <w:rsid w:val="00BE4330"/>
    <w:rsid w:val="00BE4728"/>
    <w:rsid w:val="00BE5440"/>
    <w:rsid w:val="00BE5670"/>
    <w:rsid w:val="00BE615C"/>
    <w:rsid w:val="00BE6EA2"/>
    <w:rsid w:val="00BE727C"/>
    <w:rsid w:val="00BE7326"/>
    <w:rsid w:val="00BF027B"/>
    <w:rsid w:val="00BF0DCA"/>
    <w:rsid w:val="00BF0F9B"/>
    <w:rsid w:val="00BF143F"/>
    <w:rsid w:val="00BF1D33"/>
    <w:rsid w:val="00BF332D"/>
    <w:rsid w:val="00BF392C"/>
    <w:rsid w:val="00BF430C"/>
    <w:rsid w:val="00BF44A1"/>
    <w:rsid w:val="00BF457A"/>
    <w:rsid w:val="00BF461E"/>
    <w:rsid w:val="00BF4BC2"/>
    <w:rsid w:val="00BF5C77"/>
    <w:rsid w:val="00BF5DA0"/>
    <w:rsid w:val="00BF630E"/>
    <w:rsid w:val="00BF7243"/>
    <w:rsid w:val="00C01099"/>
    <w:rsid w:val="00C01467"/>
    <w:rsid w:val="00C02EEE"/>
    <w:rsid w:val="00C0412D"/>
    <w:rsid w:val="00C0426B"/>
    <w:rsid w:val="00C0553F"/>
    <w:rsid w:val="00C0651F"/>
    <w:rsid w:val="00C06AA5"/>
    <w:rsid w:val="00C07EE6"/>
    <w:rsid w:val="00C10FCA"/>
    <w:rsid w:val="00C11CFC"/>
    <w:rsid w:val="00C11D01"/>
    <w:rsid w:val="00C13697"/>
    <w:rsid w:val="00C154AC"/>
    <w:rsid w:val="00C16B9E"/>
    <w:rsid w:val="00C201ED"/>
    <w:rsid w:val="00C205CC"/>
    <w:rsid w:val="00C21859"/>
    <w:rsid w:val="00C21C82"/>
    <w:rsid w:val="00C21DAC"/>
    <w:rsid w:val="00C22A9D"/>
    <w:rsid w:val="00C23346"/>
    <w:rsid w:val="00C2386E"/>
    <w:rsid w:val="00C25C27"/>
    <w:rsid w:val="00C308C5"/>
    <w:rsid w:val="00C30BF2"/>
    <w:rsid w:val="00C31535"/>
    <w:rsid w:val="00C31B4C"/>
    <w:rsid w:val="00C31C13"/>
    <w:rsid w:val="00C321B0"/>
    <w:rsid w:val="00C360DD"/>
    <w:rsid w:val="00C36A1C"/>
    <w:rsid w:val="00C37014"/>
    <w:rsid w:val="00C37C2F"/>
    <w:rsid w:val="00C41316"/>
    <w:rsid w:val="00C41762"/>
    <w:rsid w:val="00C419C9"/>
    <w:rsid w:val="00C4422E"/>
    <w:rsid w:val="00C449DC"/>
    <w:rsid w:val="00C44A4F"/>
    <w:rsid w:val="00C46066"/>
    <w:rsid w:val="00C463A7"/>
    <w:rsid w:val="00C473AB"/>
    <w:rsid w:val="00C47630"/>
    <w:rsid w:val="00C54CFB"/>
    <w:rsid w:val="00C552B0"/>
    <w:rsid w:val="00C5603E"/>
    <w:rsid w:val="00C565DE"/>
    <w:rsid w:val="00C569BB"/>
    <w:rsid w:val="00C56CE3"/>
    <w:rsid w:val="00C57D9E"/>
    <w:rsid w:val="00C607C2"/>
    <w:rsid w:val="00C6098E"/>
    <w:rsid w:val="00C61CC8"/>
    <w:rsid w:val="00C628B5"/>
    <w:rsid w:val="00C636DC"/>
    <w:rsid w:val="00C63D0A"/>
    <w:rsid w:val="00C64093"/>
    <w:rsid w:val="00C6458C"/>
    <w:rsid w:val="00C64D99"/>
    <w:rsid w:val="00C658B5"/>
    <w:rsid w:val="00C65DC1"/>
    <w:rsid w:val="00C666DA"/>
    <w:rsid w:val="00C67AA5"/>
    <w:rsid w:val="00C67DAB"/>
    <w:rsid w:val="00C701F1"/>
    <w:rsid w:val="00C706F2"/>
    <w:rsid w:val="00C7077C"/>
    <w:rsid w:val="00C72350"/>
    <w:rsid w:val="00C73D53"/>
    <w:rsid w:val="00C7477E"/>
    <w:rsid w:val="00C74CE1"/>
    <w:rsid w:val="00C75805"/>
    <w:rsid w:val="00C758B7"/>
    <w:rsid w:val="00C76C83"/>
    <w:rsid w:val="00C819EA"/>
    <w:rsid w:val="00C825F1"/>
    <w:rsid w:val="00C829F8"/>
    <w:rsid w:val="00C82A28"/>
    <w:rsid w:val="00C83D57"/>
    <w:rsid w:val="00C84927"/>
    <w:rsid w:val="00C84B28"/>
    <w:rsid w:val="00C86568"/>
    <w:rsid w:val="00C8719C"/>
    <w:rsid w:val="00C87396"/>
    <w:rsid w:val="00C8781B"/>
    <w:rsid w:val="00C903BC"/>
    <w:rsid w:val="00C924C3"/>
    <w:rsid w:val="00C92794"/>
    <w:rsid w:val="00C93326"/>
    <w:rsid w:val="00C9377D"/>
    <w:rsid w:val="00C9646C"/>
    <w:rsid w:val="00C96D3E"/>
    <w:rsid w:val="00C97DEC"/>
    <w:rsid w:val="00CA0684"/>
    <w:rsid w:val="00CA2653"/>
    <w:rsid w:val="00CA2E4C"/>
    <w:rsid w:val="00CA3C4B"/>
    <w:rsid w:val="00CA4094"/>
    <w:rsid w:val="00CA44AC"/>
    <w:rsid w:val="00CA50C4"/>
    <w:rsid w:val="00CA72F4"/>
    <w:rsid w:val="00CA7FC2"/>
    <w:rsid w:val="00CB010D"/>
    <w:rsid w:val="00CB130D"/>
    <w:rsid w:val="00CB17B2"/>
    <w:rsid w:val="00CB23B4"/>
    <w:rsid w:val="00CB324E"/>
    <w:rsid w:val="00CB35EE"/>
    <w:rsid w:val="00CB3B06"/>
    <w:rsid w:val="00CB444F"/>
    <w:rsid w:val="00CB479F"/>
    <w:rsid w:val="00CB5569"/>
    <w:rsid w:val="00CB714E"/>
    <w:rsid w:val="00CB7564"/>
    <w:rsid w:val="00CB76F0"/>
    <w:rsid w:val="00CB780D"/>
    <w:rsid w:val="00CC0ABA"/>
    <w:rsid w:val="00CC32FB"/>
    <w:rsid w:val="00CC389E"/>
    <w:rsid w:val="00CC40A6"/>
    <w:rsid w:val="00CC43A5"/>
    <w:rsid w:val="00CC45D1"/>
    <w:rsid w:val="00CC4B7B"/>
    <w:rsid w:val="00CC4DBF"/>
    <w:rsid w:val="00CC5669"/>
    <w:rsid w:val="00CC5B75"/>
    <w:rsid w:val="00CC6E2F"/>
    <w:rsid w:val="00CC7124"/>
    <w:rsid w:val="00CC744C"/>
    <w:rsid w:val="00CC7948"/>
    <w:rsid w:val="00CC7C70"/>
    <w:rsid w:val="00CD020C"/>
    <w:rsid w:val="00CD0724"/>
    <w:rsid w:val="00CD0B70"/>
    <w:rsid w:val="00CD377A"/>
    <w:rsid w:val="00CD3A91"/>
    <w:rsid w:val="00CD408C"/>
    <w:rsid w:val="00CD41D6"/>
    <w:rsid w:val="00CD472B"/>
    <w:rsid w:val="00CD4DBD"/>
    <w:rsid w:val="00CD4EF0"/>
    <w:rsid w:val="00CD4F5F"/>
    <w:rsid w:val="00CD4FFC"/>
    <w:rsid w:val="00CD51EF"/>
    <w:rsid w:val="00CD68A6"/>
    <w:rsid w:val="00CD7B29"/>
    <w:rsid w:val="00CE039D"/>
    <w:rsid w:val="00CE04E0"/>
    <w:rsid w:val="00CE1F1E"/>
    <w:rsid w:val="00CE23C3"/>
    <w:rsid w:val="00CE38E1"/>
    <w:rsid w:val="00CE3999"/>
    <w:rsid w:val="00CE4030"/>
    <w:rsid w:val="00CE447E"/>
    <w:rsid w:val="00CE485E"/>
    <w:rsid w:val="00CE6C57"/>
    <w:rsid w:val="00CF03CF"/>
    <w:rsid w:val="00CF1021"/>
    <w:rsid w:val="00CF1107"/>
    <w:rsid w:val="00CF124E"/>
    <w:rsid w:val="00CF18C5"/>
    <w:rsid w:val="00CF1AD0"/>
    <w:rsid w:val="00CF1ED3"/>
    <w:rsid w:val="00CF2625"/>
    <w:rsid w:val="00CF2DDC"/>
    <w:rsid w:val="00CF3DC8"/>
    <w:rsid w:val="00CF40A5"/>
    <w:rsid w:val="00CF4FDC"/>
    <w:rsid w:val="00CF6818"/>
    <w:rsid w:val="00D00C76"/>
    <w:rsid w:val="00D0162A"/>
    <w:rsid w:val="00D017E8"/>
    <w:rsid w:val="00D02677"/>
    <w:rsid w:val="00D02BAE"/>
    <w:rsid w:val="00D02FBB"/>
    <w:rsid w:val="00D03DAC"/>
    <w:rsid w:val="00D049AE"/>
    <w:rsid w:val="00D04B78"/>
    <w:rsid w:val="00D05233"/>
    <w:rsid w:val="00D06489"/>
    <w:rsid w:val="00D06DCE"/>
    <w:rsid w:val="00D070A6"/>
    <w:rsid w:val="00D10088"/>
    <w:rsid w:val="00D112A1"/>
    <w:rsid w:val="00D12BCD"/>
    <w:rsid w:val="00D12FED"/>
    <w:rsid w:val="00D13928"/>
    <w:rsid w:val="00D14433"/>
    <w:rsid w:val="00D14B34"/>
    <w:rsid w:val="00D152E6"/>
    <w:rsid w:val="00D16FD8"/>
    <w:rsid w:val="00D21575"/>
    <w:rsid w:val="00D219DD"/>
    <w:rsid w:val="00D236AD"/>
    <w:rsid w:val="00D252D7"/>
    <w:rsid w:val="00D26083"/>
    <w:rsid w:val="00D260E8"/>
    <w:rsid w:val="00D26221"/>
    <w:rsid w:val="00D26A0D"/>
    <w:rsid w:val="00D27285"/>
    <w:rsid w:val="00D272BE"/>
    <w:rsid w:val="00D272C1"/>
    <w:rsid w:val="00D27353"/>
    <w:rsid w:val="00D27AC5"/>
    <w:rsid w:val="00D31D9E"/>
    <w:rsid w:val="00D322DF"/>
    <w:rsid w:val="00D32859"/>
    <w:rsid w:val="00D33A91"/>
    <w:rsid w:val="00D33AB5"/>
    <w:rsid w:val="00D3449C"/>
    <w:rsid w:val="00D345B4"/>
    <w:rsid w:val="00D349B0"/>
    <w:rsid w:val="00D34DA5"/>
    <w:rsid w:val="00D37BF1"/>
    <w:rsid w:val="00D40EC9"/>
    <w:rsid w:val="00D41788"/>
    <w:rsid w:val="00D41A8B"/>
    <w:rsid w:val="00D42EEF"/>
    <w:rsid w:val="00D433D3"/>
    <w:rsid w:val="00D4367F"/>
    <w:rsid w:val="00D44A9A"/>
    <w:rsid w:val="00D45768"/>
    <w:rsid w:val="00D45FE5"/>
    <w:rsid w:val="00D46032"/>
    <w:rsid w:val="00D46B98"/>
    <w:rsid w:val="00D50985"/>
    <w:rsid w:val="00D51369"/>
    <w:rsid w:val="00D51645"/>
    <w:rsid w:val="00D51ABB"/>
    <w:rsid w:val="00D52388"/>
    <w:rsid w:val="00D52728"/>
    <w:rsid w:val="00D52A24"/>
    <w:rsid w:val="00D565E9"/>
    <w:rsid w:val="00D57D12"/>
    <w:rsid w:val="00D60405"/>
    <w:rsid w:val="00D606ED"/>
    <w:rsid w:val="00D60C0C"/>
    <w:rsid w:val="00D611A5"/>
    <w:rsid w:val="00D61530"/>
    <w:rsid w:val="00D62D05"/>
    <w:rsid w:val="00D634BB"/>
    <w:rsid w:val="00D64512"/>
    <w:rsid w:val="00D668E7"/>
    <w:rsid w:val="00D6693C"/>
    <w:rsid w:val="00D705D3"/>
    <w:rsid w:val="00D70E9C"/>
    <w:rsid w:val="00D72002"/>
    <w:rsid w:val="00D72BC1"/>
    <w:rsid w:val="00D73496"/>
    <w:rsid w:val="00D74D75"/>
    <w:rsid w:val="00D759CB"/>
    <w:rsid w:val="00D776BF"/>
    <w:rsid w:val="00D77AAB"/>
    <w:rsid w:val="00D77EBC"/>
    <w:rsid w:val="00D803A2"/>
    <w:rsid w:val="00D81489"/>
    <w:rsid w:val="00D81D0B"/>
    <w:rsid w:val="00D828CE"/>
    <w:rsid w:val="00D83CD7"/>
    <w:rsid w:val="00D83D53"/>
    <w:rsid w:val="00D87922"/>
    <w:rsid w:val="00D87E98"/>
    <w:rsid w:val="00D9029D"/>
    <w:rsid w:val="00D936A5"/>
    <w:rsid w:val="00D95F6F"/>
    <w:rsid w:val="00D963E3"/>
    <w:rsid w:val="00D9669D"/>
    <w:rsid w:val="00D97C5E"/>
    <w:rsid w:val="00DA178C"/>
    <w:rsid w:val="00DA21A5"/>
    <w:rsid w:val="00DA24FA"/>
    <w:rsid w:val="00DA2AF7"/>
    <w:rsid w:val="00DA46B6"/>
    <w:rsid w:val="00DA47FE"/>
    <w:rsid w:val="00DA5391"/>
    <w:rsid w:val="00DA5BF3"/>
    <w:rsid w:val="00DA5C9B"/>
    <w:rsid w:val="00DA7BDD"/>
    <w:rsid w:val="00DB0353"/>
    <w:rsid w:val="00DB11D6"/>
    <w:rsid w:val="00DB2710"/>
    <w:rsid w:val="00DB421E"/>
    <w:rsid w:val="00DB6DD1"/>
    <w:rsid w:val="00DB7EE7"/>
    <w:rsid w:val="00DC0743"/>
    <w:rsid w:val="00DC0816"/>
    <w:rsid w:val="00DC1519"/>
    <w:rsid w:val="00DC17AF"/>
    <w:rsid w:val="00DC1B0B"/>
    <w:rsid w:val="00DC31E8"/>
    <w:rsid w:val="00DC3ED7"/>
    <w:rsid w:val="00DC4B49"/>
    <w:rsid w:val="00DC59FD"/>
    <w:rsid w:val="00DC5F79"/>
    <w:rsid w:val="00DC5FBC"/>
    <w:rsid w:val="00DC705F"/>
    <w:rsid w:val="00DC791F"/>
    <w:rsid w:val="00DC7DDA"/>
    <w:rsid w:val="00DC7F26"/>
    <w:rsid w:val="00DD0D6F"/>
    <w:rsid w:val="00DD2698"/>
    <w:rsid w:val="00DD3874"/>
    <w:rsid w:val="00DD413F"/>
    <w:rsid w:val="00DD41B0"/>
    <w:rsid w:val="00DD4452"/>
    <w:rsid w:val="00DD44A6"/>
    <w:rsid w:val="00DD5B0C"/>
    <w:rsid w:val="00DD5D7E"/>
    <w:rsid w:val="00DD68CB"/>
    <w:rsid w:val="00DD711B"/>
    <w:rsid w:val="00DD7DD6"/>
    <w:rsid w:val="00DE009F"/>
    <w:rsid w:val="00DE0BB9"/>
    <w:rsid w:val="00DE1137"/>
    <w:rsid w:val="00DE11F3"/>
    <w:rsid w:val="00DE12AD"/>
    <w:rsid w:val="00DE1A43"/>
    <w:rsid w:val="00DE1B3D"/>
    <w:rsid w:val="00DE23EC"/>
    <w:rsid w:val="00DE461F"/>
    <w:rsid w:val="00DE5639"/>
    <w:rsid w:val="00DE676A"/>
    <w:rsid w:val="00DE68F2"/>
    <w:rsid w:val="00DE7891"/>
    <w:rsid w:val="00DE7C95"/>
    <w:rsid w:val="00DF0BB1"/>
    <w:rsid w:val="00DF12A7"/>
    <w:rsid w:val="00DF12B5"/>
    <w:rsid w:val="00DF1512"/>
    <w:rsid w:val="00DF2274"/>
    <w:rsid w:val="00DF3417"/>
    <w:rsid w:val="00DF3B8F"/>
    <w:rsid w:val="00DF4DDD"/>
    <w:rsid w:val="00DF4F84"/>
    <w:rsid w:val="00DF537D"/>
    <w:rsid w:val="00DF555F"/>
    <w:rsid w:val="00DF65E6"/>
    <w:rsid w:val="00DF72D7"/>
    <w:rsid w:val="00DF755D"/>
    <w:rsid w:val="00DF7A29"/>
    <w:rsid w:val="00E00CA1"/>
    <w:rsid w:val="00E012CD"/>
    <w:rsid w:val="00E01D7C"/>
    <w:rsid w:val="00E01EB5"/>
    <w:rsid w:val="00E029DE"/>
    <w:rsid w:val="00E02B5F"/>
    <w:rsid w:val="00E02F24"/>
    <w:rsid w:val="00E04988"/>
    <w:rsid w:val="00E04DAE"/>
    <w:rsid w:val="00E05CB9"/>
    <w:rsid w:val="00E0624D"/>
    <w:rsid w:val="00E062F8"/>
    <w:rsid w:val="00E12495"/>
    <w:rsid w:val="00E1284C"/>
    <w:rsid w:val="00E12BBE"/>
    <w:rsid w:val="00E13520"/>
    <w:rsid w:val="00E13920"/>
    <w:rsid w:val="00E13F81"/>
    <w:rsid w:val="00E14141"/>
    <w:rsid w:val="00E14ECB"/>
    <w:rsid w:val="00E15058"/>
    <w:rsid w:val="00E15117"/>
    <w:rsid w:val="00E155ED"/>
    <w:rsid w:val="00E165C2"/>
    <w:rsid w:val="00E17934"/>
    <w:rsid w:val="00E17D46"/>
    <w:rsid w:val="00E2024C"/>
    <w:rsid w:val="00E20543"/>
    <w:rsid w:val="00E20A13"/>
    <w:rsid w:val="00E215FA"/>
    <w:rsid w:val="00E21614"/>
    <w:rsid w:val="00E21D37"/>
    <w:rsid w:val="00E22F4D"/>
    <w:rsid w:val="00E22F7C"/>
    <w:rsid w:val="00E252F8"/>
    <w:rsid w:val="00E257C8"/>
    <w:rsid w:val="00E2590B"/>
    <w:rsid w:val="00E26BEB"/>
    <w:rsid w:val="00E27B15"/>
    <w:rsid w:val="00E30CE5"/>
    <w:rsid w:val="00E3136A"/>
    <w:rsid w:val="00E3195A"/>
    <w:rsid w:val="00E31FB9"/>
    <w:rsid w:val="00E3328F"/>
    <w:rsid w:val="00E33C4C"/>
    <w:rsid w:val="00E35DB4"/>
    <w:rsid w:val="00E36817"/>
    <w:rsid w:val="00E36B4E"/>
    <w:rsid w:val="00E375F1"/>
    <w:rsid w:val="00E41588"/>
    <w:rsid w:val="00E41816"/>
    <w:rsid w:val="00E42036"/>
    <w:rsid w:val="00E42E50"/>
    <w:rsid w:val="00E43153"/>
    <w:rsid w:val="00E4486E"/>
    <w:rsid w:val="00E45846"/>
    <w:rsid w:val="00E45B9A"/>
    <w:rsid w:val="00E45CD6"/>
    <w:rsid w:val="00E4784F"/>
    <w:rsid w:val="00E47B5A"/>
    <w:rsid w:val="00E47C91"/>
    <w:rsid w:val="00E47DC1"/>
    <w:rsid w:val="00E51008"/>
    <w:rsid w:val="00E523A1"/>
    <w:rsid w:val="00E52698"/>
    <w:rsid w:val="00E52FF4"/>
    <w:rsid w:val="00E53D0B"/>
    <w:rsid w:val="00E54AAD"/>
    <w:rsid w:val="00E54C4C"/>
    <w:rsid w:val="00E55367"/>
    <w:rsid w:val="00E55D29"/>
    <w:rsid w:val="00E560F2"/>
    <w:rsid w:val="00E57623"/>
    <w:rsid w:val="00E620CB"/>
    <w:rsid w:val="00E62717"/>
    <w:rsid w:val="00E6375D"/>
    <w:rsid w:val="00E63D89"/>
    <w:rsid w:val="00E64133"/>
    <w:rsid w:val="00E641A4"/>
    <w:rsid w:val="00E647B2"/>
    <w:rsid w:val="00E6496C"/>
    <w:rsid w:val="00E6516D"/>
    <w:rsid w:val="00E65EF3"/>
    <w:rsid w:val="00E66052"/>
    <w:rsid w:val="00E67059"/>
    <w:rsid w:val="00E71752"/>
    <w:rsid w:val="00E71770"/>
    <w:rsid w:val="00E72286"/>
    <w:rsid w:val="00E7274B"/>
    <w:rsid w:val="00E72B45"/>
    <w:rsid w:val="00E731D5"/>
    <w:rsid w:val="00E74E19"/>
    <w:rsid w:val="00E751B7"/>
    <w:rsid w:val="00E75243"/>
    <w:rsid w:val="00E753F6"/>
    <w:rsid w:val="00E75A4B"/>
    <w:rsid w:val="00E769D1"/>
    <w:rsid w:val="00E76C98"/>
    <w:rsid w:val="00E77134"/>
    <w:rsid w:val="00E77B49"/>
    <w:rsid w:val="00E81092"/>
    <w:rsid w:val="00E81CB6"/>
    <w:rsid w:val="00E82B5E"/>
    <w:rsid w:val="00E82BB6"/>
    <w:rsid w:val="00E82FAB"/>
    <w:rsid w:val="00E83436"/>
    <w:rsid w:val="00E840F8"/>
    <w:rsid w:val="00E8598B"/>
    <w:rsid w:val="00E85AAC"/>
    <w:rsid w:val="00E86201"/>
    <w:rsid w:val="00E8629F"/>
    <w:rsid w:val="00E86A73"/>
    <w:rsid w:val="00E86F35"/>
    <w:rsid w:val="00E8717C"/>
    <w:rsid w:val="00E87646"/>
    <w:rsid w:val="00E87F20"/>
    <w:rsid w:val="00E90DB8"/>
    <w:rsid w:val="00E917E7"/>
    <w:rsid w:val="00E9382D"/>
    <w:rsid w:val="00E93DA7"/>
    <w:rsid w:val="00E965FA"/>
    <w:rsid w:val="00E966FE"/>
    <w:rsid w:val="00E96A3D"/>
    <w:rsid w:val="00E9742F"/>
    <w:rsid w:val="00E975B5"/>
    <w:rsid w:val="00E975B9"/>
    <w:rsid w:val="00EA1D7B"/>
    <w:rsid w:val="00EA2BFC"/>
    <w:rsid w:val="00EA4285"/>
    <w:rsid w:val="00EA4B6D"/>
    <w:rsid w:val="00EA531E"/>
    <w:rsid w:val="00EA6094"/>
    <w:rsid w:val="00EA609C"/>
    <w:rsid w:val="00EA612C"/>
    <w:rsid w:val="00EA6FE7"/>
    <w:rsid w:val="00EA7B97"/>
    <w:rsid w:val="00EB1290"/>
    <w:rsid w:val="00EB1569"/>
    <w:rsid w:val="00EB197F"/>
    <w:rsid w:val="00EB282B"/>
    <w:rsid w:val="00EB2C76"/>
    <w:rsid w:val="00EB2D59"/>
    <w:rsid w:val="00EB3072"/>
    <w:rsid w:val="00EB34B8"/>
    <w:rsid w:val="00EB3A13"/>
    <w:rsid w:val="00EB4330"/>
    <w:rsid w:val="00EB4567"/>
    <w:rsid w:val="00EB509B"/>
    <w:rsid w:val="00EB5278"/>
    <w:rsid w:val="00EB572D"/>
    <w:rsid w:val="00EB6222"/>
    <w:rsid w:val="00EB6FDD"/>
    <w:rsid w:val="00EB7FB7"/>
    <w:rsid w:val="00EC0C1B"/>
    <w:rsid w:val="00EC1D7C"/>
    <w:rsid w:val="00EC1E22"/>
    <w:rsid w:val="00EC2A37"/>
    <w:rsid w:val="00EC2DFC"/>
    <w:rsid w:val="00EC332D"/>
    <w:rsid w:val="00EC3D4D"/>
    <w:rsid w:val="00EC48BE"/>
    <w:rsid w:val="00EC5A3F"/>
    <w:rsid w:val="00EC5B2F"/>
    <w:rsid w:val="00EC6204"/>
    <w:rsid w:val="00EC7E8A"/>
    <w:rsid w:val="00ED0646"/>
    <w:rsid w:val="00ED10B5"/>
    <w:rsid w:val="00ED1BA0"/>
    <w:rsid w:val="00ED2EC3"/>
    <w:rsid w:val="00ED35DC"/>
    <w:rsid w:val="00ED608B"/>
    <w:rsid w:val="00ED710B"/>
    <w:rsid w:val="00EE0A9F"/>
    <w:rsid w:val="00EE0AA4"/>
    <w:rsid w:val="00EE1807"/>
    <w:rsid w:val="00EE19EF"/>
    <w:rsid w:val="00EE1D4F"/>
    <w:rsid w:val="00EE1E7F"/>
    <w:rsid w:val="00EE23F6"/>
    <w:rsid w:val="00EE518B"/>
    <w:rsid w:val="00EE538F"/>
    <w:rsid w:val="00EE582F"/>
    <w:rsid w:val="00EE71EC"/>
    <w:rsid w:val="00EE73BA"/>
    <w:rsid w:val="00EE7D5D"/>
    <w:rsid w:val="00EF0957"/>
    <w:rsid w:val="00EF354C"/>
    <w:rsid w:val="00EF47E6"/>
    <w:rsid w:val="00EF56CD"/>
    <w:rsid w:val="00EF5ABB"/>
    <w:rsid w:val="00EF66E7"/>
    <w:rsid w:val="00EF6DDE"/>
    <w:rsid w:val="00EF79B5"/>
    <w:rsid w:val="00F00694"/>
    <w:rsid w:val="00F0194F"/>
    <w:rsid w:val="00F03279"/>
    <w:rsid w:val="00F04247"/>
    <w:rsid w:val="00F04982"/>
    <w:rsid w:val="00F04A7A"/>
    <w:rsid w:val="00F05E9C"/>
    <w:rsid w:val="00F05F57"/>
    <w:rsid w:val="00F069AC"/>
    <w:rsid w:val="00F07317"/>
    <w:rsid w:val="00F10A7F"/>
    <w:rsid w:val="00F10C93"/>
    <w:rsid w:val="00F119F7"/>
    <w:rsid w:val="00F11D12"/>
    <w:rsid w:val="00F11DF2"/>
    <w:rsid w:val="00F124E3"/>
    <w:rsid w:val="00F125CC"/>
    <w:rsid w:val="00F12A3E"/>
    <w:rsid w:val="00F12CD5"/>
    <w:rsid w:val="00F12D75"/>
    <w:rsid w:val="00F12E3E"/>
    <w:rsid w:val="00F131B8"/>
    <w:rsid w:val="00F13394"/>
    <w:rsid w:val="00F13A89"/>
    <w:rsid w:val="00F14461"/>
    <w:rsid w:val="00F14EDA"/>
    <w:rsid w:val="00F1588A"/>
    <w:rsid w:val="00F15F28"/>
    <w:rsid w:val="00F17CCB"/>
    <w:rsid w:val="00F21752"/>
    <w:rsid w:val="00F21A40"/>
    <w:rsid w:val="00F22268"/>
    <w:rsid w:val="00F2310E"/>
    <w:rsid w:val="00F2323A"/>
    <w:rsid w:val="00F23AB2"/>
    <w:rsid w:val="00F262D7"/>
    <w:rsid w:val="00F26864"/>
    <w:rsid w:val="00F269A7"/>
    <w:rsid w:val="00F2784D"/>
    <w:rsid w:val="00F30757"/>
    <w:rsid w:val="00F30ABD"/>
    <w:rsid w:val="00F32192"/>
    <w:rsid w:val="00F32FAC"/>
    <w:rsid w:val="00F33CC6"/>
    <w:rsid w:val="00F359A4"/>
    <w:rsid w:val="00F362B3"/>
    <w:rsid w:val="00F369A5"/>
    <w:rsid w:val="00F37737"/>
    <w:rsid w:val="00F40AA2"/>
    <w:rsid w:val="00F42C0F"/>
    <w:rsid w:val="00F42E8C"/>
    <w:rsid w:val="00F43070"/>
    <w:rsid w:val="00F43C89"/>
    <w:rsid w:val="00F43EED"/>
    <w:rsid w:val="00F4487A"/>
    <w:rsid w:val="00F44E3A"/>
    <w:rsid w:val="00F45DEC"/>
    <w:rsid w:val="00F466BC"/>
    <w:rsid w:val="00F50313"/>
    <w:rsid w:val="00F50570"/>
    <w:rsid w:val="00F505B4"/>
    <w:rsid w:val="00F521B1"/>
    <w:rsid w:val="00F52342"/>
    <w:rsid w:val="00F5236E"/>
    <w:rsid w:val="00F52B67"/>
    <w:rsid w:val="00F53A24"/>
    <w:rsid w:val="00F53DE7"/>
    <w:rsid w:val="00F540AB"/>
    <w:rsid w:val="00F55AF5"/>
    <w:rsid w:val="00F55CC6"/>
    <w:rsid w:val="00F5625A"/>
    <w:rsid w:val="00F57003"/>
    <w:rsid w:val="00F571A8"/>
    <w:rsid w:val="00F60611"/>
    <w:rsid w:val="00F61DB1"/>
    <w:rsid w:val="00F62E36"/>
    <w:rsid w:val="00F640DB"/>
    <w:rsid w:val="00F64AF8"/>
    <w:rsid w:val="00F64C84"/>
    <w:rsid w:val="00F6516C"/>
    <w:rsid w:val="00F652DF"/>
    <w:rsid w:val="00F659C7"/>
    <w:rsid w:val="00F65F73"/>
    <w:rsid w:val="00F66227"/>
    <w:rsid w:val="00F67028"/>
    <w:rsid w:val="00F67345"/>
    <w:rsid w:val="00F6799B"/>
    <w:rsid w:val="00F67AEC"/>
    <w:rsid w:val="00F702AB"/>
    <w:rsid w:val="00F703F6"/>
    <w:rsid w:val="00F70589"/>
    <w:rsid w:val="00F7197D"/>
    <w:rsid w:val="00F71D6F"/>
    <w:rsid w:val="00F726DB"/>
    <w:rsid w:val="00F72848"/>
    <w:rsid w:val="00F72915"/>
    <w:rsid w:val="00F72A49"/>
    <w:rsid w:val="00F72FA1"/>
    <w:rsid w:val="00F73954"/>
    <w:rsid w:val="00F73AE4"/>
    <w:rsid w:val="00F74731"/>
    <w:rsid w:val="00F757A2"/>
    <w:rsid w:val="00F76593"/>
    <w:rsid w:val="00F769E9"/>
    <w:rsid w:val="00F77758"/>
    <w:rsid w:val="00F83216"/>
    <w:rsid w:val="00F833CA"/>
    <w:rsid w:val="00F8379B"/>
    <w:rsid w:val="00F837A1"/>
    <w:rsid w:val="00F83BF3"/>
    <w:rsid w:val="00F83CD5"/>
    <w:rsid w:val="00F85585"/>
    <w:rsid w:val="00F869B2"/>
    <w:rsid w:val="00F87041"/>
    <w:rsid w:val="00F90113"/>
    <w:rsid w:val="00F917BD"/>
    <w:rsid w:val="00F92537"/>
    <w:rsid w:val="00F929F3"/>
    <w:rsid w:val="00F931AC"/>
    <w:rsid w:val="00F93647"/>
    <w:rsid w:val="00F9751E"/>
    <w:rsid w:val="00FA12D9"/>
    <w:rsid w:val="00FA1520"/>
    <w:rsid w:val="00FA18B1"/>
    <w:rsid w:val="00FA424C"/>
    <w:rsid w:val="00FA5BFB"/>
    <w:rsid w:val="00FA6275"/>
    <w:rsid w:val="00FA7211"/>
    <w:rsid w:val="00FB1961"/>
    <w:rsid w:val="00FB225C"/>
    <w:rsid w:val="00FB2B0E"/>
    <w:rsid w:val="00FB304F"/>
    <w:rsid w:val="00FB3C80"/>
    <w:rsid w:val="00FB403E"/>
    <w:rsid w:val="00FB4269"/>
    <w:rsid w:val="00FB4DE3"/>
    <w:rsid w:val="00FB5B55"/>
    <w:rsid w:val="00FB64A4"/>
    <w:rsid w:val="00FB65B1"/>
    <w:rsid w:val="00FB6AA3"/>
    <w:rsid w:val="00FC0033"/>
    <w:rsid w:val="00FC00B2"/>
    <w:rsid w:val="00FC0AB7"/>
    <w:rsid w:val="00FC1294"/>
    <w:rsid w:val="00FC2A69"/>
    <w:rsid w:val="00FC3041"/>
    <w:rsid w:val="00FC3ADE"/>
    <w:rsid w:val="00FC3DD6"/>
    <w:rsid w:val="00FC4E3D"/>
    <w:rsid w:val="00FC5967"/>
    <w:rsid w:val="00FC639F"/>
    <w:rsid w:val="00FC6A44"/>
    <w:rsid w:val="00FD18FD"/>
    <w:rsid w:val="00FD1F79"/>
    <w:rsid w:val="00FD6BAD"/>
    <w:rsid w:val="00FD74A7"/>
    <w:rsid w:val="00FE15D0"/>
    <w:rsid w:val="00FE1FA5"/>
    <w:rsid w:val="00FE223D"/>
    <w:rsid w:val="00FE41AB"/>
    <w:rsid w:val="00FE42B1"/>
    <w:rsid w:val="00FE52AC"/>
    <w:rsid w:val="00FE7477"/>
    <w:rsid w:val="00FE74F1"/>
    <w:rsid w:val="00FE7C9F"/>
    <w:rsid w:val="00FE7D7C"/>
    <w:rsid w:val="00FF030B"/>
    <w:rsid w:val="00FF05A5"/>
    <w:rsid w:val="00FF0871"/>
    <w:rsid w:val="00FF08D7"/>
    <w:rsid w:val="00FF191D"/>
    <w:rsid w:val="00FF3DA2"/>
    <w:rsid w:val="00FF42B7"/>
    <w:rsid w:val="00FF503F"/>
    <w:rsid w:val="00FF65D2"/>
    <w:rsid w:val="00FF6774"/>
    <w:rsid w:val="00FF6D4A"/>
    <w:rsid w:val="01F94B7B"/>
    <w:rsid w:val="02933FD1"/>
    <w:rsid w:val="039B6525"/>
    <w:rsid w:val="046DE3CE"/>
    <w:rsid w:val="051BAFE8"/>
    <w:rsid w:val="065542EA"/>
    <w:rsid w:val="076F0321"/>
    <w:rsid w:val="07C4E047"/>
    <w:rsid w:val="0806D1D7"/>
    <w:rsid w:val="08F48751"/>
    <w:rsid w:val="0A891C7D"/>
    <w:rsid w:val="0AFD07DB"/>
    <w:rsid w:val="0DB2861A"/>
    <w:rsid w:val="0E207F72"/>
    <w:rsid w:val="0E6A63FD"/>
    <w:rsid w:val="0E852514"/>
    <w:rsid w:val="0F4D3AB2"/>
    <w:rsid w:val="0FA22A61"/>
    <w:rsid w:val="10E03111"/>
    <w:rsid w:val="11648EAA"/>
    <w:rsid w:val="126DFDD0"/>
    <w:rsid w:val="128BDB83"/>
    <w:rsid w:val="13FE58F5"/>
    <w:rsid w:val="15E51704"/>
    <w:rsid w:val="16C132C6"/>
    <w:rsid w:val="19767F4C"/>
    <w:rsid w:val="19B5FC09"/>
    <w:rsid w:val="19FBAC83"/>
    <w:rsid w:val="1A0E95FC"/>
    <w:rsid w:val="1B3676D3"/>
    <w:rsid w:val="1B3C384F"/>
    <w:rsid w:val="1BF4C74D"/>
    <w:rsid w:val="1C6E666C"/>
    <w:rsid w:val="1C7E378F"/>
    <w:rsid w:val="1D093A81"/>
    <w:rsid w:val="1E2E8B01"/>
    <w:rsid w:val="1F4B10E1"/>
    <w:rsid w:val="1F70EA50"/>
    <w:rsid w:val="2061F400"/>
    <w:rsid w:val="20FC4928"/>
    <w:rsid w:val="2496044A"/>
    <w:rsid w:val="249E6B96"/>
    <w:rsid w:val="27636B50"/>
    <w:rsid w:val="297BBD65"/>
    <w:rsid w:val="2A6AE759"/>
    <w:rsid w:val="2B0684C5"/>
    <w:rsid w:val="2BABBFA5"/>
    <w:rsid w:val="2C6CC39A"/>
    <w:rsid w:val="2E8FF128"/>
    <w:rsid w:val="2F44EDAC"/>
    <w:rsid w:val="30067EBC"/>
    <w:rsid w:val="3084D753"/>
    <w:rsid w:val="31049C21"/>
    <w:rsid w:val="3291F432"/>
    <w:rsid w:val="337A2CC8"/>
    <w:rsid w:val="34148C2F"/>
    <w:rsid w:val="374E047B"/>
    <w:rsid w:val="38299A15"/>
    <w:rsid w:val="383AA316"/>
    <w:rsid w:val="3958C2D3"/>
    <w:rsid w:val="3ADB892B"/>
    <w:rsid w:val="3C2163DD"/>
    <w:rsid w:val="3EDFF2DD"/>
    <w:rsid w:val="40A6A06B"/>
    <w:rsid w:val="421B34C6"/>
    <w:rsid w:val="444E5F2F"/>
    <w:rsid w:val="4454B823"/>
    <w:rsid w:val="461148CC"/>
    <w:rsid w:val="464C1555"/>
    <w:rsid w:val="46F17DA5"/>
    <w:rsid w:val="47E81A51"/>
    <w:rsid w:val="491AA5E7"/>
    <w:rsid w:val="4B41DD1C"/>
    <w:rsid w:val="4B868A69"/>
    <w:rsid w:val="4BE78CAA"/>
    <w:rsid w:val="4CD4F2F9"/>
    <w:rsid w:val="4D8ADDAE"/>
    <w:rsid w:val="4E3871FC"/>
    <w:rsid w:val="4EFDD5AC"/>
    <w:rsid w:val="4F953444"/>
    <w:rsid w:val="5063F1B7"/>
    <w:rsid w:val="519F548B"/>
    <w:rsid w:val="542D083B"/>
    <w:rsid w:val="550B4BA0"/>
    <w:rsid w:val="560647A7"/>
    <w:rsid w:val="565B18A7"/>
    <w:rsid w:val="56B94AF0"/>
    <w:rsid w:val="57F07A2D"/>
    <w:rsid w:val="588E2046"/>
    <w:rsid w:val="58C7915F"/>
    <w:rsid w:val="5A0B9E46"/>
    <w:rsid w:val="5A39CAB8"/>
    <w:rsid w:val="5BAE5F13"/>
    <w:rsid w:val="5C4DB0EA"/>
    <w:rsid w:val="5C9713BC"/>
    <w:rsid w:val="5CB260BE"/>
    <w:rsid w:val="5D3D1846"/>
    <w:rsid w:val="5DB96FC6"/>
    <w:rsid w:val="5DEE3439"/>
    <w:rsid w:val="5EE76196"/>
    <w:rsid w:val="5FB3B914"/>
    <w:rsid w:val="6010A60E"/>
    <w:rsid w:val="604ABBD5"/>
    <w:rsid w:val="61B93459"/>
    <w:rsid w:val="62176B2F"/>
    <w:rsid w:val="63A2D94C"/>
    <w:rsid w:val="63A9C9B8"/>
    <w:rsid w:val="63C784A1"/>
    <w:rsid w:val="650252EB"/>
    <w:rsid w:val="65216372"/>
    <w:rsid w:val="654E83BE"/>
    <w:rsid w:val="65C4DE54"/>
    <w:rsid w:val="65E78164"/>
    <w:rsid w:val="66499BC4"/>
    <w:rsid w:val="66A83897"/>
    <w:rsid w:val="674D9D6F"/>
    <w:rsid w:val="67AAF1D3"/>
    <w:rsid w:val="689A5E4C"/>
    <w:rsid w:val="68CCA3CD"/>
    <w:rsid w:val="68F9BC8F"/>
    <w:rsid w:val="6AE0DCD3"/>
    <w:rsid w:val="6B05AAF2"/>
    <w:rsid w:val="6B8A41D3"/>
    <w:rsid w:val="6C26EE23"/>
    <w:rsid w:val="6D104A73"/>
    <w:rsid w:val="6EA40D38"/>
    <w:rsid w:val="6F018074"/>
    <w:rsid w:val="6F9699DE"/>
    <w:rsid w:val="73AE1DD4"/>
    <w:rsid w:val="73AF1752"/>
    <w:rsid w:val="73E728E9"/>
    <w:rsid w:val="73F1BCEE"/>
    <w:rsid w:val="748D0BE7"/>
    <w:rsid w:val="74955E14"/>
    <w:rsid w:val="79002873"/>
    <w:rsid w:val="7BF4A2D0"/>
    <w:rsid w:val="7C53F126"/>
    <w:rsid w:val="7CA936D4"/>
    <w:rsid w:val="7E747E5C"/>
    <w:rsid w:val="7E99D835"/>
    <w:rsid w:val="7F187327"/>
    <w:rsid w:val="7FF70A9B"/>
  </w:rsids>
  <m:mathPr>
    <m:mathFont m:val="Cambria Math"/>
  </m:mathPr>
  <w:themeFontLang w:val="en-US" w:eastAsia="ja-JP" w:bidi="he-IL"/>
  <w:clrSchemeMapping w:bg1="light1" w:t1="dark1" w:bg2="light2" w:t2="dark2" w:accent1="accent1" w:accent2="accent2" w:accent3="accent3" w:accent4="accent4" w:accent5="accent5" w:accent6="accent6" w:hyperlink="hyperlink" w:followedHyperlink="followedHyperlink"/>
  <w14:docId w14:val="0E228E70"/>
  <w15:docId w15:val="{6F555E28-25B0-4653-8CA1-52415B02E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178E"/>
    <w:rPr>
      <w:sz w:val="22"/>
    </w:rPr>
  </w:style>
  <w:style w:type="paragraph" w:styleId="Heading1">
    <w:name w:val="heading 1"/>
    <w:aliases w:val="Heading 1 Char Char Char,Heading 1 Char Char Char Char Char,Heading 1 Char Char Char1,Heading 1 Char Char1,Heading 1 Char Char1 Char,Heading 1 Char Char2,Heading 1 Char1 Char,Heading 1 Char1 Char Char Char,Heading 1 Char1 Char1,Heading 1 Char2"/>
    <w:basedOn w:val="Normal"/>
    <w:next w:val="ParaNum"/>
    <w:link w:val="Heading1Char"/>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 Char Char,Heading 2 Char Char1,Heading 2 Char Char1 Char Char Char Char1 Char Char,Heading 2 Char Char3 Char Char Char Char,Heading 2 Char1,Heading 2 Char1 Char Char Char Char1 Char Char,Heading 2 Char1 Char Char1 Char Char"/>
    <w:basedOn w:val="Normal"/>
    <w:next w:val="ParaNum"/>
    <w:autoRedefine/>
    <w:qFormat/>
    <w:pPr>
      <w:keepNext/>
      <w:numPr>
        <w:ilvl w:val="1"/>
        <w:numId w:val="3"/>
      </w:numPr>
      <w:spacing w:after="120"/>
      <w:outlineLvl w:val="1"/>
    </w:pPr>
    <w:rPr>
      <w:b/>
    </w:rPr>
  </w:style>
  <w:style w:type="paragraph" w:styleId="Heading3">
    <w:name w:val="heading 3"/>
    <w:aliases w:val="1,1 Char,3,3 Char,31,31 Char,?? 3,Heading 3 Char Char,Heading 3 Char Char Char,Heading 3 Char Char Char Char,Heading 3 Char Char1 Ch,Heading 3 Char1,Heading 3 Char1 Char,Heading 3 Char1 Char Char,Heading 3 Char2 Char1 Char Char,Titre 3 Char"/>
    <w:basedOn w:val="Normal"/>
    <w:next w:val="ParaNum"/>
    <w:qFormat/>
    <w:pPr>
      <w:keepNext/>
      <w:numPr>
        <w:ilvl w:val="2"/>
        <w:numId w:val="3"/>
      </w:numPr>
      <w:tabs>
        <w:tab w:val="left" w:pos="2160"/>
      </w:tabs>
      <w:spacing w:after="120"/>
      <w:outlineLvl w:val="2"/>
    </w:pPr>
    <w:rPr>
      <w:b/>
    </w:rPr>
  </w:style>
  <w:style w:type="paragraph" w:styleId="Heading4">
    <w:name w:val="heading 4"/>
    <w:aliases w:val="Heading 4 Char Char Char,Heading 4 Char Char Char1 Char Char,Heading 4 Char Char1,Heading 4 Char Char1 Char Char,Heading 4 Char1,Heading 4 Char1 Char1,Heading 4 Char1 Char1 Char Char,Heading 4 Char2,Heading 4 Char2 Char Char"/>
    <w:basedOn w:val="Normal"/>
    <w:next w:val="ParaNum"/>
    <w:qFormat/>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2"/>
    <w:pPr>
      <w:numPr>
        <w:numId w:val="2"/>
      </w:numPr>
      <w:tabs>
        <w:tab w:val="num" w:pos="360"/>
        <w:tab w:val="clear" w:pos="1080"/>
        <w:tab w:val="num" w:pos="1440"/>
      </w:tabs>
      <w:spacing w:after="120"/>
      <w:ind w:firstLine="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link w:val="FootnoteTextChar1"/>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rsid w:val="00FB64A4"/>
    <w:pPr>
      <w:tabs>
        <w:tab w:val="center" w:pos="4680"/>
        <w:tab w:val="right" w:pos="9360"/>
      </w:tabs>
    </w:pPr>
    <w:rPr>
      <w:rFonts w:ascii="Arial" w:hAnsi="Arial" w:cs="Arial"/>
      <w:b/>
      <w:sz w:val="96"/>
      <w:szCs w:val="96"/>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rPr>
      <w:snapToGrid w:val="0"/>
      <w:kern w:val="28"/>
      <w:sz w:val="22"/>
    </w:rPr>
  </w:style>
  <w:style w:type="character" w:styleId="UnresolvedMention">
    <w:name w:val="Unresolved Mention"/>
    <w:uiPriority w:val="99"/>
    <w:semiHidden/>
    <w:unhideWhenUsed/>
    <w:rPr>
      <w:color w:val="605E5C"/>
      <w:shd w:val="clear" w:color="auto" w:fill="E1DFDD"/>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sid w:val="001D178E"/>
  </w:style>
  <w:style w:type="character" w:styleId="CommentReference">
    <w:name w:val="annotation reference"/>
    <w:uiPriority w:val="99"/>
    <w:rsid w:val="001D178E"/>
    <w:rPr>
      <w:sz w:val="16"/>
      <w:szCs w:val="16"/>
    </w:rPr>
  </w:style>
  <w:style w:type="paragraph" w:styleId="CommentText">
    <w:name w:val="annotation text"/>
    <w:basedOn w:val="Normal"/>
    <w:link w:val="CommentTextChar"/>
    <w:uiPriority w:val="99"/>
    <w:rsid w:val="001D178E"/>
    <w:rPr>
      <w:sz w:val="20"/>
    </w:rPr>
  </w:style>
  <w:style w:type="character" w:customStyle="1" w:styleId="CommentTextChar">
    <w:name w:val="Comment Text Char"/>
    <w:basedOn w:val="DefaultParagraphFont"/>
    <w:link w:val="CommentText"/>
    <w:uiPriority w:val="99"/>
    <w:rsid w:val="001D178E"/>
  </w:style>
  <w:style w:type="character" w:customStyle="1" w:styleId="HeaderChar">
    <w:name w:val="Header Char"/>
    <w:link w:val="Header"/>
    <w:rsid w:val="00FB64A4"/>
    <w:rPr>
      <w:rFonts w:ascii="Arial" w:hAnsi="Arial" w:cs="Arial"/>
      <w:b/>
      <w:sz w:val="96"/>
      <w:szCs w:val="96"/>
    </w:rPr>
  </w:style>
  <w:style w:type="character" w:customStyle="1" w:styleId="ssparacontent">
    <w:name w:val="ss_paracontent"/>
    <w:basedOn w:val="DefaultParagraphFont"/>
    <w:rsid w:val="001D178E"/>
  </w:style>
  <w:style w:type="paragraph" w:styleId="NormalWeb">
    <w:name w:val="Normal (Web)"/>
    <w:basedOn w:val="Normal"/>
    <w:uiPriority w:val="99"/>
    <w:unhideWhenUsed/>
    <w:rsid w:val="001D178E"/>
    <w:pPr>
      <w:spacing w:before="100" w:beforeAutospacing="1" w:after="100" w:afterAutospacing="1"/>
    </w:pPr>
    <w:rPr>
      <w:sz w:val="24"/>
      <w:szCs w:val="24"/>
    </w:rPr>
  </w:style>
  <w:style w:type="paragraph" w:styleId="Revision">
    <w:name w:val="Revision"/>
    <w:hidden/>
    <w:uiPriority w:val="99"/>
    <w:semiHidden/>
    <w:rsid w:val="00BF461E"/>
    <w:rPr>
      <w:sz w:val="22"/>
    </w:rPr>
  </w:style>
  <w:style w:type="paragraph" w:styleId="CommentSubject">
    <w:name w:val="annotation subject"/>
    <w:basedOn w:val="CommentText"/>
    <w:next w:val="CommentText"/>
    <w:link w:val="CommentSubjectChar"/>
    <w:uiPriority w:val="99"/>
    <w:semiHidden/>
    <w:unhideWhenUsed/>
    <w:rsid w:val="00925520"/>
    <w:rPr>
      <w:b/>
      <w:bCs/>
    </w:rPr>
  </w:style>
  <w:style w:type="character" w:customStyle="1" w:styleId="CommentSubjectChar">
    <w:name w:val="Comment Subject Char"/>
    <w:basedOn w:val="CommentTextChar"/>
    <w:link w:val="CommentSubject"/>
    <w:uiPriority w:val="99"/>
    <w:semiHidden/>
    <w:rsid w:val="00925520"/>
    <w:rPr>
      <w:b/>
      <w:bCs/>
    </w:rPr>
  </w:style>
  <w:style w:type="character" w:styleId="Emphasis">
    <w:name w:val="Emphasis"/>
    <w:basedOn w:val="DefaultParagraphFont"/>
    <w:uiPriority w:val="20"/>
    <w:qFormat/>
    <w:rsid w:val="001A3065"/>
    <w:rPr>
      <w:i/>
      <w:iCs/>
    </w:rPr>
  </w:style>
  <w:style w:type="character" w:customStyle="1" w:styleId="coconcept19">
    <w:name w:val="co_concept_1_9"/>
    <w:basedOn w:val="DefaultParagraphFont"/>
    <w:rsid w:val="001A3065"/>
  </w:style>
  <w:style w:type="character" w:customStyle="1" w:styleId="coconcept1429">
    <w:name w:val="co_concept_14_29"/>
    <w:basedOn w:val="DefaultParagraphFont"/>
    <w:rsid w:val="001A3065"/>
  </w:style>
  <w:style w:type="character" w:customStyle="1" w:styleId="cf01">
    <w:name w:val="cf01"/>
    <w:basedOn w:val="DefaultParagraphFont"/>
    <w:rsid w:val="0055479C"/>
    <w:rPr>
      <w:rFonts w:ascii="Segoe UI" w:hAnsi="Segoe UI" w:cs="Segoe UI" w:hint="default"/>
      <w:i/>
      <w:iCs/>
      <w:sz w:val="18"/>
      <w:szCs w:val="18"/>
    </w:rPr>
  </w:style>
  <w:style w:type="character" w:customStyle="1" w:styleId="cf11">
    <w:name w:val="cf11"/>
    <w:basedOn w:val="DefaultParagraphFont"/>
    <w:rsid w:val="0055479C"/>
    <w:rPr>
      <w:rFonts w:ascii="Segoe UI" w:hAnsi="Segoe UI" w:cs="Segoe UI" w:hint="default"/>
      <w:sz w:val="18"/>
      <w:szCs w:val="18"/>
    </w:rPr>
  </w:style>
  <w:style w:type="character" w:customStyle="1" w:styleId="cf21">
    <w:name w:val="cf21"/>
    <w:basedOn w:val="DefaultParagraphFont"/>
    <w:rsid w:val="0055479C"/>
    <w:rPr>
      <w:rFonts w:ascii="Segoe UI" w:hAnsi="Segoe UI" w:cs="Segoe UI" w:hint="default"/>
      <w:sz w:val="18"/>
      <w:szCs w:val="18"/>
    </w:rPr>
  </w:style>
  <w:style w:type="character" w:styleId="FollowedHyperlink">
    <w:name w:val="FollowedHyperlink"/>
    <w:basedOn w:val="DefaultParagraphFont"/>
    <w:uiPriority w:val="99"/>
    <w:semiHidden/>
    <w:unhideWhenUsed/>
    <w:rsid w:val="006B49B7"/>
    <w:rPr>
      <w:color w:val="954F72" w:themeColor="followedHyperlink"/>
      <w:u w:val="single"/>
    </w:rPr>
  </w:style>
  <w:style w:type="paragraph" w:customStyle="1" w:styleId="pf0">
    <w:name w:val="pf0"/>
    <w:basedOn w:val="Normal"/>
    <w:rsid w:val="00F72FA1"/>
    <w:pPr>
      <w:spacing w:before="100" w:beforeAutospacing="1" w:after="100" w:afterAutospacing="1"/>
    </w:pPr>
    <w:rPr>
      <w:sz w:val="24"/>
      <w:szCs w:val="24"/>
    </w:rPr>
  </w:style>
  <w:style w:type="paragraph" w:customStyle="1" w:styleId="pf1">
    <w:name w:val="pf1"/>
    <w:basedOn w:val="Normal"/>
    <w:rsid w:val="00F72FA1"/>
    <w:pPr>
      <w:spacing w:before="100" w:beforeAutospacing="1" w:after="100" w:afterAutospacing="1"/>
    </w:pPr>
    <w:rPr>
      <w:sz w:val="24"/>
      <w:szCs w:val="24"/>
    </w:rPr>
  </w:style>
  <w:style w:type="character" w:customStyle="1" w:styleId="cf31">
    <w:name w:val="cf31"/>
    <w:basedOn w:val="DefaultParagraphFont"/>
    <w:rsid w:val="00F72FA1"/>
    <w:rPr>
      <w:rFonts w:ascii="Segoe UI" w:hAnsi="Segoe UI" w:cs="Segoe UI" w:hint="default"/>
      <w:sz w:val="18"/>
      <w:szCs w:val="18"/>
    </w:rPr>
  </w:style>
  <w:style w:type="paragraph" w:customStyle="1" w:styleId="paragraph">
    <w:name w:val="paragraph"/>
    <w:basedOn w:val="Normal"/>
    <w:rsid w:val="00A61AA2"/>
    <w:pPr>
      <w:spacing w:before="100" w:beforeAutospacing="1" w:after="100" w:afterAutospacing="1"/>
    </w:pPr>
    <w:rPr>
      <w:sz w:val="24"/>
      <w:szCs w:val="24"/>
    </w:rPr>
  </w:style>
  <w:style w:type="character" w:customStyle="1" w:styleId="normaltextrun">
    <w:name w:val="normaltextrun"/>
    <w:basedOn w:val="DefaultParagraphFont"/>
    <w:rsid w:val="00A61AA2"/>
  </w:style>
  <w:style w:type="character" w:customStyle="1" w:styleId="eop">
    <w:name w:val="eop"/>
    <w:basedOn w:val="DefaultParagraphFont"/>
    <w:rsid w:val="00A61AA2"/>
  </w:style>
  <w:style w:type="character" w:styleId="Mention">
    <w:name w:val="Mention"/>
    <w:basedOn w:val="DefaultParagraphFont"/>
    <w:uiPriority w:val="99"/>
    <w:unhideWhenUsed/>
    <w:rsid w:val="00294F07"/>
    <w:rPr>
      <w:color w:val="2B579A"/>
      <w:shd w:val="clear" w:color="auto" w:fill="E1DFDD"/>
    </w:rPr>
  </w:style>
  <w:style w:type="character" w:customStyle="1" w:styleId="cosearchterm">
    <w:name w:val="co_searchterm"/>
    <w:basedOn w:val="DefaultParagraphFont"/>
    <w:rsid w:val="009A707A"/>
  </w:style>
  <w:style w:type="character" w:customStyle="1" w:styleId="ParaNumChar2">
    <w:name w:val="ParaNum Char2"/>
    <w:link w:val="ParaNum"/>
    <w:rsid w:val="00772608"/>
    <w:rPr>
      <w:sz w:val="22"/>
    </w:rPr>
  </w:style>
  <w:style w:type="character" w:customStyle="1" w:styleId="Heading1Char">
    <w:name w:val="Heading 1 Char"/>
    <w:aliases w:val="Heading 1 Char Char Char Char,Heading 1 Char Char Char Char Char Char,Heading 1 Char Char Char1 Char,Heading 1 Char Char1 Char Char,Heading 1 Char Char1 Char1,Heading 1 Char Char2 Char,Heading 1 Char1 Char Char,Heading 1 Char1 Char1 Char"/>
    <w:basedOn w:val="DefaultParagraphFont"/>
    <w:link w:val="Heading1"/>
    <w:rsid w:val="00867A89"/>
    <w:rPr>
      <w:rFonts w:ascii="Times New Roman Bold" w:hAnsi="Times New Roman Bold"/>
      <w:b/>
      <w:cap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ecfs/document/10807516728823/1" TargetMode="External" /><Relationship Id="rId2" Type="http://schemas.openxmlformats.org/officeDocument/2006/relationships/hyperlink" Target="https://www.reginfo.gov/public/do/PRAViewICR?ref_nbr=202305-3060-001" TargetMode="External" /><Relationship Id="rId3" Type="http://schemas.openxmlformats.org/officeDocument/2006/relationships/hyperlink" Target="https://apps.fcc.gov/cores/userLogin.do"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