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p w:rsidR="008D6EA7" w14:paraId="4623F34F" w14:textId="77777777">
      <w:pPr>
        <w:jc w:val="right"/>
        <w:rPr>
          <w:sz w:val="24"/>
        </w:rPr>
      </w:pPr>
    </w:p>
    <w:p w:rsidR="008D6EA7" w14:paraId="05DA6652" w14:textId="13008B8C">
      <w:pPr>
        <w:jc w:val="right"/>
        <w:rPr>
          <w:b/>
          <w:sz w:val="24"/>
        </w:rPr>
      </w:pPr>
      <w:r>
        <w:rPr>
          <w:b/>
          <w:sz w:val="24"/>
        </w:rPr>
        <w:t>DA 23-</w:t>
      </w:r>
      <w:r w:rsidR="00960707">
        <w:rPr>
          <w:b/>
          <w:sz w:val="24"/>
        </w:rPr>
        <w:t>74</w:t>
      </w:r>
    </w:p>
    <w:p w:rsidR="008D6EA7" w14:paraId="2693FA08" w14:textId="427E5770">
      <w:pPr>
        <w:spacing w:before="60"/>
        <w:jc w:val="right"/>
        <w:rPr>
          <w:b/>
          <w:sz w:val="24"/>
        </w:rPr>
      </w:pPr>
      <w:r>
        <w:rPr>
          <w:b/>
          <w:sz w:val="24"/>
        </w:rPr>
        <w:t xml:space="preserve">Released:  </w:t>
      </w:r>
      <w:r w:rsidR="00087388">
        <w:rPr>
          <w:b/>
          <w:sz w:val="24"/>
        </w:rPr>
        <w:t>January 26, 2023</w:t>
      </w:r>
    </w:p>
    <w:p w:rsidR="008D6EA7" w14:paraId="15EBDF1F" w14:textId="77777777">
      <w:pPr>
        <w:jc w:val="right"/>
        <w:rPr>
          <w:sz w:val="24"/>
        </w:rPr>
      </w:pPr>
    </w:p>
    <w:p w:rsidR="008D6EA7" w:rsidRPr="000F023F" w:rsidP="4BE1DA82" w14:paraId="14DB766A" w14:textId="19688BC0">
      <w:pPr>
        <w:spacing w:after="240"/>
        <w:jc w:val="center"/>
        <w:rPr>
          <w:b/>
          <w:bCs/>
          <w:caps/>
        </w:rPr>
      </w:pPr>
      <w:r>
        <w:rPr>
          <w:b/>
          <w:bCs/>
          <w:caps/>
        </w:rPr>
        <w:t>Audio division</w:t>
      </w:r>
      <w:r w:rsidRPr="55F42F59" w:rsidR="16CE5BE1">
        <w:rPr>
          <w:b/>
          <w:bCs/>
          <w:caps/>
        </w:rPr>
        <w:t xml:space="preserve"> </w:t>
      </w:r>
      <w:r w:rsidRPr="55F42F59" w:rsidR="00AB3198">
        <w:rPr>
          <w:b/>
          <w:bCs/>
          <w:caps/>
        </w:rPr>
        <w:t xml:space="preserve">ANNOUNCES </w:t>
      </w:r>
      <w:r w:rsidRPr="55F42F59" w:rsidR="4B3DDD01">
        <w:rPr>
          <w:b/>
          <w:bCs/>
          <w:caps/>
        </w:rPr>
        <w:t xml:space="preserve">availability </w:t>
      </w:r>
      <w:r w:rsidRPr="55F42F59" w:rsidR="00AB3198">
        <w:rPr>
          <w:b/>
          <w:bCs/>
          <w:caps/>
        </w:rPr>
        <w:t xml:space="preserve">OF 2020 </w:t>
      </w:r>
      <w:r w:rsidRPr="55F42F59" w:rsidR="180E0F32">
        <w:rPr>
          <w:b/>
          <w:bCs/>
          <w:caps/>
        </w:rPr>
        <w:t xml:space="preserve">DECENNIAL </w:t>
      </w:r>
      <w:r w:rsidRPr="55F42F59" w:rsidR="00AB3198">
        <w:rPr>
          <w:b/>
          <w:bCs/>
          <w:caps/>
        </w:rPr>
        <w:t>CEnSUS DATA</w:t>
      </w:r>
    </w:p>
    <w:p w:rsidR="00AB3198" w:rsidRPr="000F023F" w14:paraId="03FE09B8" w14:textId="43C77D3C">
      <w:pPr>
        <w:jc w:val="center"/>
        <w:rPr>
          <w:b/>
          <w:szCs w:val="22"/>
        </w:rPr>
      </w:pPr>
    </w:p>
    <w:p w:rsidR="00AB3198" w:rsidRPr="005D3687" w:rsidP="4BE1DA82" w14:paraId="55F42F59" w14:textId="22C99830">
      <w:pPr>
        <w:rPr>
          <w:szCs w:val="22"/>
        </w:rPr>
      </w:pPr>
      <w:r w:rsidRPr="005D3687">
        <w:rPr>
          <w:szCs w:val="22"/>
        </w:rPr>
        <w:t>The Audio Division</w:t>
      </w:r>
      <w:r w:rsidRPr="005D3687" w:rsidR="006E2072">
        <w:rPr>
          <w:szCs w:val="22"/>
        </w:rPr>
        <w:t xml:space="preserve">, </w:t>
      </w:r>
      <w:r w:rsidRPr="005D3687">
        <w:rPr>
          <w:szCs w:val="22"/>
        </w:rPr>
        <w:t>Media Bureau</w:t>
      </w:r>
      <w:r w:rsidRPr="005D3687" w:rsidR="000F023F">
        <w:rPr>
          <w:szCs w:val="22"/>
        </w:rPr>
        <w:t xml:space="preserve"> </w:t>
      </w:r>
      <w:r w:rsidRPr="005D3687">
        <w:rPr>
          <w:szCs w:val="22"/>
        </w:rPr>
        <w:t xml:space="preserve">announces the availability of the most recent </w:t>
      </w:r>
      <w:r w:rsidRPr="005D3687" w:rsidR="004E13CA">
        <w:rPr>
          <w:szCs w:val="22"/>
        </w:rPr>
        <w:t xml:space="preserve">2020 </w:t>
      </w:r>
      <w:r w:rsidRPr="005D3687" w:rsidR="006E2072">
        <w:rPr>
          <w:szCs w:val="22"/>
        </w:rPr>
        <w:t xml:space="preserve">U.S. Census Bureau (U.S. Census) </w:t>
      </w:r>
      <w:r w:rsidRPr="005D3687" w:rsidR="004E13CA">
        <w:rPr>
          <w:szCs w:val="22"/>
        </w:rPr>
        <w:t>d</w:t>
      </w:r>
      <w:r w:rsidRPr="005D3687">
        <w:rPr>
          <w:szCs w:val="22"/>
        </w:rPr>
        <w:t>ecennial</w:t>
      </w:r>
      <w:r w:rsidRPr="005D3687" w:rsidR="2174A133">
        <w:rPr>
          <w:szCs w:val="22"/>
        </w:rPr>
        <w:t xml:space="preserve"> </w:t>
      </w:r>
      <w:r w:rsidRPr="005D3687" w:rsidR="004E13CA">
        <w:rPr>
          <w:szCs w:val="22"/>
        </w:rPr>
        <w:t>c</w:t>
      </w:r>
      <w:r w:rsidRPr="005D3687">
        <w:rPr>
          <w:szCs w:val="22"/>
        </w:rPr>
        <w:t>ensus block</w:t>
      </w:r>
      <w:r w:rsidRPr="005D3687" w:rsidR="1AFA3770">
        <w:rPr>
          <w:szCs w:val="22"/>
        </w:rPr>
        <w:t>, population,</w:t>
      </w:r>
      <w:r w:rsidRPr="005D3687" w:rsidR="4F6B3F8C">
        <w:rPr>
          <w:szCs w:val="22"/>
        </w:rPr>
        <w:t xml:space="preserve"> and cartographic boundary</w:t>
      </w:r>
      <w:r w:rsidRPr="005D3687" w:rsidR="4C4E8714">
        <w:rPr>
          <w:szCs w:val="22"/>
        </w:rPr>
        <w:t xml:space="preserve"> </w:t>
      </w:r>
      <w:r w:rsidRPr="005D3687">
        <w:rPr>
          <w:szCs w:val="22"/>
        </w:rPr>
        <w:t>data</w:t>
      </w:r>
      <w:r w:rsidRPr="005D3687" w:rsidR="004E13CA">
        <w:rPr>
          <w:szCs w:val="22"/>
        </w:rPr>
        <w:t xml:space="preserve">.  </w:t>
      </w:r>
      <w:r w:rsidRPr="005D3687">
        <w:rPr>
          <w:szCs w:val="22"/>
        </w:rPr>
        <w:t xml:space="preserve">The </w:t>
      </w:r>
      <w:r w:rsidRPr="005D3687" w:rsidR="006E2072">
        <w:rPr>
          <w:szCs w:val="22"/>
        </w:rPr>
        <w:t xml:space="preserve">U.S. Census </w:t>
      </w:r>
      <w:r w:rsidRPr="005D3687">
        <w:rPr>
          <w:szCs w:val="22"/>
        </w:rPr>
        <w:t>releases census block</w:t>
      </w:r>
      <w:r w:rsidR="006C063C">
        <w:rPr>
          <w:szCs w:val="22"/>
        </w:rPr>
        <w:t>, population</w:t>
      </w:r>
      <w:r w:rsidRPr="005D3687">
        <w:rPr>
          <w:szCs w:val="22"/>
        </w:rPr>
        <w:t xml:space="preserve"> </w:t>
      </w:r>
      <w:r w:rsidRPr="005D3687" w:rsidR="36D9DD2D">
        <w:rPr>
          <w:szCs w:val="22"/>
        </w:rPr>
        <w:t xml:space="preserve">and cartographic boundary </w:t>
      </w:r>
      <w:r w:rsidRPr="005D3687">
        <w:rPr>
          <w:szCs w:val="22"/>
        </w:rPr>
        <w:t xml:space="preserve">data </w:t>
      </w:r>
      <w:r w:rsidRPr="005D3687" w:rsidR="14688208">
        <w:rPr>
          <w:szCs w:val="22"/>
        </w:rPr>
        <w:t>following each decennial census.</w:t>
      </w:r>
      <w:r w:rsidRPr="005D3687">
        <w:rPr>
          <w:szCs w:val="22"/>
        </w:rPr>
        <w:t xml:space="preserve">  </w:t>
      </w:r>
      <w:r w:rsidRPr="005D3687" w:rsidR="009D073C">
        <w:rPr>
          <w:szCs w:val="22"/>
        </w:rPr>
        <w:t xml:space="preserve">Effective </w:t>
      </w:r>
      <w:r w:rsidRPr="005D3687" w:rsidR="00156F73">
        <w:rPr>
          <w:szCs w:val="22"/>
        </w:rPr>
        <w:t>April</w:t>
      </w:r>
      <w:r w:rsidRPr="005D3687" w:rsidR="00215832">
        <w:rPr>
          <w:szCs w:val="22"/>
        </w:rPr>
        <w:t xml:space="preserve"> 1, 2023, p</w:t>
      </w:r>
      <w:r w:rsidRPr="005D3687" w:rsidR="60956A8E">
        <w:rPr>
          <w:szCs w:val="22"/>
        </w:rPr>
        <w:t>etitioners</w:t>
      </w:r>
      <w:r w:rsidRPr="005D3687" w:rsidR="004E13CA">
        <w:rPr>
          <w:szCs w:val="22"/>
        </w:rPr>
        <w:t>/</w:t>
      </w:r>
      <w:r w:rsidRPr="005D3687" w:rsidR="00215832">
        <w:rPr>
          <w:szCs w:val="22"/>
        </w:rPr>
        <w:t>a</w:t>
      </w:r>
      <w:r w:rsidRPr="005D3687" w:rsidR="60956A8E">
        <w:rPr>
          <w:szCs w:val="22"/>
        </w:rPr>
        <w:t>pplicants</w:t>
      </w:r>
      <w:r w:rsidR="006C063C">
        <w:rPr>
          <w:szCs w:val="22"/>
        </w:rPr>
        <w:t xml:space="preserve"> submitting filings to the Audio Division</w:t>
      </w:r>
      <w:r>
        <w:rPr>
          <w:rStyle w:val="FootnoteReference"/>
          <w:szCs w:val="22"/>
        </w:rPr>
        <w:footnoteReference w:id="3"/>
      </w:r>
      <w:r w:rsidRPr="005D3687" w:rsidR="60956A8E">
        <w:rPr>
          <w:szCs w:val="22"/>
        </w:rPr>
        <w:t xml:space="preserve"> must employ the most recent</w:t>
      </w:r>
      <w:r w:rsidRPr="005D3687" w:rsidR="009D073C">
        <w:rPr>
          <w:szCs w:val="22"/>
        </w:rPr>
        <w:t xml:space="preserve"> 2020 U.S. Census data </w:t>
      </w:r>
      <w:r w:rsidRPr="005D3687" w:rsidR="7A218B04">
        <w:rPr>
          <w:szCs w:val="22"/>
        </w:rPr>
        <w:t xml:space="preserve">available </w:t>
      </w:r>
      <w:r w:rsidRPr="005D3687" w:rsidR="60956A8E">
        <w:rPr>
          <w:szCs w:val="22"/>
        </w:rPr>
        <w:t>when determining</w:t>
      </w:r>
      <w:r w:rsidRPr="005D3687" w:rsidR="006E2072">
        <w:rPr>
          <w:szCs w:val="22"/>
        </w:rPr>
        <w:t xml:space="preserve"> a particular community</w:t>
      </w:r>
      <w:r w:rsidRPr="005D3687" w:rsidR="009D073C">
        <w:rPr>
          <w:szCs w:val="22"/>
        </w:rPr>
        <w:t>’s</w:t>
      </w:r>
      <w:r w:rsidRPr="005D3687" w:rsidR="006E2072">
        <w:rPr>
          <w:szCs w:val="22"/>
        </w:rPr>
        <w:t xml:space="preserve"> </w:t>
      </w:r>
      <w:r w:rsidRPr="005D3687" w:rsidR="60956A8E">
        <w:rPr>
          <w:szCs w:val="22"/>
        </w:rPr>
        <w:t>population</w:t>
      </w:r>
      <w:r w:rsidRPr="005D3687" w:rsidR="006E2072">
        <w:rPr>
          <w:szCs w:val="22"/>
        </w:rPr>
        <w:t xml:space="preserve"> in addition to the population</w:t>
      </w:r>
      <w:r w:rsidRPr="005D3687" w:rsidR="080BE1B0">
        <w:rPr>
          <w:szCs w:val="22"/>
        </w:rPr>
        <w:t xml:space="preserve"> </w:t>
      </w:r>
      <w:r w:rsidRPr="005D3687" w:rsidR="279027C4">
        <w:rPr>
          <w:szCs w:val="22"/>
        </w:rPr>
        <w:t xml:space="preserve">served </w:t>
      </w:r>
      <w:r w:rsidRPr="005D3687" w:rsidR="080BE1B0">
        <w:rPr>
          <w:szCs w:val="22"/>
        </w:rPr>
        <w:t xml:space="preserve">and </w:t>
      </w:r>
      <w:r w:rsidRPr="005D3687" w:rsidR="0F1CFF7B">
        <w:rPr>
          <w:szCs w:val="22"/>
        </w:rPr>
        <w:t xml:space="preserve">overlap </w:t>
      </w:r>
      <w:r w:rsidRPr="005D3687" w:rsidR="60956A8E">
        <w:rPr>
          <w:szCs w:val="22"/>
        </w:rPr>
        <w:t xml:space="preserve">of </w:t>
      </w:r>
      <w:r w:rsidRPr="005D3687" w:rsidR="2E01FCBD">
        <w:rPr>
          <w:szCs w:val="22"/>
        </w:rPr>
        <w:t>service areas</w:t>
      </w:r>
      <w:r w:rsidRPr="005D3687" w:rsidR="0C554E2A">
        <w:rPr>
          <w:szCs w:val="22"/>
        </w:rPr>
        <w:t xml:space="preserve"> to</w:t>
      </w:r>
      <w:r w:rsidRPr="005D3687" w:rsidR="2E01FCBD">
        <w:rPr>
          <w:szCs w:val="22"/>
        </w:rPr>
        <w:t xml:space="preserve"> </w:t>
      </w:r>
      <w:r w:rsidRPr="005D3687" w:rsidR="60956A8E">
        <w:rPr>
          <w:szCs w:val="22"/>
        </w:rPr>
        <w:t>communit</w:t>
      </w:r>
      <w:r w:rsidRPr="005D3687" w:rsidR="3C4D3416">
        <w:rPr>
          <w:szCs w:val="22"/>
        </w:rPr>
        <w:t>ies</w:t>
      </w:r>
      <w:r w:rsidRPr="005D3687" w:rsidR="60956A8E">
        <w:rPr>
          <w:szCs w:val="22"/>
        </w:rPr>
        <w:t xml:space="preserve"> and Urbanized Areas.</w:t>
      </w:r>
      <w:r>
        <w:rPr>
          <w:rStyle w:val="FootnoteReference"/>
          <w:szCs w:val="22"/>
        </w:rPr>
        <w:footnoteReference w:id="4"/>
      </w:r>
      <w:r w:rsidRPr="005D3687" w:rsidR="60956A8E">
        <w:rPr>
          <w:szCs w:val="22"/>
        </w:rPr>
        <w:t xml:space="preserve"> </w:t>
      </w:r>
    </w:p>
    <w:p w:rsidR="55F42F59" w:rsidRPr="005D3687" w:rsidP="55F42F59" w14:paraId="202AD1DC" w14:textId="291C2BDE">
      <w:pPr>
        <w:rPr>
          <w:szCs w:val="22"/>
        </w:rPr>
      </w:pPr>
    </w:p>
    <w:p w:rsidR="00215832" w:rsidRPr="005D3687" w:rsidP="00215832" w14:paraId="299576FF" w14:textId="193A08F0">
      <w:pPr>
        <w:pStyle w:val="NormalWeb"/>
        <w:shd w:val="clear" w:color="auto" w:fill="FFFFFF"/>
        <w:rPr>
          <w:rFonts w:ascii="Times New Roman" w:hAnsi="Times New Roman" w:cs="Times New Roman"/>
          <w:color w:val="000000"/>
        </w:rPr>
      </w:pPr>
      <w:r w:rsidRPr="005D3687">
        <w:rPr>
          <w:rFonts w:ascii="Times New Roman" w:hAnsi="Times New Roman" w:cs="Times New Roman"/>
        </w:rPr>
        <w:t xml:space="preserve">In the 2010 </w:t>
      </w:r>
      <w:r w:rsidRPr="005D3687" w:rsidR="006E2072">
        <w:rPr>
          <w:rFonts w:ascii="Times New Roman" w:hAnsi="Times New Roman" w:cs="Times New Roman"/>
        </w:rPr>
        <w:t xml:space="preserve">U.S. Census, </w:t>
      </w:r>
      <w:r w:rsidRPr="005D3687" w:rsidR="3499131C">
        <w:rPr>
          <w:rFonts w:ascii="Times New Roman" w:hAnsi="Times New Roman" w:cs="Times New Roman"/>
        </w:rPr>
        <w:t>“</w:t>
      </w:r>
      <w:r w:rsidRPr="005D3687" w:rsidR="00AB3198">
        <w:rPr>
          <w:rFonts w:ascii="Times New Roman" w:hAnsi="Times New Roman" w:cs="Times New Roman"/>
        </w:rPr>
        <w:t>Urbanized Areas</w:t>
      </w:r>
      <w:r w:rsidRPr="005D3687" w:rsidR="3499131C">
        <w:rPr>
          <w:rFonts w:ascii="Times New Roman" w:hAnsi="Times New Roman" w:cs="Times New Roman"/>
        </w:rPr>
        <w:t>”</w:t>
      </w:r>
      <w:r w:rsidRPr="005D3687" w:rsidR="009D073C">
        <w:rPr>
          <w:rFonts w:ascii="Times New Roman" w:hAnsi="Times New Roman" w:cs="Times New Roman"/>
        </w:rPr>
        <w:t xml:space="preserve"> are defined</w:t>
      </w:r>
      <w:r w:rsidRPr="005D3687" w:rsidR="00AB3198">
        <w:rPr>
          <w:rFonts w:ascii="Times New Roman" w:hAnsi="Times New Roman" w:cs="Times New Roman"/>
        </w:rPr>
        <w:t xml:space="preserve"> as </w:t>
      </w:r>
      <w:r w:rsidRPr="005D3687" w:rsidR="46BCA426">
        <w:rPr>
          <w:rFonts w:ascii="Times New Roman" w:hAnsi="Times New Roman" w:cs="Times New Roman"/>
        </w:rPr>
        <w:t xml:space="preserve">a subset of urban </w:t>
      </w:r>
      <w:r w:rsidRPr="005D3687" w:rsidR="00AB3198">
        <w:rPr>
          <w:rFonts w:ascii="Times New Roman" w:hAnsi="Times New Roman" w:cs="Times New Roman"/>
        </w:rPr>
        <w:t xml:space="preserve">areas that contain 50,000 or more people </w:t>
      </w:r>
      <w:r w:rsidRPr="005D3687" w:rsidR="009D073C">
        <w:rPr>
          <w:rFonts w:ascii="Times New Roman" w:hAnsi="Times New Roman" w:cs="Times New Roman"/>
        </w:rPr>
        <w:t xml:space="preserve">whereas </w:t>
      </w:r>
      <w:r w:rsidRPr="005D3687" w:rsidR="4DB02F26">
        <w:rPr>
          <w:rFonts w:ascii="Times New Roman" w:hAnsi="Times New Roman" w:cs="Times New Roman"/>
        </w:rPr>
        <w:t>“</w:t>
      </w:r>
      <w:r w:rsidRPr="005D3687" w:rsidR="00AB3198">
        <w:rPr>
          <w:rFonts w:ascii="Times New Roman" w:hAnsi="Times New Roman" w:cs="Times New Roman"/>
        </w:rPr>
        <w:t>Urban Clusters</w:t>
      </w:r>
      <w:r w:rsidRPr="005D3687" w:rsidR="4DB02F26">
        <w:rPr>
          <w:rFonts w:ascii="Times New Roman" w:hAnsi="Times New Roman" w:cs="Times New Roman"/>
        </w:rPr>
        <w:t xml:space="preserve">” </w:t>
      </w:r>
      <w:r w:rsidRPr="005D3687" w:rsidR="009D073C">
        <w:rPr>
          <w:rFonts w:ascii="Times New Roman" w:hAnsi="Times New Roman" w:cs="Times New Roman"/>
        </w:rPr>
        <w:t xml:space="preserve">are defined </w:t>
      </w:r>
      <w:r w:rsidRPr="005D3687" w:rsidR="4DB02F26">
        <w:rPr>
          <w:rFonts w:ascii="Times New Roman" w:hAnsi="Times New Roman" w:cs="Times New Roman"/>
        </w:rPr>
        <w:t>as</w:t>
      </w:r>
      <w:r w:rsidRPr="005D3687" w:rsidR="00AB3198">
        <w:rPr>
          <w:rFonts w:ascii="Times New Roman" w:hAnsi="Times New Roman" w:cs="Times New Roman"/>
        </w:rPr>
        <w:t xml:space="preserve"> </w:t>
      </w:r>
      <w:r w:rsidRPr="005D3687" w:rsidR="49F09B38">
        <w:rPr>
          <w:rFonts w:ascii="Times New Roman" w:hAnsi="Times New Roman" w:cs="Times New Roman"/>
        </w:rPr>
        <w:t>urban</w:t>
      </w:r>
      <w:r w:rsidRPr="005D3687" w:rsidR="00AB3198">
        <w:rPr>
          <w:rFonts w:ascii="Times New Roman" w:hAnsi="Times New Roman" w:cs="Times New Roman"/>
        </w:rPr>
        <w:t xml:space="preserve"> areas that have a population of at least 2,500 people and less than 50,000 people.  </w:t>
      </w:r>
      <w:r w:rsidRPr="005D3687" w:rsidR="006E2072">
        <w:rPr>
          <w:rFonts w:ascii="Times New Roman" w:hAnsi="Times New Roman" w:cs="Times New Roman"/>
        </w:rPr>
        <w:t xml:space="preserve">In the 2020 U.S. Census, </w:t>
      </w:r>
      <w:r w:rsidRPr="005D3687" w:rsidR="00AB3198">
        <w:rPr>
          <w:rFonts w:ascii="Times New Roman" w:hAnsi="Times New Roman" w:cs="Times New Roman"/>
        </w:rPr>
        <w:t>the distinction between "Urbanized Area</w:t>
      </w:r>
      <w:r w:rsidRPr="005D3687" w:rsidR="2FBF2AB8">
        <w:rPr>
          <w:rFonts w:ascii="Times New Roman" w:hAnsi="Times New Roman" w:cs="Times New Roman"/>
        </w:rPr>
        <w:t>s</w:t>
      </w:r>
      <w:r w:rsidRPr="005D3687" w:rsidR="00AB3198">
        <w:rPr>
          <w:rFonts w:ascii="Times New Roman" w:hAnsi="Times New Roman" w:cs="Times New Roman"/>
        </w:rPr>
        <w:t>" and "Urban Cluster</w:t>
      </w:r>
      <w:r w:rsidRPr="005D3687" w:rsidR="180A4AE6">
        <w:rPr>
          <w:rFonts w:ascii="Times New Roman" w:hAnsi="Times New Roman" w:cs="Times New Roman"/>
        </w:rPr>
        <w:t>s</w:t>
      </w:r>
      <w:r w:rsidRPr="005D3687" w:rsidR="00AB3198">
        <w:rPr>
          <w:rFonts w:ascii="Times New Roman" w:hAnsi="Times New Roman" w:cs="Times New Roman"/>
        </w:rPr>
        <w:t>"</w:t>
      </w:r>
      <w:r w:rsidRPr="005D3687" w:rsidR="009D073C">
        <w:rPr>
          <w:rFonts w:ascii="Times New Roman" w:hAnsi="Times New Roman" w:cs="Times New Roman"/>
        </w:rPr>
        <w:t xml:space="preserve"> are eliminated.  E</w:t>
      </w:r>
      <w:r w:rsidRPr="005D3687" w:rsidR="14577B11">
        <w:rPr>
          <w:rFonts w:ascii="Times New Roman" w:hAnsi="Times New Roman" w:cs="Times New Roman"/>
        </w:rPr>
        <w:t xml:space="preserve">ach </w:t>
      </w:r>
      <w:r w:rsidRPr="005D3687" w:rsidR="720E5726">
        <w:rPr>
          <w:rFonts w:ascii="Times New Roman" w:hAnsi="Times New Roman" w:cs="Times New Roman"/>
        </w:rPr>
        <w:t xml:space="preserve">user </w:t>
      </w:r>
      <w:r w:rsidRPr="005D3687" w:rsidR="009D073C">
        <w:rPr>
          <w:rFonts w:ascii="Times New Roman" w:hAnsi="Times New Roman" w:cs="Times New Roman"/>
        </w:rPr>
        <w:t xml:space="preserve">must </w:t>
      </w:r>
      <w:r w:rsidRPr="005D3687" w:rsidR="14577B11">
        <w:rPr>
          <w:rFonts w:ascii="Times New Roman" w:hAnsi="Times New Roman" w:cs="Times New Roman"/>
        </w:rPr>
        <w:t xml:space="preserve">define thresholds within </w:t>
      </w:r>
      <w:r w:rsidRPr="005D3687" w:rsidR="70B6720B">
        <w:rPr>
          <w:rFonts w:ascii="Times New Roman" w:hAnsi="Times New Roman" w:cs="Times New Roman"/>
        </w:rPr>
        <w:t xml:space="preserve">the </w:t>
      </w:r>
      <w:r w:rsidRPr="005D3687" w:rsidR="14577B11">
        <w:rPr>
          <w:rFonts w:ascii="Times New Roman" w:hAnsi="Times New Roman" w:cs="Times New Roman"/>
        </w:rPr>
        <w:t>urban areas for</w:t>
      </w:r>
      <w:r w:rsidRPr="005D3687" w:rsidR="6AFDBC34">
        <w:rPr>
          <w:rFonts w:ascii="Times New Roman" w:hAnsi="Times New Roman" w:cs="Times New Roman"/>
        </w:rPr>
        <w:t xml:space="preserve"> </w:t>
      </w:r>
      <w:r w:rsidR="0056560D">
        <w:rPr>
          <w:rFonts w:ascii="Times New Roman" w:hAnsi="Times New Roman" w:cs="Times New Roman"/>
        </w:rPr>
        <w:t>its</w:t>
      </w:r>
      <w:r w:rsidRPr="005D3687" w:rsidR="6AFDBC34">
        <w:rPr>
          <w:rFonts w:ascii="Times New Roman" w:hAnsi="Times New Roman" w:cs="Times New Roman"/>
        </w:rPr>
        <w:t xml:space="preserve"> own</w:t>
      </w:r>
      <w:r w:rsidRPr="005D3687" w:rsidR="14577B11">
        <w:rPr>
          <w:rFonts w:ascii="Times New Roman" w:hAnsi="Times New Roman" w:cs="Times New Roman"/>
        </w:rPr>
        <w:t xml:space="preserve"> purposes.</w:t>
      </w:r>
      <w:r>
        <w:rPr>
          <w:rStyle w:val="FootnoteReference"/>
          <w:rFonts w:cs="Times New Roman"/>
        </w:rPr>
        <w:footnoteReference w:id="5"/>
      </w:r>
      <w:r w:rsidRPr="005D3687" w:rsidR="14577B11">
        <w:rPr>
          <w:rFonts w:ascii="Times New Roman" w:hAnsi="Times New Roman" w:cs="Times New Roman"/>
        </w:rPr>
        <w:t xml:space="preserve">  </w:t>
      </w:r>
      <w:r w:rsidRPr="005D3687" w:rsidR="006E2072">
        <w:rPr>
          <w:rFonts w:ascii="Times New Roman" w:hAnsi="Times New Roman" w:cs="Times New Roman"/>
        </w:rPr>
        <w:t xml:space="preserve">Accordingly, we </w:t>
      </w:r>
      <w:r w:rsidRPr="005D3687" w:rsidR="29C73FF3">
        <w:rPr>
          <w:rFonts w:ascii="Times New Roman" w:hAnsi="Times New Roman" w:cs="Times New Roman"/>
        </w:rPr>
        <w:t xml:space="preserve">will continue to define an “Urbanized Area” </w:t>
      </w:r>
      <w:r w:rsidRPr="005D3687" w:rsidR="009D073C">
        <w:rPr>
          <w:rFonts w:ascii="Times New Roman" w:hAnsi="Times New Roman" w:cs="Times New Roman"/>
        </w:rPr>
        <w:t xml:space="preserve">as </w:t>
      </w:r>
      <w:r w:rsidRPr="005D3687" w:rsidR="29C73FF3">
        <w:rPr>
          <w:rFonts w:ascii="Times New Roman" w:hAnsi="Times New Roman" w:cs="Times New Roman"/>
        </w:rPr>
        <w:t>an urb</w:t>
      </w:r>
      <w:r w:rsidRPr="005D3687" w:rsidR="41580159">
        <w:rPr>
          <w:rFonts w:ascii="Times New Roman" w:hAnsi="Times New Roman" w:cs="Times New Roman"/>
        </w:rPr>
        <w:t xml:space="preserve">an </w:t>
      </w:r>
      <w:r w:rsidRPr="005D3687" w:rsidR="29C73FF3">
        <w:rPr>
          <w:rFonts w:ascii="Times New Roman" w:hAnsi="Times New Roman" w:cs="Times New Roman"/>
        </w:rPr>
        <w:t>area that contain</w:t>
      </w:r>
      <w:r w:rsidRPr="005D3687" w:rsidR="68B14E41">
        <w:rPr>
          <w:rFonts w:ascii="Times New Roman" w:hAnsi="Times New Roman" w:cs="Times New Roman"/>
        </w:rPr>
        <w:t>s</w:t>
      </w:r>
      <w:r w:rsidRPr="005D3687" w:rsidR="29C73FF3">
        <w:rPr>
          <w:rFonts w:ascii="Times New Roman" w:hAnsi="Times New Roman" w:cs="Times New Roman"/>
        </w:rPr>
        <w:t xml:space="preserve"> 50,000 or more people.  </w:t>
      </w:r>
      <w:r w:rsidRPr="005D3687" w:rsidR="5057370D">
        <w:rPr>
          <w:rFonts w:ascii="Times New Roman" w:hAnsi="Times New Roman" w:cs="Times New Roman"/>
        </w:rPr>
        <w:t xml:space="preserve">In </w:t>
      </w:r>
      <w:r w:rsidRPr="005D3687" w:rsidR="731B3E77">
        <w:rPr>
          <w:rFonts w:ascii="Times New Roman" w:hAnsi="Times New Roman" w:cs="Times New Roman"/>
        </w:rPr>
        <w:t xml:space="preserve">the </w:t>
      </w:r>
      <w:r w:rsidRPr="005D3687" w:rsidR="5057370D">
        <w:rPr>
          <w:rFonts w:ascii="Times New Roman" w:hAnsi="Times New Roman" w:cs="Times New Roman"/>
        </w:rPr>
        <w:t>2020</w:t>
      </w:r>
      <w:r w:rsidRPr="005D3687" w:rsidR="1CD6F01B">
        <w:rPr>
          <w:rFonts w:ascii="Times New Roman" w:hAnsi="Times New Roman" w:cs="Times New Roman"/>
        </w:rPr>
        <w:t xml:space="preserve"> </w:t>
      </w:r>
      <w:r w:rsidRPr="005D3687" w:rsidR="006E2072">
        <w:rPr>
          <w:rFonts w:ascii="Times New Roman" w:hAnsi="Times New Roman" w:cs="Times New Roman"/>
        </w:rPr>
        <w:t xml:space="preserve">U.S. </w:t>
      </w:r>
      <w:r w:rsidRPr="005D3687" w:rsidR="1CD6F01B">
        <w:rPr>
          <w:rFonts w:ascii="Times New Roman" w:hAnsi="Times New Roman" w:cs="Times New Roman"/>
        </w:rPr>
        <w:t>Census</w:t>
      </w:r>
      <w:r w:rsidRPr="005D3687" w:rsidR="5057370D">
        <w:rPr>
          <w:rFonts w:ascii="Times New Roman" w:hAnsi="Times New Roman" w:cs="Times New Roman"/>
        </w:rPr>
        <w:t>, there are 511 such “Urbanized Areas</w:t>
      </w:r>
      <w:r w:rsidRPr="005D3687" w:rsidR="4F0E2A57">
        <w:rPr>
          <w:rFonts w:ascii="Times New Roman" w:hAnsi="Times New Roman" w:cs="Times New Roman"/>
        </w:rPr>
        <w:t>,</w:t>
      </w:r>
      <w:r w:rsidRPr="005D3687" w:rsidR="5057370D">
        <w:rPr>
          <w:rFonts w:ascii="Times New Roman" w:hAnsi="Times New Roman" w:cs="Times New Roman"/>
        </w:rPr>
        <w:t>” which is a net increase of 12 from the 499 “Urbanized Ar</w:t>
      </w:r>
      <w:r w:rsidRPr="005D3687" w:rsidR="21277B27">
        <w:rPr>
          <w:rFonts w:ascii="Times New Roman" w:hAnsi="Times New Roman" w:cs="Times New Roman"/>
        </w:rPr>
        <w:t xml:space="preserve">eas” in </w:t>
      </w:r>
      <w:r w:rsidRPr="005D3687" w:rsidR="4347D105">
        <w:rPr>
          <w:rFonts w:ascii="Times New Roman" w:hAnsi="Times New Roman" w:cs="Times New Roman"/>
        </w:rPr>
        <w:t xml:space="preserve">the </w:t>
      </w:r>
      <w:r w:rsidRPr="005D3687" w:rsidR="21277B27">
        <w:rPr>
          <w:rFonts w:ascii="Times New Roman" w:hAnsi="Times New Roman" w:cs="Times New Roman"/>
        </w:rPr>
        <w:t>2010</w:t>
      </w:r>
      <w:r w:rsidRPr="005D3687" w:rsidR="55D9384B">
        <w:rPr>
          <w:rFonts w:ascii="Times New Roman" w:hAnsi="Times New Roman" w:cs="Times New Roman"/>
        </w:rPr>
        <w:t xml:space="preserve"> Census</w:t>
      </w:r>
      <w:r w:rsidRPr="005D3687" w:rsidR="21277B27">
        <w:rPr>
          <w:rFonts w:ascii="Times New Roman" w:hAnsi="Times New Roman" w:cs="Times New Roman"/>
        </w:rPr>
        <w:t>.</w:t>
      </w:r>
      <w:r w:rsidRPr="005D3687" w:rsidR="0FAD4886">
        <w:rPr>
          <w:rFonts w:ascii="Times New Roman" w:hAnsi="Times New Roman" w:cs="Times New Roman"/>
        </w:rPr>
        <w:t xml:space="preserve">  </w:t>
      </w:r>
      <w:r w:rsidRPr="005D3687" w:rsidR="3099D0C9">
        <w:rPr>
          <w:rFonts w:ascii="Times New Roman" w:hAnsi="Times New Roman" w:cs="Times New Roman"/>
        </w:rPr>
        <w:t xml:space="preserve">TIGER </w:t>
      </w:r>
      <w:r w:rsidRPr="005D3687" w:rsidR="76B272B1">
        <w:rPr>
          <w:rFonts w:ascii="Times New Roman" w:hAnsi="Times New Roman" w:cs="Times New Roman"/>
        </w:rPr>
        <w:t xml:space="preserve">Shapefiles for </w:t>
      </w:r>
      <w:r w:rsidRPr="005D3687" w:rsidR="30A3CF5F">
        <w:rPr>
          <w:rFonts w:ascii="Times New Roman" w:hAnsi="Times New Roman" w:cs="Times New Roman"/>
        </w:rPr>
        <w:t>c</w:t>
      </w:r>
      <w:r w:rsidRPr="005D3687" w:rsidR="76B272B1">
        <w:rPr>
          <w:rFonts w:ascii="Times New Roman" w:hAnsi="Times New Roman" w:cs="Times New Roman"/>
        </w:rPr>
        <w:t xml:space="preserve">ensus </w:t>
      </w:r>
      <w:r w:rsidRPr="005D3687" w:rsidR="35D127CA">
        <w:rPr>
          <w:rFonts w:ascii="Times New Roman" w:hAnsi="Times New Roman" w:cs="Times New Roman"/>
        </w:rPr>
        <w:t>b</w:t>
      </w:r>
      <w:r w:rsidRPr="005D3687" w:rsidR="76B272B1">
        <w:rPr>
          <w:rFonts w:ascii="Times New Roman" w:hAnsi="Times New Roman" w:cs="Times New Roman"/>
        </w:rPr>
        <w:t xml:space="preserve">locks, community boundaries, and urban areas are </w:t>
      </w:r>
      <w:r w:rsidRPr="005D3687" w:rsidR="482D6067">
        <w:rPr>
          <w:rFonts w:ascii="Times New Roman" w:hAnsi="Times New Roman" w:cs="Times New Roman"/>
        </w:rPr>
        <w:t xml:space="preserve">now all </w:t>
      </w:r>
      <w:r w:rsidRPr="005D3687" w:rsidR="76B272B1">
        <w:rPr>
          <w:rFonts w:ascii="Times New Roman" w:hAnsi="Times New Roman" w:cs="Times New Roman"/>
        </w:rPr>
        <w:t xml:space="preserve">available for download from the </w:t>
      </w:r>
      <w:r w:rsidRPr="005D3687" w:rsidR="603812B3">
        <w:rPr>
          <w:rFonts w:ascii="Times New Roman" w:hAnsi="Times New Roman" w:cs="Times New Roman"/>
        </w:rPr>
        <w:t>Census Bureau</w:t>
      </w:r>
      <w:r w:rsidRPr="005D3687" w:rsidR="00B1055B">
        <w:rPr>
          <w:rFonts w:ascii="Times New Roman" w:hAnsi="Times New Roman" w:cs="Times New Roman"/>
        </w:rPr>
        <w:t xml:space="preserve"> at </w:t>
      </w:r>
      <w:hyperlink r:id="rId5" w:history="1">
        <w:r w:rsidRPr="005D3687" w:rsidR="00B1055B">
          <w:rPr>
            <w:rStyle w:val="Hyperlink"/>
            <w:rFonts w:ascii="Times New Roman" w:hAnsi="Times New Roman" w:cs="Times New Roman"/>
          </w:rPr>
          <w:t>https://www2.census.gov/geo/tiger/TIGER_RD18/LAYER</w:t>
        </w:r>
      </w:hyperlink>
      <w:r w:rsidRPr="005D3687" w:rsidR="00B1055B">
        <w:rPr>
          <w:rFonts w:ascii="Times New Roman" w:hAnsi="Times New Roman" w:cs="Times New Roman"/>
        </w:rPr>
        <w:t>.</w:t>
      </w:r>
      <w:r>
        <w:rPr>
          <w:rStyle w:val="FootnoteReference"/>
          <w:rFonts w:cs="Times New Roman"/>
        </w:rPr>
        <w:footnoteReference w:id="6"/>
      </w:r>
      <w:r w:rsidRPr="005D3687" w:rsidR="00B1055B">
        <w:rPr>
          <w:rFonts w:ascii="Times New Roman" w:hAnsi="Times New Roman" w:cs="Times New Roman"/>
        </w:rPr>
        <w:t xml:space="preserve"> </w:t>
      </w:r>
    </w:p>
    <w:p w:rsidR="006E2072" w:rsidRPr="005D3687" w:rsidP="4BE1DA82" w14:paraId="19638276" w14:textId="6602DC1E">
      <w:pPr>
        <w:rPr>
          <w:szCs w:val="22"/>
        </w:rPr>
      </w:pPr>
    </w:p>
    <w:p w:rsidR="006E2072" w:rsidRPr="005D3687" w:rsidP="4BE1DA82" w14:paraId="5CFB5FEE" w14:textId="77777777">
      <w:pPr>
        <w:rPr>
          <w:szCs w:val="22"/>
        </w:rPr>
      </w:pPr>
    </w:p>
    <w:p w:rsidR="00AB3198" w:rsidRPr="005D3687" w:rsidP="00A54BA0" w14:paraId="42F1AD74" w14:textId="64F4B419">
      <w:pPr>
        <w:widowControl/>
        <w:rPr>
          <w:szCs w:val="22"/>
        </w:rPr>
      </w:pPr>
      <w:bookmarkStart w:id="2" w:name="TOChere"/>
      <w:r w:rsidRPr="005D3687">
        <w:rPr>
          <w:rFonts w:eastAsia="MS Mincho"/>
          <w:snapToGrid/>
          <w:kern w:val="0"/>
          <w:szCs w:val="22"/>
        </w:rPr>
        <w:t xml:space="preserve">For additional information, please contact John Gabrysch </w:t>
      </w:r>
      <w:r w:rsidRPr="005D3687" w:rsidR="00A54BA0">
        <w:rPr>
          <w:rFonts w:eastAsia="MS Mincho"/>
          <w:snapToGrid/>
          <w:kern w:val="0"/>
          <w:szCs w:val="22"/>
        </w:rPr>
        <w:t>(</w:t>
      </w:r>
      <w:hyperlink r:id="rId6" w:history="1">
        <w:r w:rsidRPr="005D3687" w:rsidR="00A54BA0">
          <w:rPr>
            <w:rStyle w:val="Hyperlink"/>
            <w:rFonts w:eastAsia="MS Mincho"/>
            <w:snapToGrid/>
            <w:kern w:val="0"/>
            <w:szCs w:val="22"/>
          </w:rPr>
          <w:t>John.Gabrysch@fcc.gov</w:t>
        </w:r>
      </w:hyperlink>
      <w:r w:rsidRPr="005D3687" w:rsidR="009470E6">
        <w:rPr>
          <w:rFonts w:eastAsia="MS Mincho"/>
          <w:snapToGrid/>
          <w:kern w:val="0"/>
          <w:szCs w:val="22"/>
        </w:rPr>
        <w:t xml:space="preserve">), </w:t>
      </w:r>
      <w:r w:rsidRPr="005D3687">
        <w:rPr>
          <w:rFonts w:eastAsia="MS Mincho"/>
          <w:snapToGrid/>
          <w:kern w:val="0"/>
          <w:szCs w:val="22"/>
        </w:rPr>
        <w:t xml:space="preserve">Rolanda F. Smith, </w:t>
      </w:r>
      <w:r w:rsidRPr="005D3687" w:rsidR="009470E6">
        <w:rPr>
          <w:rFonts w:eastAsia="MS Mincho"/>
          <w:snapToGrid/>
          <w:kern w:val="0"/>
          <w:szCs w:val="22"/>
        </w:rPr>
        <w:t>(</w:t>
      </w:r>
      <w:hyperlink r:id="rId7" w:history="1">
        <w:r w:rsidRPr="005D3687">
          <w:rPr>
            <w:rFonts w:eastAsia="MS Mincho"/>
            <w:snapToGrid/>
            <w:color w:val="0000FF"/>
            <w:kern w:val="0"/>
            <w:szCs w:val="22"/>
            <w:u w:val="single"/>
          </w:rPr>
          <w:t>Rolanda-Faye.Smith@fcc.gov</w:t>
        </w:r>
      </w:hyperlink>
      <w:r w:rsidRPr="005D3687" w:rsidR="009470E6">
        <w:rPr>
          <w:rFonts w:eastAsia="MS Mincho"/>
          <w:snapToGrid/>
          <w:color w:val="0000FF"/>
          <w:kern w:val="0"/>
          <w:szCs w:val="22"/>
          <w:u w:val="single"/>
        </w:rPr>
        <w:t>)</w:t>
      </w:r>
      <w:r w:rsidR="00766F11">
        <w:rPr>
          <w:rFonts w:eastAsia="MS Mincho"/>
          <w:snapToGrid/>
          <w:color w:val="0000FF"/>
          <w:kern w:val="0"/>
          <w:szCs w:val="22"/>
        </w:rPr>
        <w:t>,</w:t>
      </w:r>
      <w:r w:rsidRPr="00766F11" w:rsidR="009470E6">
        <w:rPr>
          <w:rFonts w:eastAsia="MS Mincho"/>
          <w:snapToGrid/>
          <w:kern w:val="0"/>
          <w:szCs w:val="22"/>
        </w:rPr>
        <w:t xml:space="preserve"> or </w:t>
      </w:r>
      <w:r w:rsidRPr="005D3687" w:rsidR="009470E6">
        <w:rPr>
          <w:rFonts w:eastAsia="MS Mincho"/>
          <w:snapToGrid/>
          <w:color w:val="0000FF"/>
          <w:kern w:val="0"/>
          <w:szCs w:val="22"/>
          <w:u w:val="single"/>
        </w:rPr>
        <w:t xml:space="preserve">Nazifa </w:t>
      </w:r>
      <w:r w:rsidRPr="005D3687" w:rsidR="00A54BA0">
        <w:rPr>
          <w:rFonts w:eastAsia="MS Mincho"/>
          <w:snapToGrid/>
          <w:color w:val="0000FF"/>
          <w:kern w:val="0"/>
          <w:szCs w:val="22"/>
          <w:u w:val="single"/>
        </w:rPr>
        <w:t xml:space="preserve">Sawez </w:t>
      </w:r>
      <w:r w:rsidRPr="005D3687" w:rsidR="009470E6">
        <w:rPr>
          <w:rFonts w:eastAsia="MS Mincho"/>
          <w:snapToGrid/>
          <w:color w:val="0000FF"/>
          <w:kern w:val="0"/>
          <w:szCs w:val="22"/>
          <w:u w:val="single"/>
        </w:rPr>
        <w:t>(</w:t>
      </w:r>
      <w:hyperlink r:id="rId8" w:history="1">
        <w:r w:rsidRPr="005D3687">
          <w:rPr>
            <w:rFonts w:eastAsia="MS Mincho"/>
            <w:snapToGrid/>
            <w:color w:val="0000FF"/>
            <w:kern w:val="0"/>
            <w:szCs w:val="22"/>
            <w:u w:val="single"/>
          </w:rPr>
          <w:t>Nazifa.Sawez@fcc.gov</w:t>
        </w:r>
      </w:hyperlink>
      <w:r w:rsidRPr="005D3687" w:rsidR="009470E6">
        <w:rPr>
          <w:rFonts w:eastAsia="MS Mincho"/>
          <w:snapToGrid/>
          <w:color w:val="0000FF"/>
          <w:kern w:val="0"/>
          <w:szCs w:val="22"/>
          <w:u w:val="single"/>
        </w:rPr>
        <w:t>)</w:t>
      </w:r>
      <w:r w:rsidRPr="005D3687" w:rsidR="009470E6">
        <w:rPr>
          <w:rFonts w:eastAsia="MS Mincho"/>
          <w:snapToGrid/>
          <w:kern w:val="0"/>
          <w:szCs w:val="22"/>
        </w:rPr>
        <w:t xml:space="preserve"> of the </w:t>
      </w:r>
      <w:r w:rsidRPr="005D3687" w:rsidR="00A54BA0">
        <w:rPr>
          <w:rFonts w:eastAsia="MS Mincho"/>
          <w:snapToGrid/>
          <w:kern w:val="0"/>
          <w:szCs w:val="22"/>
        </w:rPr>
        <w:t xml:space="preserve">Audio Division.  </w:t>
      </w:r>
      <w:bookmarkEnd w:id="2"/>
    </w:p>
    <w:p w:rsidR="55F42F59" w:rsidRPr="005D3687" w:rsidP="55F42F59" w14:paraId="4A8C6D90" w14:textId="34D80BCA">
      <w:pPr>
        <w:rPr>
          <w:szCs w:val="22"/>
        </w:rPr>
      </w:pPr>
    </w:p>
    <w:p w:rsidR="00AB3198" w:rsidRPr="00AB3198" w:rsidP="00AB3198" w14:paraId="011096DE" w14:textId="5ED2E1BA">
      <w:pPr>
        <w:jc w:val="center"/>
        <w:rPr>
          <w:b/>
          <w:bCs/>
        </w:rPr>
      </w:pPr>
      <w:r>
        <w:rPr>
          <w:b/>
          <w:bCs/>
        </w:rPr>
        <w:t>[</w:t>
      </w:r>
      <w:r w:rsidRPr="00AB3198">
        <w:rPr>
          <w:b/>
          <w:bCs/>
        </w:rPr>
        <w:t>FCC</w:t>
      </w:r>
      <w:r>
        <w:rPr>
          <w:b/>
          <w:bCs/>
        </w:rPr>
        <w:t>]</w:t>
      </w:r>
    </w:p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D6EA7" w14:paraId="00C3A8AC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8D6EA7" w14:paraId="6D2A84C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D6EA7" w14:paraId="1124F869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D6EA7" w14:paraId="2D35AE1D" w14:textId="77777777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847FB5" w14:paraId="158DA814" w14:textId="77777777">
      <w:r>
        <w:separator/>
      </w:r>
    </w:p>
  </w:footnote>
  <w:footnote w:type="continuationSeparator" w:id="1">
    <w:p w:rsidR="00847FB5" w14:paraId="20473D24" w14:textId="77777777">
      <w:pPr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2">
    <w:p w:rsidR="00847FB5" w14:paraId="17BA8288" w14:textId="77777777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3">
    <w:p w:rsidR="00B523E1" w14:paraId="2AE0315F" w14:textId="65C9E76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8B5137">
        <w:t xml:space="preserve">This requirement only applies to filings submitted to the Audio Division.  </w:t>
      </w:r>
      <w:r w:rsidR="000B31E2">
        <w:t>The Video Division will issue a separate Public Notice at a later date</w:t>
      </w:r>
      <w:r w:rsidR="004815BA">
        <w:t xml:space="preserve"> to announce the use of 2020 Census data for television station filings.</w:t>
      </w:r>
    </w:p>
  </w:footnote>
  <w:footnote w:id="4">
    <w:p w:rsidR="4BE1DA82" w:rsidRPr="00B1055B" w:rsidP="00B1055B" w14:paraId="726E2D75" w14:textId="4763A2D9">
      <w:pPr>
        <w:rPr>
          <w:sz w:val="20"/>
        </w:rPr>
      </w:pPr>
      <w:r w:rsidRPr="00B1055B">
        <w:rPr>
          <w:rStyle w:val="FootnoteReference"/>
          <w:sz w:val="20"/>
        </w:rPr>
        <w:footnoteRef/>
      </w:r>
      <w:r w:rsidRPr="00B1055B" w:rsidR="55F42F59">
        <w:rPr>
          <w:sz w:val="20"/>
        </w:rPr>
        <w:t xml:space="preserve"> </w:t>
      </w:r>
      <w:r w:rsidRPr="00337DC1" w:rsidR="55F42F59">
        <w:rPr>
          <w:i/>
          <w:iCs/>
          <w:sz w:val="20"/>
        </w:rPr>
        <w:t xml:space="preserve">See </w:t>
      </w:r>
      <w:r w:rsidRPr="00337DC1" w:rsidR="00337DC1">
        <w:rPr>
          <w:i/>
          <w:iCs/>
          <w:sz w:val="20"/>
        </w:rPr>
        <w:t>e.g.</w:t>
      </w:r>
      <w:r w:rsidRPr="00B1055B" w:rsidR="55F42F59">
        <w:rPr>
          <w:sz w:val="20"/>
        </w:rPr>
        <w:t xml:space="preserve"> 47 CFR </w:t>
      </w:r>
      <w:r w:rsidR="00337DC1">
        <w:rPr>
          <w:sz w:val="20"/>
        </w:rPr>
        <w:t xml:space="preserve">§ </w:t>
      </w:r>
      <w:bookmarkStart w:id="0" w:name="_Hlk125363401"/>
      <w:r w:rsidRPr="00B1055B" w:rsidR="55F42F59">
        <w:rPr>
          <w:sz w:val="20"/>
        </w:rPr>
        <w:t>73.7000</w:t>
      </w:r>
      <w:bookmarkEnd w:id="0"/>
      <w:r w:rsidRPr="00B1055B" w:rsidR="55F42F59">
        <w:rPr>
          <w:sz w:val="20"/>
        </w:rPr>
        <w:t xml:space="preserve"> “Population</w:t>
      </w:r>
      <w:r w:rsidR="004E2968">
        <w:rPr>
          <w:sz w:val="20"/>
        </w:rPr>
        <w:t>.</w:t>
      </w:r>
      <w:r w:rsidRPr="00B1055B" w:rsidR="55F42F59">
        <w:rPr>
          <w:sz w:val="20"/>
        </w:rPr>
        <w:t>”</w:t>
      </w:r>
      <w:bookmarkStart w:id="1" w:name="_Hlk125362705"/>
    </w:p>
    <w:bookmarkEnd w:id="1"/>
    <w:p w:rsidR="4BE1DA82" w:rsidRPr="00B1055B" w:rsidP="00B1055B" w14:paraId="4363570B" w14:textId="21B6A5C2">
      <w:pPr>
        <w:pStyle w:val="FootnoteText"/>
        <w:spacing w:after="0"/>
      </w:pPr>
    </w:p>
  </w:footnote>
  <w:footnote w:id="5">
    <w:p w:rsidR="55F42F59" w:rsidP="00B1055B" w14:paraId="402FB3D4" w14:textId="16F4DC7F">
      <w:pPr>
        <w:pStyle w:val="FootnoteText"/>
        <w:spacing w:after="0"/>
      </w:pPr>
      <w:r w:rsidRPr="00B1055B">
        <w:rPr>
          <w:rStyle w:val="FootnoteReference"/>
          <w:sz w:val="20"/>
        </w:rPr>
        <w:footnoteRef/>
      </w:r>
      <w:r w:rsidRPr="00B1055B">
        <w:t xml:space="preserve"> </w:t>
      </w:r>
      <w:r w:rsidRPr="00B1055B">
        <w:rPr>
          <w:i/>
          <w:iCs/>
        </w:rPr>
        <w:t xml:space="preserve">See </w:t>
      </w:r>
      <w:r w:rsidRPr="00337DC1">
        <w:rPr>
          <w:i/>
          <w:iCs/>
        </w:rPr>
        <w:t>2020 Census Qualifying Urban Areas and Final Criteria Clarifications</w:t>
      </w:r>
      <w:r w:rsidR="00337DC1">
        <w:t xml:space="preserve">, </w:t>
      </w:r>
      <w:r w:rsidRPr="00337DC1" w:rsidR="00337DC1">
        <w:t>87 FR 80114</w:t>
      </w:r>
      <w:r w:rsidR="00337DC1">
        <w:t xml:space="preserve"> (published Dec</w:t>
      </w:r>
      <w:r w:rsidR="0056560D">
        <w:t>.</w:t>
      </w:r>
      <w:r w:rsidR="00337DC1">
        <w:t xml:space="preserve"> 29, 2022)</w:t>
      </w:r>
      <w:r w:rsidR="0056560D">
        <w:t>.</w:t>
      </w:r>
    </w:p>
    <w:p w:rsidR="00B1055B" w:rsidRPr="00B1055B" w:rsidP="00B1055B" w14:paraId="64F27C6E" w14:textId="77777777">
      <w:pPr>
        <w:pStyle w:val="FootnoteText"/>
        <w:spacing w:after="0"/>
      </w:pPr>
    </w:p>
  </w:footnote>
  <w:footnote w:id="6">
    <w:p w:rsidR="00B1055B" w:rsidRPr="00B1055B" w:rsidP="00B1055B" w14:paraId="4AA5C4ED" w14:textId="77777777">
      <w:pPr>
        <w:pStyle w:val="FootnoteText"/>
        <w:spacing w:after="0"/>
      </w:pPr>
      <w:r w:rsidRPr="00B1055B">
        <w:rPr>
          <w:rStyle w:val="FootnoteReference"/>
          <w:sz w:val="20"/>
        </w:rPr>
        <w:footnoteRef/>
      </w:r>
      <w:r w:rsidRPr="00B1055B">
        <w:t xml:space="preserve"> </w:t>
      </w:r>
      <w:r w:rsidRPr="00B1055B">
        <w:t>The subfolder UAC20 contains a national shapefile for urban areas, and the subfolder TABBLOCK20 contains state-by-state shapefiles for the tabulation blocks used in the 2020 Census.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D6EA7" w14:paraId="1383A923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D6EA7" w14:paraId="3AA0A255" w14:textId="77777777">
    <w:pPr>
      <w:tabs>
        <w:tab w:val="center" w:pos="4680"/>
        <w:tab w:val="right" w:pos="9360"/>
      </w:tabs>
    </w:pPr>
    <w:r>
      <w:rPr>
        <w:b/>
      </w:rPr>
      <w:tab/>
    </w:r>
    <w:r>
      <w:rPr>
        <w:b/>
      </w:rPr>
      <w:t>Federal Communications Commission</w:t>
    </w:r>
    <w:r>
      <w:rPr>
        <w:b/>
      </w:rPr>
      <w:tab/>
    </w:r>
    <w:r>
      <w:rPr>
        <w:b/>
      </w:rPr>
      <w:fldChar w:fldCharType="begin"/>
    </w:r>
    <w:r>
      <w:rPr>
        <w:b/>
      </w:rPr>
      <w:instrText xml:space="preserve"> MACROBUTTON  AcceptAllChangesShown "FCC/DA  XX-XXX" </w:instrText>
    </w:r>
    <w:r>
      <w:rPr>
        <w:b/>
      </w:rPr>
      <w:fldChar w:fldCharType="end"/>
    </w:r>
  </w:p>
  <w:p w:rsidR="008D6EA7" w14:paraId="3F80627B" w14:textId="65939A72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  <w:p w:rsidR="008D6EA7" w14:paraId="3B4EED17" w14:textId="77777777">
    <w:pPr>
      <w:spacing w:before="40"/>
      <w:rPr>
        <w:rFonts w:ascii="Arial" w:hAnsi="Arial" w:cs="Arial"/>
        <w:b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D6EA7" w14:paraId="764E0DB7" w14:textId="68A618C0">
    <w:pPr>
      <w:pStyle w:val="Header"/>
    </w:pPr>
    <w:r>
      <w:rPr>
        <w:noProof/>
        <w:snapToGrid/>
      </w:rPr>
      <w:drawing>
        <wp:inline distT="0" distB="0" distL="0" distR="0">
          <wp:extent cx="5943600" cy="14287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3B2007D8"/>
    <w:multiLevelType w:val="hybridMultilevel"/>
    <w:tmpl w:val="DA6ACCA6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  <w:footnote w:id="2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198"/>
    <w:rsid w:val="00087388"/>
    <w:rsid w:val="000B31E2"/>
    <w:rsid w:val="000F023F"/>
    <w:rsid w:val="00156F73"/>
    <w:rsid w:val="00197189"/>
    <w:rsid w:val="00215832"/>
    <w:rsid w:val="00337DC1"/>
    <w:rsid w:val="00436F5D"/>
    <w:rsid w:val="004815BA"/>
    <w:rsid w:val="004E13CA"/>
    <w:rsid w:val="004E2968"/>
    <w:rsid w:val="0056560D"/>
    <w:rsid w:val="005D3687"/>
    <w:rsid w:val="00619B14"/>
    <w:rsid w:val="006C063C"/>
    <w:rsid w:val="006E2072"/>
    <w:rsid w:val="00766F11"/>
    <w:rsid w:val="00847FB5"/>
    <w:rsid w:val="008B5137"/>
    <w:rsid w:val="008D6EA7"/>
    <w:rsid w:val="009470E6"/>
    <w:rsid w:val="00960707"/>
    <w:rsid w:val="009C3FEB"/>
    <w:rsid w:val="009D073C"/>
    <w:rsid w:val="00A54BA0"/>
    <w:rsid w:val="00AB3198"/>
    <w:rsid w:val="00B1055B"/>
    <w:rsid w:val="00B523E1"/>
    <w:rsid w:val="00DC1EC0"/>
    <w:rsid w:val="00F3437B"/>
    <w:rsid w:val="021240B6"/>
    <w:rsid w:val="02B32199"/>
    <w:rsid w:val="07B5485B"/>
    <w:rsid w:val="07CE70B8"/>
    <w:rsid w:val="080BE1B0"/>
    <w:rsid w:val="0899D1B8"/>
    <w:rsid w:val="093F851E"/>
    <w:rsid w:val="0C554E2A"/>
    <w:rsid w:val="0F1CFF7B"/>
    <w:rsid w:val="0FAD4886"/>
    <w:rsid w:val="0FB494F1"/>
    <w:rsid w:val="0FC05A40"/>
    <w:rsid w:val="11E32D25"/>
    <w:rsid w:val="12BBE48E"/>
    <w:rsid w:val="14577B11"/>
    <w:rsid w:val="14688208"/>
    <w:rsid w:val="14D66E70"/>
    <w:rsid w:val="154EB8BD"/>
    <w:rsid w:val="16642B0F"/>
    <w:rsid w:val="16CA0331"/>
    <w:rsid w:val="16CE5BE1"/>
    <w:rsid w:val="1717AEE9"/>
    <w:rsid w:val="1794B0AD"/>
    <w:rsid w:val="180A4AE6"/>
    <w:rsid w:val="180E0F32"/>
    <w:rsid w:val="19A9DF93"/>
    <w:rsid w:val="1A4F3A2A"/>
    <w:rsid w:val="1AF1D210"/>
    <w:rsid w:val="1AF2A55C"/>
    <w:rsid w:val="1AFA3770"/>
    <w:rsid w:val="1B8987A3"/>
    <w:rsid w:val="1C05B6B6"/>
    <w:rsid w:val="1CD6F01B"/>
    <w:rsid w:val="1D255804"/>
    <w:rsid w:val="1DCB5D84"/>
    <w:rsid w:val="1DF43E55"/>
    <w:rsid w:val="20CF78D8"/>
    <w:rsid w:val="21277B27"/>
    <w:rsid w:val="2174A133"/>
    <w:rsid w:val="230A4703"/>
    <w:rsid w:val="232EB0D2"/>
    <w:rsid w:val="26527C6C"/>
    <w:rsid w:val="279027C4"/>
    <w:rsid w:val="28316CEE"/>
    <w:rsid w:val="28616F7C"/>
    <w:rsid w:val="28F833CD"/>
    <w:rsid w:val="29C73FF3"/>
    <w:rsid w:val="2A444728"/>
    <w:rsid w:val="2BFC8C19"/>
    <w:rsid w:val="2CBCEB3B"/>
    <w:rsid w:val="2D97892E"/>
    <w:rsid w:val="2E01FCBD"/>
    <w:rsid w:val="2EA2597E"/>
    <w:rsid w:val="2F5B68C8"/>
    <w:rsid w:val="2FBF2AB8"/>
    <w:rsid w:val="3099D0C9"/>
    <w:rsid w:val="30A3CF5F"/>
    <w:rsid w:val="30B60193"/>
    <w:rsid w:val="31E9E0CA"/>
    <w:rsid w:val="326AFA51"/>
    <w:rsid w:val="32E98787"/>
    <w:rsid w:val="3406CAB2"/>
    <w:rsid w:val="3415B18E"/>
    <w:rsid w:val="3499131C"/>
    <w:rsid w:val="358972B6"/>
    <w:rsid w:val="35D127CA"/>
    <w:rsid w:val="36D9DD2D"/>
    <w:rsid w:val="3732A625"/>
    <w:rsid w:val="3755C76C"/>
    <w:rsid w:val="387B9632"/>
    <w:rsid w:val="38C1E6C4"/>
    <w:rsid w:val="38CE7686"/>
    <w:rsid w:val="3B1A41DB"/>
    <w:rsid w:val="3C4A99E0"/>
    <w:rsid w:val="3C4D3416"/>
    <w:rsid w:val="3CE7B551"/>
    <w:rsid w:val="3E3200CB"/>
    <w:rsid w:val="3EA1CBBC"/>
    <w:rsid w:val="40D412E3"/>
    <w:rsid w:val="41580159"/>
    <w:rsid w:val="4347D105"/>
    <w:rsid w:val="43735514"/>
    <w:rsid w:val="4403C61F"/>
    <w:rsid w:val="445F9189"/>
    <w:rsid w:val="46BCA426"/>
    <w:rsid w:val="46EF8B97"/>
    <w:rsid w:val="482D6067"/>
    <w:rsid w:val="49CAFA35"/>
    <w:rsid w:val="49F09B38"/>
    <w:rsid w:val="4A7BC875"/>
    <w:rsid w:val="4B3DDD01"/>
    <w:rsid w:val="4B9313A4"/>
    <w:rsid w:val="4BE1DA82"/>
    <w:rsid w:val="4C4E8714"/>
    <w:rsid w:val="4C6AA36E"/>
    <w:rsid w:val="4D392280"/>
    <w:rsid w:val="4DB02F26"/>
    <w:rsid w:val="4E0673CF"/>
    <w:rsid w:val="4F0E2A57"/>
    <w:rsid w:val="4F4F3998"/>
    <w:rsid w:val="4F6B3F8C"/>
    <w:rsid w:val="4FE13894"/>
    <w:rsid w:val="5057319C"/>
    <w:rsid w:val="5057370D"/>
    <w:rsid w:val="5348E40B"/>
    <w:rsid w:val="5358B41E"/>
    <w:rsid w:val="53A60AAA"/>
    <w:rsid w:val="53F1309E"/>
    <w:rsid w:val="5416FF5C"/>
    <w:rsid w:val="5527F4FB"/>
    <w:rsid w:val="55D9384B"/>
    <w:rsid w:val="55F42F59"/>
    <w:rsid w:val="57597831"/>
    <w:rsid w:val="57C76023"/>
    <w:rsid w:val="58684921"/>
    <w:rsid w:val="591927C0"/>
    <w:rsid w:val="59406FA2"/>
    <w:rsid w:val="5AA9BD73"/>
    <w:rsid w:val="5BAA8681"/>
    <w:rsid w:val="5C03F0E4"/>
    <w:rsid w:val="5C482F64"/>
    <w:rsid w:val="5CF0C764"/>
    <w:rsid w:val="5D0783EA"/>
    <w:rsid w:val="603812B3"/>
    <w:rsid w:val="603F24AC"/>
    <w:rsid w:val="60956A8E"/>
    <w:rsid w:val="635D9D11"/>
    <w:rsid w:val="653AA508"/>
    <w:rsid w:val="65AA4B62"/>
    <w:rsid w:val="66D67569"/>
    <w:rsid w:val="678E764E"/>
    <w:rsid w:val="68B14E41"/>
    <w:rsid w:val="69DE196C"/>
    <w:rsid w:val="6A282F97"/>
    <w:rsid w:val="6A9E289F"/>
    <w:rsid w:val="6AFDBC34"/>
    <w:rsid w:val="6B698242"/>
    <w:rsid w:val="6C177137"/>
    <w:rsid w:val="6D484756"/>
    <w:rsid w:val="6D585D3B"/>
    <w:rsid w:val="6EF42D9C"/>
    <w:rsid w:val="70B6720B"/>
    <w:rsid w:val="7104C474"/>
    <w:rsid w:val="720E5726"/>
    <w:rsid w:val="726FA60D"/>
    <w:rsid w:val="731B3E77"/>
    <w:rsid w:val="738CE938"/>
    <w:rsid w:val="73963511"/>
    <w:rsid w:val="73C5A681"/>
    <w:rsid w:val="746230DE"/>
    <w:rsid w:val="7528B999"/>
    <w:rsid w:val="76B272B1"/>
    <w:rsid w:val="775F49C3"/>
    <w:rsid w:val="7874ED8A"/>
    <w:rsid w:val="78B21625"/>
    <w:rsid w:val="78C295BB"/>
    <w:rsid w:val="7A218B04"/>
    <w:rsid w:val="7B97FB1D"/>
    <w:rsid w:val="7C9AA4EC"/>
    <w:rsid w:val="7D33CB7E"/>
    <w:rsid w:val="7E0E6614"/>
    <w:rsid w:val="7F1363D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6FB1F5B2"/>
  <w15:chartTrackingRefBased/>
  <w15:docId w15:val="{007EB472-6614-4ED5-A486-88937922B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pPr>
      <w:keepNext/>
      <w:numPr>
        <w:numId w:val="4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pPr>
      <w:keepNext/>
      <w:numPr>
        <w:ilvl w:val="1"/>
        <w:numId w:val="4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pPr>
      <w:keepNext/>
      <w:numPr>
        <w:ilvl w:val="2"/>
        <w:numId w:val="4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pPr>
      <w:keepNext/>
      <w:numPr>
        <w:ilvl w:val="3"/>
        <w:numId w:val="4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pPr>
      <w:keepNext/>
      <w:numPr>
        <w:ilvl w:val="4"/>
        <w:numId w:val="4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pPr>
      <w:numPr>
        <w:ilvl w:val="5"/>
        <w:numId w:val="4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pPr>
      <w:numPr>
        <w:ilvl w:val="6"/>
        <w:numId w:val="4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pPr>
      <w:numPr>
        <w:ilvl w:val="7"/>
        <w:numId w:val="4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pPr>
      <w:numPr>
        <w:ilvl w:val="8"/>
        <w:numId w:val="4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pPr>
      <w:numPr>
        <w:numId w:val="3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semiHidden/>
    <w:pPr>
      <w:spacing w:after="120"/>
    </w:p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2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link w:val="Footer"/>
    <w:uiPriority w:val="99"/>
    <w:rPr>
      <w:snapToGrid w:val="0"/>
      <w:kern w:val="28"/>
      <w:sz w:val="22"/>
    </w:rPr>
  </w:style>
  <w:style w:type="character" w:styleId="UnresolvedMention">
    <w:name w:val="Unresolved Mention"/>
    <w:uiPriority w:val="99"/>
    <w:semiHidden/>
    <w:unhideWhenUsed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1055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15832"/>
    <w:pPr>
      <w:widowControl/>
    </w:pPr>
    <w:rPr>
      <w:rFonts w:ascii="Calibri" w:hAnsi="Calibri" w:eastAsiaTheme="minorHAnsi" w:cs="Calibri"/>
      <w:snapToGrid/>
      <w:kern w:val="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theme" Target="theme/theme1.xml" /><Relationship Id="rId16" Type="http://schemas.openxmlformats.org/officeDocument/2006/relationships/numbering" Target="numbering.xml" /><Relationship Id="rId17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yperlink" Target="https://www2.census.gov/geo/tiger/TIGER_RD18/LAYER" TargetMode="External" /><Relationship Id="rId6" Type="http://schemas.openxmlformats.org/officeDocument/2006/relationships/hyperlink" Target="mailto:John.Gabrysch@fcc.gov" TargetMode="External" /><Relationship Id="rId7" Type="http://schemas.openxmlformats.org/officeDocument/2006/relationships/hyperlink" Target="mailto:Rolanda-Faye.Smith@fcc.gov" TargetMode="External" /><Relationship Id="rId8" Type="http://schemas.openxmlformats.org/officeDocument/2006/relationships/hyperlink" Target="mailto:Nazifa.Sawez@fcc.gov" TargetMode="External" /><Relationship Id="rId9" Type="http://schemas.openxmlformats.org/officeDocument/2006/relationships/header" Target="header1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