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CA22B5" w:rsidRPr="00E050A4" w:rsidP="394E486F" w14:paraId="6A5A8AE2" w14:textId="1C24F4BF">
      <w:pPr>
        <w:widowControl w:val="0"/>
        <w:spacing w:after="0" w:line="240" w:lineRule="auto"/>
        <w:jc w:val="right"/>
        <w:rPr>
          <w:rFonts w:eastAsia="Times New Roman"/>
          <w:b/>
          <w:bCs/>
          <w:sz w:val="22"/>
          <w:szCs w:val="22"/>
        </w:rPr>
      </w:pPr>
      <w:r w:rsidRPr="00E050A4">
        <w:rPr>
          <w:rFonts w:eastAsia="Times New Roman"/>
          <w:b/>
          <w:bCs/>
          <w:sz w:val="22"/>
          <w:szCs w:val="22"/>
        </w:rPr>
        <w:t>DA 2</w:t>
      </w:r>
      <w:r w:rsidRPr="00E050A4" w:rsidR="00304366">
        <w:rPr>
          <w:rFonts w:eastAsia="Times New Roman"/>
          <w:b/>
          <w:bCs/>
          <w:sz w:val="22"/>
          <w:szCs w:val="22"/>
        </w:rPr>
        <w:t>3</w:t>
      </w:r>
      <w:r w:rsidRPr="00E050A4">
        <w:rPr>
          <w:rFonts w:eastAsia="Times New Roman"/>
          <w:b/>
          <w:bCs/>
          <w:sz w:val="22"/>
          <w:szCs w:val="22"/>
        </w:rPr>
        <w:t>-</w:t>
      </w:r>
      <w:r w:rsidRPr="00E050A4" w:rsidR="48F80FE6">
        <w:rPr>
          <w:rFonts w:eastAsia="Times New Roman"/>
          <w:b/>
          <w:bCs/>
          <w:sz w:val="22"/>
          <w:szCs w:val="22"/>
        </w:rPr>
        <w:t>76</w:t>
      </w:r>
    </w:p>
    <w:p w:rsidR="00CA22B5" w:rsidRPr="00536F38" w:rsidP="00CA22B5" w14:paraId="2E8EE39C" w14:textId="1C700FB5">
      <w:pPr>
        <w:widowControl w:val="0"/>
        <w:spacing w:before="60" w:after="0" w:line="240" w:lineRule="auto"/>
        <w:jc w:val="right"/>
        <w:rPr>
          <w:rFonts w:eastAsia="Times New Roman"/>
          <w:b/>
          <w:sz w:val="22"/>
          <w:szCs w:val="22"/>
        </w:rPr>
      </w:pPr>
      <w:r w:rsidRPr="00AB651F">
        <w:rPr>
          <w:rFonts w:eastAsia="Times New Roman"/>
          <w:b/>
          <w:sz w:val="22"/>
          <w:szCs w:val="22"/>
        </w:rPr>
        <w:t xml:space="preserve">Released:  January </w:t>
      </w:r>
      <w:r w:rsidRPr="00AB651F" w:rsidR="00697B7F">
        <w:rPr>
          <w:rFonts w:eastAsia="Times New Roman"/>
          <w:b/>
          <w:sz w:val="22"/>
          <w:szCs w:val="22"/>
        </w:rPr>
        <w:t>27</w:t>
      </w:r>
      <w:r w:rsidRPr="00AB651F">
        <w:rPr>
          <w:rFonts w:eastAsia="Times New Roman"/>
          <w:b/>
          <w:sz w:val="22"/>
          <w:szCs w:val="22"/>
        </w:rPr>
        <w:t>, 202</w:t>
      </w:r>
      <w:r w:rsidRPr="00AB651F" w:rsidR="00304366">
        <w:rPr>
          <w:rFonts w:eastAsia="Times New Roman"/>
          <w:b/>
          <w:sz w:val="22"/>
          <w:szCs w:val="22"/>
        </w:rPr>
        <w:t>3</w:t>
      </w:r>
    </w:p>
    <w:p w:rsidR="00CA22B5" w:rsidRPr="00AB651F" w:rsidP="00CA22B5" w14:paraId="3ABE938A" w14:textId="77777777">
      <w:pPr>
        <w:widowControl w:val="0"/>
        <w:spacing w:before="60" w:after="0" w:line="240" w:lineRule="auto"/>
        <w:jc w:val="right"/>
        <w:rPr>
          <w:rFonts w:eastAsia="Times New Roman"/>
          <w:b/>
          <w:sz w:val="22"/>
          <w:szCs w:val="22"/>
        </w:rPr>
      </w:pPr>
    </w:p>
    <w:p w:rsidR="00CA22B5" w:rsidRPr="00AB651F" w:rsidP="00AB651F" w14:paraId="3C2EF3FE" w14:textId="25D949F9">
      <w:pPr>
        <w:widowControl w:val="0"/>
        <w:spacing w:after="120" w:line="240" w:lineRule="auto"/>
        <w:jc w:val="center"/>
        <w:rPr>
          <w:rFonts w:ascii="Times New Roman Bold" w:eastAsia="Times New Roman" w:hAnsi="Times New Roman Bold"/>
          <w:b/>
          <w:caps/>
          <w:sz w:val="22"/>
          <w:szCs w:val="22"/>
        </w:rPr>
      </w:pPr>
      <w:bookmarkStart w:id="0" w:name="TOChere"/>
      <w:r w:rsidRPr="00AB651F">
        <w:rPr>
          <w:rFonts w:eastAsia="Times New Roman"/>
          <w:b/>
          <w:sz w:val="22"/>
          <w:szCs w:val="22"/>
        </w:rPr>
        <w:t xml:space="preserve">WIRELINE COMPETITION BUREAU </w:t>
      </w:r>
      <w:r w:rsidRPr="00AB651F">
        <w:rPr>
          <w:rFonts w:ascii="Times New Roman Bold" w:eastAsia="Times New Roman" w:hAnsi="Times New Roman Bold"/>
          <w:b/>
          <w:caps/>
          <w:sz w:val="22"/>
          <w:szCs w:val="22"/>
        </w:rPr>
        <w:t>releases</w:t>
      </w:r>
      <w:r w:rsidRPr="00AB651F" w:rsidR="00216E9A">
        <w:rPr>
          <w:rFonts w:ascii="Times New Roman Bold" w:eastAsia="Times New Roman" w:hAnsi="Times New Roman Bold"/>
          <w:b/>
          <w:caps/>
          <w:sz w:val="22"/>
          <w:szCs w:val="22"/>
        </w:rPr>
        <w:t xml:space="preserve"> Results of </w:t>
      </w:r>
      <w:r w:rsidRPr="00AB651F" w:rsidR="00ED6DA5">
        <w:rPr>
          <w:rFonts w:ascii="Times New Roman Bold" w:eastAsia="Times New Roman" w:hAnsi="Times New Roman Bold"/>
          <w:b/>
          <w:caps/>
          <w:sz w:val="22"/>
          <w:szCs w:val="22"/>
        </w:rPr>
        <w:t xml:space="preserve">TESTS REQUIRED BY SECTIONS </w:t>
      </w:r>
      <w:r w:rsidRPr="00AB651F" w:rsidR="00ED6DA5">
        <w:rPr>
          <w:rFonts w:eastAsia="Times New Roman"/>
          <w:b/>
          <w:caps/>
          <w:sz w:val="22"/>
          <w:szCs w:val="22"/>
        </w:rPr>
        <w:t>61.50(</w:t>
      </w:r>
      <w:r w:rsidRPr="00AB651F" w:rsidR="008069D3">
        <w:rPr>
          <w:b/>
          <w:sz w:val="22"/>
          <w:szCs w:val="22"/>
        </w:rPr>
        <w:t>j</w:t>
      </w:r>
      <w:r w:rsidRPr="00AB651F" w:rsidR="00ED6DA5">
        <w:rPr>
          <w:rFonts w:eastAsia="Times New Roman"/>
          <w:b/>
          <w:caps/>
          <w:sz w:val="22"/>
          <w:szCs w:val="22"/>
        </w:rPr>
        <w:t>) AND 69.803(</w:t>
      </w:r>
      <w:r w:rsidRPr="00AB651F" w:rsidR="008069D3">
        <w:rPr>
          <w:b/>
          <w:sz w:val="22"/>
          <w:szCs w:val="22"/>
        </w:rPr>
        <w:t>c</w:t>
      </w:r>
      <w:r w:rsidRPr="00AB651F" w:rsidR="00ED6DA5">
        <w:rPr>
          <w:rFonts w:eastAsia="Times New Roman"/>
          <w:b/>
          <w:caps/>
          <w:sz w:val="22"/>
          <w:szCs w:val="22"/>
        </w:rPr>
        <w:t>)</w:t>
      </w:r>
      <w:r w:rsidRPr="00AB651F" w:rsidR="00ED6DA5">
        <w:rPr>
          <w:rFonts w:ascii="Times New Roman Bold" w:eastAsia="Times New Roman" w:hAnsi="Times New Roman Bold"/>
          <w:b/>
          <w:caps/>
          <w:sz w:val="22"/>
          <w:szCs w:val="22"/>
        </w:rPr>
        <w:t xml:space="preserve"> OF the cOMMISSION</w:t>
      </w:r>
      <w:r w:rsidRPr="00AB651F" w:rsidR="00697B7F">
        <w:rPr>
          <w:rFonts w:ascii="Times New Roman Bold" w:eastAsia="Times New Roman" w:hAnsi="Times New Roman Bold"/>
          <w:b/>
          <w:caps/>
          <w:sz w:val="22"/>
          <w:szCs w:val="22"/>
        </w:rPr>
        <w:t>’</w:t>
      </w:r>
      <w:r w:rsidRPr="00AB651F" w:rsidR="00ED6DA5">
        <w:rPr>
          <w:rFonts w:ascii="Times New Roman Bold" w:eastAsia="Times New Roman" w:hAnsi="Times New Roman Bold"/>
          <w:b/>
          <w:caps/>
          <w:sz w:val="22"/>
          <w:szCs w:val="22"/>
        </w:rPr>
        <w:t>S RULES</w:t>
      </w:r>
    </w:p>
    <w:p w:rsidR="00CA22B5" w:rsidRPr="00AB651F" w:rsidP="00CA22B5" w14:paraId="4250BA0D" w14:textId="684236C6">
      <w:pPr>
        <w:widowControl w:val="0"/>
        <w:spacing w:after="120" w:line="240" w:lineRule="auto"/>
        <w:jc w:val="center"/>
        <w:rPr>
          <w:rFonts w:eastAsia="Times New Roman"/>
          <w:b/>
          <w:sz w:val="22"/>
          <w:szCs w:val="22"/>
        </w:rPr>
      </w:pPr>
      <w:r w:rsidRPr="00AB651F">
        <w:rPr>
          <w:rFonts w:eastAsia="Times New Roman"/>
          <w:b/>
          <w:sz w:val="22"/>
          <w:szCs w:val="22"/>
        </w:rPr>
        <w:t xml:space="preserve">WC Docket Nos. </w:t>
      </w:r>
      <w:r w:rsidRPr="00AB651F" w:rsidR="00216E9A">
        <w:rPr>
          <w:rFonts w:eastAsia="Times New Roman"/>
          <w:b/>
          <w:sz w:val="22"/>
          <w:szCs w:val="22"/>
        </w:rPr>
        <w:t xml:space="preserve">21-17 and </w:t>
      </w:r>
      <w:r w:rsidRPr="00AB651F">
        <w:rPr>
          <w:rFonts w:eastAsia="Times New Roman"/>
          <w:b/>
          <w:sz w:val="22"/>
          <w:szCs w:val="22"/>
        </w:rPr>
        <w:t>17-144</w:t>
      </w:r>
    </w:p>
    <w:bookmarkEnd w:id="0"/>
    <w:p w:rsidR="00CA22B5" w:rsidRPr="00536F38" w:rsidP="00CA22B5" w14:paraId="2DFE6C0D" w14:textId="4A946B25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/>
          <w:sz w:val="22"/>
          <w:szCs w:val="22"/>
        </w:rPr>
      </w:pPr>
      <w:r w:rsidRPr="00536F38">
        <w:rPr>
          <w:rFonts w:eastAsia="Times New Roman"/>
          <w:sz w:val="22"/>
          <w:szCs w:val="22"/>
        </w:rPr>
        <w:t xml:space="preserve">By this Public Notice, the Wireline Competition Bureau (Bureau) </w:t>
      </w:r>
      <w:r w:rsidRPr="00536F38" w:rsidR="00ED6DA5">
        <w:rPr>
          <w:rFonts w:eastAsia="Times New Roman"/>
          <w:sz w:val="22"/>
          <w:szCs w:val="22"/>
        </w:rPr>
        <w:t xml:space="preserve">complies with the obligations imposed by the Commission’s rules and </w:t>
      </w:r>
      <w:r w:rsidRPr="00536F38">
        <w:rPr>
          <w:rFonts w:eastAsia="Times New Roman"/>
          <w:sz w:val="22"/>
          <w:szCs w:val="22"/>
        </w:rPr>
        <w:t>publicly releases</w:t>
      </w:r>
      <w:r w:rsidRPr="00536F38" w:rsidR="001A3839">
        <w:rPr>
          <w:rFonts w:eastAsia="Times New Roman"/>
          <w:sz w:val="22"/>
          <w:szCs w:val="22"/>
        </w:rPr>
        <w:t xml:space="preserve"> the </w:t>
      </w:r>
      <w:r w:rsidRPr="00536F38" w:rsidR="00ED6DA5">
        <w:rPr>
          <w:rFonts w:eastAsia="Times New Roman"/>
          <w:sz w:val="22"/>
          <w:szCs w:val="22"/>
        </w:rPr>
        <w:t xml:space="preserve">updated </w:t>
      </w:r>
      <w:r w:rsidRPr="00536F38" w:rsidR="003F3ECB">
        <w:rPr>
          <w:rFonts w:eastAsia="Times New Roman"/>
          <w:sz w:val="22"/>
          <w:szCs w:val="22"/>
        </w:rPr>
        <w:t xml:space="preserve">results of the </w:t>
      </w:r>
      <w:r w:rsidRPr="00536F38" w:rsidR="00ED6DA5">
        <w:rPr>
          <w:rFonts w:eastAsia="Times New Roman"/>
          <w:sz w:val="22"/>
          <w:szCs w:val="22"/>
        </w:rPr>
        <w:t xml:space="preserve">tests </w:t>
      </w:r>
      <w:r w:rsidRPr="00536F38" w:rsidR="00697B7F">
        <w:rPr>
          <w:rFonts w:eastAsia="Times New Roman"/>
          <w:sz w:val="22"/>
          <w:szCs w:val="22"/>
        </w:rPr>
        <w:t xml:space="preserve">the Bureau </w:t>
      </w:r>
      <w:r w:rsidRPr="00536F38" w:rsidR="00ED6DA5">
        <w:rPr>
          <w:rFonts w:eastAsia="Times New Roman"/>
          <w:sz w:val="22"/>
          <w:szCs w:val="22"/>
        </w:rPr>
        <w:t xml:space="preserve">is required to perform every three years, pursuant to sections </w:t>
      </w:r>
      <w:r w:rsidRPr="00536F38" w:rsidR="00ED6DA5">
        <w:rPr>
          <w:sz w:val="22"/>
          <w:szCs w:val="22"/>
        </w:rPr>
        <w:t>61.50(j) and 69.803(c) of the Commission’s rules.</w:t>
      </w:r>
      <w:r>
        <w:rPr>
          <w:rFonts w:eastAsia="Times New Roman"/>
          <w:sz w:val="22"/>
          <w:szCs w:val="22"/>
          <w:vertAlign w:val="superscript"/>
        </w:rPr>
        <w:footnoteReference w:id="3"/>
      </w:r>
      <w:r w:rsidRPr="00536F38">
        <w:rPr>
          <w:rFonts w:eastAsia="Times New Roman"/>
          <w:i/>
          <w:sz w:val="22"/>
          <w:szCs w:val="22"/>
        </w:rPr>
        <w:t xml:space="preserve">  </w:t>
      </w:r>
      <w:r w:rsidRPr="00536F38">
        <w:rPr>
          <w:rFonts w:eastAsia="Times New Roman"/>
          <w:sz w:val="22"/>
          <w:szCs w:val="22"/>
        </w:rPr>
        <w:t xml:space="preserve">These </w:t>
      </w:r>
      <w:r w:rsidRPr="00536F38" w:rsidR="003F3ECB">
        <w:rPr>
          <w:rFonts w:eastAsia="Times New Roman"/>
          <w:sz w:val="22"/>
          <w:szCs w:val="22"/>
        </w:rPr>
        <w:t xml:space="preserve">results </w:t>
      </w:r>
      <w:r w:rsidRPr="00536F38">
        <w:rPr>
          <w:rFonts w:eastAsia="Times New Roman"/>
          <w:sz w:val="22"/>
          <w:szCs w:val="22"/>
        </w:rPr>
        <w:t>are based on</w:t>
      </w:r>
      <w:r w:rsidRPr="00536F38" w:rsidR="00807352">
        <w:rPr>
          <w:rFonts w:eastAsia="Times New Roman"/>
          <w:sz w:val="22"/>
          <w:szCs w:val="22"/>
        </w:rPr>
        <w:t xml:space="preserve"> the </w:t>
      </w:r>
      <w:r w:rsidRPr="00536F38" w:rsidR="003F3ECB">
        <w:rPr>
          <w:rFonts w:eastAsia="Times New Roman"/>
          <w:sz w:val="22"/>
          <w:szCs w:val="22"/>
        </w:rPr>
        <w:t xml:space="preserve">Commission’s </w:t>
      </w:r>
      <w:r w:rsidRPr="00536F38" w:rsidR="00807352">
        <w:rPr>
          <w:rFonts w:eastAsia="Times New Roman"/>
          <w:sz w:val="22"/>
          <w:szCs w:val="22"/>
        </w:rPr>
        <w:t>most recent</w:t>
      </w:r>
      <w:r w:rsidRPr="00536F38" w:rsidR="00E671FD">
        <w:rPr>
          <w:rFonts w:eastAsia="Times New Roman"/>
          <w:sz w:val="22"/>
          <w:szCs w:val="22"/>
        </w:rPr>
        <w:t>, publicly-available</w:t>
      </w:r>
      <w:r w:rsidRPr="00536F38" w:rsidR="0090602D">
        <w:rPr>
          <w:rFonts w:eastAsia="Times New Roman"/>
          <w:sz w:val="22"/>
          <w:szCs w:val="22"/>
        </w:rPr>
        <w:t>,</w:t>
      </w:r>
      <w:r w:rsidRPr="00536F38" w:rsidR="00807352">
        <w:rPr>
          <w:rFonts w:eastAsia="Times New Roman"/>
          <w:sz w:val="22"/>
          <w:szCs w:val="22"/>
        </w:rPr>
        <w:t xml:space="preserve"> </w:t>
      </w:r>
      <w:r w:rsidRPr="00536F38">
        <w:rPr>
          <w:rFonts w:eastAsia="Times New Roman"/>
          <w:sz w:val="22"/>
          <w:szCs w:val="22"/>
        </w:rPr>
        <w:t xml:space="preserve">Form 477 data and </w:t>
      </w:r>
      <w:r w:rsidRPr="00536F38" w:rsidR="00C56678">
        <w:rPr>
          <w:rFonts w:eastAsia="Times New Roman"/>
          <w:sz w:val="22"/>
          <w:szCs w:val="22"/>
        </w:rPr>
        <w:t xml:space="preserve">further </w:t>
      </w:r>
      <w:r w:rsidRPr="00536F38">
        <w:rPr>
          <w:rFonts w:eastAsia="Times New Roman"/>
          <w:sz w:val="22"/>
          <w:szCs w:val="22"/>
        </w:rPr>
        <w:t xml:space="preserve">supplement the </w:t>
      </w:r>
      <w:r w:rsidRPr="00536F38" w:rsidR="002348D5">
        <w:rPr>
          <w:rFonts w:eastAsia="Times New Roman"/>
          <w:sz w:val="22"/>
          <w:szCs w:val="22"/>
        </w:rPr>
        <w:t xml:space="preserve">previous </w:t>
      </w:r>
      <w:r w:rsidRPr="00536F38">
        <w:rPr>
          <w:rFonts w:eastAsia="Times New Roman"/>
          <w:sz w:val="22"/>
          <w:szCs w:val="22"/>
        </w:rPr>
        <w:t xml:space="preserve">lists </w:t>
      </w:r>
      <w:r w:rsidRPr="00536F38" w:rsidR="00ED6DA5">
        <w:rPr>
          <w:rFonts w:eastAsia="Times New Roman"/>
          <w:sz w:val="22"/>
          <w:szCs w:val="22"/>
        </w:rPr>
        <w:t xml:space="preserve">the Bureau has released in compliance with the above-referenced rules.  </w:t>
      </w:r>
      <w:r w:rsidRPr="00536F38">
        <w:rPr>
          <w:rFonts w:eastAsia="Times New Roman"/>
          <w:sz w:val="22"/>
          <w:szCs w:val="22"/>
        </w:rPr>
        <w:t>The</w:t>
      </w:r>
      <w:r w:rsidRPr="00536F38" w:rsidR="00C56678">
        <w:rPr>
          <w:rFonts w:eastAsia="Times New Roman"/>
          <w:sz w:val="22"/>
          <w:szCs w:val="22"/>
        </w:rPr>
        <w:t xml:space="preserve"> </w:t>
      </w:r>
      <w:r w:rsidRPr="00536F38" w:rsidR="00ED6DA5">
        <w:rPr>
          <w:rFonts w:eastAsia="Times New Roman"/>
          <w:sz w:val="22"/>
          <w:szCs w:val="22"/>
        </w:rPr>
        <w:t xml:space="preserve">results of the Bureau’s analysis </w:t>
      </w:r>
      <w:r w:rsidRPr="00536F38">
        <w:rPr>
          <w:rFonts w:eastAsia="Times New Roman"/>
          <w:sz w:val="22"/>
          <w:szCs w:val="22"/>
        </w:rPr>
        <w:t>are attached</w:t>
      </w:r>
      <w:r w:rsidRPr="00536F38" w:rsidR="00ED6DA5">
        <w:rPr>
          <w:rFonts w:eastAsia="Times New Roman"/>
          <w:sz w:val="22"/>
          <w:szCs w:val="22"/>
        </w:rPr>
        <w:t xml:space="preserve"> to this Public Notice</w:t>
      </w:r>
      <w:r w:rsidRPr="00536F38">
        <w:rPr>
          <w:rFonts w:eastAsia="Times New Roman"/>
          <w:sz w:val="22"/>
          <w:szCs w:val="22"/>
        </w:rPr>
        <w:t xml:space="preserve"> as Appendices A and B</w:t>
      </w:r>
      <w:r w:rsidRPr="00536F38" w:rsidR="007F4C10">
        <w:rPr>
          <w:rFonts w:eastAsia="Times New Roman"/>
          <w:sz w:val="22"/>
          <w:szCs w:val="22"/>
        </w:rPr>
        <w:t>.</w:t>
      </w:r>
      <w:r w:rsidRPr="00536F38" w:rsidR="001A1EC3">
        <w:rPr>
          <w:rFonts w:eastAsia="Times New Roman"/>
          <w:sz w:val="22"/>
          <w:szCs w:val="22"/>
        </w:rPr>
        <w:t xml:space="preserve">  The second supplemental lists, as well as the previous lists from 2017, 2018 and 2020, are available at: </w:t>
      </w:r>
      <w:bookmarkStart w:id="1" w:name="_Hlk26373110"/>
      <w:hyperlink r:id="rId5" w:history="1">
        <w:r w:rsidRPr="00536F38" w:rsidR="001A1EC3">
          <w:rPr>
            <w:rFonts w:eastAsia="Times New Roman"/>
            <w:color w:val="0000FF"/>
            <w:sz w:val="22"/>
            <w:szCs w:val="22"/>
            <w:u w:val="single"/>
          </w:rPr>
          <w:t>https://www.fcc.gov/general/bds-competitive-and-noncompetitive-lists</w:t>
        </w:r>
      </w:hyperlink>
      <w:bookmarkEnd w:id="1"/>
      <w:r w:rsidRPr="00536F38" w:rsidR="001A1EC3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  <w:vertAlign w:val="superscript"/>
        </w:rPr>
        <w:footnoteReference w:id="4"/>
      </w:r>
      <w:r w:rsidRPr="00536F38" w:rsidR="001A1EC3">
        <w:rPr>
          <w:rFonts w:eastAsia="Times New Roman"/>
          <w:sz w:val="22"/>
          <w:szCs w:val="22"/>
        </w:rPr>
        <w:t xml:space="preserve">  </w:t>
      </w:r>
      <w:r w:rsidRPr="00536F38" w:rsidR="00F8284B">
        <w:rPr>
          <w:rFonts w:eastAsia="Times New Roman"/>
          <w:sz w:val="22"/>
          <w:szCs w:val="22"/>
        </w:rPr>
        <w:t xml:space="preserve">  </w:t>
      </w:r>
    </w:p>
    <w:p w:rsidR="00CA22B5" w:rsidRPr="00EE5367" w:rsidP="00CA22B5" w14:paraId="1483F4B5" w14:textId="3ADF54FD">
      <w:pPr>
        <w:autoSpaceDE w:val="0"/>
        <w:autoSpaceDN w:val="0"/>
        <w:adjustRightInd w:val="0"/>
        <w:spacing w:after="120" w:line="240" w:lineRule="auto"/>
        <w:ind w:firstLine="720"/>
        <w:rPr>
          <w:rFonts w:eastAsia="Times New Roman"/>
          <w:sz w:val="22"/>
          <w:szCs w:val="22"/>
        </w:rPr>
      </w:pPr>
      <w:r w:rsidRPr="00EE5367">
        <w:rPr>
          <w:rFonts w:eastAsia="Times New Roman"/>
          <w:sz w:val="22"/>
          <w:szCs w:val="22"/>
        </w:rPr>
        <w:t xml:space="preserve">On May 15, 2017, the Bureau announced the public release of a list of counties served </w:t>
      </w:r>
      <w:r w:rsidRPr="00EE5367" w:rsidR="00DE4C01">
        <w:rPr>
          <w:rFonts w:eastAsia="Times New Roman"/>
          <w:sz w:val="22"/>
          <w:szCs w:val="22"/>
        </w:rPr>
        <w:t xml:space="preserve">in part or in whole </w:t>
      </w:r>
      <w:r w:rsidRPr="00EE5367">
        <w:rPr>
          <w:rFonts w:eastAsia="Times New Roman"/>
          <w:sz w:val="22"/>
          <w:szCs w:val="22"/>
        </w:rPr>
        <w:t>by price cap carriers (price</w:t>
      </w:r>
      <w:r w:rsidRPr="00EE5367" w:rsidR="00173172">
        <w:rPr>
          <w:rFonts w:eastAsia="Times New Roman"/>
          <w:sz w:val="22"/>
          <w:szCs w:val="22"/>
        </w:rPr>
        <w:t>-</w:t>
      </w:r>
      <w:r w:rsidRPr="00EE5367">
        <w:rPr>
          <w:rFonts w:eastAsia="Times New Roman"/>
          <w:sz w:val="22"/>
          <w:szCs w:val="22"/>
        </w:rPr>
        <w:t xml:space="preserve">cap counties) that were deemed competitive, non-competitive, or grandfathered pursuant to the initial competitive market test adopted in the </w:t>
      </w:r>
      <w:r w:rsidRPr="00EE5367">
        <w:rPr>
          <w:rFonts w:eastAsia="Times New Roman"/>
          <w:i/>
          <w:sz w:val="22"/>
          <w:szCs w:val="22"/>
        </w:rPr>
        <w:t>Price Cap BDS Order</w:t>
      </w:r>
      <w:r w:rsidRPr="00EE5367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  <w:vertAlign w:val="superscript"/>
        </w:rPr>
        <w:footnoteReference w:id="5"/>
      </w:r>
      <w:r w:rsidR="00543D85">
        <w:rPr>
          <w:rFonts w:eastAsia="Times New Roman"/>
          <w:sz w:val="22"/>
          <w:szCs w:val="22"/>
        </w:rPr>
        <w:t xml:space="preserve">  </w:t>
      </w:r>
      <w:r w:rsidRPr="00EE5367">
        <w:rPr>
          <w:rFonts w:eastAsia="Times New Roman"/>
          <w:sz w:val="22"/>
          <w:szCs w:val="22"/>
        </w:rPr>
        <w:t>The initial price</w:t>
      </w:r>
      <w:r w:rsidRPr="00EE5367" w:rsidR="00173172">
        <w:rPr>
          <w:rFonts w:eastAsia="Times New Roman"/>
          <w:sz w:val="22"/>
          <w:szCs w:val="22"/>
        </w:rPr>
        <w:t>-</w:t>
      </w:r>
      <w:r w:rsidRPr="00EE5367">
        <w:rPr>
          <w:rFonts w:eastAsia="Times New Roman"/>
          <w:sz w:val="22"/>
          <w:szCs w:val="22"/>
        </w:rPr>
        <w:t>cap test results were based on data from the 2015 special access data collection and Form 477 data</w:t>
      </w:r>
      <w:r w:rsidRPr="00EE5367" w:rsidR="00173172">
        <w:rPr>
          <w:rFonts w:eastAsia="Times New Roman"/>
          <w:sz w:val="22"/>
          <w:szCs w:val="22"/>
        </w:rPr>
        <w:t>,</w:t>
      </w:r>
      <w:r w:rsidRPr="00EE5367">
        <w:rPr>
          <w:rFonts w:eastAsia="Times New Roman"/>
          <w:sz w:val="22"/>
          <w:szCs w:val="22"/>
        </w:rPr>
        <w:t xml:space="preserve"> as of December 31, 2016.</w:t>
      </w:r>
      <w:r>
        <w:rPr>
          <w:rFonts w:eastAsia="Times New Roman"/>
          <w:sz w:val="22"/>
          <w:szCs w:val="22"/>
          <w:vertAlign w:val="superscript"/>
        </w:rPr>
        <w:footnoteReference w:id="6"/>
      </w:r>
      <w:r w:rsidRPr="00EE5367">
        <w:rPr>
          <w:rFonts w:eastAsia="Times New Roman"/>
          <w:sz w:val="22"/>
          <w:szCs w:val="22"/>
        </w:rPr>
        <w:t xml:space="preserve">  </w:t>
      </w:r>
    </w:p>
    <w:p w:rsidR="00CA22B5" w:rsidRPr="00EE5367" w:rsidP="00CA22B5" w14:paraId="254F9042" w14:textId="747E3895">
      <w:pPr>
        <w:autoSpaceDE w:val="0"/>
        <w:autoSpaceDN w:val="0"/>
        <w:adjustRightInd w:val="0"/>
        <w:spacing w:after="120" w:line="240" w:lineRule="auto"/>
        <w:ind w:firstLine="720"/>
        <w:rPr>
          <w:rFonts w:eastAsia="Times New Roman"/>
          <w:sz w:val="22"/>
          <w:szCs w:val="22"/>
        </w:rPr>
      </w:pPr>
      <w:r w:rsidRPr="00EE5367">
        <w:rPr>
          <w:rFonts w:eastAsia="Times New Roman"/>
          <w:sz w:val="22"/>
          <w:szCs w:val="22"/>
        </w:rPr>
        <w:t xml:space="preserve">On </w:t>
      </w:r>
      <w:bookmarkStart w:id="3" w:name="_Hlk29999066"/>
      <w:r w:rsidRPr="00EE5367">
        <w:rPr>
          <w:rFonts w:eastAsia="Times New Roman"/>
          <w:sz w:val="22"/>
          <w:szCs w:val="22"/>
        </w:rPr>
        <w:t>October 25, 2018</w:t>
      </w:r>
      <w:bookmarkEnd w:id="3"/>
      <w:r w:rsidRPr="00EE5367">
        <w:rPr>
          <w:rFonts w:eastAsia="Times New Roman"/>
          <w:sz w:val="22"/>
          <w:szCs w:val="22"/>
        </w:rPr>
        <w:t xml:space="preserve">, the Bureau released a list of study areas served by rate-of-return carriers (rate-of-return study areas) receiving fixed universal service support that were deemed competitive pursuant to the competitive market test adopted in the </w:t>
      </w:r>
      <w:r w:rsidRPr="00EE5367">
        <w:rPr>
          <w:rFonts w:eastAsia="Times New Roman"/>
          <w:i/>
          <w:sz w:val="22"/>
          <w:szCs w:val="22"/>
        </w:rPr>
        <w:t>Rate-of-Return BDS Order</w:t>
      </w:r>
      <w:r w:rsidRPr="00EE5367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  <w:vertAlign w:val="superscript"/>
        </w:rPr>
        <w:footnoteReference w:id="7"/>
      </w:r>
      <w:r w:rsidRPr="00EE5367">
        <w:rPr>
          <w:rFonts w:eastAsia="Times New Roman"/>
          <w:sz w:val="22"/>
          <w:szCs w:val="22"/>
        </w:rPr>
        <w:t xml:space="preserve">  </w:t>
      </w:r>
      <w:r w:rsidRPr="00EE5367" w:rsidR="009034AD">
        <w:rPr>
          <w:rFonts w:eastAsia="Times New Roman"/>
          <w:sz w:val="22"/>
          <w:szCs w:val="22"/>
        </w:rPr>
        <w:t>The</w:t>
      </w:r>
      <w:r w:rsidR="009034AD">
        <w:rPr>
          <w:rFonts w:eastAsia="Times New Roman"/>
          <w:sz w:val="22"/>
          <w:szCs w:val="22"/>
        </w:rPr>
        <w:t xml:space="preserve"> initial</w:t>
      </w:r>
      <w:r w:rsidRPr="00EE5367" w:rsidR="009034AD">
        <w:rPr>
          <w:rFonts w:eastAsia="Times New Roman"/>
          <w:sz w:val="22"/>
          <w:szCs w:val="22"/>
        </w:rPr>
        <w:t xml:space="preserve"> </w:t>
      </w:r>
      <w:r w:rsidR="009034AD">
        <w:rPr>
          <w:rFonts w:eastAsia="Times New Roman"/>
          <w:sz w:val="22"/>
          <w:szCs w:val="22"/>
        </w:rPr>
        <w:t xml:space="preserve">rate-of-return </w:t>
      </w:r>
      <w:r w:rsidRPr="00EE5367" w:rsidR="009034AD">
        <w:rPr>
          <w:rFonts w:eastAsia="Times New Roman"/>
          <w:sz w:val="22"/>
          <w:szCs w:val="22"/>
        </w:rPr>
        <w:t>test results were based on Form 477 data, as of June 30, 2017.</w:t>
      </w:r>
      <w:r>
        <w:rPr>
          <w:rFonts w:eastAsia="Times New Roman"/>
          <w:sz w:val="22"/>
          <w:szCs w:val="22"/>
          <w:vertAlign w:val="superscript"/>
        </w:rPr>
        <w:footnoteReference w:id="8"/>
      </w:r>
      <w:r w:rsidRPr="00EE5367" w:rsidR="009034AD">
        <w:rPr>
          <w:rFonts w:eastAsia="Times New Roman"/>
          <w:sz w:val="22"/>
          <w:szCs w:val="22"/>
        </w:rPr>
        <w:t xml:space="preserve">  </w:t>
      </w:r>
      <w:r w:rsidRPr="00EE5367">
        <w:rPr>
          <w:rFonts w:eastAsia="Times New Roman"/>
          <w:sz w:val="22"/>
          <w:szCs w:val="22"/>
        </w:rPr>
        <w:t xml:space="preserve">Rate-of-return carriers electing incentive regulation for their </w:t>
      </w:r>
      <w:r w:rsidR="001E13F7">
        <w:rPr>
          <w:rFonts w:eastAsia="Times New Roman"/>
          <w:sz w:val="22"/>
          <w:szCs w:val="22"/>
        </w:rPr>
        <w:t>business data service (</w:t>
      </w:r>
      <w:r w:rsidRPr="00EE5367">
        <w:rPr>
          <w:rFonts w:eastAsia="Times New Roman"/>
          <w:sz w:val="22"/>
          <w:szCs w:val="22"/>
        </w:rPr>
        <w:t>BDS</w:t>
      </w:r>
      <w:r w:rsidR="001E13F7">
        <w:rPr>
          <w:rFonts w:eastAsia="Times New Roman"/>
          <w:sz w:val="22"/>
          <w:szCs w:val="22"/>
        </w:rPr>
        <w:t>)</w:t>
      </w:r>
      <w:r w:rsidRPr="00EE5367">
        <w:rPr>
          <w:rFonts w:eastAsia="Times New Roman"/>
          <w:sz w:val="22"/>
          <w:szCs w:val="22"/>
        </w:rPr>
        <w:t xml:space="preserve"> offerings serving competitive study areas </w:t>
      </w:r>
      <w:r w:rsidR="00A401B0">
        <w:rPr>
          <w:rFonts w:eastAsia="Times New Roman"/>
          <w:sz w:val="22"/>
          <w:szCs w:val="22"/>
        </w:rPr>
        <w:t xml:space="preserve">and price cap carriers serving competitive counties </w:t>
      </w:r>
      <w:r w:rsidRPr="00EE5367">
        <w:rPr>
          <w:rFonts w:eastAsia="Times New Roman"/>
          <w:sz w:val="22"/>
          <w:szCs w:val="22"/>
        </w:rPr>
        <w:t>were granted relief from ex ante pricing regulation and tariffing obligations for time division multiplexing (TDM)-based end-user channel terminations with capacity at or below a DS3.</w:t>
      </w:r>
      <w:r>
        <w:rPr>
          <w:rFonts w:eastAsia="Times New Roman"/>
          <w:sz w:val="22"/>
          <w:szCs w:val="22"/>
          <w:vertAlign w:val="superscript"/>
        </w:rPr>
        <w:footnoteReference w:id="9"/>
      </w:r>
      <w:r w:rsidRPr="00EE5367">
        <w:rPr>
          <w:rFonts w:eastAsia="Times New Roman"/>
          <w:sz w:val="22"/>
          <w:szCs w:val="22"/>
        </w:rPr>
        <w:t xml:space="preserve">  </w:t>
      </w:r>
    </w:p>
    <w:p w:rsidR="000E6A37" w:rsidRPr="00EE5367" w:rsidP="00417946" w14:paraId="71290C23" w14:textId="745EEA26">
      <w:pPr>
        <w:autoSpaceDE w:val="0"/>
        <w:autoSpaceDN w:val="0"/>
        <w:adjustRightInd w:val="0"/>
        <w:spacing w:after="120" w:line="240" w:lineRule="auto"/>
        <w:ind w:firstLine="720"/>
        <w:rPr>
          <w:rFonts w:eastAsia="Times New Roman"/>
          <w:sz w:val="22"/>
          <w:szCs w:val="22"/>
        </w:rPr>
      </w:pPr>
      <w:r w:rsidRPr="00EE5367">
        <w:rPr>
          <w:rFonts w:eastAsia="Times New Roman"/>
          <w:sz w:val="22"/>
          <w:szCs w:val="22"/>
        </w:rPr>
        <w:t>T</w:t>
      </w:r>
      <w:r w:rsidRPr="00EE5367" w:rsidR="00CA22B5">
        <w:rPr>
          <w:rFonts w:eastAsia="Times New Roman"/>
          <w:sz w:val="22"/>
          <w:szCs w:val="22"/>
        </w:rPr>
        <w:t xml:space="preserve">he Commission directed the Bureau to update the results </w:t>
      </w:r>
      <w:r w:rsidRPr="00EE5367" w:rsidR="00DE4C01">
        <w:rPr>
          <w:rFonts w:eastAsia="Times New Roman"/>
          <w:sz w:val="22"/>
          <w:szCs w:val="22"/>
        </w:rPr>
        <w:t xml:space="preserve">of both tests </w:t>
      </w:r>
      <w:r w:rsidRPr="00EE5367" w:rsidR="00CA22B5">
        <w:rPr>
          <w:rFonts w:eastAsia="Times New Roman"/>
          <w:sz w:val="22"/>
          <w:szCs w:val="22"/>
        </w:rPr>
        <w:t>every three years</w:t>
      </w:r>
      <w:r w:rsidRPr="00EE5367" w:rsidR="00173172">
        <w:rPr>
          <w:rFonts w:eastAsia="Times New Roman"/>
          <w:sz w:val="22"/>
          <w:szCs w:val="22"/>
        </w:rPr>
        <w:t>,</w:t>
      </w:r>
      <w:r w:rsidRPr="00EE5367" w:rsidR="00CA22B5">
        <w:rPr>
          <w:rFonts w:eastAsia="Times New Roman"/>
          <w:sz w:val="22"/>
          <w:szCs w:val="22"/>
        </w:rPr>
        <w:t xml:space="preserve"> based on the most recent Form 477 broadband </w:t>
      </w:r>
      <w:r w:rsidRPr="00EE5367" w:rsidR="00DE4C01">
        <w:rPr>
          <w:rFonts w:eastAsia="Times New Roman"/>
          <w:sz w:val="22"/>
          <w:szCs w:val="22"/>
        </w:rPr>
        <w:t xml:space="preserve">availability </w:t>
      </w:r>
      <w:r w:rsidRPr="00EE5367" w:rsidR="00CA22B5">
        <w:rPr>
          <w:rFonts w:eastAsia="Times New Roman"/>
          <w:sz w:val="22"/>
          <w:szCs w:val="22"/>
        </w:rPr>
        <w:t>data submitted by cable operators.</w:t>
      </w:r>
      <w:r>
        <w:rPr>
          <w:rFonts w:eastAsia="Times New Roman"/>
          <w:sz w:val="22"/>
          <w:szCs w:val="22"/>
          <w:vertAlign w:val="superscript"/>
        </w:rPr>
        <w:footnoteReference w:id="10"/>
      </w:r>
      <w:r w:rsidRPr="00EE5367" w:rsidR="00CA22B5">
        <w:rPr>
          <w:rFonts w:eastAsia="Times New Roman"/>
          <w:sz w:val="22"/>
          <w:szCs w:val="22"/>
        </w:rPr>
        <w:t xml:space="preserve">  For the price</w:t>
      </w:r>
      <w:r w:rsidRPr="00EE5367" w:rsidR="00173172">
        <w:rPr>
          <w:rFonts w:eastAsia="Times New Roman"/>
          <w:sz w:val="22"/>
          <w:szCs w:val="22"/>
        </w:rPr>
        <w:t>-</w:t>
      </w:r>
      <w:r w:rsidRPr="00EE5367" w:rsidR="00CA22B5">
        <w:rPr>
          <w:rFonts w:eastAsia="Times New Roman"/>
          <w:sz w:val="22"/>
          <w:szCs w:val="22"/>
        </w:rPr>
        <w:t>cap update, the Commission directed the Bureau to use a modified version of the initial price</w:t>
      </w:r>
      <w:r w:rsidRPr="00EE5367" w:rsidR="00173172">
        <w:rPr>
          <w:rFonts w:eastAsia="Times New Roman"/>
          <w:sz w:val="22"/>
          <w:szCs w:val="22"/>
        </w:rPr>
        <w:t>-</w:t>
      </w:r>
      <w:r w:rsidRPr="00EE5367" w:rsidR="00CA22B5">
        <w:rPr>
          <w:rFonts w:eastAsia="Times New Roman"/>
          <w:sz w:val="22"/>
          <w:szCs w:val="22"/>
        </w:rPr>
        <w:t>cap test based on updated Form 477 data.  Under the subsequent price</w:t>
      </w:r>
      <w:r w:rsidRPr="00EE5367" w:rsidR="00173172">
        <w:rPr>
          <w:rFonts w:eastAsia="Times New Roman"/>
          <w:sz w:val="22"/>
          <w:szCs w:val="22"/>
        </w:rPr>
        <w:t>-</w:t>
      </w:r>
      <w:r w:rsidRPr="00EE5367" w:rsidR="00CA22B5">
        <w:rPr>
          <w:rFonts w:eastAsia="Times New Roman"/>
          <w:sz w:val="22"/>
          <w:szCs w:val="22"/>
        </w:rPr>
        <w:t xml:space="preserve">cap test, a county is deemed competitive if </w:t>
      </w:r>
      <w:r w:rsidRPr="00EE5367" w:rsidR="001745F0">
        <w:rPr>
          <w:rFonts w:eastAsia="Times New Roman"/>
          <w:sz w:val="22"/>
          <w:szCs w:val="22"/>
        </w:rPr>
        <w:t xml:space="preserve">a cable operator reports that </w:t>
      </w:r>
      <w:r w:rsidRPr="00EE5367" w:rsidR="00CA22B5">
        <w:rPr>
          <w:rFonts w:eastAsia="Times New Roman"/>
          <w:sz w:val="22"/>
          <w:szCs w:val="22"/>
        </w:rPr>
        <w:t>75% of the census blocks within the county have broadband availability.</w:t>
      </w:r>
      <w:r>
        <w:rPr>
          <w:rFonts w:eastAsia="Times New Roman"/>
          <w:sz w:val="22"/>
          <w:szCs w:val="22"/>
          <w:vertAlign w:val="superscript"/>
        </w:rPr>
        <w:footnoteReference w:id="11"/>
      </w:r>
      <w:r w:rsidRPr="00EE5367" w:rsidR="00CA22B5">
        <w:rPr>
          <w:rFonts w:eastAsia="Times New Roman"/>
          <w:sz w:val="22"/>
          <w:szCs w:val="22"/>
        </w:rPr>
        <w:t xml:space="preserve">  The Commission also directed the Bureau to re-run the rate-of-return test using updated Form 477 data.</w:t>
      </w:r>
      <w:r>
        <w:rPr>
          <w:rFonts w:eastAsia="Times New Roman"/>
          <w:sz w:val="22"/>
          <w:szCs w:val="22"/>
          <w:vertAlign w:val="superscript"/>
        </w:rPr>
        <w:footnoteReference w:id="12"/>
      </w:r>
      <w:r w:rsidRPr="00EE5367" w:rsidR="00CA22B5">
        <w:rPr>
          <w:rFonts w:eastAsia="Times New Roman"/>
          <w:sz w:val="22"/>
          <w:szCs w:val="22"/>
        </w:rPr>
        <w:t xml:space="preserve">  Under the rate-of-return test, a study area is deemed competitive if 75% of the census blocks within the study area are served by a cable operator offering a minimum of 10 Mbps </w:t>
      </w:r>
      <w:r w:rsidRPr="00EE5367" w:rsidR="00FC1646">
        <w:rPr>
          <w:rFonts w:eastAsia="Times New Roman"/>
          <w:sz w:val="22"/>
          <w:szCs w:val="22"/>
        </w:rPr>
        <w:t xml:space="preserve">downstream/1 Mbps upstream </w:t>
      </w:r>
      <w:r w:rsidRPr="00EE5367" w:rsidR="00CA22B5">
        <w:rPr>
          <w:rFonts w:eastAsia="Times New Roman"/>
          <w:sz w:val="22"/>
          <w:szCs w:val="22"/>
        </w:rPr>
        <w:t>broadband service.</w:t>
      </w:r>
      <w:r>
        <w:rPr>
          <w:rFonts w:eastAsia="Times New Roman"/>
          <w:sz w:val="22"/>
          <w:szCs w:val="22"/>
          <w:vertAlign w:val="superscript"/>
        </w:rPr>
        <w:footnoteReference w:id="13"/>
      </w:r>
      <w:r w:rsidRPr="00EE5367" w:rsidR="00CA22B5">
        <w:rPr>
          <w:rFonts w:eastAsia="Times New Roman"/>
          <w:sz w:val="22"/>
          <w:szCs w:val="22"/>
        </w:rPr>
        <w:t xml:space="preserve">     </w:t>
      </w:r>
    </w:p>
    <w:p w:rsidR="00CA22B5" w:rsidRPr="00EE5367" w:rsidP="00CA22B5" w14:paraId="7D124B8C" w14:textId="501BAD5A">
      <w:pPr>
        <w:autoSpaceDE w:val="0"/>
        <w:autoSpaceDN w:val="0"/>
        <w:adjustRightInd w:val="0"/>
        <w:spacing w:after="120" w:line="240" w:lineRule="auto"/>
        <w:ind w:firstLine="720"/>
        <w:rPr>
          <w:rFonts w:eastAsia="Times New Roman"/>
          <w:sz w:val="22"/>
          <w:szCs w:val="22"/>
        </w:rPr>
      </w:pPr>
      <w:r w:rsidRPr="00EE5367">
        <w:rPr>
          <w:rFonts w:eastAsia="Times New Roman"/>
          <w:sz w:val="22"/>
          <w:szCs w:val="22"/>
        </w:rPr>
        <w:t>T</w:t>
      </w:r>
      <w:r w:rsidRPr="00EE5367">
        <w:rPr>
          <w:rFonts w:eastAsia="Times New Roman"/>
          <w:sz w:val="22"/>
          <w:szCs w:val="22"/>
        </w:rPr>
        <w:t>he Commission directed the Bureau to update the price</w:t>
      </w:r>
      <w:r w:rsidRPr="00EE5367" w:rsidR="0023109D">
        <w:rPr>
          <w:rFonts w:eastAsia="Times New Roman"/>
          <w:sz w:val="22"/>
          <w:szCs w:val="22"/>
        </w:rPr>
        <w:t>-</w:t>
      </w:r>
      <w:r w:rsidRPr="00EE5367">
        <w:rPr>
          <w:rFonts w:eastAsia="Times New Roman"/>
          <w:sz w:val="22"/>
          <w:szCs w:val="22"/>
        </w:rPr>
        <w:t xml:space="preserve">cap and rate-of-return test results </w:t>
      </w:r>
      <w:r w:rsidRPr="00EE5367" w:rsidR="0099539D">
        <w:rPr>
          <w:rFonts w:eastAsia="Times New Roman"/>
          <w:sz w:val="22"/>
          <w:szCs w:val="22"/>
        </w:rPr>
        <w:t>every three</w:t>
      </w:r>
      <w:r w:rsidRPr="00EE5367" w:rsidR="0023109D">
        <w:rPr>
          <w:rFonts w:eastAsia="Times New Roman"/>
          <w:sz w:val="22"/>
          <w:szCs w:val="22"/>
        </w:rPr>
        <w:t xml:space="preserve"> </w:t>
      </w:r>
      <w:r w:rsidRPr="00EE5367" w:rsidR="0099539D">
        <w:rPr>
          <w:rFonts w:eastAsia="Times New Roman"/>
          <w:sz w:val="22"/>
          <w:szCs w:val="22"/>
        </w:rPr>
        <w:t xml:space="preserve">years, </w:t>
      </w:r>
      <w:r w:rsidRPr="00EE5367" w:rsidR="004639AD">
        <w:rPr>
          <w:rFonts w:eastAsia="Times New Roman"/>
          <w:sz w:val="22"/>
          <w:szCs w:val="22"/>
        </w:rPr>
        <w:t>following the 2020 price cap test</w:t>
      </w:r>
      <w:r w:rsidRPr="00EE5367" w:rsidR="005436BD">
        <w:rPr>
          <w:rFonts w:eastAsia="Times New Roman"/>
          <w:sz w:val="22"/>
          <w:szCs w:val="22"/>
        </w:rPr>
        <w:t xml:space="preserve">, </w:t>
      </w:r>
      <w:r w:rsidRPr="00EE5367" w:rsidR="004D0489">
        <w:rPr>
          <w:rFonts w:eastAsia="Times New Roman"/>
          <w:sz w:val="22"/>
          <w:szCs w:val="22"/>
        </w:rPr>
        <w:t xml:space="preserve">using Form 477 data as of the date </w:t>
      </w:r>
      <w:r w:rsidRPr="00EE5367" w:rsidR="00A74B2D">
        <w:rPr>
          <w:rFonts w:eastAsia="Times New Roman"/>
          <w:sz w:val="22"/>
          <w:szCs w:val="22"/>
        </w:rPr>
        <w:t>of the most recent collection</w:t>
      </w:r>
      <w:r w:rsidRPr="00EE5367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  <w:vertAlign w:val="superscript"/>
        </w:rPr>
        <w:footnoteReference w:id="14"/>
      </w:r>
      <w:r w:rsidRPr="00EE5367">
        <w:rPr>
          <w:rFonts w:eastAsia="Times New Roman"/>
          <w:sz w:val="22"/>
          <w:szCs w:val="22"/>
        </w:rPr>
        <w:t xml:space="preserve">  </w:t>
      </w:r>
      <w:bookmarkStart w:id="5" w:name="_Hlk31014615"/>
      <w:r w:rsidRPr="00EE5367" w:rsidR="00DE4C01">
        <w:rPr>
          <w:rFonts w:eastAsia="Times New Roman"/>
          <w:sz w:val="22"/>
          <w:szCs w:val="22"/>
        </w:rPr>
        <w:t>T</w:t>
      </w:r>
      <w:r w:rsidRPr="00EE5367">
        <w:rPr>
          <w:rFonts w:eastAsia="Times New Roman"/>
          <w:sz w:val="22"/>
          <w:szCs w:val="22"/>
        </w:rPr>
        <w:t xml:space="preserve">he Bureau </w:t>
      </w:r>
      <w:r w:rsidRPr="00EE5367" w:rsidR="00DE4C01">
        <w:rPr>
          <w:rFonts w:eastAsia="Times New Roman"/>
          <w:sz w:val="22"/>
          <w:szCs w:val="22"/>
        </w:rPr>
        <w:t xml:space="preserve">now updates the results of both tests </w:t>
      </w:r>
      <w:r w:rsidRPr="00EE5367">
        <w:rPr>
          <w:rFonts w:eastAsia="Times New Roman"/>
          <w:sz w:val="22"/>
          <w:szCs w:val="22"/>
        </w:rPr>
        <w:t>us</w:t>
      </w:r>
      <w:r w:rsidRPr="00EE5367" w:rsidR="00DE4C01">
        <w:rPr>
          <w:rFonts w:eastAsia="Times New Roman"/>
          <w:sz w:val="22"/>
          <w:szCs w:val="22"/>
        </w:rPr>
        <w:t>ing</w:t>
      </w:r>
      <w:r w:rsidRPr="00EE5367">
        <w:rPr>
          <w:rFonts w:eastAsia="Times New Roman"/>
          <w:sz w:val="22"/>
          <w:szCs w:val="22"/>
        </w:rPr>
        <w:t xml:space="preserve"> Form 477 data </w:t>
      </w:r>
      <w:r w:rsidRPr="00EE5367" w:rsidR="0023109D">
        <w:rPr>
          <w:rFonts w:eastAsia="Times New Roman"/>
          <w:sz w:val="22"/>
          <w:szCs w:val="22"/>
        </w:rPr>
        <w:t xml:space="preserve">reflecting the </w:t>
      </w:r>
      <w:r w:rsidRPr="00EE5367" w:rsidR="00DE4C01">
        <w:rPr>
          <w:rFonts w:eastAsia="Times New Roman"/>
          <w:sz w:val="22"/>
          <w:szCs w:val="22"/>
        </w:rPr>
        <w:t xml:space="preserve">availability </w:t>
      </w:r>
      <w:r w:rsidRPr="00EE5367" w:rsidR="0023109D">
        <w:rPr>
          <w:rFonts w:eastAsia="Times New Roman"/>
          <w:sz w:val="22"/>
          <w:szCs w:val="22"/>
        </w:rPr>
        <w:t xml:space="preserve">of broadband service from cable operators </w:t>
      </w:r>
      <w:r w:rsidRPr="00EE5367">
        <w:rPr>
          <w:rFonts w:eastAsia="Times New Roman"/>
          <w:sz w:val="22"/>
          <w:szCs w:val="22"/>
        </w:rPr>
        <w:t xml:space="preserve">as of </w:t>
      </w:r>
      <w:r w:rsidRPr="00EE5367" w:rsidR="00DE4C01">
        <w:rPr>
          <w:rFonts w:eastAsia="Times New Roman"/>
          <w:sz w:val="22"/>
          <w:szCs w:val="22"/>
        </w:rPr>
        <w:t>December</w:t>
      </w:r>
      <w:r w:rsidRPr="00EE5367" w:rsidR="00952D7E">
        <w:rPr>
          <w:rFonts w:eastAsia="Times New Roman"/>
          <w:sz w:val="22"/>
          <w:szCs w:val="22"/>
        </w:rPr>
        <w:t xml:space="preserve"> 3</w:t>
      </w:r>
      <w:r w:rsidRPr="00EE5367" w:rsidR="00DE4C01">
        <w:rPr>
          <w:rFonts w:eastAsia="Times New Roman"/>
          <w:sz w:val="22"/>
          <w:szCs w:val="22"/>
        </w:rPr>
        <w:t>1</w:t>
      </w:r>
      <w:r w:rsidRPr="00EE5367" w:rsidR="00952D7E">
        <w:rPr>
          <w:rFonts w:eastAsia="Times New Roman"/>
          <w:sz w:val="22"/>
          <w:szCs w:val="22"/>
        </w:rPr>
        <w:t>, 2021</w:t>
      </w:r>
      <w:r w:rsidRPr="00EE5367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  <w:vertAlign w:val="superscript"/>
        </w:rPr>
        <w:footnoteReference w:id="15"/>
      </w:r>
      <w:r w:rsidRPr="00EE5367">
        <w:rPr>
          <w:rFonts w:eastAsia="Times New Roman"/>
          <w:sz w:val="22"/>
          <w:szCs w:val="22"/>
        </w:rPr>
        <w:t xml:space="preserve">  Based on these data, the Bureau, in coordination with the Office of Economics and Analytics, tested price</w:t>
      </w:r>
      <w:r w:rsidRPr="00EE5367" w:rsidR="0023109D">
        <w:rPr>
          <w:rFonts w:eastAsia="Times New Roman"/>
          <w:sz w:val="22"/>
          <w:szCs w:val="22"/>
        </w:rPr>
        <w:t>-</w:t>
      </w:r>
      <w:r w:rsidRPr="00EE5367">
        <w:rPr>
          <w:rFonts w:eastAsia="Times New Roman"/>
          <w:sz w:val="22"/>
          <w:szCs w:val="22"/>
        </w:rPr>
        <w:t xml:space="preserve">cap counties that were </w:t>
      </w:r>
      <w:r w:rsidRPr="00EE5367" w:rsidR="0023109D">
        <w:rPr>
          <w:rFonts w:eastAsia="Times New Roman"/>
          <w:sz w:val="22"/>
          <w:szCs w:val="22"/>
        </w:rPr>
        <w:t xml:space="preserve">previously </w:t>
      </w:r>
      <w:r w:rsidRPr="00EE5367">
        <w:rPr>
          <w:rFonts w:eastAsia="Times New Roman"/>
          <w:sz w:val="22"/>
          <w:szCs w:val="22"/>
        </w:rPr>
        <w:t xml:space="preserve">deemed </w:t>
      </w:r>
      <w:r w:rsidRPr="00EE5367" w:rsidR="0023109D">
        <w:rPr>
          <w:rFonts w:eastAsia="Times New Roman"/>
          <w:sz w:val="22"/>
          <w:szCs w:val="22"/>
        </w:rPr>
        <w:t xml:space="preserve">to be </w:t>
      </w:r>
      <w:r w:rsidRPr="00EE5367">
        <w:rPr>
          <w:rFonts w:eastAsia="Times New Roman"/>
          <w:sz w:val="22"/>
          <w:szCs w:val="22"/>
        </w:rPr>
        <w:t xml:space="preserve">non-competitive and retested rate-of-return study areas receiving fixed universal service support that were </w:t>
      </w:r>
      <w:r w:rsidRPr="00EE5367" w:rsidR="0023109D">
        <w:rPr>
          <w:rFonts w:eastAsia="Times New Roman"/>
          <w:sz w:val="22"/>
          <w:szCs w:val="22"/>
        </w:rPr>
        <w:t xml:space="preserve">previously </w:t>
      </w:r>
      <w:r w:rsidRPr="00EE5367">
        <w:rPr>
          <w:rFonts w:eastAsia="Times New Roman"/>
          <w:sz w:val="22"/>
          <w:szCs w:val="22"/>
        </w:rPr>
        <w:t xml:space="preserve">deemed </w:t>
      </w:r>
      <w:r w:rsidRPr="00EE5367" w:rsidR="0023109D">
        <w:rPr>
          <w:rFonts w:eastAsia="Times New Roman"/>
          <w:sz w:val="22"/>
          <w:szCs w:val="22"/>
        </w:rPr>
        <w:t xml:space="preserve">not to be </w:t>
      </w:r>
      <w:r w:rsidRPr="00EE5367">
        <w:rPr>
          <w:rFonts w:eastAsia="Times New Roman"/>
          <w:sz w:val="22"/>
          <w:szCs w:val="22"/>
        </w:rPr>
        <w:t>competitive.</w:t>
      </w:r>
      <w:r>
        <w:rPr>
          <w:rFonts w:eastAsia="Times New Roman"/>
          <w:sz w:val="22"/>
          <w:szCs w:val="22"/>
          <w:vertAlign w:val="superscript"/>
        </w:rPr>
        <w:footnoteReference w:id="16"/>
      </w:r>
      <w:r w:rsidRPr="00EE5367">
        <w:rPr>
          <w:rFonts w:eastAsia="Times New Roman"/>
          <w:sz w:val="22"/>
          <w:szCs w:val="22"/>
        </w:rPr>
        <w:t xml:space="preserve">  The Bureau found that </w:t>
      </w:r>
      <w:r w:rsidRPr="00EE5367" w:rsidR="00DE4C01">
        <w:rPr>
          <w:rFonts w:eastAsia="Times New Roman"/>
          <w:sz w:val="22"/>
          <w:szCs w:val="22"/>
        </w:rPr>
        <w:t>15</w:t>
      </w:r>
      <w:r w:rsidRPr="00EE5367">
        <w:rPr>
          <w:rFonts w:eastAsia="Times New Roman"/>
          <w:sz w:val="22"/>
          <w:szCs w:val="22"/>
        </w:rPr>
        <w:t xml:space="preserve"> price</w:t>
      </w:r>
      <w:r w:rsidRPr="00EE5367" w:rsidR="00BB384E">
        <w:rPr>
          <w:rFonts w:eastAsia="Times New Roman"/>
          <w:sz w:val="22"/>
          <w:szCs w:val="22"/>
        </w:rPr>
        <w:t>-</w:t>
      </w:r>
      <w:r w:rsidRPr="00EE5367">
        <w:rPr>
          <w:rFonts w:eastAsia="Times New Roman"/>
          <w:sz w:val="22"/>
          <w:szCs w:val="22"/>
        </w:rPr>
        <w:t>cap counties that were previously deemed non-competitive now meet the competitive threshold</w:t>
      </w:r>
      <w:r w:rsidRPr="00EE5367" w:rsidR="00DA0EEA">
        <w:rPr>
          <w:rFonts w:eastAsia="Times New Roman"/>
          <w:sz w:val="22"/>
          <w:szCs w:val="22"/>
        </w:rPr>
        <w:t xml:space="preserve"> established by the Commission’s rules</w:t>
      </w:r>
      <w:r w:rsidRPr="00EE5367">
        <w:rPr>
          <w:rFonts w:eastAsia="Times New Roman"/>
          <w:sz w:val="22"/>
          <w:szCs w:val="22"/>
        </w:rPr>
        <w:t>.  The price cap-served areas within those counties are therefore deemed competitive</w:t>
      </w:r>
      <w:r w:rsidRPr="00EE5367" w:rsidR="00A469E3">
        <w:rPr>
          <w:rFonts w:eastAsia="Times New Roman"/>
          <w:sz w:val="22"/>
          <w:szCs w:val="22"/>
        </w:rPr>
        <w:t>,</w:t>
      </w:r>
      <w:r w:rsidRPr="00EE5367">
        <w:rPr>
          <w:rFonts w:eastAsia="Times New Roman"/>
          <w:sz w:val="22"/>
          <w:szCs w:val="22"/>
        </w:rPr>
        <w:t xml:space="preserve"> effective immediately.</w:t>
      </w:r>
      <w:r>
        <w:rPr>
          <w:rFonts w:eastAsia="Times New Roman"/>
          <w:sz w:val="22"/>
          <w:szCs w:val="22"/>
          <w:vertAlign w:val="superscript"/>
        </w:rPr>
        <w:footnoteReference w:id="17"/>
      </w:r>
      <w:r w:rsidRPr="00EE5367">
        <w:rPr>
          <w:rFonts w:eastAsia="Times New Roman"/>
          <w:sz w:val="22"/>
          <w:szCs w:val="22"/>
        </w:rPr>
        <w:t xml:space="preserve">  The Bureau also found that </w:t>
      </w:r>
      <w:r w:rsidRPr="00EE5367" w:rsidR="003B286D">
        <w:rPr>
          <w:rFonts w:eastAsia="Times New Roman"/>
          <w:sz w:val="22"/>
          <w:szCs w:val="22"/>
        </w:rPr>
        <w:t>five</w:t>
      </w:r>
      <w:r w:rsidRPr="00EE5367" w:rsidR="00056D12">
        <w:rPr>
          <w:rFonts w:eastAsia="Times New Roman"/>
          <w:sz w:val="22"/>
          <w:szCs w:val="22"/>
        </w:rPr>
        <w:t xml:space="preserve"> </w:t>
      </w:r>
      <w:r w:rsidRPr="00EE5367">
        <w:rPr>
          <w:rFonts w:eastAsia="Times New Roman"/>
          <w:sz w:val="22"/>
          <w:szCs w:val="22"/>
        </w:rPr>
        <w:t xml:space="preserve">additional rate-of-return study areas receiving fixed universal service support meet the applicable threshold and are therefore deemed competitive, </w:t>
      </w:r>
      <w:r w:rsidRPr="00EE5367" w:rsidR="00A469E3">
        <w:rPr>
          <w:rFonts w:eastAsia="Times New Roman"/>
          <w:sz w:val="22"/>
          <w:szCs w:val="22"/>
        </w:rPr>
        <w:t xml:space="preserve">also </w:t>
      </w:r>
      <w:r w:rsidRPr="00EE5367">
        <w:rPr>
          <w:rFonts w:eastAsia="Times New Roman"/>
          <w:sz w:val="22"/>
          <w:szCs w:val="22"/>
        </w:rPr>
        <w:t xml:space="preserve">effective </w:t>
      </w:r>
      <w:r w:rsidRPr="00EE5367" w:rsidR="00A469E3">
        <w:rPr>
          <w:rFonts w:eastAsia="Times New Roman"/>
          <w:sz w:val="22"/>
          <w:szCs w:val="22"/>
        </w:rPr>
        <w:t>immediately</w:t>
      </w:r>
      <w:r w:rsidRPr="00EE5367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  <w:vertAlign w:val="superscript"/>
        </w:rPr>
        <w:footnoteReference w:id="18"/>
      </w:r>
      <w:r w:rsidRPr="00EE5367">
        <w:rPr>
          <w:rFonts w:eastAsia="Times New Roman"/>
          <w:sz w:val="22"/>
          <w:szCs w:val="22"/>
        </w:rPr>
        <w:t xml:space="preserve">  </w:t>
      </w:r>
      <w:bookmarkEnd w:id="5"/>
    </w:p>
    <w:p w:rsidR="00CA22B5" w:rsidRPr="00EE5367" w:rsidP="00CA22B5" w14:paraId="41E93FFB" w14:textId="62DC4FBB">
      <w:pPr>
        <w:autoSpaceDE w:val="0"/>
        <w:autoSpaceDN w:val="0"/>
        <w:adjustRightInd w:val="0"/>
        <w:spacing w:after="120" w:line="240" w:lineRule="auto"/>
        <w:ind w:firstLine="720"/>
        <w:rPr>
          <w:rFonts w:eastAsia="Times New Roman"/>
          <w:sz w:val="22"/>
          <w:szCs w:val="22"/>
        </w:rPr>
      </w:pPr>
      <w:r w:rsidRPr="00EE5367">
        <w:rPr>
          <w:rFonts w:eastAsia="Times New Roman"/>
          <w:sz w:val="22"/>
          <w:szCs w:val="22"/>
        </w:rPr>
        <w:t>The lists of price</w:t>
      </w:r>
      <w:r w:rsidRPr="00EE5367" w:rsidR="00BB384E">
        <w:rPr>
          <w:rFonts w:eastAsia="Times New Roman"/>
          <w:sz w:val="22"/>
          <w:szCs w:val="22"/>
        </w:rPr>
        <w:t>-</w:t>
      </w:r>
      <w:r w:rsidRPr="00EE5367">
        <w:rPr>
          <w:rFonts w:eastAsia="Times New Roman"/>
          <w:sz w:val="22"/>
          <w:szCs w:val="22"/>
        </w:rPr>
        <w:t xml:space="preserve">cap counties and rate-of-return study areas </w:t>
      </w:r>
      <w:r w:rsidRPr="00EE5367" w:rsidR="00CA3807">
        <w:rPr>
          <w:rFonts w:eastAsia="Times New Roman"/>
          <w:sz w:val="22"/>
          <w:szCs w:val="22"/>
        </w:rPr>
        <w:t xml:space="preserve">newly </w:t>
      </w:r>
      <w:r w:rsidRPr="00EE5367">
        <w:rPr>
          <w:rFonts w:eastAsia="Times New Roman"/>
          <w:sz w:val="22"/>
          <w:szCs w:val="22"/>
        </w:rPr>
        <w:t>deemed competitive pursuant to the updated test results are attached as Appendices A and B, respectively</w:t>
      </w:r>
      <w:r w:rsidRPr="00EE5367" w:rsidR="00CE0256">
        <w:rPr>
          <w:rFonts w:eastAsia="Times New Roman"/>
          <w:sz w:val="22"/>
          <w:szCs w:val="22"/>
        </w:rPr>
        <w:t>.</w:t>
      </w:r>
      <w:r w:rsidRPr="00EE5367" w:rsidR="00D01D59">
        <w:rPr>
          <w:rFonts w:eastAsia="Times New Roman"/>
          <w:sz w:val="22"/>
          <w:szCs w:val="22"/>
        </w:rPr>
        <w:t xml:space="preserve">  </w:t>
      </w:r>
      <w:r w:rsidRPr="00EE5367">
        <w:rPr>
          <w:rFonts w:eastAsia="Times New Roman"/>
          <w:sz w:val="22"/>
          <w:szCs w:val="22"/>
        </w:rPr>
        <w:t>Parties wishing to challenge these updated test results may file a petition for reconsideration with the Bureau or an application for review with the Commission.</w:t>
      </w:r>
      <w:r>
        <w:rPr>
          <w:rFonts w:eastAsia="Times New Roman"/>
          <w:sz w:val="22"/>
          <w:szCs w:val="22"/>
          <w:vertAlign w:val="superscript"/>
        </w:rPr>
        <w:footnoteReference w:id="19"/>
      </w:r>
      <w:r w:rsidRPr="00EE5367">
        <w:rPr>
          <w:rFonts w:eastAsia="Times New Roman"/>
          <w:sz w:val="22"/>
          <w:szCs w:val="22"/>
        </w:rPr>
        <w:t xml:space="preserve">  Pending any challenges to these results, the newly deemed</w:t>
      </w:r>
      <w:r w:rsidRPr="00EE5367" w:rsidR="00BB384E">
        <w:rPr>
          <w:rFonts w:eastAsia="Times New Roman"/>
          <w:sz w:val="22"/>
          <w:szCs w:val="22"/>
        </w:rPr>
        <w:t>-</w:t>
      </w:r>
      <w:r w:rsidRPr="00EE5367">
        <w:rPr>
          <w:rFonts w:eastAsia="Times New Roman"/>
          <w:sz w:val="22"/>
          <w:szCs w:val="22"/>
        </w:rPr>
        <w:t>competitive price</w:t>
      </w:r>
      <w:r w:rsidRPr="00EE5367" w:rsidR="00BB384E">
        <w:rPr>
          <w:rFonts w:eastAsia="Times New Roman"/>
          <w:sz w:val="22"/>
          <w:szCs w:val="22"/>
        </w:rPr>
        <w:t>-</w:t>
      </w:r>
      <w:r w:rsidRPr="00EE5367">
        <w:rPr>
          <w:rFonts w:eastAsia="Times New Roman"/>
          <w:sz w:val="22"/>
          <w:szCs w:val="22"/>
        </w:rPr>
        <w:t>cap counties and rate-of-return study areas will not be retested in subsequent three-year updates.</w:t>
      </w:r>
      <w:r>
        <w:rPr>
          <w:rFonts w:eastAsia="Times New Roman"/>
          <w:sz w:val="22"/>
          <w:szCs w:val="22"/>
          <w:vertAlign w:val="superscript"/>
        </w:rPr>
        <w:footnoteReference w:id="20"/>
      </w:r>
      <w:r w:rsidRPr="00EE5367">
        <w:rPr>
          <w:rFonts w:eastAsia="Times New Roman"/>
          <w:sz w:val="22"/>
          <w:szCs w:val="22"/>
        </w:rPr>
        <w:t xml:space="preserve">  These lists supplement the lists of price</w:t>
      </w:r>
      <w:r w:rsidRPr="00EE5367" w:rsidR="00BB384E">
        <w:rPr>
          <w:rFonts w:eastAsia="Times New Roman"/>
          <w:sz w:val="22"/>
          <w:szCs w:val="22"/>
        </w:rPr>
        <w:t>-</w:t>
      </w:r>
      <w:r w:rsidRPr="00EE5367">
        <w:rPr>
          <w:rFonts w:eastAsia="Times New Roman"/>
          <w:sz w:val="22"/>
          <w:szCs w:val="22"/>
        </w:rPr>
        <w:t>cap counties and rate-of-return study areas deemed competitive pursuant to the initial</w:t>
      </w:r>
      <w:r w:rsidRPr="00EE5367" w:rsidR="00900624">
        <w:rPr>
          <w:rFonts w:eastAsia="Times New Roman"/>
          <w:sz w:val="22"/>
          <w:szCs w:val="22"/>
        </w:rPr>
        <w:t xml:space="preserve"> and first supplemental</w:t>
      </w:r>
      <w:r w:rsidRPr="00EE5367">
        <w:rPr>
          <w:rFonts w:eastAsia="Times New Roman"/>
          <w:sz w:val="22"/>
          <w:szCs w:val="22"/>
        </w:rPr>
        <w:t xml:space="preserve"> competitive market tests which are also available on the Commission’s website.</w:t>
      </w:r>
      <w:r>
        <w:rPr>
          <w:rFonts w:eastAsia="Times New Roman"/>
          <w:sz w:val="22"/>
          <w:szCs w:val="22"/>
          <w:vertAlign w:val="superscript"/>
        </w:rPr>
        <w:footnoteReference w:id="21"/>
      </w:r>
    </w:p>
    <w:p w:rsidR="00CA22B5" w:rsidRPr="00EE5367" w:rsidP="00CA22B5" w14:paraId="2C485F6B" w14:textId="7E65CCF0">
      <w:pPr>
        <w:autoSpaceDE w:val="0"/>
        <w:autoSpaceDN w:val="0"/>
        <w:adjustRightInd w:val="0"/>
        <w:spacing w:after="120" w:line="240" w:lineRule="auto"/>
        <w:ind w:firstLine="720"/>
        <w:rPr>
          <w:rFonts w:eastAsia="Times New Roman"/>
          <w:snapToGrid/>
          <w:sz w:val="22"/>
          <w:szCs w:val="22"/>
        </w:rPr>
      </w:pPr>
      <w:r w:rsidRPr="00EE5367">
        <w:rPr>
          <w:rFonts w:eastAsia="Times New Roman"/>
          <w:sz w:val="22"/>
          <w:szCs w:val="22"/>
        </w:rPr>
        <w:t xml:space="preserve">For further information, please contact </w:t>
      </w:r>
      <w:r w:rsidRPr="00EE5367" w:rsidR="00D826E8">
        <w:rPr>
          <w:rFonts w:eastAsia="Times New Roman"/>
          <w:sz w:val="22"/>
          <w:szCs w:val="22"/>
        </w:rPr>
        <w:t>Erik Raven-Hansen</w:t>
      </w:r>
      <w:r w:rsidRPr="00EE5367">
        <w:rPr>
          <w:rFonts w:eastAsia="Times New Roman"/>
          <w:sz w:val="22"/>
          <w:szCs w:val="22"/>
        </w:rPr>
        <w:t>, Pricing Policy Division, Wireline Competition Bureau, at (202) 418-</w:t>
      </w:r>
      <w:r w:rsidRPr="00EE5367" w:rsidR="000929C9">
        <w:rPr>
          <w:rFonts w:eastAsia="Times New Roman"/>
          <w:sz w:val="22"/>
          <w:szCs w:val="22"/>
        </w:rPr>
        <w:t>1532</w:t>
      </w:r>
      <w:r w:rsidRPr="00EE5367">
        <w:rPr>
          <w:rFonts w:eastAsia="Times New Roman"/>
          <w:sz w:val="22"/>
          <w:szCs w:val="22"/>
        </w:rPr>
        <w:t xml:space="preserve"> or via email at </w:t>
      </w:r>
      <w:hyperlink r:id="rId6" w:history="1">
        <w:r w:rsidRPr="00EE5367" w:rsidR="000929C9">
          <w:rPr>
            <w:rStyle w:val="Hyperlink"/>
            <w:sz w:val="22"/>
            <w:szCs w:val="22"/>
          </w:rPr>
          <w:t>Erik.Raven-Hansen@fcc.gov</w:t>
        </w:r>
      </w:hyperlink>
      <w:r w:rsidRPr="00EE5367" w:rsidR="000929C9">
        <w:rPr>
          <w:sz w:val="22"/>
          <w:szCs w:val="22"/>
        </w:rPr>
        <w:t>.</w:t>
      </w:r>
    </w:p>
    <w:p w:rsidR="00CA22B5" w:rsidRPr="00EE5367" w:rsidP="00CA22B5" w14:paraId="6F81608A" w14:textId="7777777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/>
          <w:b/>
          <w:bCs/>
          <w:sz w:val="22"/>
          <w:szCs w:val="22"/>
        </w:rPr>
      </w:pPr>
      <w:r w:rsidRPr="00EE5367">
        <w:rPr>
          <w:rFonts w:eastAsia="Times New Roman"/>
          <w:b/>
          <w:bCs/>
          <w:sz w:val="22"/>
          <w:szCs w:val="22"/>
        </w:rPr>
        <w:t>– FCC –</w:t>
      </w:r>
    </w:p>
    <w:p w:rsidR="00CA22B5" w:rsidRPr="00EE5367" w:rsidP="00CA22B5" w14:paraId="516171B6" w14:textId="77777777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 w:rsidRPr="00EE5367">
        <w:rPr>
          <w:rFonts w:eastAsia="Times New Roman"/>
          <w:b/>
          <w:bCs/>
          <w:sz w:val="22"/>
          <w:szCs w:val="22"/>
        </w:rPr>
        <w:br w:type="page"/>
      </w:r>
    </w:p>
    <w:p w:rsidR="00CA22B5" w:rsidRPr="00EE5367" w:rsidP="00CA22B5" w14:paraId="22543C65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</w:rPr>
      </w:pPr>
      <w:r w:rsidRPr="00EE5367">
        <w:rPr>
          <w:rFonts w:eastAsia="Times New Roman"/>
          <w:b/>
          <w:sz w:val="22"/>
          <w:szCs w:val="22"/>
          <w:u w:val="single"/>
        </w:rPr>
        <w:t>APPENDIX A</w:t>
      </w:r>
    </w:p>
    <w:p w:rsidR="00CA22B5" w:rsidRPr="00EE5367" w:rsidP="00CA22B5" w14:paraId="149DAA0A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</w:rPr>
      </w:pPr>
    </w:p>
    <w:p w:rsidR="00CA22B5" w:rsidRPr="00EE5367" w:rsidP="00AC692E" w14:paraId="7F90EFB6" w14:textId="1950B148">
      <w:pPr>
        <w:widowControl w:val="0"/>
        <w:spacing w:after="0" w:line="240" w:lineRule="auto"/>
        <w:jc w:val="center"/>
        <w:rPr>
          <w:rFonts w:eastAsia="Times New Roman"/>
          <w:b/>
          <w:sz w:val="22"/>
          <w:szCs w:val="22"/>
        </w:rPr>
      </w:pPr>
      <w:r w:rsidRPr="00EE5367">
        <w:rPr>
          <w:rFonts w:eastAsia="Times New Roman"/>
          <w:b/>
          <w:sz w:val="22"/>
          <w:szCs w:val="22"/>
        </w:rPr>
        <w:t xml:space="preserve">Price Cap Counties Deemed Newly Competitive Effective January </w:t>
      </w:r>
      <w:r w:rsidR="00D63044">
        <w:rPr>
          <w:rFonts w:eastAsia="Times New Roman"/>
          <w:b/>
          <w:sz w:val="22"/>
          <w:szCs w:val="22"/>
        </w:rPr>
        <w:t>27</w:t>
      </w:r>
      <w:r w:rsidRPr="00EE5367">
        <w:rPr>
          <w:rFonts w:eastAsia="Times New Roman"/>
          <w:b/>
          <w:sz w:val="22"/>
          <w:szCs w:val="22"/>
        </w:rPr>
        <w:t>, 202</w:t>
      </w:r>
      <w:r w:rsidRPr="00EE5367" w:rsidR="00B5300D">
        <w:rPr>
          <w:rFonts w:eastAsia="Times New Roman"/>
          <w:b/>
          <w:sz w:val="22"/>
          <w:szCs w:val="22"/>
        </w:rPr>
        <w:t>3</w:t>
      </w:r>
    </w:p>
    <w:p w:rsidR="00CA22B5" w:rsidRPr="00EE5367" w:rsidP="00CA22B5" w14:paraId="76490E27" w14:textId="77777777">
      <w:pPr>
        <w:widowControl w:val="0"/>
        <w:spacing w:after="0" w:line="240" w:lineRule="auto"/>
        <w:rPr>
          <w:rFonts w:eastAsia="Times New Roman"/>
          <w:sz w:val="22"/>
          <w:szCs w:val="22"/>
        </w:rPr>
      </w:pPr>
    </w:p>
    <w:p w:rsidR="00CA22B5" w:rsidRPr="00EE5367" w:rsidP="00CA22B5" w14:paraId="6BB0E3E1" w14:textId="77777777">
      <w:pPr>
        <w:widowControl w:val="0"/>
        <w:spacing w:after="0" w:line="240" w:lineRule="auto"/>
        <w:rPr>
          <w:rFonts w:eastAsia="Times New Roman"/>
          <w:b/>
          <w:sz w:val="22"/>
          <w:szCs w:val="22"/>
          <w:u w:val="single"/>
        </w:rPr>
      </w:pPr>
      <w:r w:rsidRPr="00EE5367">
        <w:rPr>
          <w:rFonts w:eastAsia="Times New Roman"/>
          <w:b/>
          <w:sz w:val="22"/>
          <w:szCs w:val="22"/>
          <w:u w:val="single"/>
        </w:rPr>
        <w:t>FIPS</w:t>
      </w:r>
      <w:r w:rsidRPr="00EE5367">
        <w:rPr>
          <w:rFonts w:eastAsia="Times New Roman"/>
          <w:b/>
          <w:sz w:val="22"/>
          <w:szCs w:val="22"/>
          <w:u w:val="single"/>
        </w:rPr>
        <w:tab/>
      </w:r>
      <w:r w:rsidRPr="00EE5367">
        <w:rPr>
          <w:rFonts w:eastAsia="Times New Roman"/>
          <w:b/>
          <w:sz w:val="22"/>
          <w:szCs w:val="22"/>
          <w:u w:val="single"/>
        </w:rPr>
        <w:t>State</w:t>
      </w:r>
      <w:r w:rsidRPr="00EE5367">
        <w:rPr>
          <w:rFonts w:eastAsia="Times New Roman"/>
          <w:b/>
          <w:sz w:val="22"/>
          <w:szCs w:val="22"/>
          <w:u w:val="single"/>
        </w:rPr>
        <w:tab/>
      </w:r>
      <w:r w:rsidRPr="00EE5367">
        <w:rPr>
          <w:rFonts w:eastAsia="Times New Roman"/>
          <w:b/>
          <w:sz w:val="22"/>
          <w:szCs w:val="22"/>
          <w:u w:val="single"/>
        </w:rPr>
        <w:t>County or County-Equivalent</w:t>
      </w:r>
    </w:p>
    <w:p w:rsidR="00CA22B5" w:rsidRPr="00EE5367" w:rsidP="00CA22B5" w14:paraId="6D0F3544" w14:textId="627F7CC5">
      <w:pPr>
        <w:widowControl w:val="0"/>
        <w:spacing w:after="0" w:line="240" w:lineRule="auto"/>
        <w:rPr>
          <w:rFonts w:eastAsia="Times New Roman"/>
          <w:sz w:val="22"/>
          <w:szCs w:val="22"/>
        </w:rPr>
      </w:pPr>
    </w:p>
    <w:p w:rsidR="00A11430" w:rsidRPr="00EE5367" w:rsidP="00A11430" w14:paraId="38D2A2F8" w14:textId="77777777">
      <w:pPr>
        <w:widowControl w:val="0"/>
        <w:spacing w:after="0" w:line="240" w:lineRule="auto"/>
        <w:rPr>
          <w:rFonts w:eastAsia="Times New Roman"/>
          <w:sz w:val="22"/>
          <w:szCs w:val="22"/>
        </w:rPr>
      </w:pPr>
      <w:r w:rsidRPr="00EE5367">
        <w:rPr>
          <w:rFonts w:eastAsia="Times New Roman"/>
          <w:sz w:val="22"/>
          <w:szCs w:val="22"/>
        </w:rPr>
        <w:t>09011</w:t>
      </w:r>
      <w:r w:rsidRPr="00EE5367">
        <w:rPr>
          <w:rFonts w:eastAsia="Times New Roman"/>
          <w:sz w:val="22"/>
          <w:szCs w:val="22"/>
        </w:rPr>
        <w:tab/>
      </w:r>
      <w:r w:rsidRPr="00EE5367">
        <w:rPr>
          <w:rFonts w:eastAsia="Times New Roman"/>
          <w:sz w:val="22"/>
          <w:szCs w:val="22"/>
        </w:rPr>
        <w:t>CT</w:t>
      </w:r>
      <w:r w:rsidRPr="00EE5367">
        <w:rPr>
          <w:rFonts w:eastAsia="Times New Roman"/>
          <w:sz w:val="22"/>
          <w:szCs w:val="22"/>
        </w:rPr>
        <w:tab/>
      </w:r>
      <w:r w:rsidRPr="00EE5367">
        <w:rPr>
          <w:rFonts w:eastAsia="Times New Roman"/>
          <w:sz w:val="22"/>
          <w:szCs w:val="22"/>
        </w:rPr>
        <w:t>New London County</w:t>
      </w:r>
    </w:p>
    <w:p w:rsidR="00A11430" w:rsidRPr="00EE5367" w:rsidP="00A11430" w14:paraId="03C2CB0E" w14:textId="77777777">
      <w:pPr>
        <w:widowControl w:val="0"/>
        <w:spacing w:after="0" w:line="240" w:lineRule="auto"/>
        <w:rPr>
          <w:rFonts w:eastAsia="Times New Roman"/>
          <w:sz w:val="22"/>
          <w:szCs w:val="22"/>
        </w:rPr>
      </w:pPr>
      <w:r w:rsidRPr="00EE5367">
        <w:rPr>
          <w:rFonts w:eastAsia="Times New Roman"/>
          <w:sz w:val="22"/>
          <w:szCs w:val="22"/>
        </w:rPr>
        <w:t>12061</w:t>
      </w:r>
      <w:r w:rsidRPr="00EE5367">
        <w:rPr>
          <w:rFonts w:eastAsia="Times New Roman"/>
          <w:sz w:val="22"/>
          <w:szCs w:val="22"/>
        </w:rPr>
        <w:tab/>
      </w:r>
      <w:r w:rsidRPr="00EE5367">
        <w:rPr>
          <w:rFonts w:eastAsia="Times New Roman"/>
          <w:sz w:val="22"/>
          <w:szCs w:val="22"/>
        </w:rPr>
        <w:t>FL</w:t>
      </w:r>
      <w:r w:rsidRPr="00EE5367">
        <w:rPr>
          <w:rFonts w:eastAsia="Times New Roman"/>
          <w:sz w:val="22"/>
          <w:szCs w:val="22"/>
        </w:rPr>
        <w:tab/>
      </w:r>
      <w:r w:rsidRPr="00EE5367">
        <w:rPr>
          <w:rFonts w:eastAsia="Times New Roman"/>
          <w:sz w:val="22"/>
          <w:szCs w:val="22"/>
        </w:rPr>
        <w:t>Indian River County</w:t>
      </w:r>
    </w:p>
    <w:p w:rsidR="00A11430" w:rsidRPr="00EE5367" w:rsidP="00A11430" w14:paraId="62F48C16" w14:textId="77777777">
      <w:pPr>
        <w:widowControl w:val="0"/>
        <w:spacing w:after="0" w:line="240" w:lineRule="auto"/>
        <w:rPr>
          <w:rFonts w:eastAsia="Times New Roman"/>
          <w:sz w:val="22"/>
          <w:szCs w:val="22"/>
        </w:rPr>
      </w:pPr>
      <w:r w:rsidRPr="00EE5367">
        <w:rPr>
          <w:rFonts w:eastAsia="Times New Roman"/>
          <w:sz w:val="22"/>
          <w:szCs w:val="22"/>
        </w:rPr>
        <w:t>13105</w:t>
      </w:r>
      <w:r w:rsidRPr="00EE5367">
        <w:rPr>
          <w:rFonts w:eastAsia="Times New Roman"/>
          <w:sz w:val="22"/>
          <w:szCs w:val="22"/>
        </w:rPr>
        <w:tab/>
      </w:r>
      <w:r w:rsidRPr="00EE5367">
        <w:rPr>
          <w:rFonts w:eastAsia="Times New Roman"/>
          <w:sz w:val="22"/>
          <w:szCs w:val="22"/>
        </w:rPr>
        <w:t>GA</w:t>
      </w:r>
      <w:r w:rsidRPr="00EE5367">
        <w:rPr>
          <w:rFonts w:eastAsia="Times New Roman"/>
          <w:sz w:val="22"/>
          <w:szCs w:val="22"/>
        </w:rPr>
        <w:tab/>
      </w:r>
      <w:r w:rsidRPr="00EE5367">
        <w:rPr>
          <w:rFonts w:eastAsia="Times New Roman"/>
          <w:sz w:val="22"/>
          <w:szCs w:val="22"/>
        </w:rPr>
        <w:t>Elbert County</w:t>
      </w:r>
    </w:p>
    <w:p w:rsidR="00A11430" w:rsidRPr="00EE5367" w:rsidP="00A11430" w14:paraId="5AAF0414" w14:textId="77777777">
      <w:pPr>
        <w:widowControl w:val="0"/>
        <w:spacing w:after="0" w:line="240" w:lineRule="auto"/>
        <w:rPr>
          <w:rFonts w:eastAsia="Times New Roman"/>
          <w:sz w:val="22"/>
          <w:szCs w:val="22"/>
        </w:rPr>
      </w:pPr>
      <w:r w:rsidRPr="00EE5367">
        <w:rPr>
          <w:rFonts w:eastAsia="Times New Roman"/>
          <w:sz w:val="22"/>
          <w:szCs w:val="22"/>
        </w:rPr>
        <w:t>21173</w:t>
      </w:r>
      <w:r w:rsidRPr="00EE5367">
        <w:rPr>
          <w:rFonts w:eastAsia="Times New Roman"/>
          <w:sz w:val="22"/>
          <w:szCs w:val="22"/>
        </w:rPr>
        <w:tab/>
      </w:r>
      <w:r w:rsidRPr="00EE5367">
        <w:rPr>
          <w:rFonts w:eastAsia="Times New Roman"/>
          <w:sz w:val="22"/>
          <w:szCs w:val="22"/>
        </w:rPr>
        <w:t>KY</w:t>
      </w:r>
      <w:r w:rsidRPr="00EE5367">
        <w:rPr>
          <w:rFonts w:eastAsia="Times New Roman"/>
          <w:sz w:val="22"/>
          <w:szCs w:val="22"/>
        </w:rPr>
        <w:tab/>
      </w:r>
      <w:r w:rsidRPr="00EE5367">
        <w:rPr>
          <w:rFonts w:eastAsia="Times New Roman"/>
          <w:sz w:val="22"/>
          <w:szCs w:val="22"/>
        </w:rPr>
        <w:t>Montgomery County</w:t>
      </w:r>
    </w:p>
    <w:p w:rsidR="00A11430" w:rsidRPr="00EE5367" w:rsidP="00A11430" w14:paraId="073C562D" w14:textId="77777777">
      <w:pPr>
        <w:widowControl w:val="0"/>
        <w:spacing w:after="0" w:line="240" w:lineRule="auto"/>
        <w:rPr>
          <w:rFonts w:eastAsia="Times New Roman"/>
          <w:sz w:val="22"/>
          <w:szCs w:val="22"/>
        </w:rPr>
      </w:pPr>
      <w:r w:rsidRPr="00EE5367">
        <w:rPr>
          <w:rFonts w:eastAsia="Times New Roman"/>
          <w:sz w:val="22"/>
          <w:szCs w:val="22"/>
        </w:rPr>
        <w:t>22007</w:t>
      </w:r>
      <w:r w:rsidRPr="00EE5367">
        <w:rPr>
          <w:rFonts w:eastAsia="Times New Roman"/>
          <w:sz w:val="22"/>
          <w:szCs w:val="22"/>
        </w:rPr>
        <w:tab/>
      </w:r>
      <w:r w:rsidRPr="00EE5367">
        <w:rPr>
          <w:rFonts w:eastAsia="Times New Roman"/>
          <w:sz w:val="22"/>
          <w:szCs w:val="22"/>
        </w:rPr>
        <w:t>LA</w:t>
      </w:r>
      <w:r w:rsidRPr="00EE5367">
        <w:rPr>
          <w:rFonts w:eastAsia="Times New Roman"/>
          <w:sz w:val="22"/>
          <w:szCs w:val="22"/>
        </w:rPr>
        <w:tab/>
      </w:r>
      <w:r w:rsidRPr="00EE5367">
        <w:rPr>
          <w:rFonts w:eastAsia="Times New Roman"/>
          <w:sz w:val="22"/>
          <w:szCs w:val="22"/>
        </w:rPr>
        <w:t>Assumption Parish</w:t>
      </w:r>
    </w:p>
    <w:p w:rsidR="00A11430" w:rsidRPr="00EE5367" w:rsidP="00A11430" w14:paraId="30C2A6D5" w14:textId="77777777">
      <w:pPr>
        <w:widowControl w:val="0"/>
        <w:spacing w:after="0" w:line="240" w:lineRule="auto"/>
        <w:rPr>
          <w:rFonts w:eastAsia="Times New Roman"/>
          <w:sz w:val="22"/>
          <w:szCs w:val="22"/>
        </w:rPr>
      </w:pPr>
      <w:r w:rsidRPr="00EE5367">
        <w:rPr>
          <w:rFonts w:eastAsia="Times New Roman"/>
          <w:sz w:val="22"/>
          <w:szCs w:val="22"/>
        </w:rPr>
        <w:t>24001</w:t>
      </w:r>
      <w:r w:rsidRPr="00EE5367">
        <w:rPr>
          <w:rFonts w:eastAsia="Times New Roman"/>
          <w:sz w:val="22"/>
          <w:szCs w:val="22"/>
        </w:rPr>
        <w:tab/>
      </w:r>
      <w:r w:rsidRPr="00EE5367">
        <w:rPr>
          <w:rFonts w:eastAsia="Times New Roman"/>
          <w:sz w:val="22"/>
          <w:szCs w:val="22"/>
        </w:rPr>
        <w:t>MD</w:t>
      </w:r>
      <w:r w:rsidRPr="00EE5367">
        <w:rPr>
          <w:rFonts w:eastAsia="Times New Roman"/>
          <w:sz w:val="22"/>
          <w:szCs w:val="22"/>
        </w:rPr>
        <w:tab/>
      </w:r>
      <w:r w:rsidRPr="00EE5367">
        <w:rPr>
          <w:rFonts w:eastAsia="Times New Roman"/>
          <w:sz w:val="22"/>
          <w:szCs w:val="22"/>
        </w:rPr>
        <w:t>Allegany County</w:t>
      </w:r>
    </w:p>
    <w:p w:rsidR="00A11430" w:rsidRPr="00EE5367" w:rsidP="00A11430" w14:paraId="368712D8" w14:textId="77777777">
      <w:pPr>
        <w:widowControl w:val="0"/>
        <w:spacing w:after="0" w:line="240" w:lineRule="auto"/>
        <w:rPr>
          <w:rFonts w:eastAsia="Times New Roman"/>
          <w:sz w:val="22"/>
          <w:szCs w:val="22"/>
        </w:rPr>
      </w:pPr>
      <w:r w:rsidRPr="00EE5367">
        <w:rPr>
          <w:rFonts w:eastAsia="Times New Roman"/>
          <w:sz w:val="22"/>
          <w:szCs w:val="22"/>
        </w:rPr>
        <w:t>24013</w:t>
      </w:r>
      <w:r w:rsidRPr="00EE5367">
        <w:rPr>
          <w:rFonts w:eastAsia="Times New Roman"/>
          <w:sz w:val="22"/>
          <w:szCs w:val="22"/>
        </w:rPr>
        <w:tab/>
      </w:r>
      <w:r w:rsidRPr="00EE5367">
        <w:rPr>
          <w:rFonts w:eastAsia="Times New Roman"/>
          <w:sz w:val="22"/>
          <w:szCs w:val="22"/>
        </w:rPr>
        <w:t>MD</w:t>
      </w:r>
      <w:r w:rsidRPr="00EE5367">
        <w:rPr>
          <w:rFonts w:eastAsia="Times New Roman"/>
          <w:sz w:val="22"/>
          <w:szCs w:val="22"/>
        </w:rPr>
        <w:tab/>
      </w:r>
      <w:r w:rsidRPr="00EE5367">
        <w:rPr>
          <w:rFonts w:eastAsia="Times New Roman"/>
          <w:sz w:val="22"/>
          <w:szCs w:val="22"/>
        </w:rPr>
        <w:t>Carroll County</w:t>
      </w:r>
    </w:p>
    <w:p w:rsidR="00A11430" w:rsidRPr="00EE5367" w:rsidP="00A11430" w14:paraId="76EABDA9" w14:textId="77777777">
      <w:pPr>
        <w:widowControl w:val="0"/>
        <w:spacing w:after="0" w:line="240" w:lineRule="auto"/>
        <w:rPr>
          <w:rFonts w:eastAsia="Times New Roman"/>
          <w:sz w:val="22"/>
          <w:szCs w:val="22"/>
        </w:rPr>
      </w:pPr>
      <w:r w:rsidRPr="00EE5367">
        <w:rPr>
          <w:rFonts w:eastAsia="Times New Roman"/>
          <w:sz w:val="22"/>
          <w:szCs w:val="22"/>
        </w:rPr>
        <w:t>37011</w:t>
      </w:r>
      <w:r w:rsidRPr="00EE5367">
        <w:rPr>
          <w:rFonts w:eastAsia="Times New Roman"/>
          <w:sz w:val="22"/>
          <w:szCs w:val="22"/>
        </w:rPr>
        <w:tab/>
      </w:r>
      <w:r w:rsidRPr="00EE5367">
        <w:rPr>
          <w:rFonts w:eastAsia="Times New Roman"/>
          <w:sz w:val="22"/>
          <w:szCs w:val="22"/>
        </w:rPr>
        <w:t>NC</w:t>
      </w:r>
      <w:r w:rsidRPr="00EE5367">
        <w:rPr>
          <w:rFonts w:eastAsia="Times New Roman"/>
          <w:sz w:val="22"/>
          <w:szCs w:val="22"/>
        </w:rPr>
        <w:tab/>
      </w:r>
      <w:r w:rsidRPr="00EE5367">
        <w:rPr>
          <w:rFonts w:eastAsia="Times New Roman"/>
          <w:sz w:val="22"/>
          <w:szCs w:val="22"/>
        </w:rPr>
        <w:t>Avery County</w:t>
      </w:r>
    </w:p>
    <w:p w:rsidR="00A11430" w:rsidRPr="00EE5367" w:rsidP="00A11430" w14:paraId="267AEA64" w14:textId="77777777">
      <w:pPr>
        <w:widowControl w:val="0"/>
        <w:spacing w:after="0" w:line="240" w:lineRule="auto"/>
        <w:rPr>
          <w:rFonts w:eastAsia="Times New Roman"/>
          <w:sz w:val="22"/>
          <w:szCs w:val="22"/>
        </w:rPr>
      </w:pPr>
      <w:r w:rsidRPr="00EE5367">
        <w:rPr>
          <w:rFonts w:eastAsia="Times New Roman"/>
          <w:sz w:val="22"/>
          <w:szCs w:val="22"/>
        </w:rPr>
        <w:t>40033</w:t>
      </w:r>
      <w:r w:rsidRPr="00EE5367">
        <w:rPr>
          <w:rFonts w:eastAsia="Times New Roman"/>
          <w:sz w:val="22"/>
          <w:szCs w:val="22"/>
        </w:rPr>
        <w:tab/>
      </w:r>
      <w:r w:rsidRPr="00EE5367">
        <w:rPr>
          <w:rFonts w:eastAsia="Times New Roman"/>
          <w:sz w:val="22"/>
          <w:szCs w:val="22"/>
        </w:rPr>
        <w:t>OK</w:t>
      </w:r>
      <w:r w:rsidRPr="00EE5367">
        <w:rPr>
          <w:rFonts w:eastAsia="Times New Roman"/>
          <w:sz w:val="22"/>
          <w:szCs w:val="22"/>
        </w:rPr>
        <w:tab/>
      </w:r>
      <w:r w:rsidRPr="00EE5367">
        <w:rPr>
          <w:rFonts w:eastAsia="Times New Roman"/>
          <w:sz w:val="22"/>
          <w:szCs w:val="22"/>
        </w:rPr>
        <w:t>Cotton County</w:t>
      </w:r>
    </w:p>
    <w:p w:rsidR="00A11430" w:rsidRPr="00EE5367" w:rsidP="00A11430" w14:paraId="547ECAAE" w14:textId="77777777">
      <w:pPr>
        <w:widowControl w:val="0"/>
        <w:spacing w:after="0" w:line="240" w:lineRule="auto"/>
        <w:rPr>
          <w:rFonts w:eastAsia="Times New Roman"/>
          <w:sz w:val="22"/>
          <w:szCs w:val="22"/>
        </w:rPr>
      </w:pPr>
      <w:r w:rsidRPr="00EE5367">
        <w:rPr>
          <w:rFonts w:eastAsia="Times New Roman"/>
          <w:sz w:val="22"/>
          <w:szCs w:val="22"/>
        </w:rPr>
        <w:t>42051</w:t>
      </w:r>
      <w:r w:rsidRPr="00EE5367">
        <w:rPr>
          <w:rFonts w:eastAsia="Times New Roman"/>
          <w:sz w:val="22"/>
          <w:szCs w:val="22"/>
        </w:rPr>
        <w:tab/>
      </w:r>
      <w:r w:rsidRPr="00EE5367">
        <w:rPr>
          <w:rFonts w:eastAsia="Times New Roman"/>
          <w:sz w:val="22"/>
          <w:szCs w:val="22"/>
        </w:rPr>
        <w:t>PA</w:t>
      </w:r>
      <w:r w:rsidRPr="00EE5367">
        <w:rPr>
          <w:rFonts w:eastAsia="Times New Roman"/>
          <w:sz w:val="22"/>
          <w:szCs w:val="22"/>
        </w:rPr>
        <w:tab/>
      </w:r>
      <w:r w:rsidRPr="00EE5367">
        <w:rPr>
          <w:rFonts w:eastAsia="Times New Roman"/>
          <w:sz w:val="22"/>
          <w:szCs w:val="22"/>
        </w:rPr>
        <w:t>Fayette County</w:t>
      </w:r>
    </w:p>
    <w:p w:rsidR="00A11430" w:rsidRPr="00EE5367" w:rsidP="00A11430" w14:paraId="1F325293" w14:textId="77777777">
      <w:pPr>
        <w:widowControl w:val="0"/>
        <w:spacing w:after="0" w:line="240" w:lineRule="auto"/>
        <w:rPr>
          <w:rFonts w:eastAsia="Times New Roman"/>
          <w:sz w:val="22"/>
          <w:szCs w:val="22"/>
        </w:rPr>
      </w:pPr>
      <w:r w:rsidRPr="00EE5367">
        <w:rPr>
          <w:rFonts w:eastAsia="Times New Roman"/>
          <w:sz w:val="22"/>
          <w:szCs w:val="22"/>
        </w:rPr>
        <w:t>42103</w:t>
      </w:r>
      <w:r w:rsidRPr="00EE5367">
        <w:rPr>
          <w:rFonts w:eastAsia="Times New Roman"/>
          <w:sz w:val="22"/>
          <w:szCs w:val="22"/>
        </w:rPr>
        <w:tab/>
      </w:r>
      <w:r w:rsidRPr="00EE5367">
        <w:rPr>
          <w:rFonts w:eastAsia="Times New Roman"/>
          <w:sz w:val="22"/>
          <w:szCs w:val="22"/>
        </w:rPr>
        <w:t>PA</w:t>
      </w:r>
      <w:r w:rsidRPr="00EE5367">
        <w:rPr>
          <w:rFonts w:eastAsia="Times New Roman"/>
          <w:sz w:val="22"/>
          <w:szCs w:val="22"/>
        </w:rPr>
        <w:tab/>
      </w:r>
      <w:r w:rsidRPr="00EE5367">
        <w:rPr>
          <w:rFonts w:eastAsia="Times New Roman"/>
          <w:sz w:val="22"/>
          <w:szCs w:val="22"/>
        </w:rPr>
        <w:t>Pike County</w:t>
      </w:r>
    </w:p>
    <w:p w:rsidR="00A11430" w:rsidRPr="00EE5367" w:rsidP="00A11430" w14:paraId="68969150" w14:textId="77777777">
      <w:pPr>
        <w:widowControl w:val="0"/>
        <w:spacing w:after="0" w:line="240" w:lineRule="auto"/>
        <w:rPr>
          <w:rFonts w:eastAsia="Times New Roman"/>
          <w:sz w:val="22"/>
          <w:szCs w:val="22"/>
        </w:rPr>
      </w:pPr>
      <w:r w:rsidRPr="00EE5367">
        <w:rPr>
          <w:rFonts w:eastAsia="Times New Roman"/>
          <w:sz w:val="22"/>
          <w:szCs w:val="22"/>
        </w:rPr>
        <w:t>42107</w:t>
      </w:r>
      <w:r w:rsidRPr="00EE5367">
        <w:rPr>
          <w:rFonts w:eastAsia="Times New Roman"/>
          <w:sz w:val="22"/>
          <w:szCs w:val="22"/>
        </w:rPr>
        <w:tab/>
      </w:r>
      <w:r w:rsidRPr="00EE5367">
        <w:rPr>
          <w:rFonts w:eastAsia="Times New Roman"/>
          <w:sz w:val="22"/>
          <w:szCs w:val="22"/>
        </w:rPr>
        <w:t>PA</w:t>
      </w:r>
      <w:r w:rsidRPr="00EE5367">
        <w:rPr>
          <w:rFonts w:eastAsia="Times New Roman"/>
          <w:sz w:val="22"/>
          <w:szCs w:val="22"/>
        </w:rPr>
        <w:tab/>
      </w:r>
      <w:r w:rsidRPr="00EE5367">
        <w:rPr>
          <w:rFonts w:eastAsia="Times New Roman"/>
          <w:sz w:val="22"/>
          <w:szCs w:val="22"/>
        </w:rPr>
        <w:t>Schuylkill County</w:t>
      </w:r>
    </w:p>
    <w:p w:rsidR="00A11430" w:rsidRPr="00EE5367" w:rsidP="00A11430" w14:paraId="7351A7F0" w14:textId="77777777">
      <w:pPr>
        <w:widowControl w:val="0"/>
        <w:spacing w:after="0" w:line="240" w:lineRule="auto"/>
        <w:rPr>
          <w:rFonts w:eastAsia="Times New Roman"/>
          <w:sz w:val="22"/>
          <w:szCs w:val="22"/>
        </w:rPr>
      </w:pPr>
      <w:r w:rsidRPr="00EE5367">
        <w:rPr>
          <w:rFonts w:eastAsia="Times New Roman"/>
          <w:sz w:val="22"/>
          <w:szCs w:val="22"/>
        </w:rPr>
        <w:t>51595</w:t>
      </w:r>
      <w:r w:rsidRPr="00EE5367">
        <w:rPr>
          <w:rFonts w:eastAsia="Times New Roman"/>
          <w:sz w:val="22"/>
          <w:szCs w:val="22"/>
        </w:rPr>
        <w:tab/>
      </w:r>
      <w:r w:rsidRPr="00EE5367">
        <w:rPr>
          <w:rFonts w:eastAsia="Times New Roman"/>
          <w:sz w:val="22"/>
          <w:szCs w:val="22"/>
        </w:rPr>
        <w:t>VA</w:t>
      </w:r>
      <w:r w:rsidRPr="00EE5367">
        <w:rPr>
          <w:rFonts w:eastAsia="Times New Roman"/>
          <w:sz w:val="22"/>
          <w:szCs w:val="22"/>
        </w:rPr>
        <w:tab/>
      </w:r>
      <w:r w:rsidRPr="00EE5367">
        <w:rPr>
          <w:rFonts w:eastAsia="Times New Roman"/>
          <w:sz w:val="22"/>
          <w:szCs w:val="22"/>
        </w:rPr>
        <w:t>Emporia city</w:t>
      </w:r>
    </w:p>
    <w:p w:rsidR="00A11430" w:rsidRPr="00EE5367" w:rsidP="00A11430" w14:paraId="1EA4A863" w14:textId="77777777">
      <w:pPr>
        <w:widowControl w:val="0"/>
        <w:spacing w:after="0" w:line="240" w:lineRule="auto"/>
        <w:rPr>
          <w:rFonts w:eastAsia="Times New Roman"/>
          <w:sz w:val="22"/>
          <w:szCs w:val="22"/>
        </w:rPr>
      </w:pPr>
      <w:r w:rsidRPr="00EE5367">
        <w:rPr>
          <w:rFonts w:eastAsia="Times New Roman"/>
          <w:sz w:val="22"/>
          <w:szCs w:val="22"/>
        </w:rPr>
        <w:t>51730</w:t>
      </w:r>
      <w:r w:rsidRPr="00EE5367">
        <w:rPr>
          <w:rFonts w:eastAsia="Times New Roman"/>
          <w:sz w:val="22"/>
          <w:szCs w:val="22"/>
        </w:rPr>
        <w:tab/>
      </w:r>
      <w:r w:rsidRPr="00EE5367">
        <w:rPr>
          <w:rFonts w:eastAsia="Times New Roman"/>
          <w:sz w:val="22"/>
          <w:szCs w:val="22"/>
        </w:rPr>
        <w:t>VA</w:t>
      </w:r>
      <w:r w:rsidRPr="00EE5367">
        <w:rPr>
          <w:rFonts w:eastAsia="Times New Roman"/>
          <w:sz w:val="22"/>
          <w:szCs w:val="22"/>
        </w:rPr>
        <w:tab/>
      </w:r>
      <w:r w:rsidRPr="00EE5367">
        <w:rPr>
          <w:rFonts w:eastAsia="Times New Roman"/>
          <w:sz w:val="22"/>
          <w:szCs w:val="22"/>
        </w:rPr>
        <w:t>Petersburg city</w:t>
      </w:r>
    </w:p>
    <w:p w:rsidR="00A11430" w:rsidRPr="00EE5367" w:rsidP="00A11430" w14:paraId="0E74E236" w14:textId="2DDC9DBB">
      <w:pPr>
        <w:widowControl w:val="0"/>
        <w:spacing w:after="0" w:line="240" w:lineRule="auto"/>
        <w:rPr>
          <w:rFonts w:eastAsia="Times New Roman"/>
          <w:sz w:val="22"/>
          <w:szCs w:val="22"/>
        </w:rPr>
      </w:pPr>
      <w:r w:rsidRPr="00EE5367">
        <w:rPr>
          <w:rFonts w:eastAsia="Times New Roman"/>
          <w:sz w:val="22"/>
          <w:szCs w:val="22"/>
        </w:rPr>
        <w:t>54029</w:t>
      </w:r>
      <w:r w:rsidRPr="00EE5367">
        <w:rPr>
          <w:rFonts w:eastAsia="Times New Roman"/>
          <w:sz w:val="22"/>
          <w:szCs w:val="22"/>
        </w:rPr>
        <w:tab/>
      </w:r>
      <w:r w:rsidRPr="00EE5367">
        <w:rPr>
          <w:rFonts w:eastAsia="Times New Roman"/>
          <w:sz w:val="22"/>
          <w:szCs w:val="22"/>
        </w:rPr>
        <w:t>WV</w:t>
      </w:r>
      <w:r w:rsidRPr="00EE5367">
        <w:rPr>
          <w:rFonts w:eastAsia="Times New Roman"/>
          <w:sz w:val="22"/>
          <w:szCs w:val="22"/>
        </w:rPr>
        <w:tab/>
      </w:r>
      <w:r w:rsidRPr="00EE5367">
        <w:rPr>
          <w:rFonts w:eastAsia="Times New Roman"/>
          <w:sz w:val="22"/>
          <w:szCs w:val="22"/>
        </w:rPr>
        <w:t>Hancock County</w:t>
      </w:r>
    </w:p>
    <w:p w:rsidR="00CA22B5" w:rsidRPr="00EE5367" w:rsidP="00CA22B5" w14:paraId="7B7B5B58" w14:textId="77777777">
      <w:pPr>
        <w:spacing w:after="0" w:line="240" w:lineRule="auto"/>
        <w:rPr>
          <w:rFonts w:eastAsia="Times New Roman"/>
          <w:sz w:val="22"/>
          <w:szCs w:val="22"/>
        </w:rPr>
      </w:pPr>
      <w:r w:rsidRPr="00EE5367">
        <w:rPr>
          <w:rFonts w:eastAsia="Times New Roman"/>
          <w:sz w:val="22"/>
          <w:szCs w:val="22"/>
        </w:rPr>
        <w:br w:type="page"/>
      </w:r>
    </w:p>
    <w:p w:rsidR="00CA22B5" w:rsidRPr="00EE5367" w:rsidP="00CA22B5" w14:paraId="466C3355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</w:rPr>
      </w:pPr>
      <w:r w:rsidRPr="00EE5367">
        <w:rPr>
          <w:rFonts w:eastAsia="Times New Roman"/>
          <w:b/>
          <w:sz w:val="22"/>
          <w:szCs w:val="22"/>
          <w:u w:val="single"/>
        </w:rPr>
        <w:t>APPENDIX B</w:t>
      </w:r>
    </w:p>
    <w:p w:rsidR="00CA22B5" w:rsidRPr="00EE5367" w:rsidP="00CA22B5" w14:paraId="3FFA212A" w14:textId="77777777">
      <w:pPr>
        <w:widowControl w:val="0"/>
        <w:spacing w:after="0" w:line="240" w:lineRule="auto"/>
        <w:rPr>
          <w:rFonts w:eastAsia="Times New Roman"/>
          <w:b/>
          <w:sz w:val="22"/>
          <w:szCs w:val="22"/>
        </w:rPr>
      </w:pPr>
    </w:p>
    <w:p w:rsidR="00CA22B5" w:rsidRPr="00EE5367" w:rsidP="00AC692E" w14:paraId="79D72790" w14:textId="62024BAB">
      <w:pPr>
        <w:widowControl w:val="0"/>
        <w:spacing w:after="0" w:line="240" w:lineRule="auto"/>
        <w:jc w:val="center"/>
        <w:rPr>
          <w:rFonts w:eastAsia="Times New Roman"/>
          <w:b/>
          <w:sz w:val="22"/>
          <w:szCs w:val="22"/>
        </w:rPr>
      </w:pPr>
      <w:r w:rsidRPr="00EE5367">
        <w:rPr>
          <w:rFonts w:eastAsia="Times New Roman"/>
          <w:b/>
          <w:sz w:val="22"/>
          <w:szCs w:val="22"/>
        </w:rPr>
        <w:t xml:space="preserve">Rate-of-Return Study Areas Deemed Newly Competitive Effective </w:t>
      </w:r>
      <w:r w:rsidRPr="00EE5367" w:rsidR="00AC692E">
        <w:rPr>
          <w:rFonts w:eastAsia="Times New Roman"/>
          <w:b/>
          <w:sz w:val="22"/>
          <w:szCs w:val="22"/>
        </w:rPr>
        <w:t xml:space="preserve">January </w:t>
      </w:r>
      <w:r w:rsidR="00D63044">
        <w:rPr>
          <w:rFonts w:eastAsia="Times New Roman"/>
          <w:b/>
          <w:sz w:val="22"/>
          <w:szCs w:val="22"/>
        </w:rPr>
        <w:t>27</w:t>
      </w:r>
      <w:r w:rsidRPr="00EE5367" w:rsidR="00AC692E">
        <w:rPr>
          <w:rFonts w:eastAsia="Times New Roman"/>
          <w:b/>
          <w:sz w:val="22"/>
          <w:szCs w:val="22"/>
        </w:rPr>
        <w:t>, 2023</w:t>
      </w:r>
    </w:p>
    <w:p w:rsidR="00CA22B5" w:rsidRPr="00EE5367" w:rsidP="00CA22B5" w14:paraId="4E15C150" w14:textId="77777777">
      <w:pPr>
        <w:widowControl w:val="0"/>
        <w:spacing w:after="0" w:line="240" w:lineRule="auto"/>
        <w:rPr>
          <w:rFonts w:eastAsia="Times New Roman"/>
          <w:b/>
          <w:sz w:val="22"/>
          <w:szCs w:val="22"/>
        </w:rPr>
      </w:pPr>
    </w:p>
    <w:tbl>
      <w:tblPr>
        <w:tblW w:w="7830" w:type="dxa"/>
        <w:tblLook w:val="04A0"/>
      </w:tblPr>
      <w:tblGrid>
        <w:gridCol w:w="1710"/>
        <w:gridCol w:w="897"/>
        <w:gridCol w:w="3960"/>
        <w:gridCol w:w="1263"/>
      </w:tblGrid>
      <w:tr w14:paraId="20125AD6" w14:textId="77777777" w:rsidTr="00E6702E">
        <w:tblPrEx>
          <w:tblW w:w="7830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2B5" w:rsidRPr="00EE5367" w:rsidP="00CA22B5" w14:paraId="33A5F999" w14:textId="3F728198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EE5367">
              <w:rPr>
                <w:rFonts w:eastAsia="Times New Roman"/>
                <w:b/>
                <w:bCs/>
                <w:sz w:val="22"/>
                <w:szCs w:val="22"/>
              </w:rPr>
              <w:t>SAC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2B5" w:rsidRPr="00EE5367" w:rsidP="00CA22B5" w14:paraId="01652CC4" w14:textId="77777777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EE5367">
              <w:rPr>
                <w:rFonts w:eastAsia="Times New Roman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2B5" w:rsidRPr="00EE5367" w:rsidP="00CA22B5" w14:paraId="217307F0" w14:textId="77777777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EE5367">
              <w:rPr>
                <w:rFonts w:eastAsia="Times New Roman"/>
                <w:b/>
                <w:bCs/>
                <w:sz w:val="22"/>
                <w:szCs w:val="22"/>
              </w:rPr>
              <w:t>Holding Company Name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2B5" w:rsidRPr="00EE5367" w:rsidP="00CA22B5" w14:paraId="55044686" w14:textId="26E28C5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EE5367">
              <w:rPr>
                <w:rFonts w:eastAsia="Times New Roman"/>
                <w:b/>
                <w:bCs/>
                <w:sz w:val="22"/>
                <w:szCs w:val="22"/>
              </w:rPr>
              <w:t>Fund Type</w:t>
            </w:r>
          </w:p>
        </w:tc>
      </w:tr>
      <w:tr w14:paraId="729780CD" w14:textId="77777777" w:rsidTr="00E6702E">
        <w:tblPrEx>
          <w:tblW w:w="7830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C4" w:rsidRPr="00EE5367" w:rsidP="000036C4" w14:paraId="2E2E7C9A" w14:textId="77777777">
            <w:pPr>
              <w:widowControl w:val="0"/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EE5367">
              <w:rPr>
                <w:rFonts w:eastAsia="Times New Roman"/>
                <w:bCs/>
                <w:sz w:val="22"/>
                <w:szCs w:val="22"/>
              </w:rPr>
              <w:t>110737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36C4" w:rsidRPr="00EE5367" w:rsidP="000036C4" w14:paraId="486EE0C2" w14:textId="77777777">
            <w:pPr>
              <w:widowControl w:val="0"/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EE5367">
              <w:rPr>
                <w:rFonts w:eastAsia="Times New Roman"/>
                <w:bCs/>
                <w:sz w:val="22"/>
                <w:szCs w:val="22"/>
              </w:rPr>
              <w:t>MA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C4" w:rsidRPr="00EE5367" w:rsidP="000036C4" w14:paraId="60B150E2" w14:textId="77777777">
            <w:pPr>
              <w:widowControl w:val="0"/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EE5367">
              <w:rPr>
                <w:rFonts w:eastAsia="Times New Roman"/>
                <w:bCs/>
                <w:sz w:val="22"/>
                <w:szCs w:val="22"/>
              </w:rPr>
              <w:t>X5 RTC LLC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C4" w:rsidRPr="00EE5367" w:rsidP="000036C4" w14:paraId="0D78E936" w14:textId="77777777">
            <w:pPr>
              <w:widowControl w:val="0"/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EE5367">
              <w:rPr>
                <w:rFonts w:eastAsia="Times New Roman"/>
                <w:bCs/>
                <w:sz w:val="22"/>
                <w:szCs w:val="22"/>
              </w:rPr>
              <w:t>ACAM I</w:t>
            </w:r>
          </w:p>
        </w:tc>
      </w:tr>
      <w:tr w14:paraId="0690F391" w14:textId="77777777" w:rsidTr="00E6702E">
        <w:tblPrEx>
          <w:tblW w:w="7830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C4" w:rsidRPr="00EE5367" w:rsidP="000036C4" w14:paraId="39351D8D" w14:textId="77777777">
            <w:pPr>
              <w:widowControl w:val="0"/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EE5367">
              <w:rPr>
                <w:rFonts w:eastAsia="Times New Roman"/>
                <w:bCs/>
                <w:sz w:val="22"/>
                <w:szCs w:val="22"/>
              </w:rPr>
              <w:t>170145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36C4" w:rsidRPr="00EE5367" w:rsidP="000036C4" w14:paraId="45BB8569" w14:textId="77777777">
            <w:pPr>
              <w:widowControl w:val="0"/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EE5367">
              <w:rPr>
                <w:rFonts w:eastAsia="Times New Roman"/>
                <w:bCs/>
                <w:sz w:val="22"/>
                <w:szCs w:val="22"/>
              </w:rPr>
              <w:t>PA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C4" w:rsidRPr="00EE5367" w:rsidP="000036C4" w14:paraId="45F9E928" w14:textId="77777777">
            <w:pPr>
              <w:widowControl w:val="0"/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EE5367">
              <w:rPr>
                <w:rFonts w:eastAsia="Times New Roman"/>
                <w:bCs/>
                <w:sz w:val="22"/>
                <w:szCs w:val="22"/>
              </w:rPr>
              <w:t>BENTLEYVILLE TEL CO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C4" w:rsidRPr="00EE5367" w:rsidP="000036C4" w14:paraId="1F727F78" w14:textId="65024BB2">
            <w:pPr>
              <w:widowControl w:val="0"/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EE5367">
              <w:rPr>
                <w:rFonts w:eastAsia="Times New Roman"/>
                <w:bCs/>
                <w:sz w:val="22"/>
                <w:szCs w:val="22"/>
              </w:rPr>
              <w:t>ACAM I</w:t>
            </w:r>
          </w:p>
        </w:tc>
      </w:tr>
      <w:tr w14:paraId="13F09723" w14:textId="77777777" w:rsidTr="00E6702E">
        <w:tblPrEx>
          <w:tblW w:w="7830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C4" w:rsidRPr="00EE5367" w:rsidP="000036C4" w14:paraId="01DCB468" w14:textId="77777777">
            <w:pPr>
              <w:widowControl w:val="0"/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EE5367">
              <w:rPr>
                <w:rFonts w:eastAsia="Times New Roman"/>
                <w:bCs/>
                <w:sz w:val="22"/>
                <w:szCs w:val="22"/>
              </w:rPr>
              <w:t>220354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36C4" w:rsidRPr="00EE5367" w:rsidP="000036C4" w14:paraId="0B01AC23" w14:textId="77777777">
            <w:pPr>
              <w:widowControl w:val="0"/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EE5367">
              <w:rPr>
                <w:rFonts w:eastAsia="Times New Roman"/>
                <w:bCs/>
                <w:sz w:val="22"/>
                <w:szCs w:val="22"/>
              </w:rPr>
              <w:t>GA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C4" w:rsidRPr="00EE5367" w:rsidP="000036C4" w14:paraId="5A357097" w14:textId="77777777">
            <w:pPr>
              <w:widowControl w:val="0"/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EE5367">
              <w:rPr>
                <w:rFonts w:eastAsia="Times New Roman"/>
                <w:bCs/>
                <w:sz w:val="22"/>
                <w:szCs w:val="22"/>
              </w:rPr>
              <w:t>CHICKAMAUGA TEL CORP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C4" w:rsidRPr="00EE5367" w:rsidP="000036C4" w14:paraId="4F2D3254" w14:textId="77777777">
            <w:pPr>
              <w:widowControl w:val="0"/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EE5367">
              <w:rPr>
                <w:rFonts w:eastAsia="Times New Roman"/>
                <w:bCs/>
                <w:sz w:val="22"/>
                <w:szCs w:val="22"/>
              </w:rPr>
              <w:t>ACAM I</w:t>
            </w:r>
          </w:p>
        </w:tc>
      </w:tr>
      <w:tr w14:paraId="60227246" w14:textId="77777777" w:rsidTr="00E6702E">
        <w:tblPrEx>
          <w:tblW w:w="7830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C4" w:rsidRPr="00EE5367" w:rsidP="000036C4" w14:paraId="0FE2CC4B" w14:textId="77777777">
            <w:pPr>
              <w:widowControl w:val="0"/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EE5367">
              <w:rPr>
                <w:rFonts w:eastAsia="Times New Roman"/>
                <w:bCs/>
                <w:sz w:val="22"/>
                <w:szCs w:val="22"/>
              </w:rPr>
              <w:t>300604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36C4" w:rsidRPr="00EE5367" w:rsidP="000036C4" w14:paraId="0AC42407" w14:textId="77777777">
            <w:pPr>
              <w:widowControl w:val="0"/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EE5367">
              <w:rPr>
                <w:rFonts w:eastAsia="Times New Roman"/>
                <w:bCs/>
                <w:sz w:val="22"/>
                <w:szCs w:val="22"/>
              </w:rPr>
              <w:t>OH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C4" w:rsidRPr="00EE5367" w:rsidP="000036C4" w14:paraId="21A6DEA9" w14:textId="77777777">
            <w:pPr>
              <w:widowControl w:val="0"/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EE5367">
              <w:rPr>
                <w:rFonts w:eastAsia="Times New Roman"/>
                <w:bCs/>
                <w:sz w:val="22"/>
                <w:szCs w:val="22"/>
              </w:rPr>
              <w:t>COLUMBUS GROVE TEL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C4" w:rsidRPr="00EE5367" w:rsidP="000036C4" w14:paraId="19B8C320" w14:textId="241EC91A">
            <w:pPr>
              <w:widowControl w:val="0"/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EE5367">
              <w:rPr>
                <w:rFonts w:eastAsia="Times New Roman"/>
                <w:bCs/>
                <w:sz w:val="22"/>
                <w:szCs w:val="22"/>
              </w:rPr>
              <w:t>ACAM I</w:t>
            </w:r>
          </w:p>
        </w:tc>
      </w:tr>
      <w:tr w14:paraId="0A3F07E6" w14:textId="77777777" w:rsidTr="00E6702E">
        <w:tblPrEx>
          <w:tblW w:w="7830" w:type="dxa"/>
          <w:tblLook w:val="04A0"/>
        </w:tblPrEx>
        <w:trPr>
          <w:trHeight w:val="255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C4" w:rsidRPr="00EE5367" w:rsidP="000036C4" w14:paraId="2486C47E" w14:textId="77777777">
            <w:pPr>
              <w:widowControl w:val="0"/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EE5367">
              <w:rPr>
                <w:rFonts w:eastAsia="Times New Roman"/>
                <w:bCs/>
                <w:sz w:val="22"/>
                <w:szCs w:val="22"/>
              </w:rPr>
              <w:t>300649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36C4" w:rsidRPr="00EE5367" w:rsidP="000036C4" w14:paraId="612CE02D" w14:textId="77777777">
            <w:pPr>
              <w:widowControl w:val="0"/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EE5367">
              <w:rPr>
                <w:rFonts w:eastAsia="Times New Roman"/>
                <w:bCs/>
                <w:sz w:val="22"/>
                <w:szCs w:val="22"/>
              </w:rPr>
              <w:t>OH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C4" w:rsidRPr="00EE5367" w:rsidP="000036C4" w14:paraId="11A1065A" w14:textId="77777777">
            <w:pPr>
              <w:widowControl w:val="0"/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EE5367">
              <w:rPr>
                <w:rFonts w:eastAsia="Times New Roman"/>
                <w:bCs/>
                <w:sz w:val="22"/>
                <w:szCs w:val="22"/>
              </w:rPr>
              <w:t>ORWELL TEL CO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C4" w:rsidRPr="00EE5367" w:rsidP="000036C4" w14:paraId="697D62AA" w14:textId="4C15B154">
            <w:pPr>
              <w:widowControl w:val="0"/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EE5367">
              <w:rPr>
                <w:rFonts w:eastAsia="Times New Roman"/>
                <w:bCs/>
                <w:sz w:val="22"/>
                <w:szCs w:val="22"/>
              </w:rPr>
              <w:t>ACAM I</w:t>
            </w:r>
          </w:p>
        </w:tc>
      </w:tr>
    </w:tbl>
    <w:p w:rsidR="00D641D3" w:rsidRPr="00EE5367" w14:paraId="4A36361C" w14:textId="77777777">
      <w:pPr>
        <w:rPr>
          <w:sz w:val="22"/>
          <w:szCs w:val="22"/>
        </w:rPr>
      </w:pPr>
    </w:p>
    <w:sectPr w:rsidSect="00560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50A4" w14:paraId="6CE4C28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32F8" w14:paraId="3B5C93F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69E3" w:rsidP="00AC692E" w14:paraId="18B8DE54" w14:textId="17D274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151D4" w:rsidP="00CA22B5" w14:paraId="710C17BE" w14:textId="77777777">
      <w:pPr>
        <w:spacing w:after="0" w:line="240" w:lineRule="auto"/>
      </w:pPr>
      <w:r>
        <w:separator/>
      </w:r>
    </w:p>
  </w:footnote>
  <w:footnote w:type="continuationSeparator" w:id="1">
    <w:p w:rsidR="00C151D4" w:rsidP="00CA22B5" w14:paraId="78DAAF4C" w14:textId="77777777">
      <w:pPr>
        <w:spacing w:after="0" w:line="240" w:lineRule="auto"/>
      </w:pPr>
      <w:r>
        <w:continuationSeparator/>
      </w:r>
    </w:p>
  </w:footnote>
  <w:footnote w:type="continuationNotice" w:id="2">
    <w:p w:rsidR="00C151D4" w14:paraId="75CF0747" w14:textId="77777777">
      <w:pPr>
        <w:spacing w:after="0" w:line="240" w:lineRule="auto"/>
      </w:pPr>
    </w:p>
  </w:footnote>
  <w:footnote w:id="3">
    <w:p w:rsidR="00CA22B5" w:rsidRPr="00C5756D" w:rsidP="00AB651F" w14:paraId="39E475C5" w14:textId="4476CCE3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C5756D">
        <w:rPr>
          <w:rStyle w:val="FootnoteReference"/>
        </w:rPr>
        <w:footnoteRef/>
      </w:r>
      <w:r w:rsidRPr="00C5756D">
        <w:t xml:space="preserve"> </w:t>
      </w:r>
      <w:r w:rsidRPr="00C5756D">
        <w:rPr>
          <w:i/>
        </w:rPr>
        <w:t>See Business Data Services in an Internet Protocol Environment et al</w:t>
      </w:r>
      <w:r w:rsidRPr="00C5756D">
        <w:t>., WC Docket No. 16-143</w:t>
      </w:r>
      <w:r>
        <w:t xml:space="preserve"> et al.</w:t>
      </w:r>
      <w:r w:rsidRPr="00C5756D">
        <w:t>, 32 FCC Rcd 3459</w:t>
      </w:r>
      <w:r>
        <w:t>, 3527-29, paras. 145-152</w:t>
      </w:r>
      <w:r w:rsidRPr="00C5756D">
        <w:t xml:space="preserve"> (2017) (</w:t>
      </w:r>
      <w:r w:rsidRPr="00C5756D">
        <w:rPr>
          <w:i/>
        </w:rPr>
        <w:t>Price Cap BDS Order</w:t>
      </w:r>
      <w:r w:rsidRPr="00C5756D">
        <w:t>)</w:t>
      </w:r>
      <w:r w:rsidR="00697B7F">
        <w:t>;</w:t>
      </w:r>
      <w:r w:rsidRPr="00C5756D">
        <w:t xml:space="preserve"> 47 CFR §</w:t>
      </w:r>
      <w:r>
        <w:t xml:space="preserve"> 69.803(c); </w:t>
      </w:r>
      <w:r w:rsidRPr="00C5756D">
        <w:rPr>
          <w:i/>
        </w:rPr>
        <w:t>Regulation of Business Data Services for Rate-of-Return Local Exchange Carriers et al.</w:t>
      </w:r>
      <w:r w:rsidRPr="00C5756D">
        <w:rPr>
          <w:i/>
          <w:color w:val="000000"/>
        </w:rPr>
        <w:t xml:space="preserve">, </w:t>
      </w:r>
      <w:r w:rsidRPr="00C5756D">
        <w:rPr>
          <w:color w:val="000000"/>
        </w:rPr>
        <w:t>WC Docket No. 17-144</w:t>
      </w:r>
      <w:r>
        <w:rPr>
          <w:color w:val="000000"/>
        </w:rPr>
        <w:t xml:space="preserve"> et al.</w:t>
      </w:r>
      <w:r w:rsidRPr="00C5756D">
        <w:rPr>
          <w:color w:val="000000"/>
        </w:rPr>
        <w:t>, Report and Order, Second Further Notice of Proposed Rulemaking, and Further Notice of Proposed Rulemaking, 33 FCC Rcd 10403</w:t>
      </w:r>
      <w:r>
        <w:rPr>
          <w:color w:val="000000"/>
        </w:rPr>
        <w:t>, 10439-40, paras. 103-104</w:t>
      </w:r>
      <w:r w:rsidRPr="00C5756D">
        <w:rPr>
          <w:color w:val="000000"/>
        </w:rPr>
        <w:t xml:space="preserve"> (2018) (</w:t>
      </w:r>
      <w:r w:rsidRPr="00C5756D">
        <w:rPr>
          <w:i/>
          <w:color w:val="000000"/>
        </w:rPr>
        <w:t>Rate-of-Return BDS Order</w:t>
      </w:r>
      <w:r w:rsidRPr="00C5756D">
        <w:rPr>
          <w:color w:val="000000"/>
        </w:rPr>
        <w:t>)</w:t>
      </w:r>
      <w:r w:rsidR="00697B7F">
        <w:rPr>
          <w:color w:val="000000"/>
        </w:rPr>
        <w:t>;</w:t>
      </w:r>
      <w:r w:rsidRPr="00C5756D">
        <w:t xml:space="preserve"> </w:t>
      </w:r>
      <w:r>
        <w:t xml:space="preserve">47 CFR </w:t>
      </w:r>
      <w:r w:rsidRPr="00C5756D">
        <w:t>§ 61.50(j)</w:t>
      </w:r>
      <w:r>
        <w:t>.</w:t>
      </w:r>
      <w:r w:rsidRPr="00C5756D">
        <w:t xml:space="preserve">  </w:t>
      </w:r>
      <w:r w:rsidR="00216E9A">
        <w:rPr>
          <w:color w:val="000000"/>
        </w:rPr>
        <w:t xml:space="preserve">In 2021, the Bureau terminated </w:t>
      </w:r>
      <w:r w:rsidR="0074345E">
        <w:rPr>
          <w:color w:val="000000"/>
        </w:rPr>
        <w:t>WC Docket Nos. 16-143, 05-25</w:t>
      </w:r>
      <w:r w:rsidR="0068089B">
        <w:rPr>
          <w:color w:val="000000"/>
        </w:rPr>
        <w:t>,</w:t>
      </w:r>
      <w:r w:rsidR="0074345E">
        <w:rPr>
          <w:color w:val="000000"/>
        </w:rPr>
        <w:t xml:space="preserve"> and RM</w:t>
      </w:r>
      <w:r w:rsidR="00697B7F">
        <w:rPr>
          <w:color w:val="000000"/>
        </w:rPr>
        <w:t>-</w:t>
      </w:r>
      <w:r w:rsidR="0074345E">
        <w:rPr>
          <w:color w:val="000000"/>
        </w:rPr>
        <w:t xml:space="preserve">10593, and opened </w:t>
      </w:r>
      <w:r w:rsidR="00E13087">
        <w:rPr>
          <w:color w:val="000000"/>
        </w:rPr>
        <w:t>WC Docket No. 21-17</w:t>
      </w:r>
      <w:r w:rsidR="0074345E">
        <w:rPr>
          <w:color w:val="000000"/>
        </w:rPr>
        <w:t xml:space="preserve"> for price cap </w:t>
      </w:r>
      <w:r w:rsidR="00697B7F">
        <w:rPr>
          <w:color w:val="000000"/>
        </w:rPr>
        <w:t xml:space="preserve">business data services (BDS) </w:t>
      </w:r>
      <w:r w:rsidR="0074345E">
        <w:rPr>
          <w:color w:val="000000"/>
        </w:rPr>
        <w:t xml:space="preserve">issues.  </w:t>
      </w:r>
      <w:r w:rsidRPr="00701900" w:rsidR="0074345E">
        <w:rPr>
          <w:i/>
          <w:iCs/>
          <w:color w:val="000000"/>
        </w:rPr>
        <w:t>See</w:t>
      </w:r>
      <w:r w:rsidR="0074345E">
        <w:rPr>
          <w:color w:val="000000"/>
        </w:rPr>
        <w:t xml:space="preserve"> </w:t>
      </w:r>
      <w:r w:rsidR="00430328">
        <w:rPr>
          <w:i/>
          <w:iCs/>
          <w:color w:val="000000"/>
        </w:rPr>
        <w:t>Wireline Competition Bureau Terminates Price Cap Data Services Proceedings, Close</w:t>
      </w:r>
      <w:r w:rsidR="00DD7250">
        <w:rPr>
          <w:i/>
          <w:iCs/>
          <w:color w:val="000000"/>
        </w:rPr>
        <w:t xml:space="preserve">s Docket; Parties Required to Destroy or Return Confidential </w:t>
      </w:r>
      <w:r w:rsidR="00A0166A">
        <w:rPr>
          <w:i/>
          <w:iCs/>
          <w:color w:val="000000"/>
        </w:rPr>
        <w:t>and Highly Confidential Documents</w:t>
      </w:r>
      <w:r w:rsidR="00A0166A">
        <w:rPr>
          <w:color w:val="000000"/>
        </w:rPr>
        <w:t xml:space="preserve">, </w:t>
      </w:r>
      <w:r w:rsidR="00543D85">
        <w:rPr>
          <w:color w:val="000000"/>
        </w:rPr>
        <w:t xml:space="preserve">WC Docket No. 21-17 et al., Public Notice, </w:t>
      </w:r>
      <w:r w:rsidR="006F2FC6">
        <w:rPr>
          <w:color w:val="000000"/>
        </w:rPr>
        <w:t xml:space="preserve">36 FCC Rcd 343 (WCB 2021). </w:t>
      </w:r>
      <w:r w:rsidR="00430328">
        <w:rPr>
          <w:i/>
          <w:iCs/>
          <w:color w:val="000000"/>
        </w:rPr>
        <w:t xml:space="preserve"> </w:t>
      </w:r>
    </w:p>
  </w:footnote>
  <w:footnote w:id="4">
    <w:p w:rsidR="001A1EC3" w:rsidP="001A1EC3" w14:paraId="19CF3E4E" w14:textId="70A4CCBA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C5756D" w:rsidR="00722437">
        <w:t xml:space="preserve">FCC, </w:t>
      </w:r>
      <w:r w:rsidRPr="00C5756D" w:rsidR="00722437">
        <w:rPr>
          <w:i/>
        </w:rPr>
        <w:t>BDS Competitive and Noncompetitive Lists</w:t>
      </w:r>
      <w:r w:rsidR="00722437">
        <w:rPr>
          <w:i/>
        </w:rPr>
        <w:t xml:space="preserve"> </w:t>
      </w:r>
      <w:r w:rsidRPr="00ED6DA5" w:rsidR="00722437">
        <w:t xml:space="preserve">(Jan. </w:t>
      </w:r>
      <w:r w:rsidR="00543D85">
        <w:t>27</w:t>
      </w:r>
      <w:r w:rsidRPr="00ED6DA5" w:rsidR="00722437">
        <w:t>, 202</w:t>
      </w:r>
      <w:r w:rsidRPr="00ED6DA5" w:rsidR="00ED6DA5">
        <w:t>3</w:t>
      </w:r>
      <w:r w:rsidRPr="00ED6DA5" w:rsidR="00722437">
        <w:t>)</w:t>
      </w:r>
      <w:r w:rsidRPr="00464FDC" w:rsidR="00722437">
        <w:t>,</w:t>
      </w:r>
      <w:r w:rsidRPr="00C5756D" w:rsidR="00722437">
        <w:t xml:space="preserve"> </w:t>
      </w:r>
      <w:hyperlink r:id="rId1" w:history="1">
        <w:r w:rsidRPr="00C5756D" w:rsidR="00722437">
          <w:rPr>
            <w:rStyle w:val="Hyperlink"/>
          </w:rPr>
          <w:t>https://www.fcc.gov/bds-competitive-and-noncompetitive-lists</w:t>
        </w:r>
      </w:hyperlink>
      <w:r w:rsidR="00722437">
        <w:t xml:space="preserve"> (</w:t>
      </w:r>
      <w:r w:rsidRPr="002636E5" w:rsidR="00722437">
        <w:rPr>
          <w:i/>
          <w:iCs/>
        </w:rPr>
        <w:t>BDS Competitive Market Analysis Lists</w:t>
      </w:r>
      <w:r w:rsidR="00722437">
        <w:t xml:space="preserve">).  </w:t>
      </w:r>
      <w:r w:rsidRPr="00D15839">
        <w:t xml:space="preserve">The Commission directed the Bureau to release a public notice </w:t>
      </w:r>
      <w:r>
        <w:t xml:space="preserve">listing newly competitive counties for price cap carriers and study areas for rate-of-return carriers and also provide this information on the </w:t>
      </w:r>
      <w:r w:rsidRPr="00D15839">
        <w:t>Commission’s website.</w:t>
      </w:r>
      <w:r>
        <w:t xml:space="preserve">  </w:t>
      </w:r>
      <w:r w:rsidRPr="00C5756D">
        <w:rPr>
          <w:i/>
        </w:rPr>
        <w:t>Price Cap BDS Order</w:t>
      </w:r>
      <w:r>
        <w:t>,</w:t>
      </w:r>
      <w:r w:rsidRPr="00C5756D">
        <w:t xml:space="preserve"> </w:t>
      </w:r>
      <w:r>
        <w:t xml:space="preserve">32 FCC Rcd at 3528, para. 151, </w:t>
      </w:r>
      <w:r w:rsidRPr="00C5756D">
        <w:t>47 CFR §</w:t>
      </w:r>
      <w:r>
        <w:t xml:space="preserve"> 69.803(b)(2); </w:t>
      </w:r>
      <w:r w:rsidRPr="008616C5">
        <w:rPr>
          <w:i/>
        </w:rPr>
        <w:t>Rate-of-Return BDS Order</w:t>
      </w:r>
      <w:r>
        <w:t>, 33 FCC Rcd at 10440, para. 104</w:t>
      </w:r>
      <w:r w:rsidR="001434F5">
        <w:t xml:space="preserve">; </w:t>
      </w:r>
      <w:r>
        <w:t>47 CFR § 61.50(j).</w:t>
      </w:r>
    </w:p>
  </w:footnote>
  <w:footnote w:id="5">
    <w:p w:rsidR="00CA22B5" w:rsidRPr="00C5756D" w:rsidP="00E6702E" w14:paraId="2BE33865" w14:textId="7D4EDE3F">
      <w:pPr>
        <w:pStyle w:val="FootnoteText"/>
        <w:spacing w:after="120"/>
      </w:pPr>
      <w:r w:rsidRPr="00C5756D">
        <w:rPr>
          <w:rStyle w:val="FootnoteReference"/>
        </w:rPr>
        <w:footnoteRef/>
      </w:r>
      <w:r w:rsidRPr="00C5756D">
        <w:t xml:space="preserve"> </w:t>
      </w:r>
      <w:r w:rsidRPr="00C5756D">
        <w:rPr>
          <w:i/>
        </w:rPr>
        <w:t>Wireline Competition Bureau Publicly Releases Lists of Counties Where Lower Speed TDM-Based Business Data Services Are Deemed Competitive, Non-Competitive, or Grandfathered</w:t>
      </w:r>
      <w:r w:rsidRPr="00C5756D">
        <w:t>, WC Docket Nos. 16-143</w:t>
      </w:r>
      <w:r>
        <w:t xml:space="preserve"> </w:t>
      </w:r>
      <w:r w:rsidRPr="0092568D">
        <w:t>et al.</w:t>
      </w:r>
      <w:r w:rsidRPr="00C5756D">
        <w:t xml:space="preserve">, </w:t>
      </w:r>
      <w:r w:rsidR="00055D21">
        <w:t xml:space="preserve">Public Notice, </w:t>
      </w:r>
      <w:r w:rsidRPr="00C5756D">
        <w:t>32 FCC Rcd 3966, 3966 (WCB 2017)</w:t>
      </w:r>
      <w:r>
        <w:t xml:space="preserve"> (</w:t>
      </w:r>
      <w:r w:rsidRPr="00FA1C8D" w:rsidR="00FA1C8D">
        <w:rPr>
          <w:i/>
          <w:iCs/>
        </w:rPr>
        <w:t xml:space="preserve">2017 County </w:t>
      </w:r>
      <w:r w:rsidRPr="00543577">
        <w:rPr>
          <w:i/>
        </w:rPr>
        <w:t>List Public Notice</w:t>
      </w:r>
      <w:r>
        <w:t>)</w:t>
      </w:r>
      <w:r w:rsidR="00AA19B5">
        <w:t>.</w:t>
      </w:r>
      <w:r w:rsidRPr="00EB7A3C">
        <w:t xml:space="preserve"> </w:t>
      </w:r>
      <w:r w:rsidR="00AA19B5">
        <w:t xml:space="preserve"> </w:t>
      </w:r>
      <w:r w:rsidRPr="0027055D">
        <w:t xml:space="preserve">A county was deemed competitive in the initial price cap test if either: (1) 50% of locations with BDS demand within the county </w:t>
      </w:r>
      <w:r>
        <w:t>we</w:t>
      </w:r>
      <w:r w:rsidRPr="0027055D">
        <w:t xml:space="preserve">re within </w:t>
      </w:r>
      <w:r>
        <w:t>a half</w:t>
      </w:r>
      <w:r w:rsidRPr="0027055D">
        <w:t xml:space="preserve"> mile of a location served by a competitive provider based on data from the 2015 special access data collection; or (2) 75% of the census blocks within the county </w:t>
      </w:r>
      <w:r>
        <w:t>had access to</w:t>
      </w:r>
      <w:r w:rsidRPr="0027055D">
        <w:t xml:space="preserve"> broadband </w:t>
      </w:r>
      <w:r>
        <w:t xml:space="preserve">from </w:t>
      </w:r>
      <w:r w:rsidRPr="0027055D">
        <w:t>a cable operator</w:t>
      </w:r>
      <w:r>
        <w:t>,</w:t>
      </w:r>
      <w:r w:rsidRPr="0027055D">
        <w:t xml:space="preserve"> based on Form 477 data as of December 2016. </w:t>
      </w:r>
      <w:r>
        <w:t xml:space="preserve"> 47 CFR § 69.803(b)(1).</w:t>
      </w:r>
      <w:r w:rsidRPr="00524338">
        <w:t xml:space="preserve"> </w:t>
      </w:r>
      <w:r>
        <w:t xml:space="preserve"> </w:t>
      </w:r>
      <w:r w:rsidRPr="00C5756D">
        <w:t xml:space="preserve">A grandfathered market is a “county that does not satisfy the competitive market test set forth in § 69.803 for which a price cap carrier obtained Phase II relief pursuant to § 69.711(c)” prior to June 2017.  47 CFR </w:t>
      </w:r>
      <w:bookmarkStart w:id="2" w:name="_Hlk25658278"/>
      <w:r w:rsidRPr="00C5756D">
        <w:t>§</w:t>
      </w:r>
      <w:bookmarkEnd w:id="2"/>
      <w:r w:rsidRPr="00566FA0">
        <w:t>§</w:t>
      </w:r>
      <w:r w:rsidRPr="00C5756D">
        <w:t xml:space="preserve"> 69.801(e)</w:t>
      </w:r>
      <w:r>
        <w:t>, 69.807(a).</w:t>
      </w:r>
      <w:r w:rsidRPr="00C5756D">
        <w:t xml:space="preserve">    </w:t>
      </w:r>
    </w:p>
  </w:footnote>
  <w:footnote w:id="6">
    <w:p w:rsidR="00CA22B5" w:rsidRPr="00DA0EEA" w:rsidP="00E6702E" w14:paraId="19CBD312" w14:textId="519DE71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47 CFR § 69.803(b)(1).</w:t>
      </w:r>
      <w:r w:rsidR="00DA0EEA">
        <w:t xml:space="preserve">  </w:t>
      </w:r>
      <w:r w:rsidRPr="00DA0EEA" w:rsidR="00DA0EEA">
        <w:rPr>
          <w:rFonts w:eastAsia="Times New Roman"/>
        </w:rPr>
        <w:t xml:space="preserve">Pursuant to the initial price-cap market test, 1,879 counties were deemed competitive, 1,276 counties were deemed non-competitive, and 69 counties were in grandfathered markets.  </w:t>
      </w:r>
      <w:r w:rsidRPr="00DA0EEA" w:rsidR="00DA0EEA">
        <w:rPr>
          <w:i/>
          <w:iCs/>
        </w:rPr>
        <w:t>BDS Competitive Market Analysis Lists</w:t>
      </w:r>
      <w:r w:rsidRPr="00DA0EEA" w:rsidR="00DA0EEA">
        <w:t>.</w:t>
      </w:r>
    </w:p>
  </w:footnote>
  <w:footnote w:id="7">
    <w:p w:rsidR="00CA22B5" w:rsidRPr="00C5756D" w:rsidP="00E6702E" w14:paraId="75BD1E2A" w14:textId="1121AEF4">
      <w:pPr>
        <w:pStyle w:val="FootnoteText"/>
        <w:spacing w:after="120"/>
      </w:pPr>
      <w:r w:rsidRPr="00C5756D">
        <w:rPr>
          <w:rStyle w:val="FootnoteReference"/>
        </w:rPr>
        <w:footnoteRef/>
      </w:r>
      <w:r w:rsidRPr="00C5756D">
        <w:t xml:space="preserve"> </w:t>
      </w:r>
      <w:r w:rsidRPr="00C5756D">
        <w:rPr>
          <w:i/>
        </w:rPr>
        <w:t>Wireline Competition Bureau Publicly Releases List of Study Areas Deemed Competitive If Rate-of-Return Carriers Elect Incentive Regulation For Those Areas</w:t>
      </w:r>
      <w:r w:rsidRPr="00C5756D">
        <w:t>, WC Docket No. 17-144</w:t>
      </w:r>
      <w:r>
        <w:t xml:space="preserve"> </w:t>
      </w:r>
      <w:r w:rsidRPr="0092568D">
        <w:t>et al.</w:t>
      </w:r>
      <w:r>
        <w:t xml:space="preserve">, </w:t>
      </w:r>
      <w:r w:rsidR="001E13F7">
        <w:t xml:space="preserve">Public Notice, </w:t>
      </w:r>
      <w:r w:rsidRPr="00C5756D">
        <w:t>33 FCC Rcd 10169 (WCB 2018)</w:t>
      </w:r>
      <w:r>
        <w:t xml:space="preserve"> (</w:t>
      </w:r>
      <w:r w:rsidR="003A489A">
        <w:rPr>
          <w:i/>
        </w:rPr>
        <w:t>2018 County</w:t>
      </w:r>
      <w:r w:rsidR="000301B3">
        <w:rPr>
          <w:i/>
        </w:rPr>
        <w:t xml:space="preserve"> List</w:t>
      </w:r>
      <w:r w:rsidRPr="00F80ACB">
        <w:rPr>
          <w:i/>
        </w:rPr>
        <w:t xml:space="preserve"> P</w:t>
      </w:r>
      <w:r>
        <w:rPr>
          <w:i/>
        </w:rPr>
        <w:t xml:space="preserve">ublic </w:t>
      </w:r>
      <w:r w:rsidRPr="00F80ACB">
        <w:rPr>
          <w:i/>
        </w:rPr>
        <w:t>N</w:t>
      </w:r>
      <w:r>
        <w:rPr>
          <w:i/>
        </w:rPr>
        <w:t>otice</w:t>
      </w:r>
      <w:r>
        <w:t xml:space="preserve">).  </w:t>
      </w:r>
      <w:r w:rsidRPr="004F785B">
        <w:t xml:space="preserve">A study area is deemed competitive </w:t>
      </w:r>
      <w:r>
        <w:t xml:space="preserve">in the rate-of-return test </w:t>
      </w:r>
      <w:r w:rsidRPr="004F785B">
        <w:t xml:space="preserve">if 75% of the census blocks within the study area are served by a cable operator offering a minimum of 10/1 Mbps broadband service based on Form 477 data.  </w:t>
      </w:r>
      <w:r>
        <w:t>47 CFR § 61.50(j)(1).</w:t>
      </w:r>
    </w:p>
  </w:footnote>
  <w:footnote w:id="8">
    <w:p w:rsidR="009034AD" w:rsidP="009034AD" w14:paraId="55FFCECC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2018 </w:t>
      </w:r>
      <w:r>
        <w:rPr>
          <w:i/>
        </w:rPr>
        <w:t>County Public Notice</w:t>
      </w:r>
      <w:r>
        <w:t xml:space="preserve">, 33 FCC Rcd at 10169.  </w:t>
      </w:r>
      <w:r w:rsidRPr="00DA0EEA">
        <w:rPr>
          <w:rFonts w:eastAsia="Times New Roman"/>
        </w:rPr>
        <w:t xml:space="preserve">Pursuant to the initial application of the rate-of-return test, the Bureau deemed 16 rate-of-return study areas receiving fixed universal service support to be competitive. </w:t>
      </w:r>
      <w:r w:rsidRPr="00DA0EEA">
        <w:rPr>
          <w:i/>
          <w:iCs/>
        </w:rPr>
        <w:t xml:space="preserve"> BDS Competitive Market Analysis Lists</w:t>
      </w:r>
      <w:r w:rsidRPr="00DA0EEA">
        <w:t>.</w:t>
      </w:r>
      <w:r>
        <w:t xml:space="preserve">  </w:t>
      </w:r>
    </w:p>
  </w:footnote>
  <w:footnote w:id="9">
    <w:p w:rsidR="00CA22B5" w:rsidRPr="00C5756D" w:rsidP="00E6702E" w14:paraId="733B3102" w14:textId="55B11FA1">
      <w:pPr>
        <w:pStyle w:val="FootnoteText"/>
        <w:spacing w:after="120"/>
      </w:pPr>
      <w:r w:rsidRPr="00C5756D">
        <w:rPr>
          <w:rStyle w:val="FootnoteReference"/>
        </w:rPr>
        <w:footnoteRef/>
      </w:r>
      <w:r w:rsidRPr="00C5756D">
        <w:t xml:space="preserve"> 47 CFR § 61.50(k)(2); </w:t>
      </w:r>
      <w:r w:rsidRPr="00C5756D">
        <w:rPr>
          <w:i/>
        </w:rPr>
        <w:t>Rate-of-Return BDS Order</w:t>
      </w:r>
      <w:r w:rsidRPr="00C5756D">
        <w:t xml:space="preserve">, </w:t>
      </w:r>
      <w:bookmarkStart w:id="4" w:name="_Hlk26541056"/>
      <w:r w:rsidRPr="00C5756D">
        <w:t>33 FCC Rcd at 10440</w:t>
      </w:r>
      <w:bookmarkEnd w:id="4"/>
      <w:r w:rsidRPr="00C5756D">
        <w:t>, para. 105</w:t>
      </w:r>
      <w:r w:rsidR="009034AD">
        <w:t>; 47 CFR § 69.803(a)</w:t>
      </w:r>
      <w:r w:rsidR="00080D40">
        <w:t xml:space="preserve">; </w:t>
      </w:r>
      <w:r w:rsidRPr="00AB651F" w:rsidR="00080D40">
        <w:rPr>
          <w:i/>
          <w:iCs/>
        </w:rPr>
        <w:t>Price Cap BDS Order</w:t>
      </w:r>
      <w:r w:rsidR="00080D40">
        <w:t xml:space="preserve">, 32 FCC Rcd at </w:t>
      </w:r>
      <w:r w:rsidR="00A41128">
        <w:t>3499</w:t>
      </w:r>
      <w:r w:rsidR="00080D40">
        <w:t xml:space="preserve">, para. </w:t>
      </w:r>
      <w:r w:rsidR="00A41128">
        <w:t>86</w:t>
      </w:r>
      <w:r w:rsidR="00080D40">
        <w:t>.</w:t>
      </w:r>
    </w:p>
  </w:footnote>
  <w:footnote w:id="10">
    <w:p w:rsidR="00CA22B5" w:rsidRPr="00C5756D" w:rsidP="00E6702E" w14:paraId="481BD7EA" w14:textId="77777777">
      <w:pPr>
        <w:pStyle w:val="FootnoteText"/>
        <w:spacing w:after="120"/>
      </w:pPr>
      <w:r w:rsidRPr="00C5756D">
        <w:rPr>
          <w:rStyle w:val="FootnoteReference"/>
        </w:rPr>
        <w:footnoteRef/>
      </w:r>
      <w:r w:rsidRPr="00C5756D">
        <w:t xml:space="preserve"> 47 CFR §§ 61.50(j)(2), 69.803(c); </w:t>
      </w:r>
      <w:r w:rsidRPr="00C5756D">
        <w:rPr>
          <w:i/>
        </w:rPr>
        <w:t>Rate-of-Return BDS Order</w:t>
      </w:r>
      <w:r w:rsidRPr="00C5756D">
        <w:t xml:space="preserve">, 33 FCC Rcd at 10439-40, para. 104; </w:t>
      </w:r>
      <w:r w:rsidRPr="00C5756D">
        <w:rPr>
          <w:i/>
        </w:rPr>
        <w:t>Price Cap BDS Order</w:t>
      </w:r>
      <w:r w:rsidRPr="00C5756D">
        <w:t>, 32 FCC Rcd at</w:t>
      </w:r>
      <w:r w:rsidRPr="00C5756D">
        <w:rPr>
          <w:i/>
        </w:rPr>
        <w:t xml:space="preserve"> </w:t>
      </w:r>
      <w:r w:rsidRPr="00C5756D">
        <w:t xml:space="preserve">3528, para. 151.  </w:t>
      </w:r>
    </w:p>
  </w:footnote>
  <w:footnote w:id="11">
    <w:p w:rsidR="00CA22B5" w:rsidP="00E6702E" w14:paraId="6F36FD74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951C76">
        <w:t xml:space="preserve">47 CFR § 69.803(c)(2); </w:t>
      </w:r>
      <w:r w:rsidRPr="00951C76">
        <w:rPr>
          <w:i/>
        </w:rPr>
        <w:t>Price Cap BDS Order</w:t>
      </w:r>
      <w:r w:rsidRPr="00951C76">
        <w:t>, 32 FCC Rcd at 3527-29, paras. 145-152.</w:t>
      </w:r>
      <w:r>
        <w:t xml:space="preserve">  As with the initial price cap test, the Bureau used cable broadband connections with a minimum 10/1 Mbps capacity to assess competition. </w:t>
      </w:r>
    </w:p>
  </w:footnote>
  <w:footnote w:id="12">
    <w:p w:rsidR="00CA22B5" w:rsidP="00E6702E" w14:paraId="2BA635FD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C5756D">
        <w:rPr>
          <w:i/>
        </w:rPr>
        <w:t>Rate-of-Return BDS Order</w:t>
      </w:r>
      <w:r w:rsidRPr="00C5756D">
        <w:t>, 33 FCC Rcd at 10439-40, para. 104</w:t>
      </w:r>
      <w:r>
        <w:t>.</w:t>
      </w:r>
    </w:p>
  </w:footnote>
  <w:footnote w:id="13">
    <w:p w:rsidR="00CA22B5" w:rsidP="00E6702E" w14:paraId="227205A7" w14:textId="1738AD59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47 CFR § 61.50(j)(1)-(2); </w:t>
      </w:r>
      <w:r w:rsidRPr="00AA0219">
        <w:rPr>
          <w:i/>
        </w:rPr>
        <w:t>Rate-of-Return BDS Order</w:t>
      </w:r>
      <w:r>
        <w:t xml:space="preserve">, 33 FCC Rcd at 10439-40, paras. 103-104. </w:t>
      </w:r>
      <w:r w:rsidRPr="00DA0EEA" w:rsidR="00DA0EEA">
        <w:rPr>
          <w:rFonts w:eastAsia="Times New Roman"/>
        </w:rPr>
        <w:t xml:space="preserve">Given the high sunk costs involved in network deployment, the Commission determined that once a price-cap county or rate-of-return study area is deemed competitive, it would retain its competitive status and not be retested.  </w:t>
      </w:r>
      <w:r w:rsidRPr="00DA0EEA" w:rsidR="00DA0EEA">
        <w:t xml:space="preserve">47 CFR §§ 61.50(j)(3), 69.803(c)(3); </w:t>
      </w:r>
      <w:r w:rsidRPr="00DA0EEA" w:rsidR="00DA0EEA">
        <w:rPr>
          <w:i/>
        </w:rPr>
        <w:t>see</w:t>
      </w:r>
      <w:r w:rsidRPr="00DA0EEA" w:rsidR="00DA0EEA">
        <w:t xml:space="preserve"> </w:t>
      </w:r>
      <w:r w:rsidRPr="00DA0EEA" w:rsidR="00DA0EEA">
        <w:rPr>
          <w:i/>
        </w:rPr>
        <w:t>Price Cap BDS Order</w:t>
      </w:r>
      <w:r w:rsidRPr="00DA0EEA" w:rsidR="00DA0EEA">
        <w:t xml:space="preserve">, 32 FCC Rcd at 3528-29, para. 152; </w:t>
      </w:r>
      <w:r w:rsidRPr="00DA0EEA" w:rsidR="00DA0EEA">
        <w:rPr>
          <w:i/>
        </w:rPr>
        <w:t>Rate-of-Return BDS Order</w:t>
      </w:r>
      <w:r w:rsidRPr="00DA0EEA" w:rsidR="00DA0EEA">
        <w:t>, 33 FCC Rcd at 10439, para. 103.</w:t>
      </w:r>
    </w:p>
  </w:footnote>
  <w:footnote w:id="14">
    <w:p w:rsidR="00CA22B5" w:rsidRPr="00C5756D" w:rsidP="00E6702E" w14:paraId="0568FE51" w14:textId="77777777">
      <w:pPr>
        <w:pStyle w:val="FootnoteText"/>
        <w:spacing w:after="120"/>
      </w:pPr>
      <w:r w:rsidRPr="00C5756D">
        <w:rPr>
          <w:rStyle w:val="FootnoteReference"/>
        </w:rPr>
        <w:footnoteRef/>
      </w:r>
      <w:r w:rsidRPr="00C5756D">
        <w:t xml:space="preserve"> </w:t>
      </w:r>
      <w:r w:rsidRPr="005B67A6">
        <w:rPr>
          <w:i/>
        </w:rPr>
        <w:t>Rate-of-Return BDS Order</w:t>
      </w:r>
      <w:r>
        <w:t xml:space="preserve">, 33 FCC Rcd at 10440, para. 104.  </w:t>
      </w:r>
      <w:r w:rsidRPr="00C5756D">
        <w:t>The Commission directed the Bureau to update both tests every three years thereafter.</w:t>
      </w:r>
      <w:r>
        <w:t xml:space="preserve">  </w:t>
      </w:r>
      <w:r w:rsidRPr="00232678">
        <w:rPr>
          <w:i/>
        </w:rPr>
        <w:t>Id</w:t>
      </w:r>
      <w:r>
        <w:t xml:space="preserve">.; 47 CFR </w:t>
      </w:r>
      <w:r w:rsidRPr="001F7C0D">
        <w:t>§</w:t>
      </w:r>
      <w:r>
        <w:t>§ 61.50(j)(2), 69.803(c).</w:t>
      </w:r>
    </w:p>
  </w:footnote>
  <w:footnote w:id="15">
    <w:p w:rsidR="00CA22B5" w:rsidP="00067480" w14:paraId="56DC86BF" w14:textId="0717505D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F70DA5">
        <w:t xml:space="preserve">FCC, </w:t>
      </w:r>
      <w:r w:rsidR="00733009">
        <w:rPr>
          <w:i/>
          <w:iCs/>
        </w:rPr>
        <w:t>Fixed Broadband Deployment Data from FCC Form 477</w:t>
      </w:r>
      <w:r w:rsidR="004B76C1">
        <w:t xml:space="preserve"> (</w:t>
      </w:r>
      <w:r w:rsidR="00BA4A65">
        <w:t xml:space="preserve">Dec. </w:t>
      </w:r>
      <w:r w:rsidR="004B76C1">
        <w:t>29, 2022)</w:t>
      </w:r>
      <w:r w:rsidR="00BA4A65">
        <w:t>,</w:t>
      </w:r>
      <w:r w:rsidR="004B76C1">
        <w:t xml:space="preserve"> </w:t>
      </w:r>
      <w:hyperlink r:id="rId2" w:history="1">
        <w:r w:rsidRPr="00D63044" w:rsidR="00D63044">
          <w:rPr>
            <w:rStyle w:val="Hyperlink"/>
          </w:rPr>
          <w:t>https://www.fcc.gov/general/</w:t>
        </w:r>
        <w:r w:rsidRPr="00D63044" w:rsidR="00D63044">
          <w:rPr>
            <w:rStyle w:val="Hyperlink"/>
          </w:rPr>
          <w:br/>
        </w:r>
        <w:r w:rsidRPr="00D63044" w:rsidR="00D63044">
          <w:rPr>
            <w:rStyle w:val="Hyperlink"/>
          </w:rPr>
          <w:t>broadband-deployment-data-fcc-form-477</w:t>
        </w:r>
      </w:hyperlink>
      <w:r w:rsidRPr="004B76C1" w:rsidR="0006291C">
        <w:t>.</w:t>
      </w:r>
      <w:r>
        <w:t xml:space="preserve">  </w:t>
      </w:r>
    </w:p>
  </w:footnote>
  <w:footnote w:id="16">
    <w:p w:rsidR="00CA22B5" w:rsidP="00E6702E" w14:paraId="2051B520" w14:textId="0C1C1C4F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724EA4">
        <w:t xml:space="preserve">The Bureau did not test </w:t>
      </w:r>
      <w:r>
        <w:t>price</w:t>
      </w:r>
      <w:r w:rsidR="0023109D">
        <w:t>-</w:t>
      </w:r>
      <w:r>
        <w:t xml:space="preserve">cap </w:t>
      </w:r>
      <w:r w:rsidRPr="00724EA4">
        <w:t xml:space="preserve">counties previously deemed competitive or grandfathered pursuant to the initial </w:t>
      </w:r>
      <w:r w:rsidR="0088589A">
        <w:t xml:space="preserve">or supplemental </w:t>
      </w:r>
      <w:r w:rsidRPr="00724EA4">
        <w:t>price</w:t>
      </w:r>
      <w:r w:rsidR="0023109D">
        <w:t>-</w:t>
      </w:r>
      <w:r w:rsidRPr="00724EA4">
        <w:t xml:space="preserve">cap test or </w:t>
      </w:r>
      <w:r>
        <w:t xml:space="preserve">retest rate-of-return </w:t>
      </w:r>
      <w:r w:rsidRPr="00724EA4">
        <w:t xml:space="preserve">study areas </w:t>
      </w:r>
      <w:r>
        <w:t>previously</w:t>
      </w:r>
      <w:r w:rsidRPr="00724EA4">
        <w:t xml:space="preserve"> deemed competitive pursuant to the rate-of-return test</w:t>
      </w:r>
      <w:r w:rsidR="0023109D">
        <w:t>,</w:t>
      </w:r>
      <w:r w:rsidRPr="00724EA4">
        <w:t xml:space="preserve"> since </w:t>
      </w:r>
      <w:r w:rsidR="0023109D">
        <w:t>those areas</w:t>
      </w:r>
      <w:r w:rsidRPr="00724EA4" w:rsidR="0023109D">
        <w:t xml:space="preserve"> </w:t>
      </w:r>
      <w:r w:rsidRPr="00724EA4">
        <w:t xml:space="preserve">retain their competitive </w:t>
      </w:r>
      <w:r>
        <w:t xml:space="preserve">or grandfathered </w:t>
      </w:r>
      <w:r w:rsidRPr="00724EA4">
        <w:t>status</w:t>
      </w:r>
      <w:r>
        <w:t xml:space="preserve">.  </w:t>
      </w:r>
      <w:r w:rsidRPr="003C545D">
        <w:rPr>
          <w:i/>
        </w:rPr>
        <w:t>See</w:t>
      </w:r>
      <w:r>
        <w:t xml:space="preserve"> </w:t>
      </w:r>
      <w:r w:rsidRPr="00C5756D">
        <w:t>47 CFR §§ 61.50(j)(3), 69.803(c)(3)</w:t>
      </w:r>
      <w:r>
        <w:t>, 69.807(a)</w:t>
      </w:r>
      <w:r w:rsidRPr="00C5756D">
        <w:t xml:space="preserve">; </w:t>
      </w:r>
      <w:r w:rsidRPr="00C5756D">
        <w:rPr>
          <w:i/>
        </w:rPr>
        <w:t>Price Cap BDS Order</w:t>
      </w:r>
      <w:r w:rsidRPr="00C5756D">
        <w:t>, 32 FCC Rcd at 3528-29, para</w:t>
      </w:r>
      <w:r>
        <w:t>s</w:t>
      </w:r>
      <w:r w:rsidRPr="00C5756D">
        <w:t xml:space="preserve">. </w:t>
      </w:r>
      <w:r>
        <w:t>151-</w:t>
      </w:r>
      <w:r w:rsidRPr="00C5756D">
        <w:t xml:space="preserve">152; </w:t>
      </w:r>
      <w:r w:rsidRPr="00C5756D">
        <w:rPr>
          <w:i/>
        </w:rPr>
        <w:t>Rate-of-Return BDS Order</w:t>
      </w:r>
      <w:r w:rsidRPr="00C5756D">
        <w:t>, 33 FCC Rcd at 10439, para. 103.</w:t>
      </w:r>
    </w:p>
  </w:footnote>
  <w:footnote w:id="17">
    <w:p w:rsidR="00CA22B5" w:rsidP="00E6702E" w14:paraId="799E5F1E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292014">
        <w:rPr>
          <w:i/>
        </w:rPr>
        <w:t>See</w:t>
      </w:r>
      <w:r>
        <w:t xml:space="preserve"> 47 CFR § 69.803(c); </w:t>
      </w:r>
      <w:r w:rsidRPr="00292014">
        <w:rPr>
          <w:i/>
        </w:rPr>
        <w:t>Price Cap BDS Order</w:t>
      </w:r>
      <w:r w:rsidRPr="00292014">
        <w:t>, 3</w:t>
      </w:r>
      <w:r>
        <w:t>2</w:t>
      </w:r>
      <w:r w:rsidRPr="00292014">
        <w:t xml:space="preserve"> FCC Rcd at 3528-29, paras. 151-52.</w:t>
      </w:r>
    </w:p>
  </w:footnote>
  <w:footnote w:id="18">
    <w:p w:rsidR="00CA22B5" w:rsidP="00E6702E" w14:paraId="4BB40193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BD04C1">
        <w:rPr>
          <w:i/>
        </w:rPr>
        <w:t xml:space="preserve">See </w:t>
      </w:r>
      <w:r>
        <w:t xml:space="preserve">47 CFR § 61.50(j)(1)-(2); </w:t>
      </w:r>
      <w:r w:rsidRPr="00AA0219">
        <w:rPr>
          <w:i/>
        </w:rPr>
        <w:t>Rate-of-Return BDS Order</w:t>
      </w:r>
      <w:r>
        <w:t>, 33 FCC Rcd at 10439-40, paras. 103-104.</w:t>
      </w:r>
    </w:p>
  </w:footnote>
  <w:footnote w:id="19">
    <w:p w:rsidR="00CA22B5" w:rsidRPr="00C5756D" w:rsidP="00E6702E" w14:paraId="3B30800E" w14:textId="77777777">
      <w:pPr>
        <w:pStyle w:val="FootnoteText"/>
        <w:spacing w:after="120"/>
      </w:pPr>
      <w:r w:rsidRPr="00C5756D">
        <w:rPr>
          <w:rStyle w:val="FootnoteReference"/>
        </w:rPr>
        <w:footnoteRef/>
      </w:r>
      <w:r w:rsidRPr="00C5756D">
        <w:t xml:space="preserve"> </w:t>
      </w:r>
      <w:r w:rsidRPr="00C5756D">
        <w:rPr>
          <w:i/>
        </w:rPr>
        <w:t>Price Cap BDS Order</w:t>
      </w:r>
      <w:r w:rsidRPr="00C5756D">
        <w:t xml:space="preserve">, 32 FCC Rcd at 3528, para. 151; </w:t>
      </w:r>
      <w:r w:rsidRPr="00C5756D">
        <w:rPr>
          <w:i/>
        </w:rPr>
        <w:t>Rate-of-Return BDS Order</w:t>
      </w:r>
      <w:r w:rsidRPr="00C5756D">
        <w:t xml:space="preserve">, 33 FCC Rcd at 10439-40, para. 104; 47 CFR §1.106 (petitions for reconsideration); 47 CFR § 1.115 (applications for review); </w:t>
      </w:r>
      <w:r w:rsidRPr="00C5756D">
        <w:rPr>
          <w:i/>
        </w:rPr>
        <w:t>see also</w:t>
      </w:r>
      <w:r w:rsidRPr="00C5756D">
        <w:t xml:space="preserve"> 47 CFR § 1.115(c) note (“Subject to the requirements of §1.106, new questions of fact or law may be presented to the designated authority in a petition for reconsideration.”). </w:t>
      </w:r>
    </w:p>
  </w:footnote>
  <w:footnote w:id="20">
    <w:p w:rsidR="00CA22B5" w:rsidP="00E6702E" w14:paraId="4EAD64B0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3C545D">
        <w:rPr>
          <w:i/>
        </w:rPr>
        <w:t>See</w:t>
      </w:r>
      <w:r>
        <w:t xml:space="preserve"> </w:t>
      </w:r>
      <w:r w:rsidRPr="00C5756D">
        <w:t>47 CFR §§ 61.50(j)(3), 69.803(c)(3)</w:t>
      </w:r>
      <w:r>
        <w:t>.</w:t>
      </w:r>
    </w:p>
  </w:footnote>
  <w:footnote w:id="21">
    <w:p w:rsidR="00CA22B5" w:rsidP="00E6702E" w14:paraId="6CFC9857" w14:textId="637EA1BE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C5756D">
        <w:rPr>
          <w:i/>
        </w:rPr>
        <w:t>See</w:t>
      </w:r>
      <w:r w:rsidRPr="00C5756D">
        <w:t xml:space="preserve"> </w:t>
      </w:r>
      <w:r w:rsidRPr="00010072">
        <w:rPr>
          <w:i/>
        </w:rPr>
        <w:t>BDS Competitive</w:t>
      </w:r>
      <w:r w:rsidR="00536650">
        <w:rPr>
          <w:i/>
        </w:rPr>
        <w:t xml:space="preserve"> Market Analysis Lists</w:t>
      </w:r>
      <w:r w:rsidR="00536650">
        <w:rPr>
          <w:iCs/>
        </w:rPr>
        <w:t>.</w:t>
      </w:r>
      <w:r w:rsidRPr="00010072">
        <w:rPr>
          <w:i/>
        </w:rPr>
        <w:t xml:space="preserve"> 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50A4" w14:paraId="1222B1A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22B5" w:rsidRPr="00CA22B5" w:rsidP="00CA22B5" w14:paraId="07C95704" w14:textId="6F166831">
    <w:pPr>
      <w:widowControl w:val="0"/>
      <w:tabs>
        <w:tab w:val="center" w:pos="4680"/>
        <w:tab w:val="right" w:pos="9360"/>
      </w:tabs>
      <w:spacing w:after="0" w:line="240" w:lineRule="auto"/>
      <w:rPr>
        <w:rFonts w:eastAsia="Times New Roman"/>
        <w:sz w:val="22"/>
      </w:rPr>
    </w:pPr>
    <w:r>
      <w:rPr>
        <w:rFonts w:eastAsia="Times New Roman"/>
        <w:b/>
        <w:sz w:val="22"/>
      </w:rPr>
      <w:tab/>
    </w:r>
    <w:r w:rsidRPr="00CA22B5">
      <w:rPr>
        <w:rFonts w:eastAsia="Times New Roman"/>
        <w:b/>
        <w:sz w:val="22"/>
      </w:rPr>
      <w:t>Federal Communications Commission</w:t>
    </w:r>
    <w:r w:rsidRPr="00CA22B5">
      <w:rPr>
        <w:rFonts w:eastAsia="Times New Roman"/>
        <w:b/>
        <w:sz w:val="22"/>
      </w:rPr>
      <w:tab/>
    </w:r>
    <w:r w:rsidRPr="00E050A4">
      <w:rPr>
        <w:rFonts w:eastAsia="Times New Roman"/>
        <w:b/>
        <w:sz w:val="22"/>
      </w:rPr>
      <w:t>DA 2</w:t>
    </w:r>
    <w:r w:rsidRPr="00E050A4" w:rsidR="00AC692E">
      <w:rPr>
        <w:rFonts w:eastAsia="Times New Roman"/>
        <w:b/>
        <w:sz w:val="22"/>
      </w:rPr>
      <w:t>3</w:t>
    </w:r>
    <w:r w:rsidRPr="00E050A4">
      <w:rPr>
        <w:rFonts w:eastAsia="Times New Roman"/>
        <w:b/>
        <w:sz w:val="22"/>
      </w:rPr>
      <w:t>-</w:t>
    </w:r>
    <w:r w:rsidRPr="00E050A4" w:rsidR="00E050A4">
      <w:rPr>
        <w:rFonts w:eastAsia="Times New Roman"/>
        <w:b/>
        <w:sz w:val="22"/>
      </w:rPr>
      <w:t>76</w:t>
    </w:r>
  </w:p>
  <w:p w:rsidR="00CA22B5" w:rsidRPr="00CA22B5" w:rsidP="00CA22B5" w14:paraId="55DB224A" w14:textId="3D16C0F2">
    <w:pPr>
      <w:widowControl w:val="0"/>
      <w:tabs>
        <w:tab w:val="left" w:pos="-720"/>
      </w:tabs>
      <w:suppressAutoHyphens/>
      <w:spacing w:after="0" w:line="19" w:lineRule="exact"/>
      <w:ind w:left="1440"/>
      <w:jc w:val="right"/>
      <w:rPr>
        <w:rFonts w:eastAsia="Times New Roman"/>
        <w:spacing w:val="-2"/>
        <w:sz w:val="22"/>
      </w:rPr>
    </w:pPr>
    <w:r w:rsidRPr="00CA22B5">
      <w:rPr>
        <w:rFonts w:eastAsia="Times New Roman"/>
        <w:noProof/>
        <w:sz w:val="22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22B5" w14:paraId="02C615A8" w14:textId="5B90F465">
    <w:pPr>
      <w:pStyle w:val="Header"/>
    </w:pPr>
    <w:r>
      <w:rPr>
        <w:noProof/>
      </w:rPr>
      <w:drawing>
        <wp:inline distT="0" distB="0" distL="0" distR="0">
          <wp:extent cx="5949950" cy="142684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B5"/>
    <w:rsid w:val="000036C4"/>
    <w:rsid w:val="00010072"/>
    <w:rsid w:val="00011861"/>
    <w:rsid w:val="000301B3"/>
    <w:rsid w:val="00037988"/>
    <w:rsid w:val="00055D21"/>
    <w:rsid w:val="00056D12"/>
    <w:rsid w:val="0006291C"/>
    <w:rsid w:val="00065F3D"/>
    <w:rsid w:val="00065F75"/>
    <w:rsid w:val="00067480"/>
    <w:rsid w:val="00070E87"/>
    <w:rsid w:val="00080D40"/>
    <w:rsid w:val="000929C9"/>
    <w:rsid w:val="000942F9"/>
    <w:rsid w:val="000C42DE"/>
    <w:rsid w:val="000E6A37"/>
    <w:rsid w:val="000F41FF"/>
    <w:rsid w:val="00105173"/>
    <w:rsid w:val="0011029F"/>
    <w:rsid w:val="00117392"/>
    <w:rsid w:val="00131E87"/>
    <w:rsid w:val="001434F5"/>
    <w:rsid w:val="0015309B"/>
    <w:rsid w:val="001650B0"/>
    <w:rsid w:val="00173172"/>
    <w:rsid w:val="001745F0"/>
    <w:rsid w:val="00177176"/>
    <w:rsid w:val="001A1EC3"/>
    <w:rsid w:val="001A3839"/>
    <w:rsid w:val="001E13F7"/>
    <w:rsid w:val="001F307D"/>
    <w:rsid w:val="001F7C0D"/>
    <w:rsid w:val="002053C1"/>
    <w:rsid w:val="002076C3"/>
    <w:rsid w:val="00216E9A"/>
    <w:rsid w:val="0023109D"/>
    <w:rsid w:val="00232678"/>
    <w:rsid w:val="002348D5"/>
    <w:rsid w:val="002374E1"/>
    <w:rsid w:val="002636E5"/>
    <w:rsid w:val="00266FDB"/>
    <w:rsid w:val="0027055D"/>
    <w:rsid w:val="00274A8D"/>
    <w:rsid w:val="00292014"/>
    <w:rsid w:val="002D30DB"/>
    <w:rsid w:val="002D7BE2"/>
    <w:rsid w:val="00304366"/>
    <w:rsid w:val="00332A56"/>
    <w:rsid w:val="00333187"/>
    <w:rsid w:val="003532F8"/>
    <w:rsid w:val="00376A5C"/>
    <w:rsid w:val="003A489A"/>
    <w:rsid w:val="003B286D"/>
    <w:rsid w:val="003B619D"/>
    <w:rsid w:val="003C545D"/>
    <w:rsid w:val="003F3ECB"/>
    <w:rsid w:val="00401942"/>
    <w:rsid w:val="00417946"/>
    <w:rsid w:val="0042596D"/>
    <w:rsid w:val="00430328"/>
    <w:rsid w:val="004479C2"/>
    <w:rsid w:val="004639AD"/>
    <w:rsid w:val="00464FDC"/>
    <w:rsid w:val="00466A9D"/>
    <w:rsid w:val="00477503"/>
    <w:rsid w:val="00486A09"/>
    <w:rsid w:val="00494129"/>
    <w:rsid w:val="004A0024"/>
    <w:rsid w:val="004B0407"/>
    <w:rsid w:val="004B435B"/>
    <w:rsid w:val="004B76C1"/>
    <w:rsid w:val="004D0489"/>
    <w:rsid w:val="004E0FE0"/>
    <w:rsid w:val="004F3407"/>
    <w:rsid w:val="004F785B"/>
    <w:rsid w:val="00512A33"/>
    <w:rsid w:val="00524338"/>
    <w:rsid w:val="00536650"/>
    <w:rsid w:val="00536F38"/>
    <w:rsid w:val="00543577"/>
    <w:rsid w:val="005436BD"/>
    <w:rsid w:val="00543D85"/>
    <w:rsid w:val="0055396B"/>
    <w:rsid w:val="00560DED"/>
    <w:rsid w:val="00561DC4"/>
    <w:rsid w:val="00566FA0"/>
    <w:rsid w:val="0057594B"/>
    <w:rsid w:val="005A75ED"/>
    <w:rsid w:val="005B67A6"/>
    <w:rsid w:val="005C191C"/>
    <w:rsid w:val="005E146E"/>
    <w:rsid w:val="005F1692"/>
    <w:rsid w:val="0062097E"/>
    <w:rsid w:val="00625D4A"/>
    <w:rsid w:val="00665E65"/>
    <w:rsid w:val="00673005"/>
    <w:rsid w:val="006753BD"/>
    <w:rsid w:val="0068089B"/>
    <w:rsid w:val="006970A8"/>
    <w:rsid w:val="00697B7F"/>
    <w:rsid w:val="006A283E"/>
    <w:rsid w:val="006B6B37"/>
    <w:rsid w:val="006C06C9"/>
    <w:rsid w:val="006D40BA"/>
    <w:rsid w:val="006D7813"/>
    <w:rsid w:val="006F2FC6"/>
    <w:rsid w:val="00701900"/>
    <w:rsid w:val="0070196C"/>
    <w:rsid w:val="00701DF9"/>
    <w:rsid w:val="00722437"/>
    <w:rsid w:val="00724EA4"/>
    <w:rsid w:val="0072513C"/>
    <w:rsid w:val="007259A5"/>
    <w:rsid w:val="00733009"/>
    <w:rsid w:val="0074345E"/>
    <w:rsid w:val="0075159C"/>
    <w:rsid w:val="00774C51"/>
    <w:rsid w:val="00777F77"/>
    <w:rsid w:val="00787D57"/>
    <w:rsid w:val="007A214B"/>
    <w:rsid w:val="007A25FC"/>
    <w:rsid w:val="007C42AF"/>
    <w:rsid w:val="007D2E30"/>
    <w:rsid w:val="007D4C24"/>
    <w:rsid w:val="007F4C10"/>
    <w:rsid w:val="00800D09"/>
    <w:rsid w:val="008069D3"/>
    <w:rsid w:val="00807352"/>
    <w:rsid w:val="00827C18"/>
    <w:rsid w:val="00856056"/>
    <w:rsid w:val="008616C5"/>
    <w:rsid w:val="0087673B"/>
    <w:rsid w:val="0088589A"/>
    <w:rsid w:val="00891A60"/>
    <w:rsid w:val="00893847"/>
    <w:rsid w:val="008A0332"/>
    <w:rsid w:val="008B3B56"/>
    <w:rsid w:val="008C655A"/>
    <w:rsid w:val="008E449F"/>
    <w:rsid w:val="008E636A"/>
    <w:rsid w:val="00900624"/>
    <w:rsid w:val="009034AD"/>
    <w:rsid w:val="0090501A"/>
    <w:rsid w:val="0090602D"/>
    <w:rsid w:val="009152C1"/>
    <w:rsid w:val="0092568D"/>
    <w:rsid w:val="0093499E"/>
    <w:rsid w:val="009377BF"/>
    <w:rsid w:val="00943CD8"/>
    <w:rsid w:val="00951C76"/>
    <w:rsid w:val="0095244D"/>
    <w:rsid w:val="00952D7E"/>
    <w:rsid w:val="009625DF"/>
    <w:rsid w:val="00964A7A"/>
    <w:rsid w:val="00983A26"/>
    <w:rsid w:val="0099206F"/>
    <w:rsid w:val="0099539D"/>
    <w:rsid w:val="009F0A4F"/>
    <w:rsid w:val="00A0166A"/>
    <w:rsid w:val="00A11430"/>
    <w:rsid w:val="00A1193D"/>
    <w:rsid w:val="00A26ACC"/>
    <w:rsid w:val="00A401B0"/>
    <w:rsid w:val="00A41128"/>
    <w:rsid w:val="00A45C3D"/>
    <w:rsid w:val="00A469E3"/>
    <w:rsid w:val="00A57EC9"/>
    <w:rsid w:val="00A725FA"/>
    <w:rsid w:val="00A74B2D"/>
    <w:rsid w:val="00A77472"/>
    <w:rsid w:val="00A86612"/>
    <w:rsid w:val="00A86848"/>
    <w:rsid w:val="00AA0219"/>
    <w:rsid w:val="00AA19B5"/>
    <w:rsid w:val="00AB651F"/>
    <w:rsid w:val="00AC0661"/>
    <w:rsid w:val="00AC692E"/>
    <w:rsid w:val="00AF0540"/>
    <w:rsid w:val="00AF0F4B"/>
    <w:rsid w:val="00B0459A"/>
    <w:rsid w:val="00B05691"/>
    <w:rsid w:val="00B05AE5"/>
    <w:rsid w:val="00B06ED0"/>
    <w:rsid w:val="00B5300D"/>
    <w:rsid w:val="00B64863"/>
    <w:rsid w:val="00B72990"/>
    <w:rsid w:val="00B75D4D"/>
    <w:rsid w:val="00B9583A"/>
    <w:rsid w:val="00BA4A65"/>
    <w:rsid w:val="00BB384E"/>
    <w:rsid w:val="00BD04C1"/>
    <w:rsid w:val="00BD1E37"/>
    <w:rsid w:val="00C01720"/>
    <w:rsid w:val="00C048C5"/>
    <w:rsid w:val="00C151D4"/>
    <w:rsid w:val="00C27E40"/>
    <w:rsid w:val="00C365D5"/>
    <w:rsid w:val="00C40EC5"/>
    <w:rsid w:val="00C56678"/>
    <w:rsid w:val="00C5756D"/>
    <w:rsid w:val="00C714F4"/>
    <w:rsid w:val="00C71AED"/>
    <w:rsid w:val="00C832E2"/>
    <w:rsid w:val="00C918A0"/>
    <w:rsid w:val="00CA22B5"/>
    <w:rsid w:val="00CA3807"/>
    <w:rsid w:val="00CC37B4"/>
    <w:rsid w:val="00CC4D2E"/>
    <w:rsid w:val="00CE0256"/>
    <w:rsid w:val="00CE74BD"/>
    <w:rsid w:val="00D01D59"/>
    <w:rsid w:val="00D0676A"/>
    <w:rsid w:val="00D07749"/>
    <w:rsid w:val="00D15839"/>
    <w:rsid w:val="00D3143D"/>
    <w:rsid w:val="00D52D7E"/>
    <w:rsid w:val="00D541C8"/>
    <w:rsid w:val="00D5778F"/>
    <w:rsid w:val="00D61B46"/>
    <w:rsid w:val="00D63044"/>
    <w:rsid w:val="00D632F2"/>
    <w:rsid w:val="00D641D3"/>
    <w:rsid w:val="00D81A38"/>
    <w:rsid w:val="00D826E8"/>
    <w:rsid w:val="00D9033A"/>
    <w:rsid w:val="00D917B8"/>
    <w:rsid w:val="00DA0EEA"/>
    <w:rsid w:val="00DA0F5D"/>
    <w:rsid w:val="00DA72A8"/>
    <w:rsid w:val="00DC4F1C"/>
    <w:rsid w:val="00DD7250"/>
    <w:rsid w:val="00DE4C01"/>
    <w:rsid w:val="00DF3081"/>
    <w:rsid w:val="00E00835"/>
    <w:rsid w:val="00E02499"/>
    <w:rsid w:val="00E050A4"/>
    <w:rsid w:val="00E13087"/>
    <w:rsid w:val="00E13520"/>
    <w:rsid w:val="00E1465B"/>
    <w:rsid w:val="00E147E4"/>
    <w:rsid w:val="00E16185"/>
    <w:rsid w:val="00E16AA9"/>
    <w:rsid w:val="00E20F75"/>
    <w:rsid w:val="00E5150B"/>
    <w:rsid w:val="00E574D6"/>
    <w:rsid w:val="00E64005"/>
    <w:rsid w:val="00E64396"/>
    <w:rsid w:val="00E6702E"/>
    <w:rsid w:val="00E671FD"/>
    <w:rsid w:val="00EA1320"/>
    <w:rsid w:val="00EA3668"/>
    <w:rsid w:val="00EB7A3C"/>
    <w:rsid w:val="00EC1427"/>
    <w:rsid w:val="00ED6DA5"/>
    <w:rsid w:val="00EE5367"/>
    <w:rsid w:val="00F10AAA"/>
    <w:rsid w:val="00F32EA4"/>
    <w:rsid w:val="00F3396E"/>
    <w:rsid w:val="00F37CA3"/>
    <w:rsid w:val="00F408E1"/>
    <w:rsid w:val="00F41519"/>
    <w:rsid w:val="00F50DC0"/>
    <w:rsid w:val="00F51363"/>
    <w:rsid w:val="00F51F1F"/>
    <w:rsid w:val="00F70DA5"/>
    <w:rsid w:val="00F80ACB"/>
    <w:rsid w:val="00F8284B"/>
    <w:rsid w:val="00F839AB"/>
    <w:rsid w:val="00F9593F"/>
    <w:rsid w:val="00FA0C0A"/>
    <w:rsid w:val="00FA1C8D"/>
    <w:rsid w:val="00FA62A5"/>
    <w:rsid w:val="00FA72B9"/>
    <w:rsid w:val="00FC1646"/>
    <w:rsid w:val="00FE6032"/>
    <w:rsid w:val="00FF1BB1"/>
    <w:rsid w:val="394E486F"/>
    <w:rsid w:val="48F80FE6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B1C1649"/>
  <w15:chartTrackingRefBased/>
  <w15:docId w15:val="{8397EDF7-73DE-49FE-AE9F-BBAC686F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napToGrid w:val="0"/>
        <w:kern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B5"/>
  </w:style>
  <w:style w:type="paragraph" w:styleId="Footer">
    <w:name w:val="footer"/>
    <w:basedOn w:val="Normal"/>
    <w:link w:val="FooterChar"/>
    <w:uiPriority w:val="99"/>
    <w:unhideWhenUsed/>
    <w:rsid w:val="00CA2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B5"/>
  </w:style>
  <w:style w:type="paragraph" w:styleId="FootnoteText">
    <w:name w:val="footnote text"/>
    <w:basedOn w:val="Normal"/>
    <w:link w:val="FootnoteTextChar"/>
    <w:uiPriority w:val="99"/>
    <w:semiHidden/>
    <w:unhideWhenUsed/>
    <w:rsid w:val="00CA22B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2B5"/>
  </w:style>
  <w:style w:type="character" w:styleId="FootnoteReference">
    <w:name w:val="footnote reference"/>
    <w:aliases w:val="(NECG) Footnote Reference,Appel note de bas de p,FR,Footnote Reference/,Footnote Reference1,Style 12,Style 124,Style 13,Style 17,Style 3,Style 4,Style 6,Style 7,fr,o"/>
    <w:rsid w:val="00CA22B5"/>
    <w:rPr>
      <w:rFonts w:ascii="Times New Roman" w:hAnsi="Times New Roman"/>
      <w:dstrike w:val="0"/>
      <w:color w:val="auto"/>
      <w:sz w:val="22"/>
      <w:vertAlign w:val="superscript"/>
    </w:rPr>
  </w:style>
  <w:style w:type="character" w:styleId="Hyperlink">
    <w:name w:val="Hyperlink"/>
    <w:rsid w:val="00CA22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0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0A4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F0A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A4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65F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16E9A"/>
    <w:pPr>
      <w:spacing w:after="0" w:line="240" w:lineRule="auto"/>
    </w:pPr>
  </w:style>
  <w:style w:type="table" w:styleId="TableGrid">
    <w:name w:val="Table Grid"/>
    <w:basedOn w:val="TableNormal"/>
    <w:uiPriority w:val="39"/>
    <w:rsid w:val="00A1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366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4479C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fcc.gov/general/bds-competitive-and-noncompetitive-lists" TargetMode="External" /><Relationship Id="rId6" Type="http://schemas.openxmlformats.org/officeDocument/2006/relationships/hyperlink" Target="mailto:Erik.Raven-Hansen@fcc.gov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fcc.gov/bds-competitive-and-noncompetitive-lists" TargetMode="External" /><Relationship Id="rId2" Type="http://schemas.openxmlformats.org/officeDocument/2006/relationships/hyperlink" Target="https://www.fcc.gov/general/broadband-deployment-data-fcc-form-477" TargetMode="Externa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