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C36C5" w:rsidRPr="00EC20D6" w:rsidP="00222FEE" w14:paraId="40D1CE26" w14:textId="77777777">
      <w:pPr>
        <w:spacing w:after="0"/>
        <w:jc w:val="center"/>
        <w:rPr>
          <w:rFonts w:ascii="Times New Roman" w:hAnsi="Times New Roman" w:cs="Times New Roman"/>
          <w:b/>
        </w:rPr>
      </w:pPr>
      <w:r w:rsidRPr="00EC20D6">
        <w:rPr>
          <w:rFonts w:ascii="Times New Roman" w:hAnsi="Times New Roman" w:cs="Times New Roman"/>
          <w:b/>
          <w:kern w:val="0"/>
        </w:rPr>
        <w:t>Before</w:t>
      </w:r>
      <w:r w:rsidRPr="00EC20D6">
        <w:rPr>
          <w:rFonts w:ascii="Times New Roman" w:hAnsi="Times New Roman" w:cs="Times New Roman"/>
          <w:b/>
        </w:rPr>
        <w:t xml:space="preserve"> the</w:t>
      </w:r>
    </w:p>
    <w:p w:rsidR="00FC36C5" w:rsidRPr="00EC20D6" w:rsidP="00222FEE" w14:paraId="4BDE55F4" w14:textId="77777777">
      <w:pPr>
        <w:pStyle w:val="StyleBoldCentered"/>
        <w:spacing w:after="0"/>
        <w:rPr>
          <w:rFonts w:ascii="Times New Roman" w:hAnsi="Times New Roman" w:cs="Times New Roman"/>
        </w:rPr>
      </w:pPr>
      <w:r w:rsidRPr="00EC20D6">
        <w:rPr>
          <w:rFonts w:ascii="Times New Roman" w:hAnsi="Times New Roman" w:cs="Times New Roman"/>
        </w:rPr>
        <w:t>F</w:t>
      </w:r>
      <w:r w:rsidRPr="00EC20D6">
        <w:rPr>
          <w:rFonts w:ascii="Times New Roman" w:hAnsi="Times New Roman" w:cs="Times New Roman"/>
          <w:caps w:val="0"/>
        </w:rPr>
        <w:t>ederal Communications Commission</w:t>
      </w:r>
    </w:p>
    <w:p w:rsidR="00FC36C5" w:rsidRPr="00EC20D6" w:rsidP="00222FEE" w14:paraId="2B945CCA" w14:textId="77777777">
      <w:pPr>
        <w:pStyle w:val="StyleBoldCentered"/>
        <w:spacing w:after="0"/>
        <w:rPr>
          <w:rFonts w:ascii="Times New Roman" w:hAnsi="Times New Roman" w:cs="Times New Roman"/>
        </w:rPr>
      </w:pPr>
      <w:r w:rsidRPr="00EC20D6">
        <w:rPr>
          <w:rFonts w:ascii="Times New Roman" w:hAnsi="Times New Roman" w:cs="Times New Roman"/>
        </w:rPr>
        <w:t>W</w:t>
      </w:r>
      <w:r w:rsidRPr="00EC20D6">
        <w:rPr>
          <w:rFonts w:ascii="Times New Roman" w:hAnsi="Times New Roman" w:cs="Times New Roman"/>
          <w:caps w:val="0"/>
        </w:rPr>
        <w:t>ashington</w:t>
      </w:r>
      <w:r w:rsidRPr="00EC20D6">
        <w:rPr>
          <w:rFonts w:ascii="Times New Roman" w:hAnsi="Times New Roman" w:cs="Times New Roman"/>
        </w:rPr>
        <w:t>, D.C. 20554</w:t>
      </w:r>
    </w:p>
    <w:p w:rsidR="00FC36C5" w:rsidRPr="00EC20D6" w:rsidP="00FC36C5" w14:paraId="75B8817A" w14:textId="77777777">
      <w:pPr>
        <w:rPr>
          <w:rFonts w:ascii="Times New Roman" w:hAnsi="Times New Roman" w:cs="Times New Roman"/>
        </w:rPr>
      </w:pPr>
    </w:p>
    <w:p w:rsidR="00FC36C5" w:rsidRPr="00EC20D6" w:rsidP="00FC36C5" w14:paraId="424C2C31" w14:textId="77777777">
      <w:pPr>
        <w:rPr>
          <w:rFonts w:ascii="Times New Roman" w:hAnsi="Times New Roman" w:cs="Times New Roman"/>
        </w:rPr>
      </w:pPr>
    </w:p>
    <w:tbl>
      <w:tblPr>
        <w:tblW w:w="0" w:type="auto"/>
        <w:tblLayout w:type="fixed"/>
        <w:tblLook w:val="0000"/>
      </w:tblPr>
      <w:tblGrid>
        <w:gridCol w:w="4698"/>
        <w:gridCol w:w="630"/>
      </w:tblGrid>
      <w:tr w14:paraId="5B350A6A" w14:textId="77777777" w:rsidTr="009A05DF">
        <w:tblPrEx>
          <w:tblW w:w="0" w:type="auto"/>
          <w:tblLayout w:type="fixed"/>
          <w:tblLook w:val="0000"/>
        </w:tblPrEx>
        <w:tc>
          <w:tcPr>
            <w:tcW w:w="4698" w:type="dxa"/>
          </w:tcPr>
          <w:p w:rsidR="00FC36C5" w:rsidRPr="00EC20D6" w:rsidP="00222FEE" w14:paraId="7F482BD7" w14:textId="77777777">
            <w:pPr>
              <w:tabs>
                <w:tab w:val="center" w:pos="4680"/>
              </w:tabs>
              <w:suppressAutoHyphens/>
              <w:spacing w:after="0"/>
              <w:rPr>
                <w:rFonts w:ascii="Times New Roman" w:hAnsi="Times New Roman" w:cs="Times New Roman"/>
                <w:spacing w:val="-2"/>
              </w:rPr>
            </w:pPr>
            <w:r w:rsidRPr="00EC20D6">
              <w:rPr>
                <w:rFonts w:ascii="Times New Roman" w:hAnsi="Times New Roman" w:cs="Times New Roman"/>
                <w:spacing w:val="-2"/>
              </w:rPr>
              <w:t xml:space="preserve">In the Matter of </w:t>
            </w:r>
          </w:p>
          <w:p w:rsidR="00FC36C5" w:rsidRPr="00EC20D6" w:rsidP="00222FEE" w14:paraId="0EC6C15B" w14:textId="77777777">
            <w:pPr>
              <w:tabs>
                <w:tab w:val="center" w:pos="4680"/>
              </w:tabs>
              <w:suppressAutoHyphens/>
              <w:spacing w:after="0"/>
              <w:rPr>
                <w:rFonts w:ascii="Times New Roman" w:hAnsi="Times New Roman" w:cs="Times New Roman"/>
                <w:spacing w:val="-2"/>
              </w:rPr>
            </w:pPr>
          </w:p>
          <w:p w:rsidR="00FC36C5" w:rsidRPr="00EC20D6" w:rsidP="00222FEE" w14:paraId="79F48969" w14:textId="77777777">
            <w:pPr>
              <w:tabs>
                <w:tab w:val="center" w:pos="4680"/>
              </w:tabs>
              <w:suppressAutoHyphens/>
              <w:spacing w:after="0"/>
              <w:rPr>
                <w:rFonts w:ascii="Times New Roman" w:hAnsi="Times New Roman" w:cs="Times New Roman"/>
                <w:spacing w:val="-2"/>
              </w:rPr>
            </w:pPr>
            <w:r w:rsidRPr="00EC20D6">
              <w:rPr>
                <w:rFonts w:ascii="Times New Roman" w:hAnsi="Times New Roman" w:cs="Times New Roman"/>
                <w:spacing w:val="-2"/>
              </w:rPr>
              <w:t xml:space="preserve">AMERICAN RADIO RELAY LEAGUE </w:t>
            </w:r>
          </w:p>
          <w:p w:rsidR="00FC36C5" w:rsidRPr="00EC20D6" w:rsidP="00222FEE" w14:paraId="35487AAE" w14:textId="77777777">
            <w:pPr>
              <w:tabs>
                <w:tab w:val="center" w:pos="4680"/>
              </w:tabs>
              <w:suppressAutoHyphens/>
              <w:spacing w:after="0"/>
              <w:rPr>
                <w:rFonts w:ascii="Times New Roman" w:hAnsi="Times New Roman" w:cs="Times New Roman"/>
                <w:spacing w:val="-2"/>
              </w:rPr>
            </w:pPr>
          </w:p>
          <w:p w:rsidR="00FC36C5" w:rsidRPr="00EC20D6" w:rsidP="00222FEE" w14:paraId="389730AA" w14:textId="77777777">
            <w:pPr>
              <w:tabs>
                <w:tab w:val="center" w:pos="4680"/>
              </w:tabs>
              <w:suppressAutoHyphens/>
              <w:spacing w:after="0"/>
              <w:rPr>
                <w:rFonts w:ascii="Times New Roman" w:hAnsi="Times New Roman" w:cs="Times New Roman"/>
                <w:spacing w:val="-2"/>
              </w:rPr>
            </w:pPr>
            <w:r w:rsidRPr="00EC20D6">
              <w:rPr>
                <w:rFonts w:ascii="Times New Roman" w:hAnsi="Times New Roman" w:cs="Times New Roman"/>
                <w:spacing w:val="-2"/>
              </w:rPr>
              <w:t>Emergency Request for a Temporary Waiver of Section 97.307(f) of the Commission’s Rules</w:t>
            </w:r>
          </w:p>
        </w:tc>
        <w:tc>
          <w:tcPr>
            <w:tcW w:w="630" w:type="dxa"/>
          </w:tcPr>
          <w:p w:rsidR="00FC36C5" w:rsidRPr="00EC20D6" w:rsidP="00222FEE" w14:paraId="1B32C03A" w14:textId="77777777">
            <w:pPr>
              <w:tabs>
                <w:tab w:val="center" w:pos="4680"/>
              </w:tabs>
              <w:suppressAutoHyphens/>
              <w:spacing w:after="0"/>
              <w:rPr>
                <w:rFonts w:ascii="Times New Roman" w:hAnsi="Times New Roman" w:cs="Times New Roman"/>
                <w:b/>
                <w:spacing w:val="-2"/>
              </w:rPr>
            </w:pPr>
            <w:r w:rsidRPr="00EC20D6">
              <w:rPr>
                <w:rFonts w:ascii="Times New Roman" w:hAnsi="Times New Roman" w:cs="Times New Roman"/>
                <w:b/>
                <w:spacing w:val="-2"/>
              </w:rPr>
              <w:t>)</w:t>
            </w:r>
          </w:p>
          <w:p w:rsidR="00FC36C5" w:rsidRPr="00EC20D6" w:rsidP="00222FEE" w14:paraId="05053C14" w14:textId="77777777">
            <w:pPr>
              <w:tabs>
                <w:tab w:val="center" w:pos="4680"/>
              </w:tabs>
              <w:suppressAutoHyphens/>
              <w:spacing w:after="0"/>
              <w:rPr>
                <w:rFonts w:ascii="Times New Roman" w:hAnsi="Times New Roman" w:cs="Times New Roman"/>
                <w:b/>
                <w:spacing w:val="-2"/>
              </w:rPr>
            </w:pPr>
            <w:r w:rsidRPr="00EC20D6">
              <w:rPr>
                <w:rFonts w:ascii="Times New Roman" w:hAnsi="Times New Roman" w:cs="Times New Roman"/>
                <w:b/>
                <w:spacing w:val="-2"/>
              </w:rPr>
              <w:t>)</w:t>
            </w:r>
          </w:p>
          <w:p w:rsidR="00FC36C5" w:rsidRPr="00EC20D6" w:rsidP="00222FEE" w14:paraId="34DE77ED" w14:textId="77777777">
            <w:pPr>
              <w:tabs>
                <w:tab w:val="center" w:pos="4680"/>
              </w:tabs>
              <w:suppressAutoHyphens/>
              <w:spacing w:after="0"/>
              <w:rPr>
                <w:rFonts w:ascii="Times New Roman" w:hAnsi="Times New Roman" w:cs="Times New Roman"/>
                <w:b/>
                <w:spacing w:val="-2"/>
              </w:rPr>
            </w:pPr>
            <w:r w:rsidRPr="00EC20D6">
              <w:rPr>
                <w:rFonts w:ascii="Times New Roman" w:hAnsi="Times New Roman" w:cs="Times New Roman"/>
                <w:b/>
                <w:spacing w:val="-2"/>
              </w:rPr>
              <w:t>)</w:t>
            </w:r>
          </w:p>
          <w:p w:rsidR="00FC36C5" w:rsidRPr="00EC20D6" w:rsidP="00222FEE" w14:paraId="55AB7C77" w14:textId="77777777">
            <w:pPr>
              <w:tabs>
                <w:tab w:val="center" w:pos="4680"/>
              </w:tabs>
              <w:suppressAutoHyphens/>
              <w:spacing w:after="0"/>
              <w:rPr>
                <w:rFonts w:ascii="Times New Roman" w:hAnsi="Times New Roman" w:cs="Times New Roman"/>
                <w:b/>
                <w:spacing w:val="-2"/>
              </w:rPr>
            </w:pPr>
            <w:r w:rsidRPr="00EC20D6">
              <w:rPr>
                <w:rFonts w:ascii="Times New Roman" w:hAnsi="Times New Roman" w:cs="Times New Roman"/>
                <w:b/>
                <w:spacing w:val="-2"/>
              </w:rPr>
              <w:t>)</w:t>
            </w:r>
          </w:p>
          <w:p w:rsidR="00FC36C5" w:rsidRPr="00EC20D6" w:rsidP="00222FEE" w14:paraId="2ED2B201" w14:textId="77777777">
            <w:pPr>
              <w:tabs>
                <w:tab w:val="center" w:pos="4680"/>
              </w:tabs>
              <w:suppressAutoHyphens/>
              <w:spacing w:after="0"/>
              <w:rPr>
                <w:rFonts w:ascii="Times New Roman" w:hAnsi="Times New Roman" w:cs="Times New Roman"/>
                <w:b/>
                <w:spacing w:val="-2"/>
              </w:rPr>
            </w:pPr>
            <w:r w:rsidRPr="00EC20D6">
              <w:rPr>
                <w:rFonts w:ascii="Times New Roman" w:hAnsi="Times New Roman" w:cs="Times New Roman"/>
                <w:b/>
                <w:spacing w:val="-2"/>
              </w:rPr>
              <w:t>)</w:t>
            </w:r>
          </w:p>
          <w:p w:rsidR="00FC36C5" w:rsidRPr="00EC20D6" w:rsidP="00222FEE" w14:paraId="6403A2DC" w14:textId="77777777">
            <w:pPr>
              <w:tabs>
                <w:tab w:val="center" w:pos="4680"/>
              </w:tabs>
              <w:suppressAutoHyphens/>
              <w:spacing w:after="0"/>
              <w:rPr>
                <w:rFonts w:ascii="Times New Roman" w:hAnsi="Times New Roman" w:cs="Times New Roman"/>
                <w:b/>
                <w:spacing w:val="-2"/>
              </w:rPr>
            </w:pPr>
            <w:r w:rsidRPr="00EC20D6">
              <w:rPr>
                <w:rFonts w:ascii="Times New Roman" w:hAnsi="Times New Roman" w:cs="Times New Roman"/>
                <w:b/>
                <w:spacing w:val="-2"/>
              </w:rPr>
              <w:t>)</w:t>
            </w:r>
          </w:p>
          <w:p w:rsidR="00FC36C5" w:rsidRPr="00EC20D6" w:rsidP="00222FEE" w14:paraId="7A8BAB3C" w14:textId="77777777">
            <w:pPr>
              <w:tabs>
                <w:tab w:val="center" w:pos="4680"/>
              </w:tabs>
              <w:suppressAutoHyphens/>
              <w:spacing w:after="0"/>
              <w:rPr>
                <w:rFonts w:ascii="Times New Roman" w:hAnsi="Times New Roman" w:cs="Times New Roman"/>
                <w:b/>
                <w:spacing w:val="-2"/>
              </w:rPr>
            </w:pPr>
          </w:p>
        </w:tc>
      </w:tr>
    </w:tbl>
    <w:p w:rsidR="00FC36C5" w:rsidRPr="00EC20D6" w:rsidP="00FC36C5" w14:paraId="1CDD7AD2" w14:textId="77777777">
      <w:pPr>
        <w:rPr>
          <w:rFonts w:ascii="Times New Roman" w:hAnsi="Times New Roman" w:cs="Times New Roman"/>
        </w:rPr>
      </w:pPr>
    </w:p>
    <w:p w:rsidR="00FC36C5" w:rsidRPr="00EC20D6" w:rsidP="00FC36C5" w14:paraId="77BD9CDB" w14:textId="77777777">
      <w:pPr>
        <w:pStyle w:val="StyleBoldCentered"/>
        <w:rPr>
          <w:rFonts w:ascii="Times New Roman" w:hAnsi="Times New Roman" w:cs="Times New Roman"/>
        </w:rPr>
      </w:pPr>
      <w:r w:rsidRPr="00EC20D6">
        <w:rPr>
          <w:rFonts w:ascii="Times New Roman" w:hAnsi="Times New Roman" w:cs="Times New Roman"/>
        </w:rPr>
        <w:t>ORDER</w:t>
      </w:r>
    </w:p>
    <w:p w:rsidR="00FC36C5" w:rsidRPr="00EC20D6" w:rsidP="00FC36C5" w14:paraId="40378434" w14:textId="77777777">
      <w:pPr>
        <w:tabs>
          <w:tab w:val="left" w:pos="-720"/>
        </w:tabs>
        <w:suppressAutoHyphens/>
        <w:spacing w:line="227" w:lineRule="auto"/>
        <w:rPr>
          <w:rFonts w:ascii="Times New Roman" w:hAnsi="Times New Roman" w:cs="Times New Roman"/>
          <w:spacing w:val="-2"/>
        </w:rPr>
      </w:pPr>
    </w:p>
    <w:p w:rsidR="00FC36C5" w:rsidRPr="00EC20D6" w:rsidP="00FC36C5" w14:paraId="2CD7A877" w14:textId="347DF6D6">
      <w:pPr>
        <w:tabs>
          <w:tab w:val="left" w:pos="720"/>
          <w:tab w:val="right" w:pos="9360"/>
        </w:tabs>
        <w:suppressAutoHyphens/>
        <w:spacing w:line="227" w:lineRule="auto"/>
        <w:rPr>
          <w:rFonts w:ascii="Times New Roman" w:hAnsi="Times New Roman" w:cs="Times New Roman"/>
          <w:spacing w:val="-2"/>
        </w:rPr>
      </w:pPr>
      <w:r w:rsidRPr="00EC20D6">
        <w:rPr>
          <w:rFonts w:ascii="Times New Roman" w:hAnsi="Times New Roman" w:cs="Times New Roman"/>
          <w:b/>
          <w:spacing w:val="-2"/>
        </w:rPr>
        <w:t xml:space="preserve">Adopted:  </w:t>
      </w:r>
      <w:r w:rsidRPr="00B51759" w:rsidR="002E37CC">
        <w:rPr>
          <w:rFonts w:ascii="Times New Roman" w:hAnsi="Times New Roman" w:cs="Times New Roman"/>
          <w:b/>
          <w:spacing w:val="-2"/>
        </w:rPr>
        <w:t xml:space="preserve">August </w:t>
      </w:r>
      <w:r w:rsidR="00B51759">
        <w:rPr>
          <w:rFonts w:ascii="Times New Roman" w:hAnsi="Times New Roman" w:cs="Times New Roman"/>
          <w:b/>
          <w:spacing w:val="-2"/>
        </w:rPr>
        <w:t>30</w:t>
      </w:r>
      <w:r w:rsidRPr="00B51759">
        <w:rPr>
          <w:rFonts w:ascii="Times New Roman" w:hAnsi="Times New Roman" w:cs="Times New Roman"/>
          <w:b/>
          <w:spacing w:val="-2"/>
        </w:rPr>
        <w:t>, 202</w:t>
      </w:r>
      <w:r w:rsidRPr="00B51759" w:rsidR="002E37CC">
        <w:rPr>
          <w:rFonts w:ascii="Times New Roman" w:hAnsi="Times New Roman" w:cs="Times New Roman"/>
          <w:b/>
          <w:spacing w:val="-2"/>
        </w:rPr>
        <w:t>3</w:t>
      </w:r>
      <w:r w:rsidRPr="00EC20D6">
        <w:rPr>
          <w:rFonts w:ascii="Times New Roman" w:hAnsi="Times New Roman" w:cs="Times New Roman"/>
          <w:b/>
          <w:spacing w:val="-2"/>
        </w:rPr>
        <w:tab/>
        <w:t xml:space="preserve">Released:  </w:t>
      </w:r>
      <w:r w:rsidRPr="00B51759" w:rsidR="002E37CC">
        <w:rPr>
          <w:rFonts w:ascii="Times New Roman" w:hAnsi="Times New Roman" w:cs="Times New Roman"/>
          <w:b/>
          <w:spacing w:val="-2"/>
        </w:rPr>
        <w:t xml:space="preserve">August </w:t>
      </w:r>
      <w:r w:rsidR="00B51759">
        <w:rPr>
          <w:rFonts w:ascii="Times New Roman" w:hAnsi="Times New Roman" w:cs="Times New Roman"/>
          <w:b/>
          <w:spacing w:val="-2"/>
        </w:rPr>
        <w:t>30</w:t>
      </w:r>
      <w:r w:rsidRPr="00B51759">
        <w:rPr>
          <w:rFonts w:ascii="Times New Roman" w:hAnsi="Times New Roman" w:cs="Times New Roman"/>
          <w:b/>
          <w:spacing w:val="-2"/>
        </w:rPr>
        <w:t>, 202</w:t>
      </w:r>
      <w:r w:rsidRPr="00B51759" w:rsidR="002E37CC">
        <w:rPr>
          <w:rFonts w:ascii="Times New Roman" w:hAnsi="Times New Roman" w:cs="Times New Roman"/>
          <w:b/>
          <w:spacing w:val="-2"/>
        </w:rPr>
        <w:t>3</w:t>
      </w:r>
    </w:p>
    <w:p w:rsidR="00FC36C5" w:rsidRPr="00EC20D6" w:rsidP="00222FEE" w14:paraId="6866B472" w14:textId="77777777">
      <w:pPr>
        <w:spacing w:after="0"/>
        <w:rPr>
          <w:rFonts w:ascii="Times New Roman" w:hAnsi="Times New Roman" w:cs="Times New Roman"/>
        </w:rPr>
      </w:pPr>
    </w:p>
    <w:p w:rsidR="00FC36C5" w:rsidRPr="00EC20D6" w:rsidP="00FC36C5" w14:paraId="472563BD" w14:textId="77777777">
      <w:pPr>
        <w:rPr>
          <w:rFonts w:ascii="Times New Roman" w:hAnsi="Times New Roman" w:cs="Times New Roman"/>
        </w:rPr>
      </w:pPr>
      <w:r w:rsidRPr="00EC20D6">
        <w:rPr>
          <w:rFonts w:ascii="Times New Roman" w:hAnsi="Times New Roman" w:cs="Times New Roman"/>
        </w:rPr>
        <w:t>By the Deputy Chief, Mobility Division, Wireless Telecommunications Bureau:</w:t>
      </w:r>
    </w:p>
    <w:p w:rsidR="00FC36C5" w:rsidRPr="00EC20D6" w:rsidP="00222FEE" w14:paraId="007019D6" w14:textId="77777777">
      <w:pPr>
        <w:spacing w:after="0"/>
        <w:rPr>
          <w:rFonts w:ascii="Times New Roman" w:hAnsi="Times New Roman" w:cs="Times New Roman"/>
        </w:rPr>
      </w:pPr>
    </w:p>
    <w:p w:rsidR="00FC36C5" w:rsidRPr="00EC20D6" w:rsidP="00FC36C5" w14:paraId="679BE7DA" w14:textId="77777777">
      <w:pPr>
        <w:pStyle w:val="ParaNum"/>
        <w:rPr>
          <w:rFonts w:ascii="Times New Roman" w:hAnsi="Times New Roman" w:cs="Times New Roman"/>
        </w:rPr>
      </w:pPr>
      <w:r w:rsidRPr="00EC20D6">
        <w:rPr>
          <w:rFonts w:ascii="Times New Roman" w:hAnsi="Times New Roman" w:cs="Times New Roman"/>
          <w:i/>
        </w:rPr>
        <w:t xml:space="preserve">Introduction.  </w:t>
      </w:r>
      <w:r w:rsidRPr="00EC20D6">
        <w:rPr>
          <w:rFonts w:ascii="Times New Roman" w:hAnsi="Times New Roman" w:cs="Times New Roman"/>
        </w:rPr>
        <w:t>We have before us a request filed by the American Radio Relay League (ARRL) for a temporary 60-day waiver to permit amateur data transmissions at a higher symbol rate than currently is permitted by section 97.307(f) of the Commission’s rules, in order to facilitate hurricane relief communications within the United States and its territories.</w:t>
      </w:r>
      <w:r>
        <w:rPr>
          <w:rStyle w:val="FootnoteReference"/>
          <w:rFonts w:cs="Times New Roman"/>
        </w:rPr>
        <w:footnoteReference w:id="3"/>
      </w:r>
      <w:r w:rsidRPr="00EC20D6">
        <w:rPr>
          <w:rFonts w:ascii="Times New Roman" w:hAnsi="Times New Roman" w:cs="Times New Roman"/>
        </w:rPr>
        <w:t xml:space="preserve">  For the reasons set forth below, we grant the waiver request</w:t>
      </w:r>
      <w:r w:rsidRPr="00EC20D6">
        <w:rPr>
          <w:rFonts w:ascii="Times New Roman" w:hAnsi="Times New Roman" w:cs="Times New Roman"/>
          <w:i/>
        </w:rPr>
        <w:t>.</w:t>
      </w:r>
    </w:p>
    <w:p w:rsidR="00FC36C5" w:rsidRPr="00EC20D6" w:rsidP="00FC36C5" w14:paraId="631A907A" w14:textId="32557629">
      <w:pPr>
        <w:pStyle w:val="ParaNum"/>
        <w:rPr>
          <w:rFonts w:ascii="Times New Roman" w:hAnsi="Times New Roman" w:cs="Times New Roman"/>
        </w:rPr>
      </w:pPr>
      <w:r w:rsidRPr="00EC20D6">
        <w:rPr>
          <w:rFonts w:ascii="Times New Roman" w:hAnsi="Times New Roman" w:cs="Times New Roman"/>
          <w:i/>
        </w:rPr>
        <w:t xml:space="preserve">Background.  </w:t>
      </w:r>
      <w:r w:rsidRPr="00EC20D6">
        <w:rPr>
          <w:rFonts w:ascii="Times New Roman" w:hAnsi="Times New Roman" w:cs="Times New Roman"/>
        </w:rPr>
        <w:t>Section 97.307(f) limits the symbol rate (also known as the baud rate) – the rate at which the carrier waveform amplitude, frequency, and/or phase is varied to transmit information</w:t>
      </w:r>
      <w:r>
        <w:rPr>
          <w:rStyle w:val="FootnoteReference"/>
          <w:rFonts w:cs="Times New Roman"/>
        </w:rPr>
        <w:footnoteReference w:id="4"/>
      </w:r>
      <w:r w:rsidRPr="00EC20D6">
        <w:rPr>
          <w:rFonts w:ascii="Times New Roman" w:hAnsi="Times New Roman" w:cs="Times New Roman"/>
        </w:rPr>
        <w:t xml:space="preserve"> – for high frequency (HF) amateur radioteletype (RTTY)/data transmissions as follows</w:t>
      </w:r>
      <w:r w:rsidR="00B05626">
        <w:rPr>
          <w:rFonts w:ascii="Times New Roman" w:hAnsi="Times New Roman" w:cs="Times New Roman"/>
        </w:rPr>
        <w:t>:</w:t>
      </w:r>
      <w:r w:rsidRPr="00EC20D6">
        <w:rPr>
          <w:rFonts w:ascii="Times New Roman" w:hAnsi="Times New Roman" w:cs="Times New Roman"/>
        </w:rPr>
        <w:t xml:space="preserve"> to 300 bauds for frequencies below 28 MHz (except the 60 meter band), and 1200 bauds in the 10 meter (28</w:t>
      </w:r>
      <w:r w:rsidR="00B250C2">
        <w:rPr>
          <w:rFonts w:ascii="Times New Roman" w:hAnsi="Times New Roman" w:cs="Times New Roman"/>
        </w:rPr>
        <w:t>–</w:t>
      </w:r>
      <w:r w:rsidRPr="00EC20D6">
        <w:rPr>
          <w:rFonts w:ascii="Times New Roman" w:hAnsi="Times New Roman" w:cs="Times New Roman"/>
        </w:rPr>
        <w:t>29.7 MHz) band.</w:t>
      </w:r>
      <w:r>
        <w:rPr>
          <w:rStyle w:val="FootnoteReference"/>
          <w:rFonts w:cs="Times New Roman"/>
        </w:rPr>
        <w:footnoteReference w:id="5"/>
      </w:r>
      <w:r w:rsidRPr="00EC20D6">
        <w:rPr>
          <w:rFonts w:ascii="Times New Roman" w:hAnsi="Times New Roman" w:cs="Times New Roman"/>
        </w:rPr>
        <w:t xml:space="preserve">  The digital code used to encode the signal being transmitted must be one of the codes specified in section 97.309(a) of the Commission’s rules, but an amateur station transmitting a RTTY or data emission using one of the specified digital codes may use any technique whose technical characteristics have been publicly documented, such as CLOVER, G-TOR, or PACTOR.</w:t>
      </w:r>
      <w:r>
        <w:rPr>
          <w:rStyle w:val="FootnoteReference"/>
          <w:rFonts w:cs="Times New Roman"/>
        </w:rPr>
        <w:footnoteReference w:id="6"/>
      </w:r>
      <w:r w:rsidRPr="00EC20D6">
        <w:rPr>
          <w:rFonts w:ascii="Times New Roman" w:hAnsi="Times New Roman" w:cs="Times New Roman"/>
        </w:rPr>
        <w:t xml:space="preserve">  </w:t>
      </w:r>
    </w:p>
    <w:p w:rsidR="00FC36C5" w:rsidRPr="00EC20D6" w:rsidP="00FC36C5" w14:paraId="0D258E69" w14:textId="37074B16">
      <w:pPr>
        <w:pStyle w:val="ParaNum"/>
        <w:rPr>
          <w:rFonts w:ascii="Times New Roman" w:hAnsi="Times New Roman" w:cs="Times New Roman"/>
        </w:rPr>
      </w:pPr>
      <w:r w:rsidRPr="00EC20D6">
        <w:rPr>
          <w:rFonts w:ascii="Times New Roman" w:hAnsi="Times New Roman" w:cs="Times New Roman"/>
        </w:rPr>
        <w:t>ARRL seeks this waiver for those licensed radio amateurs who are directly involved with Amateur Radio Emergency Services (ARES) and other communication support groups working with Federal, state and local emergency management officials.</w:t>
      </w:r>
      <w:r>
        <w:rPr>
          <w:rStyle w:val="FootnoteReference"/>
          <w:rFonts w:cs="Times New Roman"/>
        </w:rPr>
        <w:footnoteReference w:id="7"/>
      </w:r>
      <w:r w:rsidRPr="00EC20D6">
        <w:rPr>
          <w:rFonts w:ascii="Times New Roman" w:hAnsi="Times New Roman" w:cs="Times New Roman"/>
        </w:rPr>
        <w:t xml:space="preserve">  They request a 60-day waiver, subject to extension.  ARRL states that Section 97.307(f) of the Commission’s Rules prevents the use of certain protocols capable of higher data rate emissions in the High Frequency (HF) bands and many Amateur stations active in emergency communications preparedness are capable of using.  They also point out that the past FCC temporary waivers have allowed such protocols in similar events including Hurricanes Maria, Dorian, Laura, Ida,</w:t>
      </w:r>
      <w:r w:rsidR="002D1707">
        <w:rPr>
          <w:rFonts w:ascii="Times New Roman" w:hAnsi="Times New Roman" w:cs="Times New Roman"/>
        </w:rPr>
        <w:t xml:space="preserve"> </w:t>
      </w:r>
      <w:r w:rsidR="00AE6CE2">
        <w:rPr>
          <w:rFonts w:ascii="Times New Roman" w:hAnsi="Times New Roman" w:cs="Times New Roman"/>
        </w:rPr>
        <w:t xml:space="preserve">and </w:t>
      </w:r>
      <w:r w:rsidR="002D1707">
        <w:rPr>
          <w:rFonts w:ascii="Times New Roman" w:hAnsi="Times New Roman" w:cs="Times New Roman"/>
        </w:rPr>
        <w:t>Ian</w:t>
      </w:r>
      <w:r w:rsidR="00B8119A">
        <w:rPr>
          <w:rFonts w:ascii="Times New Roman" w:hAnsi="Times New Roman" w:cs="Times New Roman"/>
        </w:rPr>
        <w:t>;</w:t>
      </w:r>
      <w:r w:rsidRPr="00EC20D6">
        <w:rPr>
          <w:rFonts w:ascii="Times New Roman" w:hAnsi="Times New Roman" w:cs="Times New Roman"/>
        </w:rPr>
        <w:t xml:space="preserve"> Typhoon relief communications in Hawaii</w:t>
      </w:r>
      <w:r w:rsidR="00B8119A">
        <w:rPr>
          <w:rFonts w:ascii="Times New Roman" w:hAnsi="Times New Roman" w:cs="Times New Roman"/>
        </w:rPr>
        <w:t>;</w:t>
      </w:r>
      <w:r w:rsidRPr="00EC20D6">
        <w:rPr>
          <w:rFonts w:ascii="Times New Roman" w:hAnsi="Times New Roman" w:cs="Times New Roman"/>
        </w:rPr>
        <w:t xml:space="preserve"> and wildfires in the western areas of the country.</w:t>
      </w:r>
    </w:p>
    <w:p w:rsidR="00FC36C5" w:rsidRPr="00EC20D6" w:rsidP="00FC36C5" w14:paraId="74D50FCF" w14:textId="7A88003B">
      <w:pPr>
        <w:pStyle w:val="ParaNum"/>
        <w:rPr>
          <w:rFonts w:ascii="Times New Roman" w:hAnsi="Times New Roman" w:cs="Times New Roman"/>
        </w:rPr>
      </w:pPr>
      <w:r w:rsidRPr="00EC20D6">
        <w:rPr>
          <w:rFonts w:ascii="Times New Roman" w:hAnsi="Times New Roman" w:cs="Times New Roman"/>
        </w:rPr>
        <w:t xml:space="preserve">ARRL’s request also states that trained amateur radio operators are working with emergency management officials and relief organizations to assist with disaster relief communications in anticipation of the arrival </w:t>
      </w:r>
      <w:r w:rsidR="00540304">
        <w:rPr>
          <w:rFonts w:ascii="Times New Roman" w:hAnsi="Times New Roman" w:cs="Times New Roman"/>
        </w:rPr>
        <w:t xml:space="preserve">of </w:t>
      </w:r>
      <w:r w:rsidRPr="00EC20D6">
        <w:rPr>
          <w:rFonts w:ascii="Times New Roman" w:hAnsi="Times New Roman" w:cs="Times New Roman"/>
        </w:rPr>
        <w:t>Hurricane I</w:t>
      </w:r>
      <w:r w:rsidR="00540304">
        <w:rPr>
          <w:rFonts w:ascii="Times New Roman" w:hAnsi="Times New Roman" w:cs="Times New Roman"/>
        </w:rPr>
        <w:t>dalia at the Florida coast</w:t>
      </w:r>
      <w:r w:rsidRPr="00EC20D6">
        <w:rPr>
          <w:rFonts w:ascii="Times New Roman" w:hAnsi="Times New Roman" w:cs="Times New Roman"/>
        </w:rPr>
        <w:t>.  The equipment they plan to use exceeds the 300 baud symbol limit and the higher data rates are critical in sending relief communications.</w:t>
      </w:r>
      <w:r>
        <w:rPr>
          <w:rStyle w:val="FootnoteReference"/>
          <w:rFonts w:cs="Times New Roman"/>
        </w:rPr>
        <w:footnoteReference w:id="8"/>
      </w:r>
      <w:r w:rsidRPr="00EC20D6">
        <w:rPr>
          <w:rFonts w:ascii="Times New Roman" w:hAnsi="Times New Roman" w:cs="Times New Roman"/>
        </w:rPr>
        <w:t xml:space="preserve">  ARRL’s request states these stations must be able to communicate with similar stations in the United States, </w:t>
      </w:r>
      <w:r w:rsidRPr="00EC20D6">
        <w:rPr>
          <w:rFonts w:ascii="Times New Roman" w:hAnsi="Times New Roman" w:cs="Times New Roman"/>
        </w:rPr>
        <w:t xml:space="preserve">possibly </w:t>
      </w:r>
      <w:r w:rsidRPr="00EC20D6">
        <w:rPr>
          <w:rFonts w:ascii="Times New Roman" w:hAnsi="Times New Roman" w:cs="Times New Roman"/>
        </w:rPr>
        <w:t xml:space="preserve">with Caribbean-based stations that are directly involved with hurricane relief efforts, and also with Federal stations on the five channels in the 5 MHz band involved with the SHARES network and other interoperability partners on those frequencies. </w:t>
      </w:r>
      <w:r w:rsidR="00BF0FA9">
        <w:rPr>
          <w:rFonts w:ascii="Times New Roman" w:hAnsi="Times New Roman" w:cs="Times New Roman"/>
        </w:rPr>
        <w:t xml:space="preserve"> </w:t>
      </w:r>
      <w:r w:rsidRPr="00EC20D6">
        <w:rPr>
          <w:rFonts w:ascii="Times New Roman" w:hAnsi="Times New Roman" w:cs="Times New Roman"/>
        </w:rPr>
        <w:t xml:space="preserve">ARRL proposes to limit the use of the higher-speed emissions to hurricane-related messages transmitted by radio amateurs in the United States and its territories that are directly involved with the relief efforts.   </w:t>
      </w:r>
    </w:p>
    <w:p w:rsidR="00FC36C5" w:rsidRPr="00EC20D6" w:rsidP="00FC36C5" w14:paraId="2CCC64D9" w14:textId="77777777">
      <w:pPr>
        <w:pStyle w:val="ParaNum"/>
        <w:rPr>
          <w:rStyle w:val="normaltextfont"/>
          <w:rFonts w:ascii="Times New Roman" w:hAnsi="Times New Roman" w:cs="Times New Roman"/>
        </w:rPr>
      </w:pPr>
      <w:r w:rsidRPr="00EC20D6">
        <w:rPr>
          <w:rFonts w:ascii="Times New Roman" w:hAnsi="Times New Roman" w:cs="Times New Roman"/>
          <w:i/>
        </w:rPr>
        <w:t>Discussion.</w:t>
      </w:r>
      <w:r w:rsidRPr="00EC20D6">
        <w:rPr>
          <w:rFonts w:ascii="Times New Roman" w:hAnsi="Times New Roman" w:cs="Times New Roman"/>
        </w:rPr>
        <w:t xml:space="preserve">  To obtain a waiver of the Commission's rules, a petitioner must demonstrate either that (i) the underlying purpose of the rule(s) would not be served or would be frustrated by application to the present case, and that a grant of the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Fonts w:cs="Times New Roman"/>
        </w:rPr>
        <w:footnoteReference w:id="9"/>
      </w:r>
      <w:r w:rsidRPr="00EC20D6">
        <w:rPr>
          <w:rFonts w:ascii="Times New Roman" w:hAnsi="Times New Roman" w:cs="Times New Roman"/>
        </w:rPr>
        <w:t xml:space="preserve">  We conclude that ARRL’s request should be granted</w:t>
      </w:r>
      <w:r w:rsidRPr="00EC20D6">
        <w:rPr>
          <w:rStyle w:val="normaltextfont"/>
          <w:rFonts w:ascii="Times New Roman" w:hAnsi="Times New Roman" w:cs="Times New Roman"/>
        </w:rPr>
        <w:t>.</w:t>
      </w:r>
    </w:p>
    <w:p w:rsidR="00FC36C5" w:rsidRPr="00EC20D6" w:rsidP="00FC36C5" w14:paraId="38459AFF" w14:textId="2B99C576">
      <w:pPr>
        <w:pStyle w:val="ParaNum"/>
        <w:rPr>
          <w:rFonts w:ascii="Times New Roman" w:hAnsi="Times New Roman" w:cs="Times New Roman"/>
        </w:rPr>
      </w:pPr>
      <w:r w:rsidRPr="00EC20D6">
        <w:rPr>
          <w:rFonts w:ascii="Times New Roman" w:hAnsi="Times New Roman" w:cs="Times New Roman"/>
        </w:rPr>
        <w:t>ARRL is preparing to assist areas impacted by Hurricane I</w:t>
      </w:r>
      <w:r w:rsidR="00A672E0">
        <w:rPr>
          <w:rFonts w:ascii="Times New Roman" w:hAnsi="Times New Roman" w:cs="Times New Roman"/>
        </w:rPr>
        <w:t>dalia</w:t>
      </w:r>
      <w:r w:rsidRPr="00EC20D6">
        <w:rPr>
          <w:rFonts w:ascii="Times New Roman" w:hAnsi="Times New Roman" w:cs="Times New Roman"/>
        </w:rPr>
        <w:t xml:space="preserve"> to conduct disaster relief communications.</w:t>
      </w:r>
      <w:r>
        <w:rPr>
          <w:rStyle w:val="FootnoteReference"/>
          <w:rFonts w:cs="Times New Roman"/>
        </w:rPr>
        <w:footnoteReference w:id="10"/>
      </w:r>
      <w:r w:rsidRPr="00EC20D6">
        <w:rPr>
          <w:rFonts w:ascii="Times New Roman" w:hAnsi="Times New Roman" w:cs="Times New Roman"/>
        </w:rPr>
        <w:t xml:space="preserve">  While certain radio modems with higher data capabilities are downward-compatible with slower speed versions of modems operating under similar protocols, ARRL asserts that the higher data rates offered by the newer protocols are critical to sending hurricane relief communications.</w:t>
      </w:r>
      <w:r>
        <w:rPr>
          <w:rStyle w:val="FootnoteReference"/>
          <w:rFonts w:cs="Times New Roman"/>
        </w:rPr>
        <w:footnoteReference w:id="11"/>
      </w:r>
      <w:r w:rsidRPr="00EC20D6">
        <w:rPr>
          <w:rFonts w:ascii="Times New Roman" w:hAnsi="Times New Roman" w:cs="Times New Roman"/>
        </w:rPr>
        <w:t xml:space="preserve">  </w:t>
      </w:r>
    </w:p>
    <w:p w:rsidR="00FC36C5" w:rsidRPr="00EC20D6" w:rsidP="00FC36C5" w14:paraId="6157EB05" w14:textId="2AD273A6">
      <w:pPr>
        <w:pStyle w:val="ParaNum"/>
        <w:rPr>
          <w:rFonts w:ascii="Times New Roman" w:hAnsi="Times New Roman" w:cs="Times New Roman"/>
        </w:rPr>
      </w:pPr>
      <w:r w:rsidRPr="00EC20D6">
        <w:rPr>
          <w:rFonts w:ascii="Times New Roman" w:hAnsi="Times New Roman" w:cs="Times New Roman"/>
        </w:rPr>
        <w:t xml:space="preserve">We conclude that granting the requested waiver is in the public interest.  </w:t>
      </w:r>
      <w:r w:rsidR="00DD1739">
        <w:rPr>
          <w:rFonts w:ascii="Times New Roman" w:hAnsi="Times New Roman" w:cs="Times New Roman"/>
        </w:rPr>
        <w:t>Florida</w:t>
      </w:r>
      <w:r w:rsidRPr="00EC20D6">
        <w:rPr>
          <w:rFonts w:ascii="Times New Roman" w:hAnsi="Times New Roman" w:cs="Times New Roman"/>
        </w:rPr>
        <w:t xml:space="preserve"> </w:t>
      </w:r>
      <w:r w:rsidR="00DD1739">
        <w:rPr>
          <w:rFonts w:ascii="Times New Roman" w:hAnsi="Times New Roman" w:cs="Times New Roman"/>
        </w:rPr>
        <w:t>is predic</w:t>
      </w:r>
      <w:r w:rsidR="00540304">
        <w:rPr>
          <w:rFonts w:ascii="Times New Roman" w:hAnsi="Times New Roman" w:cs="Times New Roman"/>
        </w:rPr>
        <w:t xml:space="preserve">ted </w:t>
      </w:r>
      <w:r w:rsidR="00DD1739">
        <w:rPr>
          <w:rFonts w:ascii="Times New Roman" w:hAnsi="Times New Roman" w:cs="Times New Roman"/>
        </w:rPr>
        <w:t xml:space="preserve">to be hit </w:t>
      </w:r>
      <w:r w:rsidRPr="00EC20D6">
        <w:rPr>
          <w:rFonts w:ascii="Times New Roman" w:hAnsi="Times New Roman" w:cs="Times New Roman"/>
        </w:rPr>
        <w:t xml:space="preserve">by Hurricane </w:t>
      </w:r>
      <w:r w:rsidR="00DD1739">
        <w:rPr>
          <w:rFonts w:ascii="Times New Roman" w:hAnsi="Times New Roman" w:cs="Times New Roman"/>
        </w:rPr>
        <w:t>Idalia</w:t>
      </w:r>
      <w:r w:rsidRPr="00EC20D6">
        <w:rPr>
          <w:rFonts w:ascii="Times New Roman" w:hAnsi="Times New Roman" w:cs="Times New Roman"/>
        </w:rPr>
        <w:t xml:space="preserve"> </w:t>
      </w:r>
      <w:r w:rsidR="00AB30DD">
        <w:rPr>
          <w:rFonts w:ascii="Times New Roman" w:hAnsi="Times New Roman" w:cs="Times New Roman"/>
        </w:rPr>
        <w:t xml:space="preserve">which </w:t>
      </w:r>
      <w:r w:rsidRPr="00EC20D6">
        <w:rPr>
          <w:rFonts w:ascii="Times New Roman" w:hAnsi="Times New Roman" w:cs="Times New Roman"/>
        </w:rPr>
        <w:t xml:space="preserve">is </w:t>
      </w:r>
      <w:r w:rsidR="007D3441">
        <w:rPr>
          <w:rFonts w:ascii="Times New Roman" w:hAnsi="Times New Roman" w:cs="Times New Roman"/>
        </w:rPr>
        <w:t>forecast</w:t>
      </w:r>
      <w:r w:rsidRPr="00EC20D6">
        <w:rPr>
          <w:rFonts w:ascii="Times New Roman" w:hAnsi="Times New Roman" w:cs="Times New Roman"/>
        </w:rPr>
        <w:t xml:space="preserve"> to cause significant damage, including disruption to electricity and communications services.  Thus, to accommodate amateur radio operators assisting in the recovery efforts, we grant the ARRL’s waiver request for the period of 60 days from the date of this </w:t>
      </w:r>
      <w:r w:rsidRPr="00EC20D6">
        <w:rPr>
          <w:rFonts w:ascii="Times New Roman" w:hAnsi="Times New Roman" w:cs="Times New Roman"/>
          <w:i/>
        </w:rPr>
        <w:t>Order</w:t>
      </w:r>
      <w:r w:rsidRPr="00EC20D6">
        <w:rPr>
          <w:rFonts w:ascii="Times New Roman" w:hAnsi="Times New Roman" w:cs="Times New Roman"/>
          <w:iCs/>
        </w:rPr>
        <w:t xml:space="preserve"> to operate in any parts of the United States and it territories impacted by hurricane disasters</w:t>
      </w:r>
      <w:r w:rsidRPr="00EC20D6">
        <w:rPr>
          <w:rFonts w:ascii="Times New Roman" w:hAnsi="Times New Roman" w:cs="Times New Roman"/>
        </w:rPr>
        <w:t xml:space="preserve">.  The waiver is limited to amateur radio operators in the United States and its territories using publicly documented data protocols that are compatible with FCC rules, with the exception of the data rate limit </w:t>
      </w:r>
      <w:r w:rsidRPr="00EC20D6">
        <w:rPr>
          <w:rFonts w:ascii="Times New Roman" w:hAnsi="Times New Roman" w:cs="Times New Roman"/>
        </w:rPr>
        <w:t>waived here, for those directly involved with HF hurricane relief communications if requested by Federal, state</w:t>
      </w:r>
      <w:r w:rsidR="00BF0FA9">
        <w:rPr>
          <w:rFonts w:ascii="Times New Roman" w:hAnsi="Times New Roman" w:cs="Times New Roman"/>
        </w:rPr>
        <w:t>,</w:t>
      </w:r>
      <w:r w:rsidRPr="00EC20D6">
        <w:rPr>
          <w:rFonts w:ascii="Times New Roman" w:hAnsi="Times New Roman" w:cs="Times New Roman"/>
        </w:rPr>
        <w:t xml:space="preserve"> and local emergency management officials. </w:t>
      </w:r>
    </w:p>
    <w:p w:rsidR="00FC36C5" w:rsidRPr="00EC20D6" w:rsidP="00FC36C5" w14:paraId="04E01C7A" w14:textId="2C2771B1">
      <w:pPr>
        <w:pStyle w:val="ParaNum"/>
        <w:rPr>
          <w:rFonts w:ascii="Times New Roman" w:hAnsi="Times New Roman" w:cs="Times New Roman"/>
        </w:rPr>
      </w:pPr>
      <w:r w:rsidRPr="3851A23F">
        <w:rPr>
          <w:rFonts w:ascii="Times New Roman" w:hAnsi="Times New Roman" w:cs="Times New Roman"/>
        </w:rPr>
        <w:t xml:space="preserve">Accordingly, IT IS ORDERED that pursuant to section 4(i) of the Communications Act of 1934, as amended, 47 U.S.C. § 154(i), and section 1.925 of the Commission’s rules, 47 CFR § 1.925, the Emergency Request for a Temporary Waiver of Section 97.307(f) of the Commission’s Rules filed by the American Radio Relay League on </w:t>
      </w:r>
      <w:r w:rsidRPr="3851A23F" w:rsidR="7282A94B">
        <w:rPr>
          <w:rFonts w:ascii="Times New Roman" w:hAnsi="Times New Roman" w:cs="Times New Roman"/>
        </w:rPr>
        <w:t>August 29</w:t>
      </w:r>
      <w:r w:rsidRPr="3851A23F">
        <w:rPr>
          <w:rFonts w:ascii="Times New Roman" w:hAnsi="Times New Roman" w:cs="Times New Roman"/>
        </w:rPr>
        <w:t>, 202</w:t>
      </w:r>
      <w:r w:rsidRPr="3851A23F" w:rsidR="27CD2915">
        <w:rPr>
          <w:rFonts w:ascii="Times New Roman" w:hAnsi="Times New Roman" w:cs="Times New Roman"/>
        </w:rPr>
        <w:t>3</w:t>
      </w:r>
      <w:r w:rsidRPr="3851A23F">
        <w:rPr>
          <w:rFonts w:ascii="Times New Roman" w:hAnsi="Times New Roman" w:cs="Times New Roman"/>
        </w:rPr>
        <w:t>, IS GRANTED as set forth above.</w:t>
      </w:r>
    </w:p>
    <w:p w:rsidR="00FC36C5" w:rsidP="00FC36C5" w14:paraId="24B118E3" w14:textId="77777777">
      <w:pPr>
        <w:pStyle w:val="ParaNum"/>
        <w:rPr>
          <w:rFonts w:ascii="Times New Roman" w:hAnsi="Times New Roman" w:cs="Times New Roman"/>
        </w:rPr>
      </w:pPr>
      <w:r w:rsidRPr="00EC20D6">
        <w:rPr>
          <w:rFonts w:ascii="Times New Roman" w:hAnsi="Times New Roman" w:cs="Times New Roman"/>
        </w:rPr>
        <w:t>This action is taken under delegated authority pursuant to sections 0.131 and 0.331 of the Commission’s rules, 47 CFR §§ 0.131, 0.331.</w:t>
      </w:r>
    </w:p>
    <w:p w:rsidR="00AB30DD" w:rsidRPr="00EC20D6" w:rsidP="00AB30DD" w14:paraId="3E0898D0" w14:textId="77777777">
      <w:pPr>
        <w:pStyle w:val="ParaNum"/>
        <w:numPr>
          <w:ilvl w:val="0"/>
          <w:numId w:val="0"/>
        </w:numPr>
        <w:rPr>
          <w:rFonts w:ascii="Times New Roman" w:hAnsi="Times New Roman" w:cs="Times New Roman"/>
        </w:rPr>
      </w:pPr>
    </w:p>
    <w:p w:rsidR="00FC36C5" w:rsidRPr="00EC20D6" w:rsidP="00222FEE" w14:paraId="39148885" w14:textId="77777777">
      <w:pPr>
        <w:spacing w:after="0"/>
        <w:rPr>
          <w:rFonts w:ascii="Times New Roman" w:hAnsi="Times New Roman" w:cs="Times New Roman"/>
        </w:rPr>
      </w:pP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t>FEDERAL COMMUNICATIONS COMMISSION</w:t>
      </w:r>
    </w:p>
    <w:p w:rsidR="00FC36C5" w:rsidRPr="00EC20D6" w:rsidP="00222FEE" w14:paraId="418C0A3C" w14:textId="77777777">
      <w:pPr>
        <w:spacing w:after="0"/>
        <w:rPr>
          <w:rFonts w:ascii="Times New Roman" w:hAnsi="Times New Roman" w:cs="Times New Roman"/>
        </w:rPr>
      </w:pPr>
    </w:p>
    <w:p w:rsidR="00FC36C5" w:rsidRPr="00EC20D6" w:rsidP="00B51759" w14:paraId="347175D1" w14:textId="60B8DA64">
      <w:pPr>
        <w:spacing w:after="0"/>
        <w:ind w:left="3600" w:firstLine="720"/>
        <w:rPr>
          <w:rFonts w:ascii="Times New Roman" w:hAnsi="Times New Roman" w:cs="Times New Roman"/>
        </w:rPr>
      </w:pPr>
      <w:r>
        <w:rPr>
          <w:rFonts w:ascii="Times New Roman" w:hAnsi="Times New Roman" w:cs="Times New Roman"/>
          <w:noProof/>
        </w:rPr>
        <w:drawing>
          <wp:inline distT="0" distB="0" distL="0" distR="0">
            <wp:extent cx="2209800" cy="371559"/>
            <wp:effectExtent l="0" t="0" r="0" b="9525"/>
            <wp:docPr id="2061507642"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507642" name="Picture 1" descr="Diagram&#10;&#10;Description automatically generated with medium confidenc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300042" cy="386732"/>
                    </a:xfrm>
                    <a:prstGeom prst="rect">
                      <a:avLst/>
                    </a:prstGeom>
                  </pic:spPr>
                </pic:pic>
              </a:graphicData>
            </a:graphic>
          </wp:inline>
        </w:drawing>
      </w:r>
    </w:p>
    <w:p w:rsidR="00FC36C5" w:rsidRPr="00EC20D6" w:rsidP="00222FEE" w14:paraId="7FC19A7B" w14:textId="77777777">
      <w:pPr>
        <w:spacing w:after="0"/>
        <w:rPr>
          <w:rFonts w:ascii="Times New Roman" w:hAnsi="Times New Roman" w:cs="Times New Roman"/>
        </w:rPr>
      </w:pPr>
    </w:p>
    <w:p w:rsidR="00FC36C5" w:rsidRPr="00EC20D6" w:rsidP="00222FEE" w14:paraId="41504C6E" w14:textId="77777777">
      <w:pPr>
        <w:spacing w:after="0"/>
        <w:rPr>
          <w:rFonts w:ascii="Times New Roman" w:hAnsi="Times New Roman" w:cs="Times New Roman"/>
        </w:rPr>
      </w:pP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t>Thomas Derenge</w:t>
      </w:r>
    </w:p>
    <w:p w:rsidR="00FC36C5" w:rsidRPr="00EC20D6" w:rsidP="00222FEE" w14:paraId="4090F998" w14:textId="77777777">
      <w:pPr>
        <w:spacing w:after="0"/>
        <w:rPr>
          <w:rFonts w:ascii="Times New Roman" w:hAnsi="Times New Roman" w:cs="Times New Roman"/>
        </w:rPr>
      </w:pP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t>Deputy Chief, Mobility Division</w:t>
      </w:r>
    </w:p>
    <w:p w:rsidR="00AF4F26" w:rsidRPr="00EC20D6" w:rsidP="00222FEE" w14:paraId="0B61FE8F" w14:textId="140290AE">
      <w:pPr>
        <w:spacing w:after="0"/>
        <w:rPr>
          <w:rFonts w:ascii="Times New Roman" w:hAnsi="Times New Roman" w:cs="Times New Roman"/>
        </w:rPr>
      </w:pP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r>
      <w:r w:rsidRPr="00EC20D6">
        <w:rPr>
          <w:rFonts w:ascii="Times New Roman" w:hAnsi="Times New Roman" w:cs="Times New Roman"/>
        </w:rPr>
        <w:tab/>
        <w:t>Wireless Telecommunicat</w:t>
      </w:r>
      <w:r w:rsidR="00AB30DD">
        <w:rPr>
          <w:rFonts w:ascii="Times New Roman" w:hAnsi="Times New Roman" w:cs="Times New Roman"/>
        </w:rPr>
        <w:t xml:space="preserve">ions Bureau </w:t>
      </w:r>
    </w:p>
    <w:sectPr>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66E9" w:rsidP="006A4EA9" w14:paraId="54456C13" w14:textId="77777777">
      <w:pPr>
        <w:spacing w:after="0" w:line="240" w:lineRule="auto"/>
      </w:pPr>
      <w:r>
        <w:separator/>
      </w:r>
    </w:p>
  </w:footnote>
  <w:footnote w:type="continuationSeparator" w:id="1">
    <w:p w:rsidR="004866E9" w:rsidP="006A4EA9" w14:paraId="4469D67B" w14:textId="77777777">
      <w:pPr>
        <w:spacing w:after="0" w:line="240" w:lineRule="auto"/>
      </w:pPr>
      <w:r>
        <w:continuationSeparator/>
      </w:r>
    </w:p>
  </w:footnote>
  <w:footnote w:type="continuationNotice" w:id="2">
    <w:p w:rsidR="004866E9" w14:paraId="1B681555" w14:textId="77777777">
      <w:pPr>
        <w:spacing w:after="0" w:line="240" w:lineRule="auto"/>
      </w:pPr>
    </w:p>
  </w:footnote>
  <w:footnote w:id="3">
    <w:p w:rsidR="00FC36C5" w:rsidRPr="005E2058" w:rsidP="00FC36C5" w14:paraId="3FB4C476" w14:textId="2344E70E">
      <w:pPr>
        <w:pStyle w:val="FootnoteText"/>
        <w:rPr>
          <w:i/>
        </w:rPr>
      </w:pPr>
      <w:r>
        <w:rPr>
          <w:rStyle w:val="FootnoteReference"/>
        </w:rPr>
        <w:footnoteRef/>
      </w:r>
      <w:r>
        <w:t xml:space="preserve"> </w:t>
      </w:r>
      <w:bookmarkStart w:id="0" w:name="_Hlk494718895"/>
      <w:r w:rsidRPr="00136B79">
        <w:t>E</w:t>
      </w:r>
      <w:r>
        <w:t xml:space="preserve">-mail </w:t>
      </w:r>
      <w:r w:rsidRPr="00136B79">
        <w:t xml:space="preserve">from </w:t>
      </w:r>
      <w:r>
        <w:t>David Siddall</w:t>
      </w:r>
      <w:r w:rsidRPr="00136B79">
        <w:t>,</w:t>
      </w:r>
      <w:r>
        <w:t xml:space="preserve"> on behalf of the</w:t>
      </w:r>
      <w:r w:rsidRPr="00136B79">
        <w:t xml:space="preserve"> ARRL to </w:t>
      </w:r>
      <w:r>
        <w:t>Thomas Derenge and Roger Noel</w:t>
      </w:r>
      <w:r w:rsidRPr="00136B79">
        <w:t xml:space="preserve">, FCC </w:t>
      </w:r>
      <w:r>
        <w:t>(</w:t>
      </w:r>
      <w:r w:rsidR="00792AE4">
        <w:t>August 29, 2023</w:t>
      </w:r>
      <w:r>
        <w:t xml:space="preserve"> </w:t>
      </w:r>
      <w:r w:rsidR="00E60049">
        <w:t>10</w:t>
      </w:r>
      <w:r>
        <w:t>:</w:t>
      </w:r>
      <w:r w:rsidR="002842D9">
        <w:t xml:space="preserve">52 </w:t>
      </w:r>
      <w:r>
        <w:t xml:space="preserve">EDT) </w:t>
      </w:r>
      <w:r w:rsidRPr="00136B79">
        <w:t>(Waiver Request)</w:t>
      </w:r>
      <w:r>
        <w:t xml:space="preserve">; </w:t>
      </w:r>
      <w:r>
        <w:rPr>
          <w:i/>
        </w:rPr>
        <w:t xml:space="preserve">see </w:t>
      </w:r>
      <w:r>
        <w:t>47 CFR § 97.307(f)</w:t>
      </w:r>
      <w:r w:rsidRPr="00136B79">
        <w:t>.</w:t>
      </w:r>
      <w:r>
        <w:t xml:space="preserve">  </w:t>
      </w:r>
      <w:bookmarkEnd w:id="0"/>
    </w:p>
  </w:footnote>
  <w:footnote w:id="4">
    <w:p w:rsidR="00FC36C5" w:rsidRPr="00DB69B4" w:rsidP="00FC36C5" w14:paraId="14E1B1B2" w14:textId="77777777">
      <w:pPr>
        <w:pStyle w:val="FootnoteText"/>
      </w:pPr>
      <w:r>
        <w:rPr>
          <w:rStyle w:val="FootnoteReference"/>
        </w:rPr>
        <w:footnoteRef/>
      </w:r>
      <w:r>
        <w:t xml:space="preserve"> </w:t>
      </w:r>
      <w:r>
        <w:rPr>
          <w:i/>
        </w:rPr>
        <w:t>Amendment of Part 97 of the Commission’s Amateur Radio Service Rules to Permit Greater Flexibility in Data Communications</w:t>
      </w:r>
      <w:r>
        <w:t xml:space="preserve">, Notice of Proposed Rulemaking, 31 FCC </w:t>
      </w:r>
      <w:r>
        <w:t>Rcd</w:t>
      </w:r>
      <w:r>
        <w:t xml:space="preserve"> 8485, 8485, para. 1 (2016) (</w:t>
      </w:r>
      <w:r>
        <w:rPr>
          <w:i/>
        </w:rPr>
        <w:t>Baud Rate NPRM</w:t>
      </w:r>
      <w:r>
        <w:t>).</w:t>
      </w:r>
    </w:p>
  </w:footnote>
  <w:footnote w:id="5">
    <w:p w:rsidR="00FC36C5" w:rsidP="00FC36C5" w14:paraId="316AB070" w14:textId="24F5D151">
      <w:pPr>
        <w:pStyle w:val="FootnoteText"/>
      </w:pPr>
      <w:r>
        <w:rPr>
          <w:rStyle w:val="FootnoteReference"/>
        </w:rPr>
        <w:footnoteRef/>
      </w:r>
      <w:r>
        <w:t xml:space="preserve"> 47 CFR § 97.307(f)(3), (4).  In the 60 meter (5.3305</w:t>
      </w:r>
      <w:r w:rsidR="00B250C2">
        <w:t>–</w:t>
      </w:r>
      <w:r>
        <w:t xml:space="preserve">5.4064 MHz) band, there is no maximum symbol rate, but bandwidth is limited to 2.8 kilohertz for data and 60 hertz for RTTY.  </w:t>
      </w:r>
      <w:r>
        <w:rPr>
          <w:i/>
        </w:rPr>
        <w:t xml:space="preserve">See </w:t>
      </w:r>
      <w:r>
        <w:t>47 CFR § 97.307(f)(14).</w:t>
      </w:r>
    </w:p>
  </w:footnote>
  <w:footnote w:id="6">
    <w:p w:rsidR="00FC36C5" w:rsidRPr="00044750" w:rsidP="00FC36C5" w14:paraId="64FF8A0F" w14:textId="51FB8EC7">
      <w:pPr>
        <w:pStyle w:val="FootnoteText"/>
      </w:pPr>
      <w:r>
        <w:rPr>
          <w:rStyle w:val="FootnoteReference"/>
        </w:rPr>
        <w:footnoteRef/>
      </w:r>
      <w:r>
        <w:t xml:space="preserve"> 47 CFR §§ 97.307(f)(3), (4), 97.309(a)(4).  CLOVER, G-TOR, and PACTOR are different techniques used to increase the efficiency of digital communications.  </w:t>
      </w:r>
      <w:r>
        <w:rPr>
          <w:i/>
        </w:rPr>
        <w:t>Baud Rate NPRM</w:t>
      </w:r>
      <w:r>
        <w:t xml:space="preserve">, 31 FCC </w:t>
      </w:r>
      <w:r>
        <w:t>Rcd</w:t>
      </w:r>
      <w:r>
        <w:t xml:space="preserve"> at 8486, n.18.</w:t>
      </w:r>
    </w:p>
  </w:footnote>
  <w:footnote w:id="7">
    <w:p w:rsidR="00FC36C5" w:rsidP="00FC36C5" w14:paraId="3A604554" w14:textId="77777777">
      <w:pPr>
        <w:pStyle w:val="FootnoteText"/>
      </w:pPr>
      <w:r>
        <w:rPr>
          <w:rStyle w:val="FootnoteReference"/>
        </w:rPr>
        <w:footnoteRef/>
      </w:r>
      <w:r>
        <w:t xml:space="preserve"> </w:t>
      </w:r>
      <w:r>
        <w:rPr>
          <w:i/>
        </w:rPr>
        <w:t xml:space="preserve">See </w:t>
      </w:r>
      <w:r>
        <w:t>Waiver Request.</w:t>
      </w:r>
    </w:p>
  </w:footnote>
  <w:footnote w:id="8">
    <w:p w:rsidR="00FC36C5" w:rsidRPr="00B94059" w:rsidP="00FC36C5" w14:paraId="1A50863A" w14:textId="77777777">
      <w:pPr>
        <w:pStyle w:val="FootnoteText"/>
      </w:pPr>
      <w:r>
        <w:rPr>
          <w:rStyle w:val="FootnoteReference"/>
        </w:rPr>
        <w:footnoteRef/>
      </w:r>
      <w:r>
        <w:t xml:space="preserve"> </w:t>
      </w:r>
      <w:r>
        <w:rPr>
          <w:i/>
        </w:rPr>
        <w:t xml:space="preserve">See </w:t>
      </w:r>
      <w:r>
        <w:t>Waiver Request.</w:t>
      </w:r>
    </w:p>
  </w:footnote>
  <w:footnote w:id="9">
    <w:p w:rsidR="00FC36C5" w:rsidP="00FC36C5" w14:paraId="1E3A2954" w14:textId="77777777">
      <w:pPr>
        <w:pStyle w:val="FootnoteText"/>
        <w:rPr>
          <w:sz w:val="22"/>
          <w:szCs w:val="22"/>
        </w:rPr>
      </w:pPr>
      <w:r>
        <w:rPr>
          <w:rStyle w:val="FootnoteReference"/>
        </w:rPr>
        <w:footnoteRef/>
      </w:r>
      <w:r>
        <w:t xml:space="preserve"> 47 CFR §§ 1.925(b)(3).</w:t>
      </w:r>
    </w:p>
  </w:footnote>
  <w:footnote w:id="10">
    <w:p w:rsidR="00FC36C5" w:rsidRPr="001E081F" w:rsidP="00FC36C5" w14:paraId="38502F38" w14:textId="77777777">
      <w:pPr>
        <w:pStyle w:val="FootnoteText"/>
      </w:pPr>
      <w:r>
        <w:rPr>
          <w:rStyle w:val="FootnoteReference"/>
        </w:rPr>
        <w:footnoteRef/>
      </w:r>
      <w:r>
        <w:t xml:space="preserve"> </w:t>
      </w:r>
      <w:r>
        <w:rPr>
          <w:i/>
        </w:rPr>
        <w:t xml:space="preserve">See </w:t>
      </w:r>
      <w:r>
        <w:t>Waiver Request.</w:t>
      </w:r>
    </w:p>
  </w:footnote>
  <w:footnote w:id="11">
    <w:p w:rsidR="00FC36C5" w:rsidP="00FC36C5" w14:paraId="7730378E" w14:textId="77777777">
      <w:pPr>
        <w:pStyle w:val="FootnoteText"/>
      </w:pPr>
      <w:r>
        <w:rPr>
          <w:rStyle w:val="FootnoteReference"/>
        </w:rPr>
        <w:footnoteRef/>
      </w:r>
      <w:r>
        <w:t xml:space="preserve"> </w:t>
      </w:r>
      <w:r>
        <w:rPr>
          <w:i/>
        </w:rPr>
        <w:t>See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FAD" w:rsidRPr="00003324" w:rsidP="00021FAD" w14:paraId="477440DA" w14:textId="7C6C147A">
    <w:pPr>
      <w:pStyle w:val="Header"/>
      <w:pBdr>
        <w:bottom w:val="single" w:sz="12" w:space="1" w:color="auto"/>
      </w:pBdr>
      <w:rPr>
        <w:rFonts w:ascii="Times New Roman" w:hAnsi="Times New Roman" w:cs="Times New Roman"/>
      </w:rPr>
    </w:pPr>
    <w:r w:rsidRPr="00003324">
      <w:rPr>
        <w:rFonts w:ascii="Times New Roman" w:hAnsi="Times New Roman" w:cs="Times New Roman"/>
      </w:rPr>
      <w:tab/>
      <w:t>Federal Communications Commission</w:t>
    </w:r>
    <w:r w:rsidRPr="00003324">
      <w:rPr>
        <w:rFonts w:ascii="Times New Roman" w:hAnsi="Times New Roman" w:cs="Times New Roman"/>
      </w:rPr>
      <w:tab/>
    </w:r>
    <w:r w:rsidRPr="00003324">
      <w:rPr>
        <w:rFonts w:ascii="Times New Roman" w:hAnsi="Times New Roman" w:cs="Times New Roman"/>
        <w:spacing w:val="-2"/>
      </w:rPr>
      <w:t>DA 2</w:t>
    </w:r>
    <w:r w:rsidR="00EE0BD9">
      <w:rPr>
        <w:rFonts w:ascii="Times New Roman" w:hAnsi="Times New Roman" w:cs="Times New Roman"/>
        <w:spacing w:val="-2"/>
      </w:rPr>
      <w:t>3</w:t>
    </w:r>
    <w:r w:rsidRPr="00003324">
      <w:rPr>
        <w:rFonts w:ascii="Times New Roman" w:hAnsi="Times New Roman" w:cs="Times New Roman"/>
        <w:spacing w:val="-2"/>
      </w:rPr>
      <w:t>-</w:t>
    </w:r>
    <w:r w:rsidR="00975065">
      <w:rPr>
        <w:rFonts w:ascii="Times New Roman" w:hAnsi="Times New Roman" w:cs="Times New Roman"/>
        <w:spacing w:val="-2"/>
      </w:rPr>
      <w:t>784</w:t>
    </w:r>
  </w:p>
  <w:p w:rsidR="00FC36C5" w14:paraId="1DD0D2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7706C570"/>
    <w:lvl w:ilvl="0">
      <w:start w:val="1"/>
      <w:numFmt w:val="decimal"/>
      <w:pStyle w:val="ParaNum"/>
      <w:lvlText w:val="%1."/>
      <w:lvlJc w:val="left"/>
      <w:pPr>
        <w:tabs>
          <w:tab w:val="num" w:pos="1080"/>
        </w:tabs>
        <w:ind w:left="0" w:firstLine="720"/>
      </w:pPr>
      <w:rPr>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02"/>
    <w:rsid w:val="00003324"/>
    <w:rsid w:val="00021FAD"/>
    <w:rsid w:val="00044750"/>
    <w:rsid w:val="00066682"/>
    <w:rsid w:val="000702D7"/>
    <w:rsid w:val="00096945"/>
    <w:rsid w:val="00136B79"/>
    <w:rsid w:val="001E081F"/>
    <w:rsid w:val="00222FEE"/>
    <w:rsid w:val="00255DF5"/>
    <w:rsid w:val="002842D9"/>
    <w:rsid w:val="002D1707"/>
    <w:rsid w:val="002E37CC"/>
    <w:rsid w:val="0034760C"/>
    <w:rsid w:val="003A0244"/>
    <w:rsid w:val="003E47DD"/>
    <w:rsid w:val="004866E9"/>
    <w:rsid w:val="00540304"/>
    <w:rsid w:val="005E2058"/>
    <w:rsid w:val="00601402"/>
    <w:rsid w:val="006229B5"/>
    <w:rsid w:val="006A4EA9"/>
    <w:rsid w:val="006C65D2"/>
    <w:rsid w:val="00717B12"/>
    <w:rsid w:val="007455F7"/>
    <w:rsid w:val="0075425B"/>
    <w:rsid w:val="007742EE"/>
    <w:rsid w:val="00792AE4"/>
    <w:rsid w:val="007B2BF8"/>
    <w:rsid w:val="007B69D1"/>
    <w:rsid w:val="007C3107"/>
    <w:rsid w:val="007D1466"/>
    <w:rsid w:val="007D3441"/>
    <w:rsid w:val="00803A18"/>
    <w:rsid w:val="00825B1E"/>
    <w:rsid w:val="00911362"/>
    <w:rsid w:val="0093584E"/>
    <w:rsid w:val="009461B9"/>
    <w:rsid w:val="00975065"/>
    <w:rsid w:val="009A05DF"/>
    <w:rsid w:val="00A1369D"/>
    <w:rsid w:val="00A672E0"/>
    <w:rsid w:val="00A90BDC"/>
    <w:rsid w:val="00AB30DD"/>
    <w:rsid w:val="00AE6CE2"/>
    <w:rsid w:val="00AF4F26"/>
    <w:rsid w:val="00B05626"/>
    <w:rsid w:val="00B250C2"/>
    <w:rsid w:val="00B51759"/>
    <w:rsid w:val="00B8119A"/>
    <w:rsid w:val="00B94059"/>
    <w:rsid w:val="00BB46CA"/>
    <w:rsid w:val="00BF0FA9"/>
    <w:rsid w:val="00D20D67"/>
    <w:rsid w:val="00D753FA"/>
    <w:rsid w:val="00DB69B4"/>
    <w:rsid w:val="00DD1739"/>
    <w:rsid w:val="00E60049"/>
    <w:rsid w:val="00EC20D6"/>
    <w:rsid w:val="00EE0BD9"/>
    <w:rsid w:val="00FB22B5"/>
    <w:rsid w:val="00FC36C5"/>
    <w:rsid w:val="27CD2915"/>
    <w:rsid w:val="3851A23F"/>
    <w:rsid w:val="7282A94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2BCE850"/>
  <w15:chartTrackingRefBased/>
  <w15:docId w15:val="{13362643-1EBC-4729-845C-B233DC33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C36C5"/>
    <w:pPr>
      <w:numPr>
        <w:numId w:val="1"/>
      </w:numPr>
      <w:tabs>
        <w:tab w:val="clear" w:pos="1080"/>
        <w:tab w:val="num" w:pos="1440"/>
      </w:tabs>
      <w:spacing w:after="120"/>
    </w:pPr>
  </w:style>
  <w:style w:type="paragraph" w:styleId="FootnoteText">
    <w:name w:val="footnote text"/>
    <w:aliases w:val="Footnote Text Char Char Char,Footnote Text Char Char Char Char1 Char,Footnote Text Char Char2,Footnote Text Char1 Char,Footnote Text Char1 Char Char Char,Footnote Text Char1 Char Char Char Char Char,Footnote Text Char6,f"/>
    <w:link w:val="FootnoteTextChar1"/>
    <w:rsid w:val="00FC36C5"/>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uiPriority w:val="99"/>
    <w:semiHidden/>
    <w:rsid w:val="00FC36C5"/>
    <w:rPr>
      <w:sz w:val="20"/>
      <w:szCs w:val="20"/>
    </w:rPr>
  </w:style>
  <w:style w:type="character" w:styleId="FootnoteReference">
    <w:name w:val="footnote reference"/>
    <w:aliases w:val="(NECG) Footnote Reference,Appel note de bas de p,Style 12,Style 124,Style 13,Style 3,fr,o"/>
    <w:rsid w:val="00FC36C5"/>
    <w:rPr>
      <w:rFonts w:ascii="Times New Roman" w:hAnsi="Times New Roman"/>
      <w:dstrike w:val="0"/>
      <w:color w:val="auto"/>
      <w:sz w:val="20"/>
      <w:vertAlign w:val="superscript"/>
    </w:rPr>
  </w:style>
  <w:style w:type="paragraph" w:customStyle="1" w:styleId="StyleBoldCentered">
    <w:name w:val="Style Bold Centered"/>
    <w:basedOn w:val="Normal"/>
    <w:rsid w:val="00FC36C5"/>
    <w:pPr>
      <w:jc w:val="center"/>
    </w:pPr>
    <w:rPr>
      <w:rFonts w:ascii="Times New Roman Bold" w:hAnsi="Times New Roman Bold"/>
      <w:b/>
      <w:bCs/>
      <w:caps/>
    </w:rPr>
  </w:style>
  <w:style w:type="character" w:customStyle="1" w:styleId="FootnoteTextChar1">
    <w:name w:val="Footnote Text Char1"/>
    <w:aliases w:val="Footnote Text Char Char Char Char,Footnote Text Char Char Char Char1 Char Char,Footnote Text Char Char2 Char,Footnote Text Char1 Char Char,Footnote Text Char1 Char Char Char Char,Footnote Text Char1 Char Char Char Char Char Char"/>
    <w:link w:val="FootnoteText"/>
    <w:rsid w:val="00FC36C5"/>
    <w:rPr>
      <w:rFonts w:ascii="Times New Roman" w:eastAsia="Times New Roman" w:hAnsi="Times New Roman" w:cs="Times New Roman"/>
      <w:kern w:val="0"/>
      <w:sz w:val="20"/>
      <w:szCs w:val="20"/>
      <w14:ligatures w14:val="none"/>
    </w:rPr>
  </w:style>
  <w:style w:type="character" w:customStyle="1" w:styleId="ParaNumChar">
    <w:name w:val="ParaNum Char"/>
    <w:link w:val="ParaNum"/>
    <w:rsid w:val="00FC36C5"/>
  </w:style>
  <w:style w:type="character" w:customStyle="1" w:styleId="normaltextfont">
    <w:name w:val="normaltextfont"/>
    <w:rsid w:val="00FC36C5"/>
    <w:rPr>
      <w:rFonts w:ascii="Verdana" w:hAnsi="Verdana"/>
      <w:sz w:val="19"/>
      <w:szCs w:val="19"/>
    </w:rPr>
  </w:style>
  <w:style w:type="paragraph" w:styleId="Header">
    <w:name w:val="header"/>
    <w:basedOn w:val="Normal"/>
    <w:link w:val="HeaderChar"/>
    <w:unhideWhenUsed/>
    <w:rsid w:val="00FC36C5"/>
    <w:pPr>
      <w:tabs>
        <w:tab w:val="center" w:pos="4680"/>
        <w:tab w:val="right" w:pos="9360"/>
      </w:tabs>
      <w:spacing w:after="0" w:line="240" w:lineRule="auto"/>
    </w:pPr>
  </w:style>
  <w:style w:type="character" w:customStyle="1" w:styleId="HeaderChar">
    <w:name w:val="Header Char"/>
    <w:basedOn w:val="DefaultParagraphFont"/>
    <w:link w:val="Header"/>
    <w:rsid w:val="00FC36C5"/>
  </w:style>
  <w:style w:type="paragraph" w:styleId="Footer">
    <w:name w:val="footer"/>
    <w:basedOn w:val="Normal"/>
    <w:link w:val="FooterChar"/>
    <w:uiPriority w:val="99"/>
    <w:unhideWhenUsed/>
    <w:rsid w:val="00FC3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C5"/>
  </w:style>
  <w:style w:type="paragraph" w:styleId="Revision">
    <w:name w:val="Revision"/>
    <w:hidden/>
    <w:uiPriority w:val="99"/>
    <w:semiHidden/>
    <w:rsid w:val="0093584E"/>
    <w:pPr>
      <w:spacing w:after="0" w:line="240" w:lineRule="auto"/>
    </w:pPr>
  </w:style>
  <w:style w:type="character" w:styleId="CommentReference">
    <w:name w:val="annotation reference"/>
    <w:basedOn w:val="DefaultParagraphFont"/>
    <w:uiPriority w:val="99"/>
    <w:semiHidden/>
    <w:unhideWhenUsed/>
    <w:rsid w:val="00BF0FA9"/>
    <w:rPr>
      <w:sz w:val="16"/>
      <w:szCs w:val="16"/>
    </w:rPr>
  </w:style>
  <w:style w:type="paragraph" w:styleId="CommentText">
    <w:name w:val="annotation text"/>
    <w:basedOn w:val="Normal"/>
    <w:link w:val="CommentTextChar"/>
    <w:uiPriority w:val="99"/>
    <w:unhideWhenUsed/>
    <w:rsid w:val="00BF0FA9"/>
    <w:pPr>
      <w:spacing w:line="240" w:lineRule="auto"/>
    </w:pPr>
    <w:rPr>
      <w:sz w:val="20"/>
      <w:szCs w:val="20"/>
    </w:rPr>
  </w:style>
  <w:style w:type="character" w:customStyle="1" w:styleId="CommentTextChar">
    <w:name w:val="Comment Text Char"/>
    <w:basedOn w:val="DefaultParagraphFont"/>
    <w:link w:val="CommentText"/>
    <w:uiPriority w:val="99"/>
    <w:rsid w:val="00BF0FA9"/>
    <w:rPr>
      <w:sz w:val="20"/>
      <w:szCs w:val="20"/>
    </w:rPr>
  </w:style>
  <w:style w:type="paragraph" w:styleId="CommentSubject">
    <w:name w:val="annotation subject"/>
    <w:basedOn w:val="CommentText"/>
    <w:next w:val="CommentText"/>
    <w:link w:val="CommentSubjectChar"/>
    <w:uiPriority w:val="99"/>
    <w:semiHidden/>
    <w:unhideWhenUsed/>
    <w:rsid w:val="00BF0FA9"/>
    <w:rPr>
      <w:b/>
      <w:bCs/>
    </w:rPr>
  </w:style>
  <w:style w:type="character" w:customStyle="1" w:styleId="CommentSubjectChar">
    <w:name w:val="Comment Subject Char"/>
    <w:basedOn w:val="CommentTextChar"/>
    <w:link w:val="CommentSubject"/>
    <w:uiPriority w:val="99"/>
    <w:semiHidden/>
    <w:rsid w:val="00BF0F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