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F606A" w14:paraId="64E37ECD" w14:textId="77777777">
      <w:pPr>
        <w:jc w:val="right"/>
        <w:rPr>
          <w:sz w:val="24"/>
        </w:rPr>
      </w:pPr>
    </w:p>
    <w:p w:rsidR="003F606A" w14:paraId="06845C5D" w14:textId="3B18D06E">
      <w:pPr>
        <w:jc w:val="right"/>
        <w:rPr>
          <w:b/>
          <w:sz w:val="24"/>
        </w:rPr>
      </w:pPr>
      <w:r>
        <w:rPr>
          <w:b/>
          <w:sz w:val="24"/>
        </w:rPr>
        <w:t>DA 23-</w:t>
      </w:r>
      <w:r w:rsidR="009F6D2D">
        <w:rPr>
          <w:b/>
          <w:sz w:val="24"/>
        </w:rPr>
        <w:t>787</w:t>
      </w:r>
    </w:p>
    <w:p w:rsidR="003F606A" w14:paraId="1ED7FFC1" w14:textId="3058CA82">
      <w:pPr>
        <w:spacing w:before="60"/>
        <w:jc w:val="right"/>
        <w:rPr>
          <w:b/>
          <w:sz w:val="24"/>
        </w:rPr>
      </w:pPr>
      <w:r>
        <w:rPr>
          <w:b/>
          <w:sz w:val="24"/>
        </w:rPr>
        <w:t xml:space="preserve">Released:  </w:t>
      </w:r>
      <w:r w:rsidR="002F3597">
        <w:rPr>
          <w:b/>
          <w:sz w:val="24"/>
        </w:rPr>
        <w:t>September 1</w:t>
      </w:r>
      <w:r w:rsidR="00BA0958">
        <w:rPr>
          <w:b/>
          <w:sz w:val="24"/>
        </w:rPr>
        <w:t>, 2023</w:t>
      </w:r>
    </w:p>
    <w:p w:rsidR="003F606A" w14:paraId="5F7B49C8" w14:textId="77777777">
      <w:pPr>
        <w:jc w:val="right"/>
        <w:rPr>
          <w:sz w:val="24"/>
        </w:rPr>
      </w:pPr>
    </w:p>
    <w:p w:rsidR="00A22776" w:rsidRPr="00A7385D" w:rsidP="00A22776" w14:paraId="1EAC28E9" w14:textId="57D56305">
      <w:pPr>
        <w:spacing w:after="240"/>
        <w:jc w:val="center"/>
        <w:rPr>
          <w:rFonts w:ascii="Times New Roman Bold" w:hAnsi="Times New Roman Bold"/>
          <w:b/>
          <w:caps/>
          <w:sz w:val="24"/>
        </w:rPr>
      </w:pPr>
      <w:r>
        <w:rPr>
          <w:rFonts w:ascii="Times New Roman Bold" w:hAnsi="Times New Roman Bold"/>
          <w:b/>
          <w:caps/>
          <w:sz w:val="24"/>
        </w:rPr>
        <w:t>Designated entity licensees must file annual reports</w:t>
      </w:r>
      <w:r w:rsidR="00B672E5">
        <w:rPr>
          <w:rFonts w:ascii="Times New Roman Bold" w:hAnsi="Times New Roman Bold"/>
          <w:b/>
          <w:caps/>
          <w:sz w:val="24"/>
        </w:rPr>
        <w:br/>
      </w:r>
      <w:r>
        <w:rPr>
          <w:rFonts w:ascii="Times New Roman Bold" w:hAnsi="Times New Roman Bold"/>
          <w:b/>
          <w:caps/>
          <w:sz w:val="24"/>
        </w:rPr>
        <w:t xml:space="preserve">By </w:t>
      </w:r>
      <w:r w:rsidR="003E6B79">
        <w:rPr>
          <w:rFonts w:ascii="Times New Roman Bold" w:hAnsi="Times New Roman Bold"/>
          <w:b/>
          <w:caps/>
          <w:sz w:val="24"/>
        </w:rPr>
        <w:t>OCTOBER 2</w:t>
      </w:r>
      <w:r w:rsidRPr="006640A9">
        <w:rPr>
          <w:rFonts w:ascii="Times New Roman Bold" w:hAnsi="Times New Roman Bold"/>
          <w:b/>
          <w:caps/>
          <w:sz w:val="24"/>
        </w:rPr>
        <w:t>, 20</w:t>
      </w:r>
      <w:r w:rsidRPr="006640A9" w:rsidR="007466C1">
        <w:rPr>
          <w:rFonts w:ascii="Times New Roman Bold" w:hAnsi="Times New Roman Bold"/>
          <w:b/>
          <w:caps/>
          <w:sz w:val="24"/>
        </w:rPr>
        <w:t>23</w:t>
      </w:r>
    </w:p>
    <w:p w:rsidR="00BA0958" w:rsidP="00A71643" w14:paraId="6143C5A1" w14:textId="57862340">
      <w:pPr>
        <w:jc w:val="center"/>
        <w:rPr>
          <w:b/>
          <w:sz w:val="24"/>
        </w:rPr>
      </w:pPr>
      <w:r>
        <w:rPr>
          <w:b/>
          <w:sz w:val="24"/>
        </w:rPr>
        <w:t>WT</w:t>
      </w:r>
      <w:r>
        <w:rPr>
          <w:b/>
          <w:sz w:val="24"/>
        </w:rPr>
        <w:t xml:space="preserve"> Docket No. </w:t>
      </w:r>
      <w:r>
        <w:rPr>
          <w:b/>
          <w:sz w:val="24"/>
        </w:rPr>
        <w:t>14-</w:t>
      </w:r>
      <w:r w:rsidR="005768A6">
        <w:rPr>
          <w:b/>
          <w:sz w:val="24"/>
        </w:rPr>
        <w:t>170</w:t>
      </w:r>
    </w:p>
    <w:p w:rsidR="00A71643" w:rsidP="00A71643" w14:paraId="3E7213CA" w14:textId="77777777">
      <w:pPr>
        <w:jc w:val="center"/>
        <w:rPr>
          <w:b/>
          <w:sz w:val="24"/>
        </w:rPr>
      </w:pPr>
    </w:p>
    <w:p w:rsidR="00566EC3" w:rsidP="007B3728" w14:paraId="79F93999" w14:textId="1C3D8438">
      <w:pPr>
        <w:spacing w:after="120"/>
        <w:ind w:firstLine="720"/>
      </w:pPr>
      <w:r>
        <w:t>The Wireless Telecommunications Bureau (WTB) reminds designated entity (DE) licensees of the upcoming deadline to fil</w:t>
      </w:r>
      <w:r w:rsidRPr="00951663">
        <w:t>e annual DE reports.  Specifically, such licensees must submit an annual report reflecting the status of each license held as of August 31, 20</w:t>
      </w:r>
      <w:r w:rsidRPr="00951663" w:rsidR="00753A65">
        <w:t>23</w:t>
      </w:r>
      <w:r w:rsidR="00B84B0B">
        <w:t>,</w:t>
      </w:r>
      <w:r w:rsidRPr="00951663">
        <w:t xml:space="preserve"> that is subject to the Federal Communications Commission’s (Commission) unjust enrichment requirements.</w:t>
      </w:r>
      <w:r>
        <w:rPr>
          <w:rStyle w:val="FootnoteReference"/>
          <w:szCs w:val="22"/>
        </w:rPr>
        <w:footnoteReference w:id="3"/>
      </w:r>
      <w:r w:rsidRPr="00951663">
        <w:t xml:space="preserve">  T</w:t>
      </w:r>
      <w:r w:rsidR="004825B6">
        <w:t>his year, t</w:t>
      </w:r>
      <w:r w:rsidRPr="00951663">
        <w:t xml:space="preserve">he reports are due on </w:t>
      </w:r>
      <w:r w:rsidR="003E6B79">
        <w:rPr>
          <w:b/>
        </w:rPr>
        <w:t>October 2</w:t>
      </w:r>
      <w:r w:rsidRPr="00951663" w:rsidR="00951663">
        <w:rPr>
          <w:b/>
        </w:rPr>
        <w:t>, 2023</w:t>
      </w:r>
      <w:r w:rsidRPr="00951663">
        <w:t>.</w:t>
      </w:r>
      <w:r>
        <w:rPr>
          <w:rStyle w:val="FootnoteReference"/>
          <w:szCs w:val="22"/>
        </w:rPr>
        <w:footnoteReference w:id="4"/>
      </w:r>
      <w:r>
        <w:t xml:space="preserve">  </w:t>
      </w:r>
    </w:p>
    <w:p w:rsidR="00566EC3" w:rsidP="00D76DA2" w14:paraId="17A18556" w14:textId="4802465B">
      <w:pPr>
        <w:spacing w:after="120"/>
        <w:ind w:firstLine="720"/>
        <w:rPr>
          <w:szCs w:val="22"/>
        </w:rPr>
      </w:pPr>
      <w:r>
        <w:rPr>
          <w:szCs w:val="22"/>
        </w:rPr>
        <w:t>We remind</w:t>
      </w:r>
      <w:r w:rsidR="0083632F">
        <w:rPr>
          <w:szCs w:val="22"/>
        </w:rPr>
        <w:t xml:space="preserve"> </w:t>
      </w:r>
      <w:r w:rsidRPr="00AE7810">
        <w:rPr>
          <w:szCs w:val="22"/>
        </w:rPr>
        <w:t xml:space="preserve">DE licensees </w:t>
      </w:r>
      <w:r>
        <w:rPr>
          <w:szCs w:val="22"/>
        </w:rPr>
        <w:t xml:space="preserve">that they </w:t>
      </w:r>
      <w:r w:rsidRPr="00AE7810">
        <w:rPr>
          <w:szCs w:val="22"/>
        </w:rPr>
        <w:t xml:space="preserve">must file all reports </w:t>
      </w:r>
      <w:r>
        <w:rPr>
          <w:szCs w:val="22"/>
        </w:rPr>
        <w:t>on the same date</w:t>
      </w:r>
      <w:r w:rsidRPr="00AE7810">
        <w:rPr>
          <w:szCs w:val="22"/>
        </w:rPr>
        <w:t xml:space="preserve"> every calendar year during the applicable unjust enrichment period.</w:t>
      </w:r>
      <w:r>
        <w:rPr>
          <w:rStyle w:val="FootnoteReference"/>
          <w:szCs w:val="22"/>
        </w:rPr>
        <w:footnoteReference w:id="5"/>
      </w:r>
      <w:r>
        <w:rPr>
          <w:szCs w:val="22"/>
        </w:rPr>
        <w:t xml:space="preserve">  </w:t>
      </w:r>
      <w:r>
        <w:t>The annual DE reporting requirement, along with all DE reporting requirements, applies to all DEs, including rural service providers.</w:t>
      </w:r>
      <w:r>
        <w:rPr>
          <w:rStyle w:val="FootnoteReference"/>
        </w:rPr>
        <w:footnoteReference w:id="6"/>
      </w:r>
      <w:r>
        <w:t xml:space="preserve">  </w:t>
      </w:r>
      <w:r>
        <w:rPr>
          <w:szCs w:val="22"/>
        </w:rPr>
        <w:t xml:space="preserve">The </w:t>
      </w:r>
      <w:r w:rsidRPr="007A6CDA">
        <w:rPr>
          <w:i/>
        </w:rPr>
        <w:t xml:space="preserve">Competitive Bidding Update Report </w:t>
      </w:r>
      <w:r>
        <w:rPr>
          <w:i/>
        </w:rPr>
        <w:t>and</w:t>
      </w:r>
      <w:r w:rsidRPr="007A6CDA">
        <w:rPr>
          <w:i/>
        </w:rPr>
        <w:t xml:space="preserve"> Order</w:t>
      </w:r>
      <w:r>
        <w:rPr>
          <w:i/>
          <w:szCs w:val="22"/>
        </w:rPr>
        <w:t xml:space="preserve"> </w:t>
      </w:r>
      <w:r>
        <w:rPr>
          <w:szCs w:val="22"/>
        </w:rPr>
        <w:t>provides additional guidance on the particulars of these required filings and clarifies the parties responsible for filings in the case of transfers and assignments.</w:t>
      </w:r>
      <w:r>
        <w:rPr>
          <w:rStyle w:val="FootnoteReference"/>
          <w:szCs w:val="22"/>
        </w:rPr>
        <w:footnoteReference w:id="7"/>
      </w:r>
      <w:r w:rsidRPr="008C122B">
        <w:t xml:space="preserve"> </w:t>
      </w:r>
      <w:r w:rsidR="000424DD">
        <w:t xml:space="preserve"> </w:t>
      </w:r>
      <w:r w:rsidR="000424DD">
        <w:rPr>
          <w:szCs w:val="22"/>
        </w:rPr>
        <w:t xml:space="preserve">The Commission expects DE licensees to </w:t>
      </w:r>
      <w:r w:rsidRPr="003B20A3" w:rsidR="000424DD">
        <w:rPr>
          <w:szCs w:val="22"/>
        </w:rPr>
        <w:t>comply fully with t</w:t>
      </w:r>
      <w:r w:rsidR="000424DD">
        <w:rPr>
          <w:szCs w:val="22"/>
        </w:rPr>
        <w:t>he annual reporting requirement as the information in these reports is critical for the administration of the DE program.</w:t>
      </w:r>
      <w:r>
        <w:rPr>
          <w:rStyle w:val="FootnoteReference"/>
          <w:szCs w:val="22"/>
        </w:rPr>
        <w:footnoteReference w:id="8"/>
      </w:r>
      <w:r w:rsidR="000424DD">
        <w:rPr>
          <w:szCs w:val="22"/>
        </w:rPr>
        <w:t xml:space="preserve">  Failure to comply with the annual reporting requirement may result in enforcement action by the Commission.  </w:t>
      </w:r>
    </w:p>
    <w:p w:rsidR="00566EC3" w:rsidRPr="00722F8D" w:rsidP="007B3728" w14:paraId="73EB1686" w14:textId="452439CE">
      <w:pPr>
        <w:spacing w:after="120"/>
        <w:ind w:firstLine="720"/>
        <w:rPr>
          <w:szCs w:val="22"/>
        </w:rPr>
      </w:pPr>
      <w:r>
        <w:rPr>
          <w:b/>
          <w:szCs w:val="22"/>
        </w:rPr>
        <w:t>DE Reports must be filed electronically using Form 611-T</w:t>
      </w:r>
      <w:r w:rsidR="00120CC9">
        <w:rPr>
          <w:szCs w:val="22"/>
        </w:rPr>
        <w:t xml:space="preserve"> via the </w:t>
      </w:r>
      <w:r>
        <w:rPr>
          <w:szCs w:val="22"/>
        </w:rPr>
        <w:t>Commission’s website</w:t>
      </w:r>
      <w:r w:rsidR="004D212C">
        <w:rPr>
          <w:szCs w:val="22"/>
        </w:rPr>
        <w:t xml:space="preserve"> at</w:t>
      </w:r>
      <w:r>
        <w:rPr>
          <w:szCs w:val="22"/>
        </w:rPr>
        <w:t xml:space="preserve"> </w:t>
      </w:r>
      <w:hyperlink r:id="rId5" w:history="1">
        <w:r>
          <w:rPr>
            <w:rStyle w:val="Hyperlink"/>
          </w:rPr>
          <w:t>https://wireless2.fcc.gov/UlsEntry/licManager/login.jsp</w:t>
        </w:r>
      </w:hyperlink>
      <w:r>
        <w:rPr>
          <w:color w:val="1F497D"/>
        </w:rPr>
        <w:t>.</w:t>
      </w:r>
      <w:r>
        <w:rPr>
          <w:szCs w:val="22"/>
        </w:rPr>
        <w:t xml:space="preserve">  Please l</w:t>
      </w:r>
      <w:r w:rsidRPr="000A4C1B">
        <w:rPr>
          <w:szCs w:val="22"/>
        </w:rPr>
        <w:t>og in with your FRN and password</w:t>
      </w:r>
      <w:r>
        <w:rPr>
          <w:szCs w:val="22"/>
        </w:rPr>
        <w:t>, then c</w:t>
      </w:r>
      <w:r w:rsidRPr="000A4C1B">
        <w:rPr>
          <w:szCs w:val="22"/>
        </w:rPr>
        <w:t xml:space="preserve">lick on the </w:t>
      </w:r>
      <w:r>
        <w:rPr>
          <w:szCs w:val="22"/>
        </w:rPr>
        <w:t>“</w:t>
      </w:r>
      <w:r w:rsidRPr="000A4C1B">
        <w:rPr>
          <w:szCs w:val="22"/>
        </w:rPr>
        <w:t>My Licenses</w:t>
      </w:r>
      <w:r>
        <w:rPr>
          <w:szCs w:val="22"/>
        </w:rPr>
        <w:t>”</w:t>
      </w:r>
      <w:r w:rsidRPr="000A4C1B">
        <w:rPr>
          <w:szCs w:val="22"/>
        </w:rPr>
        <w:t xml:space="preserve"> link on the left side of the screen, then click on the “File De</w:t>
      </w:r>
      <w:r>
        <w:rPr>
          <w:szCs w:val="22"/>
        </w:rPr>
        <w:t>signated Entity Annual Report” l</w:t>
      </w:r>
      <w:r w:rsidRPr="000A4C1B">
        <w:rPr>
          <w:szCs w:val="22"/>
        </w:rPr>
        <w:t>ink to begin your 611</w:t>
      </w:r>
      <w:r>
        <w:rPr>
          <w:szCs w:val="22"/>
        </w:rPr>
        <w:t>-T</w:t>
      </w:r>
      <w:r w:rsidRPr="000A4C1B">
        <w:rPr>
          <w:szCs w:val="22"/>
        </w:rPr>
        <w:t xml:space="preserve"> filing.</w:t>
      </w:r>
      <w:r>
        <w:rPr>
          <w:szCs w:val="22"/>
        </w:rPr>
        <w:t xml:space="preserve">  If you need assistance, please contact FCC Licensing </w:t>
      </w:r>
      <w:r w:rsidRPr="00722F8D">
        <w:rPr>
          <w:szCs w:val="22"/>
        </w:rPr>
        <w:t xml:space="preserve">Support </w:t>
      </w:r>
      <w:r w:rsidR="00A82ECB">
        <w:rPr>
          <w:szCs w:val="22"/>
        </w:rPr>
        <w:t xml:space="preserve">via the web or phone </w:t>
      </w:r>
      <w:r w:rsidR="003C1517">
        <w:rPr>
          <w:szCs w:val="22"/>
        </w:rPr>
        <w:t>at the cont</w:t>
      </w:r>
      <w:r w:rsidR="00EB437D">
        <w:rPr>
          <w:szCs w:val="22"/>
        </w:rPr>
        <w:t xml:space="preserve">act </w:t>
      </w:r>
      <w:r w:rsidR="00AC5AE4">
        <w:rPr>
          <w:szCs w:val="22"/>
        </w:rPr>
        <w:t xml:space="preserve">information available on the following page:  </w:t>
      </w:r>
      <w:hyperlink r:id="rId6" w:history="1">
        <w:r w:rsidRPr="00D56E72" w:rsidR="004F64BF">
          <w:rPr>
            <w:rStyle w:val="Hyperlink"/>
            <w:szCs w:val="22"/>
          </w:rPr>
          <w:t>https://www.fcc.gov/wtbhelp</w:t>
        </w:r>
      </w:hyperlink>
      <w:r w:rsidR="004F64BF">
        <w:rPr>
          <w:szCs w:val="22"/>
        </w:rPr>
        <w:t xml:space="preserve">. </w:t>
      </w:r>
    </w:p>
    <w:p w:rsidR="00566EC3" w:rsidRPr="00722F8D" w:rsidP="00C8351F" w14:paraId="6F8E54AD" w14:textId="73062FAB">
      <w:pPr>
        <w:widowControl/>
        <w:spacing w:after="120"/>
        <w:ind w:firstLine="720"/>
        <w:rPr>
          <w:szCs w:val="22"/>
        </w:rPr>
      </w:pPr>
      <w:r w:rsidRPr="00722F8D">
        <w:rPr>
          <w:szCs w:val="22"/>
        </w:rPr>
        <w:t xml:space="preserve">To request materials in accessible formats (braille, large print, electronic files, audio format) for people with disabilities, send an email to </w:t>
      </w:r>
      <w:hyperlink r:id="rId7" w:history="1">
        <w:r w:rsidRPr="00722F8D">
          <w:rPr>
            <w:color w:val="0000FF"/>
            <w:szCs w:val="22"/>
            <w:u w:val="single"/>
          </w:rPr>
          <w:t>fcc504@fcc.gov</w:t>
        </w:r>
      </w:hyperlink>
      <w:r w:rsidRPr="00722F8D">
        <w:rPr>
          <w:szCs w:val="22"/>
        </w:rPr>
        <w:t xml:space="preserve"> or call the Consumer </w:t>
      </w:r>
      <w:r w:rsidR="00225D83">
        <w:rPr>
          <w:szCs w:val="22"/>
        </w:rPr>
        <w:t>&amp;</w:t>
      </w:r>
      <w:r w:rsidRPr="00722F8D">
        <w:rPr>
          <w:szCs w:val="22"/>
        </w:rPr>
        <w:t xml:space="preserve"> Governmental Affairs Bureau at 202-418-0530</w:t>
      </w:r>
      <w:r w:rsidR="00F94313">
        <w:rPr>
          <w:szCs w:val="22"/>
        </w:rPr>
        <w:t>.</w:t>
      </w:r>
    </w:p>
    <w:p w:rsidR="00566EC3" w:rsidP="007B3728" w14:paraId="14E00029" w14:textId="57C301FB">
      <w:pPr>
        <w:spacing w:after="120"/>
        <w:ind w:firstLine="720"/>
        <w:rPr>
          <w:szCs w:val="22"/>
        </w:rPr>
      </w:pPr>
      <w:r w:rsidRPr="00722F8D">
        <w:rPr>
          <w:szCs w:val="22"/>
        </w:rPr>
        <w:t xml:space="preserve">For further information regarding this </w:t>
      </w:r>
      <w:r w:rsidRPr="00B31B8D">
        <w:rPr>
          <w:iCs/>
          <w:szCs w:val="22"/>
        </w:rPr>
        <w:t>Public Notice</w:t>
      </w:r>
      <w:r w:rsidRPr="00722F8D">
        <w:rPr>
          <w:szCs w:val="22"/>
        </w:rPr>
        <w:t xml:space="preserve">, </w:t>
      </w:r>
      <w:r w:rsidR="008039B9">
        <w:rPr>
          <w:szCs w:val="22"/>
        </w:rPr>
        <w:t xml:space="preserve">please </w:t>
      </w:r>
      <w:r w:rsidRPr="00722F8D">
        <w:rPr>
          <w:szCs w:val="22"/>
        </w:rPr>
        <w:t xml:space="preserve">contact </w:t>
      </w:r>
      <w:r w:rsidRPr="00722F8D" w:rsidR="00120CC9">
        <w:rPr>
          <w:szCs w:val="22"/>
        </w:rPr>
        <w:t>Halie Peacher</w:t>
      </w:r>
      <w:r w:rsidR="006107CF">
        <w:rPr>
          <w:szCs w:val="22"/>
        </w:rPr>
        <w:t xml:space="preserve"> of the Mobility Division, </w:t>
      </w:r>
      <w:r w:rsidRPr="00722F8D">
        <w:rPr>
          <w:szCs w:val="22"/>
        </w:rPr>
        <w:t xml:space="preserve">Wireless Telecommunications Bureau, </w:t>
      </w:r>
      <w:r w:rsidR="006107CF">
        <w:rPr>
          <w:szCs w:val="22"/>
        </w:rPr>
        <w:t>at</w:t>
      </w:r>
      <w:r w:rsidRPr="00722F8D">
        <w:rPr>
          <w:szCs w:val="22"/>
        </w:rPr>
        <w:t xml:space="preserve"> </w:t>
      </w:r>
      <w:hyperlink r:id="rId8" w:history="1">
        <w:r w:rsidRPr="00722F8D" w:rsidR="00722F8D">
          <w:rPr>
            <w:rStyle w:val="Hyperlink"/>
            <w:szCs w:val="22"/>
          </w:rPr>
          <w:t>halie.peacher@fcc.gov</w:t>
        </w:r>
      </w:hyperlink>
      <w:r w:rsidR="006107CF">
        <w:rPr>
          <w:rStyle w:val="Hyperlink"/>
          <w:szCs w:val="22"/>
          <w:u w:val="none"/>
        </w:rPr>
        <w:t xml:space="preserve"> </w:t>
      </w:r>
      <w:r w:rsidR="006107CF">
        <w:rPr>
          <w:szCs w:val="22"/>
        </w:rPr>
        <w:t>or (</w:t>
      </w:r>
      <w:r w:rsidRPr="00722F8D" w:rsidR="006107CF">
        <w:rPr>
          <w:szCs w:val="22"/>
        </w:rPr>
        <w:t>202) 418-0514</w:t>
      </w:r>
      <w:r w:rsidRPr="00722F8D">
        <w:rPr>
          <w:szCs w:val="22"/>
        </w:rPr>
        <w:t>.</w:t>
      </w:r>
    </w:p>
    <w:p w:rsidR="00940ED3" w:rsidP="007B3728" w14:paraId="631E76E8" w14:textId="77777777">
      <w:pPr>
        <w:spacing w:after="120"/>
        <w:ind w:firstLine="720"/>
        <w:rPr>
          <w:szCs w:val="22"/>
        </w:rPr>
      </w:pPr>
    </w:p>
    <w:p w:rsidR="00566EC3" w:rsidRPr="00A82274" w:rsidP="00566EC3" w14:paraId="7072EB2D" w14:textId="77777777">
      <w:pPr>
        <w:spacing w:before="120"/>
        <w:jc w:val="center"/>
        <w:rPr>
          <w:b/>
          <w:szCs w:val="22"/>
        </w:rPr>
      </w:pPr>
      <w:r>
        <w:rPr>
          <w:b/>
          <w:szCs w:val="22"/>
        </w:rPr>
        <w:t>-FCC-</w:t>
      </w:r>
    </w:p>
    <w:p w:rsidR="00566EC3" w:rsidP="00566EC3" w14:paraId="03B505BA" w14:textId="77777777">
      <w:pPr>
        <w:rPr>
          <w:sz w:val="24"/>
        </w:rPr>
      </w:pPr>
    </w:p>
    <w:p w:rsidR="00566EC3" w:rsidRPr="00930ECF" w:rsidP="00566EC3" w14:paraId="52A96518" w14:textId="77777777">
      <w:pPr>
        <w:rPr>
          <w:sz w:val="24"/>
        </w:rPr>
      </w:pPr>
    </w:p>
    <w:p w:rsidR="00EE540B" w:rsidP="00566EC3" w14:paraId="58FFD527" w14:textId="387BFF6F">
      <w:pPr>
        <w:pStyle w:val="Heading1"/>
        <w:numPr>
          <w:ilvl w:val="0"/>
          <w:numId w:val="0"/>
        </w:numPr>
        <w:ind w:left="720" w:hanging="720"/>
      </w:pP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06A" w14:paraId="14E171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3F606A" w14:paraId="27BB7B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06A" w14:paraId="12A3080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06A" w14:paraId="024DD60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7116" w14:paraId="3C25F761" w14:textId="77777777">
      <w:r>
        <w:separator/>
      </w:r>
    </w:p>
  </w:footnote>
  <w:footnote w:type="continuationSeparator" w:id="1">
    <w:p w:rsidR="00367116" w14:paraId="0B46E053" w14:textId="77777777">
      <w:pPr>
        <w:rPr>
          <w:sz w:val="20"/>
        </w:rPr>
      </w:pPr>
      <w:r>
        <w:rPr>
          <w:sz w:val="20"/>
        </w:rPr>
        <w:t xml:space="preserve">(Continued from previous page)  </w:t>
      </w:r>
      <w:r>
        <w:rPr>
          <w:sz w:val="20"/>
        </w:rPr>
        <w:separator/>
      </w:r>
    </w:p>
  </w:footnote>
  <w:footnote w:type="continuationNotice" w:id="2">
    <w:p w:rsidR="00367116" w14:paraId="7E95311A" w14:textId="77777777">
      <w:pPr>
        <w:jc w:val="right"/>
        <w:rPr>
          <w:sz w:val="20"/>
        </w:rPr>
      </w:pPr>
      <w:r>
        <w:rPr>
          <w:sz w:val="20"/>
        </w:rPr>
        <w:t>(continued….)</w:t>
      </w:r>
    </w:p>
  </w:footnote>
  <w:footnote w:id="3">
    <w:p w:rsidR="00566EC3" w:rsidRPr="00391119" w:rsidP="00566EC3" w14:paraId="47983038" w14:textId="0242334B">
      <w:pPr>
        <w:pStyle w:val="FootnoteText"/>
      </w:pPr>
      <w:r>
        <w:rPr>
          <w:rStyle w:val="FootnoteReference"/>
        </w:rPr>
        <w:footnoteRef/>
      </w:r>
      <w:r>
        <w:t xml:space="preserve"> </w:t>
      </w:r>
      <w:r w:rsidRPr="000648F8">
        <w:rPr>
          <w:i/>
        </w:rPr>
        <w:t>Updating Part 1 Competitive Bidding Rules</w:t>
      </w:r>
      <w:r w:rsidRPr="009A2635">
        <w:t xml:space="preserve">, </w:t>
      </w:r>
      <w:r w:rsidR="002E1DA5">
        <w:t>WT Docket No.</w:t>
      </w:r>
      <w:r w:rsidR="00405ED7">
        <w:t xml:space="preserve"> </w:t>
      </w:r>
      <w:r w:rsidR="002E1DA5">
        <w:t>14-17</w:t>
      </w:r>
      <w:r w:rsidR="00405ED7">
        <w:t>0</w:t>
      </w:r>
      <w:r w:rsidR="002E1DA5">
        <w:t xml:space="preserve">, </w:t>
      </w:r>
      <w:r>
        <w:t xml:space="preserve">Report and Order, </w:t>
      </w:r>
      <w:r w:rsidRPr="009A2635">
        <w:t xml:space="preserve">30 </w:t>
      </w:r>
      <w:r>
        <w:t xml:space="preserve">FCC </w:t>
      </w:r>
      <w:r>
        <w:t>Rcd</w:t>
      </w:r>
      <w:r>
        <w:t xml:space="preserve"> 7493, 7562-63, paras. 162-</w:t>
      </w:r>
      <w:r w:rsidR="002F00C3">
        <w:t>1</w:t>
      </w:r>
      <w:r>
        <w:t>67</w:t>
      </w:r>
      <w:r w:rsidRPr="009A2635">
        <w:t xml:space="preserve"> (2015)</w:t>
      </w:r>
      <w:r>
        <w:t xml:space="preserve"> (</w:t>
      </w:r>
      <w:r w:rsidRPr="007A6CDA">
        <w:rPr>
          <w:i/>
        </w:rPr>
        <w:t xml:space="preserve">Competitive Bidding Update Report </w:t>
      </w:r>
      <w:r>
        <w:rPr>
          <w:i/>
        </w:rPr>
        <w:t>and</w:t>
      </w:r>
      <w:r w:rsidRPr="007A6CDA">
        <w:rPr>
          <w:i/>
        </w:rPr>
        <w:t xml:space="preserve"> Order</w:t>
      </w:r>
      <w:r>
        <w:t>)</w:t>
      </w:r>
      <w:bookmarkStart w:id="0" w:name="_Hlk524341619"/>
      <w:r w:rsidR="00296BCB">
        <w:t xml:space="preserve">; </w:t>
      </w:r>
      <w:r w:rsidR="00405ED7">
        <w:rPr>
          <w:i/>
          <w:iCs/>
        </w:rPr>
        <w:t>s</w:t>
      </w:r>
      <w:r>
        <w:rPr>
          <w:i/>
        </w:rPr>
        <w:t xml:space="preserve">ee </w:t>
      </w:r>
      <w:r>
        <w:t>47 CFR § 1.2110(n).</w:t>
      </w:r>
      <w:bookmarkEnd w:id="0"/>
      <w:r w:rsidR="004A717E">
        <w:t xml:space="preserve">  </w:t>
      </w:r>
    </w:p>
  </w:footnote>
  <w:footnote w:id="4">
    <w:p w:rsidR="00566EC3" w:rsidP="00566EC3" w14:paraId="347EC0C4" w14:textId="29C35A02">
      <w:pPr>
        <w:pStyle w:val="FootnoteText"/>
      </w:pPr>
      <w:r w:rsidRPr="003E6B79">
        <w:rPr>
          <w:rStyle w:val="FootnoteReference"/>
        </w:rPr>
        <w:footnoteRef/>
      </w:r>
      <w:r w:rsidRPr="003E6B79">
        <w:t xml:space="preserve"> Section 1.2110(n) of the Commission’s rules requires each designed entity licensee to file an annual report with the Commission no later than September 3</w:t>
      </w:r>
      <w:r w:rsidRPr="003E6B79" w:rsidR="00A80577">
        <w:t>0th</w:t>
      </w:r>
      <w:r w:rsidRPr="003E6B79">
        <w:t xml:space="preserve"> of each year for each license it holds that was acquired using designated entity benefits and that, as of August 3</w:t>
      </w:r>
      <w:r w:rsidRPr="003E6B79" w:rsidR="00A80577">
        <w:t>1st</w:t>
      </w:r>
      <w:r w:rsidRPr="003E6B79">
        <w:t xml:space="preserve"> of the year in which the report is due, remains subject to designated entity unjust enrichment requirements.  September 30, 20</w:t>
      </w:r>
      <w:r w:rsidRPr="003E6B79" w:rsidR="00A80577">
        <w:t>23</w:t>
      </w:r>
      <w:r w:rsidRPr="003E6B79">
        <w:t xml:space="preserve"> is a </w:t>
      </w:r>
      <w:r w:rsidRPr="003E6B79" w:rsidR="00A80577">
        <w:t>Saturday</w:t>
      </w:r>
      <w:r w:rsidRPr="003E6B79">
        <w:t>.  Therefore, pursuant to Section 1.4 of the Commission’s rules, filings will be due by close of the next business day</w:t>
      </w:r>
      <w:r w:rsidR="00873230">
        <w:t>—</w:t>
      </w:r>
      <w:r w:rsidRPr="003E6B79">
        <w:t xml:space="preserve">Monday, October </w:t>
      </w:r>
      <w:r w:rsidRPr="003E6B79" w:rsidR="003E6B79">
        <w:t>2</w:t>
      </w:r>
      <w:r w:rsidRPr="003E6B79">
        <w:t>, 20</w:t>
      </w:r>
      <w:r w:rsidRPr="003E6B79" w:rsidR="003E6B79">
        <w:t>23</w:t>
      </w:r>
      <w:r w:rsidRPr="003E6B79">
        <w:t xml:space="preserve">.  </w:t>
      </w:r>
      <w:r w:rsidRPr="003E6B79">
        <w:rPr>
          <w:i/>
        </w:rPr>
        <w:t xml:space="preserve">See </w:t>
      </w:r>
      <w:r w:rsidRPr="003E6B79">
        <w:t>47</w:t>
      </w:r>
      <w:r>
        <w:t xml:space="preserve"> CFR §§ 1.4, 1.2110(n).</w:t>
      </w:r>
    </w:p>
  </w:footnote>
  <w:footnote w:id="5">
    <w:p w:rsidR="00566EC3" w:rsidRPr="004B2541" w:rsidP="00566EC3" w14:paraId="482B97A9" w14:textId="553773D4">
      <w:pPr>
        <w:pStyle w:val="FootnoteText"/>
        <w:rPr>
          <w:i/>
        </w:rPr>
      </w:pPr>
      <w:r>
        <w:rPr>
          <w:rStyle w:val="FootnoteReference"/>
        </w:rPr>
        <w:footnoteRef/>
      </w:r>
      <w:r>
        <w:t xml:space="preserve"> </w:t>
      </w:r>
      <w:r w:rsidRPr="007A6CDA" w:rsidR="002D0855">
        <w:rPr>
          <w:i/>
        </w:rPr>
        <w:t xml:space="preserve">Competitive Bidding Update Report </w:t>
      </w:r>
      <w:r w:rsidR="002D0855">
        <w:rPr>
          <w:i/>
        </w:rPr>
        <w:t>and</w:t>
      </w:r>
      <w:r w:rsidRPr="007A6CDA" w:rsidR="002D0855">
        <w:rPr>
          <w:i/>
        </w:rPr>
        <w:t xml:space="preserve"> Order</w:t>
      </w:r>
      <w:r w:rsidR="002D0855">
        <w:t xml:space="preserve">, 30 FCC </w:t>
      </w:r>
      <w:r w:rsidR="002D0855">
        <w:t>Rcd</w:t>
      </w:r>
      <w:r w:rsidR="002D0855">
        <w:t xml:space="preserve"> at 7562-63, para. 164.  </w:t>
      </w:r>
    </w:p>
  </w:footnote>
  <w:footnote w:id="6">
    <w:p w:rsidR="00566EC3" w:rsidP="00566EC3" w14:paraId="4B660CE1" w14:textId="77777777">
      <w:pPr>
        <w:pStyle w:val="FootnoteText"/>
      </w:pPr>
      <w:r>
        <w:rPr>
          <w:rStyle w:val="FootnoteReference"/>
        </w:rPr>
        <w:footnoteRef/>
      </w:r>
      <w:r>
        <w:t xml:space="preserve"> </w:t>
      </w:r>
      <w:r>
        <w:rPr>
          <w:i/>
        </w:rPr>
        <w:t>Id</w:t>
      </w:r>
      <w:r>
        <w:t xml:space="preserve">. at 7563, para. 166. </w:t>
      </w:r>
    </w:p>
  </w:footnote>
  <w:footnote w:id="7">
    <w:p w:rsidR="00566EC3" w:rsidP="00566EC3" w14:paraId="2508EF74" w14:textId="567ACB1B">
      <w:pPr>
        <w:pStyle w:val="FootnoteText"/>
      </w:pPr>
      <w:r>
        <w:rPr>
          <w:rStyle w:val="FootnoteReference"/>
        </w:rPr>
        <w:footnoteRef/>
      </w:r>
      <w:r>
        <w:t xml:space="preserve"> </w:t>
      </w:r>
      <w:r>
        <w:rPr>
          <w:i/>
        </w:rPr>
        <w:t>See id</w:t>
      </w:r>
      <w:r>
        <w:t>.</w:t>
      </w:r>
      <w:r w:rsidR="0038297A">
        <w:t xml:space="preserve"> at</w:t>
      </w:r>
      <w:r>
        <w:t xml:space="preserve"> 7563, para. 167.</w:t>
      </w:r>
    </w:p>
  </w:footnote>
  <w:footnote w:id="8">
    <w:p w:rsidR="000424DD" w:rsidP="000424DD" w14:paraId="1A51E08F" w14:textId="77777777">
      <w:pPr>
        <w:pStyle w:val="FootnoteText"/>
      </w:pPr>
      <w:r>
        <w:rPr>
          <w:rStyle w:val="FootnoteReference"/>
        </w:rPr>
        <w:footnoteRef/>
      </w:r>
      <w:r>
        <w:t xml:space="preserve"> </w:t>
      </w:r>
      <w:r>
        <w:rPr>
          <w:i/>
        </w:rPr>
        <w:t>See id</w:t>
      </w:r>
      <w:r>
        <w:t>. at 7562, para. 162.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06A" w14:paraId="16A92951" w14:textId="264D61AB">
    <w:pPr>
      <w:tabs>
        <w:tab w:val="center" w:pos="4680"/>
        <w:tab w:val="right" w:pos="9360"/>
      </w:tabs>
    </w:pPr>
    <w:r>
      <w:rPr>
        <w:b/>
      </w:rPr>
      <w:tab/>
      <w:t>Federal Communications Commission</w:t>
    </w:r>
    <w:r>
      <w:rPr>
        <w:b/>
      </w:rPr>
      <w:tab/>
    </w:r>
    <w:r w:rsidR="009F6D2D">
      <w:rPr>
        <w:b/>
      </w:rPr>
      <w:t>DA 23-787</w:t>
    </w:r>
  </w:p>
  <w:p w:rsidR="003F606A" w14:paraId="72A2CE55" w14:textId="083D345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F606A" w14:paraId="6AD27EC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06A" w14:paraId="52E7EDE0" w14:textId="209C25D8">
    <w:pPr>
      <w:pStyle w:val="Header"/>
    </w:pPr>
    <w:r>
      <w:rPr>
        <w:noProof/>
        <w:snapToGrid/>
      </w:rPr>
      <w:drawing>
        <wp:inline distT="0" distB="0" distL="0" distR="0">
          <wp:extent cx="5946140" cy="1428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6140" cy="1428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71DA5"/>
    <w:multiLevelType w:val="hybridMultilevel"/>
    <w:tmpl w:val="5BDA10C8"/>
    <w:lvl w:ilvl="0">
      <w:start w:val="1"/>
      <w:numFmt w:val="decimal"/>
      <w:lvlText w:val="(%1)"/>
      <w:lvlJc w:val="left"/>
      <w:pPr>
        <w:ind w:left="1530" w:hanging="360"/>
      </w:pPr>
      <w:rPr>
        <w:rFonts w:ascii="Times New Roman" w:eastAsia="Times New Roman"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6907379"/>
    <w:multiLevelType w:val="hybridMultilevel"/>
    <w:tmpl w:val="777E932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D7B520E"/>
    <w:multiLevelType w:val="hybridMultilevel"/>
    <w:tmpl w:val="6B9009BE"/>
    <w:lvl w:ilvl="0">
      <w:start w:val="1"/>
      <w:numFmt w:val="bullet"/>
      <w:lvlText w:val=""/>
      <w:lvlJc w:val="left"/>
      <w:pPr>
        <w:ind w:left="2250" w:hanging="360"/>
      </w:pPr>
      <w:rPr>
        <w:rFonts w:ascii="Symbol" w:hAnsi="Symbol" w:hint="default"/>
      </w:rPr>
    </w:lvl>
    <w:lvl w:ilvl="1" w:tentative="1">
      <w:start w:val="1"/>
      <w:numFmt w:val="bullet"/>
      <w:lvlText w:val="o"/>
      <w:lvlJc w:val="left"/>
      <w:pPr>
        <w:ind w:left="2970" w:hanging="360"/>
      </w:pPr>
      <w:rPr>
        <w:rFonts w:ascii="Courier New" w:hAnsi="Courier New" w:cs="Courier New" w:hint="default"/>
      </w:rPr>
    </w:lvl>
    <w:lvl w:ilvl="2" w:tentative="1">
      <w:start w:val="1"/>
      <w:numFmt w:val="bullet"/>
      <w:lvlText w:val=""/>
      <w:lvlJc w:val="left"/>
      <w:pPr>
        <w:ind w:left="3690" w:hanging="360"/>
      </w:pPr>
      <w:rPr>
        <w:rFonts w:ascii="Wingdings" w:hAnsi="Wingdings" w:hint="default"/>
      </w:rPr>
    </w:lvl>
    <w:lvl w:ilvl="3" w:tentative="1">
      <w:start w:val="1"/>
      <w:numFmt w:val="bullet"/>
      <w:lvlText w:val=""/>
      <w:lvlJc w:val="left"/>
      <w:pPr>
        <w:ind w:left="4410" w:hanging="360"/>
      </w:pPr>
      <w:rPr>
        <w:rFonts w:ascii="Symbol" w:hAnsi="Symbol" w:hint="default"/>
      </w:rPr>
    </w:lvl>
    <w:lvl w:ilvl="4" w:tentative="1">
      <w:start w:val="1"/>
      <w:numFmt w:val="bullet"/>
      <w:lvlText w:val="o"/>
      <w:lvlJc w:val="left"/>
      <w:pPr>
        <w:ind w:left="5130" w:hanging="360"/>
      </w:pPr>
      <w:rPr>
        <w:rFonts w:ascii="Courier New" w:hAnsi="Courier New" w:cs="Courier New" w:hint="default"/>
      </w:rPr>
    </w:lvl>
    <w:lvl w:ilvl="5" w:tentative="1">
      <w:start w:val="1"/>
      <w:numFmt w:val="bullet"/>
      <w:lvlText w:val=""/>
      <w:lvlJc w:val="left"/>
      <w:pPr>
        <w:ind w:left="5850" w:hanging="360"/>
      </w:pPr>
      <w:rPr>
        <w:rFonts w:ascii="Wingdings" w:hAnsi="Wingdings" w:hint="default"/>
      </w:rPr>
    </w:lvl>
    <w:lvl w:ilvl="6" w:tentative="1">
      <w:start w:val="1"/>
      <w:numFmt w:val="bullet"/>
      <w:lvlText w:val=""/>
      <w:lvlJc w:val="left"/>
      <w:pPr>
        <w:ind w:left="6570" w:hanging="360"/>
      </w:pPr>
      <w:rPr>
        <w:rFonts w:ascii="Symbol" w:hAnsi="Symbol" w:hint="default"/>
      </w:rPr>
    </w:lvl>
    <w:lvl w:ilvl="7" w:tentative="1">
      <w:start w:val="1"/>
      <w:numFmt w:val="bullet"/>
      <w:lvlText w:val="o"/>
      <w:lvlJc w:val="left"/>
      <w:pPr>
        <w:ind w:left="7290" w:hanging="360"/>
      </w:pPr>
      <w:rPr>
        <w:rFonts w:ascii="Courier New" w:hAnsi="Courier New" w:cs="Courier New" w:hint="default"/>
      </w:rPr>
    </w:lvl>
    <w:lvl w:ilvl="8" w:tentative="1">
      <w:start w:val="1"/>
      <w:numFmt w:val="bullet"/>
      <w:lvlText w:val=""/>
      <w:lvlJc w:val="left"/>
      <w:pPr>
        <w:ind w:left="8010" w:hanging="360"/>
      </w:pPr>
      <w:rPr>
        <w:rFonts w:ascii="Wingdings" w:hAnsi="Wingdings" w:hint="default"/>
      </w:rPr>
    </w:lvl>
  </w:abstractNum>
  <w:abstractNum w:abstractNumId="4">
    <w:nsid w:val="18977FEB"/>
    <w:multiLevelType w:val="hybridMultilevel"/>
    <w:tmpl w:val="9AA08998"/>
    <w:lvl w:ilvl="0">
      <w:start w:val="1"/>
      <w:numFmt w:val="decimal"/>
      <w:pStyle w:val="ListParagraph"/>
      <w:lvlText w:val="%1)"/>
      <w:lvlJc w:val="left"/>
      <w:pPr>
        <w:ind w:left="1800" w:hanging="360"/>
      </w:pPr>
      <w:rPr>
        <w:rFonts w:hint="default"/>
      </w:rPr>
    </w:lvl>
    <w:lvl w:ilvl="1">
      <w:start w:val="1"/>
      <w:numFmt w:val="lowerLetter"/>
      <w:lvlText w:val="%2)"/>
      <w:lvlJc w:val="left"/>
      <w:pPr>
        <w:ind w:left="3600" w:hanging="360"/>
      </w:p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522531C"/>
    <w:multiLevelType w:val="hybridMultilevel"/>
    <w:tmpl w:val="4D089B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5"/>
  </w:num>
  <w:num w:numId="2">
    <w:abstractNumId w:val="10"/>
  </w:num>
  <w:num w:numId="3">
    <w:abstractNumId w:val="8"/>
  </w:num>
  <w:num w:numId="4">
    <w:abstractNumId w:val="9"/>
  </w:num>
  <w:num w:numId="5">
    <w:abstractNumId w:val="6"/>
  </w:num>
  <w:num w:numId="6">
    <w:abstractNumId w:val="2"/>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7"/>
  </w:num>
  <w:num w:numId="11">
    <w:abstractNumId w:val="4"/>
  </w:num>
  <w:num w:numId="12">
    <w:abstractNumId w:val="10"/>
    <w:lvlOverride w:ilvl="0">
      <w:startOverride w:val="1"/>
    </w:lvlOverride>
  </w:num>
  <w:num w:numId="13">
    <w:abstractNumId w:val="0"/>
  </w:num>
  <w:num w:numId="14">
    <w:abstractNumId w:val="3"/>
  </w:num>
  <w:num w:numId="15">
    <w:abstractNumId w:val="1"/>
  </w:num>
  <w:num w:numId="1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0B"/>
    <w:rsid w:val="00003007"/>
    <w:rsid w:val="00004AB0"/>
    <w:rsid w:val="00006954"/>
    <w:rsid w:val="0001142E"/>
    <w:rsid w:val="00011E54"/>
    <w:rsid w:val="00011FCA"/>
    <w:rsid w:val="000142BC"/>
    <w:rsid w:val="00015720"/>
    <w:rsid w:val="000160BB"/>
    <w:rsid w:val="00035DC6"/>
    <w:rsid w:val="000424DD"/>
    <w:rsid w:val="00043CCC"/>
    <w:rsid w:val="00050ABC"/>
    <w:rsid w:val="0005462A"/>
    <w:rsid w:val="000556CB"/>
    <w:rsid w:val="000558A6"/>
    <w:rsid w:val="00055BB9"/>
    <w:rsid w:val="00062479"/>
    <w:rsid w:val="000648F8"/>
    <w:rsid w:val="00067A56"/>
    <w:rsid w:val="00070747"/>
    <w:rsid w:val="000768C6"/>
    <w:rsid w:val="00077A8A"/>
    <w:rsid w:val="000813E0"/>
    <w:rsid w:val="00082CF8"/>
    <w:rsid w:val="00092739"/>
    <w:rsid w:val="000954C6"/>
    <w:rsid w:val="00097209"/>
    <w:rsid w:val="00097A21"/>
    <w:rsid w:val="000A4C1B"/>
    <w:rsid w:val="000B0208"/>
    <w:rsid w:val="000B68CB"/>
    <w:rsid w:val="000B7C89"/>
    <w:rsid w:val="000B7CD3"/>
    <w:rsid w:val="000C6F19"/>
    <w:rsid w:val="000C7A0B"/>
    <w:rsid w:val="000D1ACF"/>
    <w:rsid w:val="000D2EA8"/>
    <w:rsid w:val="000D6650"/>
    <w:rsid w:val="000E1509"/>
    <w:rsid w:val="000E72BA"/>
    <w:rsid w:val="000E7B50"/>
    <w:rsid w:val="000F0A2D"/>
    <w:rsid w:val="000F5141"/>
    <w:rsid w:val="000F6EBF"/>
    <w:rsid w:val="00101297"/>
    <w:rsid w:val="00110BF7"/>
    <w:rsid w:val="00113D80"/>
    <w:rsid w:val="00120252"/>
    <w:rsid w:val="00120CC9"/>
    <w:rsid w:val="00121F72"/>
    <w:rsid w:val="00130526"/>
    <w:rsid w:val="00130FB9"/>
    <w:rsid w:val="00145639"/>
    <w:rsid w:val="00152692"/>
    <w:rsid w:val="00153C60"/>
    <w:rsid w:val="0015721E"/>
    <w:rsid w:val="00157FA7"/>
    <w:rsid w:val="0018036E"/>
    <w:rsid w:val="00185719"/>
    <w:rsid w:val="00187C77"/>
    <w:rsid w:val="00190DD9"/>
    <w:rsid w:val="001B1956"/>
    <w:rsid w:val="001B2B9E"/>
    <w:rsid w:val="001C4F46"/>
    <w:rsid w:val="001C6423"/>
    <w:rsid w:val="001E1D1A"/>
    <w:rsid w:val="001E2D83"/>
    <w:rsid w:val="001E4C6B"/>
    <w:rsid w:val="001E723A"/>
    <w:rsid w:val="001E7859"/>
    <w:rsid w:val="001F0525"/>
    <w:rsid w:val="001F41ED"/>
    <w:rsid w:val="001F4474"/>
    <w:rsid w:val="001F6993"/>
    <w:rsid w:val="00202064"/>
    <w:rsid w:val="0020275F"/>
    <w:rsid w:val="0020734C"/>
    <w:rsid w:val="002075EC"/>
    <w:rsid w:val="00210B6B"/>
    <w:rsid w:val="00211715"/>
    <w:rsid w:val="00215ED8"/>
    <w:rsid w:val="00216ACF"/>
    <w:rsid w:val="002228CC"/>
    <w:rsid w:val="002237F1"/>
    <w:rsid w:val="00224347"/>
    <w:rsid w:val="00225D83"/>
    <w:rsid w:val="00233EF5"/>
    <w:rsid w:val="0023713E"/>
    <w:rsid w:val="00240B5B"/>
    <w:rsid w:val="00243A49"/>
    <w:rsid w:val="0024423B"/>
    <w:rsid w:val="00245C02"/>
    <w:rsid w:val="0024734C"/>
    <w:rsid w:val="00251C91"/>
    <w:rsid w:val="00253EE4"/>
    <w:rsid w:val="002549EA"/>
    <w:rsid w:val="002633EB"/>
    <w:rsid w:val="00265483"/>
    <w:rsid w:val="00270066"/>
    <w:rsid w:val="00283316"/>
    <w:rsid w:val="00283DD7"/>
    <w:rsid w:val="00284FF0"/>
    <w:rsid w:val="0029001E"/>
    <w:rsid w:val="00290431"/>
    <w:rsid w:val="00296BCB"/>
    <w:rsid w:val="0029729B"/>
    <w:rsid w:val="002A107A"/>
    <w:rsid w:val="002A4CBB"/>
    <w:rsid w:val="002A5FF0"/>
    <w:rsid w:val="002B7632"/>
    <w:rsid w:val="002C7ACF"/>
    <w:rsid w:val="002D0855"/>
    <w:rsid w:val="002D5554"/>
    <w:rsid w:val="002E1DA5"/>
    <w:rsid w:val="002E1EFF"/>
    <w:rsid w:val="002E2879"/>
    <w:rsid w:val="002E2DF0"/>
    <w:rsid w:val="002F00C3"/>
    <w:rsid w:val="002F104D"/>
    <w:rsid w:val="002F28E3"/>
    <w:rsid w:val="002F3597"/>
    <w:rsid w:val="00302C9D"/>
    <w:rsid w:val="00303C5A"/>
    <w:rsid w:val="003062BA"/>
    <w:rsid w:val="0030769D"/>
    <w:rsid w:val="00313F69"/>
    <w:rsid w:val="003154F3"/>
    <w:rsid w:val="0032779A"/>
    <w:rsid w:val="00332A54"/>
    <w:rsid w:val="00341F11"/>
    <w:rsid w:val="003439BB"/>
    <w:rsid w:val="003501AB"/>
    <w:rsid w:val="00351B10"/>
    <w:rsid w:val="00365B58"/>
    <w:rsid w:val="00367116"/>
    <w:rsid w:val="0036773C"/>
    <w:rsid w:val="00372206"/>
    <w:rsid w:val="003726B9"/>
    <w:rsid w:val="00372EE6"/>
    <w:rsid w:val="00380C8D"/>
    <w:rsid w:val="003817B3"/>
    <w:rsid w:val="00382688"/>
    <w:rsid w:val="0038297A"/>
    <w:rsid w:val="00382CCF"/>
    <w:rsid w:val="00383CA0"/>
    <w:rsid w:val="00385ADB"/>
    <w:rsid w:val="003900C2"/>
    <w:rsid w:val="00391119"/>
    <w:rsid w:val="003918E6"/>
    <w:rsid w:val="00392859"/>
    <w:rsid w:val="00392C44"/>
    <w:rsid w:val="0039354B"/>
    <w:rsid w:val="003A1272"/>
    <w:rsid w:val="003A51B2"/>
    <w:rsid w:val="003B0555"/>
    <w:rsid w:val="003B20A3"/>
    <w:rsid w:val="003B267D"/>
    <w:rsid w:val="003C1517"/>
    <w:rsid w:val="003C298D"/>
    <w:rsid w:val="003C3334"/>
    <w:rsid w:val="003C5535"/>
    <w:rsid w:val="003C72D9"/>
    <w:rsid w:val="003D117D"/>
    <w:rsid w:val="003D30A6"/>
    <w:rsid w:val="003D5C49"/>
    <w:rsid w:val="003E2137"/>
    <w:rsid w:val="003E48F4"/>
    <w:rsid w:val="003E6B79"/>
    <w:rsid w:val="003F2391"/>
    <w:rsid w:val="003F606A"/>
    <w:rsid w:val="00404379"/>
    <w:rsid w:val="004051AE"/>
    <w:rsid w:val="00405ED7"/>
    <w:rsid w:val="004136E5"/>
    <w:rsid w:val="00426330"/>
    <w:rsid w:val="00430635"/>
    <w:rsid w:val="00436EF2"/>
    <w:rsid w:val="004370A7"/>
    <w:rsid w:val="004421C6"/>
    <w:rsid w:val="00443A0A"/>
    <w:rsid w:val="00456AF0"/>
    <w:rsid w:val="00456F22"/>
    <w:rsid w:val="00467516"/>
    <w:rsid w:val="00470336"/>
    <w:rsid w:val="00481A24"/>
    <w:rsid w:val="004825B6"/>
    <w:rsid w:val="00484D11"/>
    <w:rsid w:val="00485A56"/>
    <w:rsid w:val="00490B0A"/>
    <w:rsid w:val="004A33D1"/>
    <w:rsid w:val="004A553F"/>
    <w:rsid w:val="004A717E"/>
    <w:rsid w:val="004B2541"/>
    <w:rsid w:val="004C2F0B"/>
    <w:rsid w:val="004C5433"/>
    <w:rsid w:val="004C5A2E"/>
    <w:rsid w:val="004D070C"/>
    <w:rsid w:val="004D185E"/>
    <w:rsid w:val="004D1C4C"/>
    <w:rsid w:val="004D1CC6"/>
    <w:rsid w:val="004D212C"/>
    <w:rsid w:val="004E0F26"/>
    <w:rsid w:val="004E7FB3"/>
    <w:rsid w:val="004F64BF"/>
    <w:rsid w:val="005013EF"/>
    <w:rsid w:val="00503100"/>
    <w:rsid w:val="00505CDC"/>
    <w:rsid w:val="005073EC"/>
    <w:rsid w:val="005173D8"/>
    <w:rsid w:val="005213F3"/>
    <w:rsid w:val="00523B47"/>
    <w:rsid w:val="00524F92"/>
    <w:rsid w:val="005251EF"/>
    <w:rsid w:val="00536E2D"/>
    <w:rsid w:val="005376AE"/>
    <w:rsid w:val="005379FC"/>
    <w:rsid w:val="0054519C"/>
    <w:rsid w:val="0054688A"/>
    <w:rsid w:val="00546B05"/>
    <w:rsid w:val="00566EC3"/>
    <w:rsid w:val="00572958"/>
    <w:rsid w:val="005741BD"/>
    <w:rsid w:val="00574873"/>
    <w:rsid w:val="00575FD3"/>
    <w:rsid w:val="005768A6"/>
    <w:rsid w:val="00581044"/>
    <w:rsid w:val="005871E2"/>
    <w:rsid w:val="00595B38"/>
    <w:rsid w:val="005A34AC"/>
    <w:rsid w:val="005A438E"/>
    <w:rsid w:val="005A4E57"/>
    <w:rsid w:val="005A4F5B"/>
    <w:rsid w:val="005B25C3"/>
    <w:rsid w:val="005B2C28"/>
    <w:rsid w:val="005B32DB"/>
    <w:rsid w:val="005C7CE7"/>
    <w:rsid w:val="005E1286"/>
    <w:rsid w:val="005E5689"/>
    <w:rsid w:val="005F69E8"/>
    <w:rsid w:val="00602802"/>
    <w:rsid w:val="006107CF"/>
    <w:rsid w:val="00611590"/>
    <w:rsid w:val="00612479"/>
    <w:rsid w:val="006174E3"/>
    <w:rsid w:val="0062742E"/>
    <w:rsid w:val="006275FC"/>
    <w:rsid w:val="0063024B"/>
    <w:rsid w:val="00634384"/>
    <w:rsid w:val="00641CCF"/>
    <w:rsid w:val="00643D28"/>
    <w:rsid w:val="006476AF"/>
    <w:rsid w:val="006640A9"/>
    <w:rsid w:val="00666E55"/>
    <w:rsid w:val="00667080"/>
    <w:rsid w:val="0067204A"/>
    <w:rsid w:val="00680059"/>
    <w:rsid w:val="006868E9"/>
    <w:rsid w:val="006911AF"/>
    <w:rsid w:val="00695273"/>
    <w:rsid w:val="00695F36"/>
    <w:rsid w:val="00696CDD"/>
    <w:rsid w:val="00697258"/>
    <w:rsid w:val="006976E2"/>
    <w:rsid w:val="006A7E2C"/>
    <w:rsid w:val="006B70CA"/>
    <w:rsid w:val="006C03A1"/>
    <w:rsid w:val="006C09CC"/>
    <w:rsid w:val="006C3239"/>
    <w:rsid w:val="006C48F8"/>
    <w:rsid w:val="006D731F"/>
    <w:rsid w:val="006E4066"/>
    <w:rsid w:val="006E49D0"/>
    <w:rsid w:val="006E7D3B"/>
    <w:rsid w:val="006F0219"/>
    <w:rsid w:val="006F4809"/>
    <w:rsid w:val="006F532F"/>
    <w:rsid w:val="0070760C"/>
    <w:rsid w:val="0071172A"/>
    <w:rsid w:val="007211F8"/>
    <w:rsid w:val="007223B6"/>
    <w:rsid w:val="00722F8D"/>
    <w:rsid w:val="0073230B"/>
    <w:rsid w:val="00733DA9"/>
    <w:rsid w:val="00734309"/>
    <w:rsid w:val="00736849"/>
    <w:rsid w:val="00740298"/>
    <w:rsid w:val="00744E8C"/>
    <w:rsid w:val="007452CC"/>
    <w:rsid w:val="007466C1"/>
    <w:rsid w:val="00753A65"/>
    <w:rsid w:val="0076439A"/>
    <w:rsid w:val="00771066"/>
    <w:rsid w:val="007920B6"/>
    <w:rsid w:val="007A082A"/>
    <w:rsid w:val="007A13A5"/>
    <w:rsid w:val="007A13EB"/>
    <w:rsid w:val="007A2658"/>
    <w:rsid w:val="007A6CDA"/>
    <w:rsid w:val="007B3728"/>
    <w:rsid w:val="007C0436"/>
    <w:rsid w:val="007C4125"/>
    <w:rsid w:val="007C5269"/>
    <w:rsid w:val="007D3E31"/>
    <w:rsid w:val="007D66B4"/>
    <w:rsid w:val="007E03CA"/>
    <w:rsid w:val="007E1B54"/>
    <w:rsid w:val="007E73ED"/>
    <w:rsid w:val="00802AE0"/>
    <w:rsid w:val="008039B9"/>
    <w:rsid w:val="008078CE"/>
    <w:rsid w:val="008166A1"/>
    <w:rsid w:val="0082701D"/>
    <w:rsid w:val="0083632F"/>
    <w:rsid w:val="0083744C"/>
    <w:rsid w:val="00840A1D"/>
    <w:rsid w:val="0084166E"/>
    <w:rsid w:val="0084759A"/>
    <w:rsid w:val="00850F97"/>
    <w:rsid w:val="008579A8"/>
    <w:rsid w:val="00857C26"/>
    <w:rsid w:val="0086097A"/>
    <w:rsid w:val="0086398F"/>
    <w:rsid w:val="008647CE"/>
    <w:rsid w:val="00867E3F"/>
    <w:rsid w:val="00873230"/>
    <w:rsid w:val="00874394"/>
    <w:rsid w:val="00875654"/>
    <w:rsid w:val="00881441"/>
    <w:rsid w:val="00882553"/>
    <w:rsid w:val="00887B1D"/>
    <w:rsid w:val="00890474"/>
    <w:rsid w:val="00891100"/>
    <w:rsid w:val="00896CA5"/>
    <w:rsid w:val="008A1FCB"/>
    <w:rsid w:val="008A7DC4"/>
    <w:rsid w:val="008B319A"/>
    <w:rsid w:val="008B4572"/>
    <w:rsid w:val="008B4E3B"/>
    <w:rsid w:val="008C0D93"/>
    <w:rsid w:val="008C122B"/>
    <w:rsid w:val="008D1FE0"/>
    <w:rsid w:val="008D6088"/>
    <w:rsid w:val="008E318A"/>
    <w:rsid w:val="008E653D"/>
    <w:rsid w:val="008E70FF"/>
    <w:rsid w:val="008F0D97"/>
    <w:rsid w:val="008F2338"/>
    <w:rsid w:val="008F44CF"/>
    <w:rsid w:val="008F52A7"/>
    <w:rsid w:val="00900DC3"/>
    <w:rsid w:val="0090139B"/>
    <w:rsid w:val="009035EB"/>
    <w:rsid w:val="00903F81"/>
    <w:rsid w:val="00912E1C"/>
    <w:rsid w:val="0092146D"/>
    <w:rsid w:val="00921ACE"/>
    <w:rsid w:val="00930ECF"/>
    <w:rsid w:val="0093188F"/>
    <w:rsid w:val="0093330E"/>
    <w:rsid w:val="0093340E"/>
    <w:rsid w:val="00936002"/>
    <w:rsid w:val="00940ED3"/>
    <w:rsid w:val="009429AD"/>
    <w:rsid w:val="00944EA3"/>
    <w:rsid w:val="00946FB3"/>
    <w:rsid w:val="0094766B"/>
    <w:rsid w:val="00951663"/>
    <w:rsid w:val="00955BC0"/>
    <w:rsid w:val="0096532E"/>
    <w:rsid w:val="00965AB0"/>
    <w:rsid w:val="00967FF3"/>
    <w:rsid w:val="0097118D"/>
    <w:rsid w:val="009724DB"/>
    <w:rsid w:val="00972BCE"/>
    <w:rsid w:val="0097609A"/>
    <w:rsid w:val="00976209"/>
    <w:rsid w:val="009840B7"/>
    <w:rsid w:val="00985078"/>
    <w:rsid w:val="00990CE7"/>
    <w:rsid w:val="009911B8"/>
    <w:rsid w:val="00994EBB"/>
    <w:rsid w:val="009A11EA"/>
    <w:rsid w:val="009A2635"/>
    <w:rsid w:val="009A6820"/>
    <w:rsid w:val="009C07A6"/>
    <w:rsid w:val="009D400D"/>
    <w:rsid w:val="009E06DC"/>
    <w:rsid w:val="009F1651"/>
    <w:rsid w:val="009F2FFD"/>
    <w:rsid w:val="009F6D2D"/>
    <w:rsid w:val="00A00780"/>
    <w:rsid w:val="00A1523E"/>
    <w:rsid w:val="00A154B9"/>
    <w:rsid w:val="00A15BDF"/>
    <w:rsid w:val="00A16E7E"/>
    <w:rsid w:val="00A17CB3"/>
    <w:rsid w:val="00A214C1"/>
    <w:rsid w:val="00A22776"/>
    <w:rsid w:val="00A23C94"/>
    <w:rsid w:val="00A24F6E"/>
    <w:rsid w:val="00A334AB"/>
    <w:rsid w:val="00A33E62"/>
    <w:rsid w:val="00A40983"/>
    <w:rsid w:val="00A449BA"/>
    <w:rsid w:val="00A45EEB"/>
    <w:rsid w:val="00A4647D"/>
    <w:rsid w:val="00A60786"/>
    <w:rsid w:val="00A62144"/>
    <w:rsid w:val="00A62165"/>
    <w:rsid w:val="00A62E6E"/>
    <w:rsid w:val="00A71643"/>
    <w:rsid w:val="00A72071"/>
    <w:rsid w:val="00A7240E"/>
    <w:rsid w:val="00A7385D"/>
    <w:rsid w:val="00A777A5"/>
    <w:rsid w:val="00A77C2E"/>
    <w:rsid w:val="00A80577"/>
    <w:rsid w:val="00A82274"/>
    <w:rsid w:val="00A82ECB"/>
    <w:rsid w:val="00A83436"/>
    <w:rsid w:val="00A872F2"/>
    <w:rsid w:val="00A941FB"/>
    <w:rsid w:val="00A9557E"/>
    <w:rsid w:val="00A95692"/>
    <w:rsid w:val="00A95E2F"/>
    <w:rsid w:val="00AA06EF"/>
    <w:rsid w:val="00AA2F82"/>
    <w:rsid w:val="00AB144A"/>
    <w:rsid w:val="00AB3A84"/>
    <w:rsid w:val="00AC1942"/>
    <w:rsid w:val="00AC2422"/>
    <w:rsid w:val="00AC5AE4"/>
    <w:rsid w:val="00AD09B4"/>
    <w:rsid w:val="00AD0D99"/>
    <w:rsid w:val="00AE7810"/>
    <w:rsid w:val="00AF0B6D"/>
    <w:rsid w:val="00B030FC"/>
    <w:rsid w:val="00B10049"/>
    <w:rsid w:val="00B114EE"/>
    <w:rsid w:val="00B12462"/>
    <w:rsid w:val="00B12DA0"/>
    <w:rsid w:val="00B1505A"/>
    <w:rsid w:val="00B24118"/>
    <w:rsid w:val="00B246C9"/>
    <w:rsid w:val="00B263DE"/>
    <w:rsid w:val="00B31B8D"/>
    <w:rsid w:val="00B32896"/>
    <w:rsid w:val="00B37DAE"/>
    <w:rsid w:val="00B41092"/>
    <w:rsid w:val="00B4470D"/>
    <w:rsid w:val="00B44FA4"/>
    <w:rsid w:val="00B47789"/>
    <w:rsid w:val="00B51159"/>
    <w:rsid w:val="00B5666F"/>
    <w:rsid w:val="00B6162A"/>
    <w:rsid w:val="00B61D65"/>
    <w:rsid w:val="00B633F3"/>
    <w:rsid w:val="00B672E5"/>
    <w:rsid w:val="00B8197B"/>
    <w:rsid w:val="00B84369"/>
    <w:rsid w:val="00B84B0B"/>
    <w:rsid w:val="00B850C1"/>
    <w:rsid w:val="00B86261"/>
    <w:rsid w:val="00B90540"/>
    <w:rsid w:val="00B9133C"/>
    <w:rsid w:val="00B96030"/>
    <w:rsid w:val="00BA0958"/>
    <w:rsid w:val="00BA1649"/>
    <w:rsid w:val="00BA4215"/>
    <w:rsid w:val="00BA56A6"/>
    <w:rsid w:val="00BA65D1"/>
    <w:rsid w:val="00BA67C8"/>
    <w:rsid w:val="00BA71B0"/>
    <w:rsid w:val="00BA7EC1"/>
    <w:rsid w:val="00BB2445"/>
    <w:rsid w:val="00BB5201"/>
    <w:rsid w:val="00BB700A"/>
    <w:rsid w:val="00BC4A1E"/>
    <w:rsid w:val="00BC4A69"/>
    <w:rsid w:val="00BC60A2"/>
    <w:rsid w:val="00BC7716"/>
    <w:rsid w:val="00BE47E7"/>
    <w:rsid w:val="00BE68D3"/>
    <w:rsid w:val="00BE7589"/>
    <w:rsid w:val="00BE7725"/>
    <w:rsid w:val="00BE773C"/>
    <w:rsid w:val="00BF2974"/>
    <w:rsid w:val="00BF4DC6"/>
    <w:rsid w:val="00BF4EC8"/>
    <w:rsid w:val="00BF5CEF"/>
    <w:rsid w:val="00BF7B56"/>
    <w:rsid w:val="00C017AC"/>
    <w:rsid w:val="00C01C6F"/>
    <w:rsid w:val="00C02E56"/>
    <w:rsid w:val="00C040BA"/>
    <w:rsid w:val="00C11A40"/>
    <w:rsid w:val="00C16A5C"/>
    <w:rsid w:val="00C20C06"/>
    <w:rsid w:val="00C23E34"/>
    <w:rsid w:val="00C2442D"/>
    <w:rsid w:val="00C251DE"/>
    <w:rsid w:val="00C26696"/>
    <w:rsid w:val="00C31AF3"/>
    <w:rsid w:val="00C33340"/>
    <w:rsid w:val="00C363F7"/>
    <w:rsid w:val="00C367F6"/>
    <w:rsid w:val="00C36B2C"/>
    <w:rsid w:val="00C40879"/>
    <w:rsid w:val="00C45231"/>
    <w:rsid w:val="00C470E2"/>
    <w:rsid w:val="00C5077B"/>
    <w:rsid w:val="00C514B4"/>
    <w:rsid w:val="00C55157"/>
    <w:rsid w:val="00C612D4"/>
    <w:rsid w:val="00C62D2F"/>
    <w:rsid w:val="00C65EC4"/>
    <w:rsid w:val="00C662D9"/>
    <w:rsid w:val="00C66496"/>
    <w:rsid w:val="00C66620"/>
    <w:rsid w:val="00C66E77"/>
    <w:rsid w:val="00C7145D"/>
    <w:rsid w:val="00C740A6"/>
    <w:rsid w:val="00C76DCF"/>
    <w:rsid w:val="00C77D86"/>
    <w:rsid w:val="00C8351F"/>
    <w:rsid w:val="00C86B21"/>
    <w:rsid w:val="00C90EE3"/>
    <w:rsid w:val="00C91B66"/>
    <w:rsid w:val="00CA007E"/>
    <w:rsid w:val="00CA113F"/>
    <w:rsid w:val="00CA73C9"/>
    <w:rsid w:val="00CA7775"/>
    <w:rsid w:val="00CB5DFA"/>
    <w:rsid w:val="00CC202E"/>
    <w:rsid w:val="00CD105B"/>
    <w:rsid w:val="00CD2542"/>
    <w:rsid w:val="00CE0E60"/>
    <w:rsid w:val="00CE2595"/>
    <w:rsid w:val="00CE49C3"/>
    <w:rsid w:val="00CF3B76"/>
    <w:rsid w:val="00CF3F84"/>
    <w:rsid w:val="00D026CA"/>
    <w:rsid w:val="00D02B79"/>
    <w:rsid w:val="00D0648D"/>
    <w:rsid w:val="00D06917"/>
    <w:rsid w:val="00D232E2"/>
    <w:rsid w:val="00D26FA1"/>
    <w:rsid w:val="00D47837"/>
    <w:rsid w:val="00D56E72"/>
    <w:rsid w:val="00D7111D"/>
    <w:rsid w:val="00D7279C"/>
    <w:rsid w:val="00D76DA2"/>
    <w:rsid w:val="00D8524C"/>
    <w:rsid w:val="00D8692F"/>
    <w:rsid w:val="00D90248"/>
    <w:rsid w:val="00D912A0"/>
    <w:rsid w:val="00D92BB3"/>
    <w:rsid w:val="00DA053B"/>
    <w:rsid w:val="00DA0B7C"/>
    <w:rsid w:val="00DA5853"/>
    <w:rsid w:val="00DA5F4A"/>
    <w:rsid w:val="00DB0841"/>
    <w:rsid w:val="00DB14F7"/>
    <w:rsid w:val="00DB15D5"/>
    <w:rsid w:val="00DB3075"/>
    <w:rsid w:val="00DB39DD"/>
    <w:rsid w:val="00DB680D"/>
    <w:rsid w:val="00DB6FB9"/>
    <w:rsid w:val="00DC340D"/>
    <w:rsid w:val="00DC49C9"/>
    <w:rsid w:val="00DC7FD5"/>
    <w:rsid w:val="00DD30AC"/>
    <w:rsid w:val="00DD7ACB"/>
    <w:rsid w:val="00DE3FEF"/>
    <w:rsid w:val="00DF100B"/>
    <w:rsid w:val="00DF50F7"/>
    <w:rsid w:val="00E02248"/>
    <w:rsid w:val="00E0505D"/>
    <w:rsid w:val="00E1165D"/>
    <w:rsid w:val="00E1227B"/>
    <w:rsid w:val="00E17D8A"/>
    <w:rsid w:val="00E23533"/>
    <w:rsid w:val="00E237A0"/>
    <w:rsid w:val="00E24F1D"/>
    <w:rsid w:val="00E27061"/>
    <w:rsid w:val="00E314F9"/>
    <w:rsid w:val="00E3185A"/>
    <w:rsid w:val="00E32580"/>
    <w:rsid w:val="00E40C40"/>
    <w:rsid w:val="00E45FA0"/>
    <w:rsid w:val="00E46B51"/>
    <w:rsid w:val="00E502E5"/>
    <w:rsid w:val="00E52AA5"/>
    <w:rsid w:val="00E53BC0"/>
    <w:rsid w:val="00E6343F"/>
    <w:rsid w:val="00E66793"/>
    <w:rsid w:val="00E72292"/>
    <w:rsid w:val="00E732AC"/>
    <w:rsid w:val="00E74C55"/>
    <w:rsid w:val="00E752A7"/>
    <w:rsid w:val="00E83C8F"/>
    <w:rsid w:val="00E856EA"/>
    <w:rsid w:val="00E959C7"/>
    <w:rsid w:val="00EB1814"/>
    <w:rsid w:val="00EB200D"/>
    <w:rsid w:val="00EB40FA"/>
    <w:rsid w:val="00EB437D"/>
    <w:rsid w:val="00EC190C"/>
    <w:rsid w:val="00EC2465"/>
    <w:rsid w:val="00ED276B"/>
    <w:rsid w:val="00EE2AD8"/>
    <w:rsid w:val="00EE41CE"/>
    <w:rsid w:val="00EE540B"/>
    <w:rsid w:val="00EF4B2D"/>
    <w:rsid w:val="00EF5C54"/>
    <w:rsid w:val="00F00080"/>
    <w:rsid w:val="00F017D0"/>
    <w:rsid w:val="00F03F82"/>
    <w:rsid w:val="00F107A3"/>
    <w:rsid w:val="00F1480B"/>
    <w:rsid w:val="00F2002D"/>
    <w:rsid w:val="00F2031B"/>
    <w:rsid w:val="00F23F83"/>
    <w:rsid w:val="00F24B7B"/>
    <w:rsid w:val="00F27019"/>
    <w:rsid w:val="00F27365"/>
    <w:rsid w:val="00F2738B"/>
    <w:rsid w:val="00F27E42"/>
    <w:rsid w:val="00F30C9F"/>
    <w:rsid w:val="00F33CEA"/>
    <w:rsid w:val="00F34793"/>
    <w:rsid w:val="00F36E7E"/>
    <w:rsid w:val="00F529A1"/>
    <w:rsid w:val="00F5667C"/>
    <w:rsid w:val="00F5736E"/>
    <w:rsid w:val="00F70A3D"/>
    <w:rsid w:val="00F70E39"/>
    <w:rsid w:val="00F74CF8"/>
    <w:rsid w:val="00F75EDC"/>
    <w:rsid w:val="00F80170"/>
    <w:rsid w:val="00F872BE"/>
    <w:rsid w:val="00F873B5"/>
    <w:rsid w:val="00F94313"/>
    <w:rsid w:val="00F9628D"/>
    <w:rsid w:val="00F962C6"/>
    <w:rsid w:val="00FA5F72"/>
    <w:rsid w:val="00FB1CAD"/>
    <w:rsid w:val="00FB3539"/>
    <w:rsid w:val="00FB5922"/>
    <w:rsid w:val="00FB7F29"/>
    <w:rsid w:val="00FD31D4"/>
    <w:rsid w:val="00FF49F2"/>
    <w:rsid w:val="00FF5610"/>
    <w:rsid w:val="00FF70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47925D"/>
  <w15:chartTrackingRefBased/>
  <w15:docId w15:val="{B3B968B6-3AAE-4DDF-899B-B2B6314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CE2595"/>
  </w:style>
  <w:style w:type="character" w:customStyle="1" w:styleId="ParaNumChar1">
    <w:name w:val="ParaNum Char1"/>
    <w:link w:val="ParaNum"/>
    <w:rsid w:val="00CE2595"/>
    <w:rPr>
      <w:snapToGrid w:val="0"/>
      <w:kern w:val="28"/>
      <w:sz w:val="22"/>
    </w:rPr>
  </w:style>
  <w:style w:type="paragraph" w:styleId="ListParagraph">
    <w:name w:val="List Paragraph"/>
    <w:basedOn w:val="Normal"/>
    <w:uiPriority w:val="34"/>
    <w:qFormat/>
    <w:rsid w:val="00A60786"/>
    <w:pPr>
      <w:numPr>
        <w:numId w:val="11"/>
      </w:numPr>
      <w:spacing w:after="120"/>
      <w:contextualSpacing/>
    </w:pPr>
  </w:style>
  <w:style w:type="character" w:styleId="CommentReference">
    <w:name w:val="annotation reference"/>
    <w:basedOn w:val="DefaultParagraphFont"/>
    <w:uiPriority w:val="99"/>
    <w:semiHidden/>
    <w:unhideWhenUsed/>
    <w:rsid w:val="00EB1814"/>
    <w:rPr>
      <w:sz w:val="16"/>
      <w:szCs w:val="16"/>
    </w:rPr>
  </w:style>
  <w:style w:type="paragraph" w:styleId="CommentText">
    <w:name w:val="annotation text"/>
    <w:basedOn w:val="Normal"/>
    <w:link w:val="CommentTextChar"/>
    <w:uiPriority w:val="99"/>
    <w:unhideWhenUsed/>
    <w:rsid w:val="00EB1814"/>
    <w:rPr>
      <w:sz w:val="20"/>
    </w:rPr>
  </w:style>
  <w:style w:type="character" w:customStyle="1" w:styleId="CommentTextChar">
    <w:name w:val="Comment Text Char"/>
    <w:basedOn w:val="DefaultParagraphFont"/>
    <w:link w:val="CommentText"/>
    <w:uiPriority w:val="99"/>
    <w:rsid w:val="00EB1814"/>
    <w:rPr>
      <w:snapToGrid w:val="0"/>
      <w:kern w:val="28"/>
    </w:rPr>
  </w:style>
  <w:style w:type="paragraph" w:styleId="CommentSubject">
    <w:name w:val="annotation subject"/>
    <w:basedOn w:val="CommentText"/>
    <w:next w:val="CommentText"/>
    <w:link w:val="CommentSubjectChar"/>
    <w:uiPriority w:val="99"/>
    <w:semiHidden/>
    <w:unhideWhenUsed/>
    <w:rsid w:val="00EB1814"/>
    <w:rPr>
      <w:b/>
      <w:bCs/>
    </w:rPr>
  </w:style>
  <w:style w:type="character" w:customStyle="1" w:styleId="CommentSubjectChar">
    <w:name w:val="Comment Subject Char"/>
    <w:basedOn w:val="CommentTextChar"/>
    <w:link w:val="CommentSubject"/>
    <w:uiPriority w:val="99"/>
    <w:semiHidden/>
    <w:rsid w:val="00EB1814"/>
    <w:rPr>
      <w:b/>
      <w:bCs/>
      <w:snapToGrid w:val="0"/>
      <w:kern w:val="28"/>
    </w:rPr>
  </w:style>
  <w:style w:type="paragraph" w:styleId="Revision">
    <w:name w:val="Revision"/>
    <w:hidden/>
    <w:uiPriority w:val="99"/>
    <w:semiHidden/>
    <w:rsid w:val="002B7632"/>
    <w:rPr>
      <w:snapToGrid w:val="0"/>
      <w:kern w:val="28"/>
      <w:sz w:val="22"/>
    </w:rPr>
  </w:style>
  <w:style w:type="character" w:styleId="Mention">
    <w:name w:val="Mention"/>
    <w:basedOn w:val="DefaultParagraphFont"/>
    <w:uiPriority w:val="99"/>
    <w:unhideWhenUsed/>
    <w:rsid w:val="00A62144"/>
    <w:rPr>
      <w:color w:val="2B579A"/>
      <w:shd w:val="clear" w:color="auto" w:fill="E1DFDD"/>
    </w:rPr>
  </w:style>
  <w:style w:type="character" w:customStyle="1" w:styleId="cf01">
    <w:name w:val="cf01"/>
    <w:basedOn w:val="DefaultParagraphFont"/>
    <w:rsid w:val="00A23C94"/>
    <w:rPr>
      <w:rFonts w:ascii="Segoe UI" w:hAnsi="Segoe UI" w:cs="Segoe UI" w:hint="default"/>
      <w:sz w:val="18"/>
      <w:szCs w:val="18"/>
    </w:rPr>
  </w:style>
  <w:style w:type="character" w:customStyle="1" w:styleId="FootnoteTextChar1">
    <w:name w:val="Footnote Text Char1"/>
    <w:aliases w:val="Footnote Text Char Char1 Char Char Char Char,Footnote Text Char1 Char Char1 Char Char,Footnote Text Char2 Char Char,Footnote Text Char3 Char Char Char Char Char Char"/>
    <w:rsid w:val="00566EC3"/>
  </w:style>
  <w:style w:type="character" w:styleId="FollowedHyperlink">
    <w:name w:val="FollowedHyperlink"/>
    <w:basedOn w:val="DefaultParagraphFont"/>
    <w:uiPriority w:val="99"/>
    <w:semiHidden/>
    <w:unhideWhenUsed/>
    <w:rsid w:val="00B84B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ireless2.fcc.gov/UlsEntry/licManager/login.jsp" TargetMode="External" /><Relationship Id="rId6" Type="http://schemas.openxmlformats.org/officeDocument/2006/relationships/hyperlink" Target="https://www.fcc.gov/wtbhelp" TargetMode="External" /><Relationship Id="rId7" Type="http://schemas.openxmlformats.org/officeDocument/2006/relationships/hyperlink" Target="mailto:fcc504@fcc.gov" TargetMode="External" /><Relationship Id="rId8" Type="http://schemas.openxmlformats.org/officeDocument/2006/relationships/hyperlink" Target="mailto:halie.peacher@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