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EEFF2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D76F4A" w:rsidRPr="00745B87" w:rsidP="00ED51D0" w14:paraId="3DBFFB33" w14:textId="1F65662B">
      <w:pPr>
        <w:widowControl w:val="0"/>
        <w:jc w:val="right"/>
        <w:rPr>
          <w:b/>
          <w:snapToGrid w:val="0"/>
          <w:kern w:val="28"/>
          <w:sz w:val="22"/>
          <w:szCs w:val="22"/>
        </w:rPr>
      </w:pPr>
      <w:bookmarkStart w:id="1" w:name="_Hlk26280526"/>
      <w:bookmarkStart w:id="2" w:name="_Hlk64383480"/>
      <w:r w:rsidRPr="00745B87">
        <w:rPr>
          <w:b/>
          <w:snapToGrid w:val="0"/>
          <w:kern w:val="28"/>
          <w:sz w:val="22"/>
          <w:szCs w:val="22"/>
        </w:rPr>
        <w:t>DA 2</w:t>
      </w:r>
      <w:r w:rsidRPr="00745B87" w:rsidR="0075392E">
        <w:rPr>
          <w:b/>
          <w:snapToGrid w:val="0"/>
          <w:kern w:val="28"/>
          <w:sz w:val="22"/>
          <w:szCs w:val="22"/>
        </w:rPr>
        <w:t>3</w:t>
      </w:r>
      <w:r w:rsidRPr="00745B87">
        <w:rPr>
          <w:b/>
          <w:snapToGrid w:val="0"/>
          <w:kern w:val="28"/>
          <w:sz w:val="22"/>
          <w:szCs w:val="22"/>
        </w:rPr>
        <w:t>-</w:t>
      </w:r>
      <w:r w:rsidR="00AD62D8">
        <w:rPr>
          <w:b/>
          <w:snapToGrid w:val="0"/>
          <w:kern w:val="28"/>
          <w:sz w:val="22"/>
          <w:szCs w:val="22"/>
        </w:rPr>
        <w:t>796</w:t>
      </w:r>
    </w:p>
    <w:p w:rsidR="00AD440B" w:rsidRPr="00745B87" w:rsidP="00ED51D0" w14:paraId="0914A0A2" w14:textId="10E8DEA5">
      <w:pPr>
        <w:widowControl w:val="0"/>
        <w:jc w:val="right"/>
        <w:rPr>
          <w:b/>
          <w:snapToGrid w:val="0"/>
          <w:kern w:val="28"/>
          <w:sz w:val="22"/>
          <w:szCs w:val="22"/>
        </w:rPr>
      </w:pPr>
      <w:r w:rsidRPr="00745B87">
        <w:rPr>
          <w:b/>
          <w:snapToGrid w:val="0"/>
          <w:kern w:val="28"/>
          <w:sz w:val="22"/>
          <w:szCs w:val="22"/>
        </w:rPr>
        <w:t xml:space="preserve">Released:  </w:t>
      </w:r>
      <w:r w:rsidRPr="00AD62D8" w:rsidR="00D95C83">
        <w:rPr>
          <w:b/>
          <w:snapToGrid w:val="0"/>
          <w:kern w:val="28"/>
          <w:sz w:val="22"/>
          <w:szCs w:val="22"/>
        </w:rPr>
        <w:t xml:space="preserve">August </w:t>
      </w:r>
      <w:r w:rsidR="00AD62D8">
        <w:rPr>
          <w:b/>
          <w:snapToGrid w:val="0"/>
          <w:kern w:val="28"/>
          <w:sz w:val="22"/>
          <w:szCs w:val="22"/>
        </w:rPr>
        <w:t>31</w:t>
      </w:r>
      <w:r w:rsidRPr="00745B87">
        <w:rPr>
          <w:b/>
          <w:snapToGrid w:val="0"/>
          <w:kern w:val="28"/>
          <w:sz w:val="22"/>
          <w:szCs w:val="22"/>
        </w:rPr>
        <w:t>, 202</w:t>
      </w:r>
      <w:r w:rsidRPr="00745B87" w:rsidR="0075392E">
        <w:rPr>
          <w:b/>
          <w:snapToGrid w:val="0"/>
          <w:kern w:val="28"/>
          <w:sz w:val="22"/>
          <w:szCs w:val="22"/>
        </w:rPr>
        <w:t>3</w:t>
      </w:r>
    </w:p>
    <w:p w:rsidR="00AD440B" w:rsidRPr="00745B87" w:rsidP="00AD440B" w14:paraId="776316CD" w14:textId="77777777">
      <w:pPr>
        <w:widowControl w:val="0"/>
        <w:spacing w:before="60"/>
        <w:jc w:val="center"/>
        <w:rPr>
          <w:b/>
          <w:snapToGrid w:val="0"/>
          <w:kern w:val="28"/>
          <w:sz w:val="22"/>
          <w:szCs w:val="22"/>
        </w:rPr>
      </w:pPr>
    </w:p>
    <w:p w:rsidR="0060110D" w:rsidRPr="00745B87" w:rsidP="001F33B5" w14:paraId="2F6EC044" w14:textId="2AD2AF08">
      <w:pPr>
        <w:jc w:val="center"/>
        <w:rPr>
          <w:b/>
          <w:bCs/>
          <w:sz w:val="22"/>
          <w:szCs w:val="22"/>
        </w:rPr>
      </w:pPr>
      <w:r w:rsidRPr="00745B87">
        <w:rPr>
          <w:b/>
          <w:bCs/>
          <w:sz w:val="22"/>
          <w:szCs w:val="22"/>
        </w:rPr>
        <w:t xml:space="preserve">DOMESTIC </w:t>
      </w:r>
      <w:r w:rsidRPr="00745B87">
        <w:rPr>
          <w:b/>
          <w:bCs/>
          <w:caps/>
          <w:sz w:val="22"/>
          <w:szCs w:val="22"/>
        </w:rPr>
        <w:t>SECTION</w:t>
      </w:r>
      <w:r w:rsidRPr="00745B87">
        <w:rPr>
          <w:b/>
          <w:bCs/>
          <w:sz w:val="22"/>
          <w:szCs w:val="22"/>
        </w:rPr>
        <w:t xml:space="preserve"> 214 APPLICATION </w:t>
      </w:r>
      <w:r w:rsidR="0007122D">
        <w:rPr>
          <w:b/>
          <w:bCs/>
          <w:sz w:val="22"/>
          <w:szCs w:val="22"/>
        </w:rPr>
        <w:t>GRANTED</w:t>
      </w:r>
      <w:r w:rsidRPr="00745B87" w:rsidR="00A405D6">
        <w:rPr>
          <w:b/>
          <w:bCs/>
          <w:sz w:val="22"/>
          <w:szCs w:val="22"/>
        </w:rPr>
        <w:t xml:space="preserve"> FOR THE</w:t>
      </w:r>
    </w:p>
    <w:p w:rsidR="001736D0" w:rsidRPr="00745B87" w:rsidP="00FA453A" w14:paraId="031378D4" w14:textId="01D8B76E">
      <w:pPr>
        <w:jc w:val="center"/>
        <w:rPr>
          <w:b/>
          <w:bCs/>
          <w:sz w:val="22"/>
          <w:szCs w:val="22"/>
        </w:rPr>
      </w:pPr>
      <w:r w:rsidRPr="00745B87">
        <w:rPr>
          <w:b/>
          <w:bCs/>
          <w:sz w:val="22"/>
          <w:szCs w:val="22"/>
        </w:rPr>
        <w:t xml:space="preserve">TRANSFER OF </w:t>
      </w:r>
      <w:r w:rsidRPr="00745B87" w:rsidR="00B449B2">
        <w:rPr>
          <w:b/>
          <w:bCs/>
          <w:sz w:val="22"/>
          <w:szCs w:val="22"/>
        </w:rPr>
        <w:t xml:space="preserve">INDIRECT </w:t>
      </w:r>
      <w:r w:rsidRPr="00745B87">
        <w:rPr>
          <w:b/>
          <w:bCs/>
          <w:sz w:val="22"/>
          <w:szCs w:val="22"/>
        </w:rPr>
        <w:t>CONTROL OF SIUSLAW BROADBAND, LLC D/B/A HYAK</w:t>
      </w:r>
      <w:r w:rsidRPr="00745B87" w:rsidR="00DE44CF">
        <w:rPr>
          <w:b/>
          <w:bCs/>
          <w:sz w:val="22"/>
          <w:szCs w:val="22"/>
        </w:rPr>
        <w:t xml:space="preserve"> TO CONCEPT COMMUNICATIONS, LLC</w:t>
      </w:r>
    </w:p>
    <w:p w:rsidR="00031C8B" w:rsidRPr="00745B87" w:rsidP="0055505D" w14:paraId="58B6DCD2" w14:textId="77777777">
      <w:pPr>
        <w:jc w:val="center"/>
        <w:rPr>
          <w:b/>
          <w:sz w:val="22"/>
          <w:szCs w:val="22"/>
        </w:rPr>
      </w:pPr>
    </w:p>
    <w:p w:rsidR="00AD440B" w:rsidRPr="00745B87" w:rsidP="00AD440B" w14:paraId="7A423B34" w14:textId="2A2454B2">
      <w:pPr>
        <w:widowControl w:val="0"/>
        <w:spacing w:before="60"/>
        <w:jc w:val="center"/>
        <w:rPr>
          <w:b/>
          <w:snapToGrid w:val="0"/>
          <w:kern w:val="28"/>
          <w:sz w:val="22"/>
          <w:szCs w:val="22"/>
        </w:rPr>
      </w:pPr>
      <w:r w:rsidRPr="00745B87">
        <w:rPr>
          <w:b/>
          <w:snapToGrid w:val="0"/>
          <w:kern w:val="28"/>
          <w:sz w:val="22"/>
          <w:szCs w:val="22"/>
        </w:rPr>
        <w:t>WC Docket No. 2</w:t>
      </w:r>
      <w:r w:rsidRPr="00745B87" w:rsidR="0075392E">
        <w:rPr>
          <w:b/>
          <w:snapToGrid w:val="0"/>
          <w:kern w:val="28"/>
          <w:sz w:val="22"/>
          <w:szCs w:val="22"/>
        </w:rPr>
        <w:t>3</w:t>
      </w:r>
      <w:r w:rsidRPr="00745B87">
        <w:rPr>
          <w:b/>
          <w:snapToGrid w:val="0"/>
          <w:kern w:val="28"/>
          <w:sz w:val="22"/>
          <w:szCs w:val="22"/>
        </w:rPr>
        <w:t>-</w:t>
      </w:r>
      <w:r w:rsidRPr="00745B87" w:rsidR="0020603F">
        <w:rPr>
          <w:b/>
          <w:snapToGrid w:val="0"/>
          <w:kern w:val="28"/>
          <w:sz w:val="22"/>
          <w:szCs w:val="22"/>
        </w:rPr>
        <w:t>222</w:t>
      </w:r>
    </w:p>
    <w:p w:rsidR="00AD440B" w:rsidRPr="00745B87" w:rsidP="00AD440B" w14:paraId="6FCDE949" w14:textId="77777777">
      <w:pPr>
        <w:rPr>
          <w:b/>
          <w:sz w:val="22"/>
          <w:szCs w:val="22"/>
        </w:rPr>
      </w:pPr>
    </w:p>
    <w:p w:rsidR="00021FCD" w:rsidP="00021FCD" w14:paraId="51EF296B" w14:textId="3F227DE5">
      <w:pPr>
        <w:autoSpaceDE w:val="0"/>
        <w:autoSpaceDN w:val="0"/>
        <w:adjustRightInd w:val="0"/>
        <w:spacing w:before="120" w:after="120"/>
        <w:ind w:firstLine="720"/>
        <w:rPr>
          <w:sz w:val="22"/>
          <w:szCs w:val="22"/>
        </w:rPr>
      </w:pPr>
      <w:r w:rsidRPr="00745B87">
        <w:rPr>
          <w:sz w:val="22"/>
          <w:szCs w:val="22"/>
        </w:rPr>
        <w:t xml:space="preserve">By this Public Notice, the Wireline Competition Bureau </w:t>
      </w:r>
      <w:r w:rsidR="00642C6C">
        <w:rPr>
          <w:sz w:val="22"/>
          <w:szCs w:val="22"/>
        </w:rPr>
        <w:t>grants</w:t>
      </w:r>
      <w:r w:rsidRPr="00745B87">
        <w:rPr>
          <w:sz w:val="22"/>
          <w:szCs w:val="22"/>
        </w:rPr>
        <w:t xml:space="preserve"> an application filed by </w:t>
      </w:r>
      <w:r w:rsidRPr="00745B87" w:rsidR="00FF7317">
        <w:rPr>
          <w:sz w:val="22"/>
          <w:szCs w:val="22"/>
        </w:rPr>
        <w:t xml:space="preserve">Siuslaw Broadband, LLC d/b/a Hyak </w:t>
      </w:r>
      <w:r w:rsidRPr="00745B87" w:rsidR="006229EC">
        <w:rPr>
          <w:sz w:val="22"/>
          <w:szCs w:val="22"/>
        </w:rPr>
        <w:t>(Hyak)</w:t>
      </w:r>
      <w:r w:rsidRPr="00745B87">
        <w:rPr>
          <w:sz w:val="22"/>
          <w:szCs w:val="22"/>
        </w:rPr>
        <w:t xml:space="preserve"> </w:t>
      </w:r>
      <w:r w:rsidRPr="00745B87" w:rsidR="001F136E">
        <w:rPr>
          <w:sz w:val="22"/>
          <w:szCs w:val="22"/>
        </w:rPr>
        <w:t xml:space="preserve">and </w:t>
      </w:r>
      <w:r w:rsidRPr="00745B87" w:rsidR="00E511FB">
        <w:rPr>
          <w:sz w:val="22"/>
          <w:szCs w:val="22"/>
        </w:rPr>
        <w:t xml:space="preserve">Concept Communications, LLC (Concept) </w:t>
      </w:r>
      <w:r w:rsidRPr="00745B87">
        <w:rPr>
          <w:sz w:val="22"/>
          <w:szCs w:val="22"/>
        </w:rPr>
        <w:t>(collectively, Applicants), pursuant to section 214</w:t>
      </w:r>
      <w:r w:rsidR="00610743">
        <w:rPr>
          <w:sz w:val="22"/>
          <w:szCs w:val="22"/>
        </w:rPr>
        <w:t>(a)</w:t>
      </w:r>
      <w:r w:rsidRPr="00745B87">
        <w:rPr>
          <w:sz w:val="22"/>
          <w:szCs w:val="22"/>
        </w:rPr>
        <w:t xml:space="preserve"> of the Communications Act of 1934, as amended</w:t>
      </w:r>
      <w:r w:rsidR="00E44E64">
        <w:rPr>
          <w:sz w:val="22"/>
          <w:szCs w:val="22"/>
        </w:rPr>
        <w:t xml:space="preserve"> (the Act)</w:t>
      </w:r>
      <w:r w:rsidRPr="00745B87">
        <w:rPr>
          <w:sz w:val="22"/>
          <w:szCs w:val="22"/>
        </w:rPr>
        <w:t>, and sections 63.03-04 of the Commission’s rules,</w:t>
      </w:r>
      <w:r>
        <w:rPr>
          <w:sz w:val="22"/>
          <w:szCs w:val="22"/>
          <w:vertAlign w:val="superscript"/>
        </w:rPr>
        <w:footnoteReference w:id="3"/>
      </w:r>
      <w:r w:rsidRPr="00745B87">
        <w:rPr>
          <w:sz w:val="22"/>
          <w:szCs w:val="22"/>
        </w:rPr>
        <w:t xml:space="preserve"> requesting consent to </w:t>
      </w:r>
      <w:r w:rsidRPr="00745B87" w:rsidR="00E511FB">
        <w:rPr>
          <w:sz w:val="22"/>
          <w:szCs w:val="22"/>
        </w:rPr>
        <w:t>co</w:t>
      </w:r>
      <w:r w:rsidRPr="00745B87" w:rsidR="00BF059C">
        <w:rPr>
          <w:sz w:val="22"/>
          <w:szCs w:val="22"/>
        </w:rPr>
        <w:t xml:space="preserve">nsummate the sale of 100% of all issued and outstanding membership interest of </w:t>
      </w:r>
      <w:r w:rsidRPr="00745B87" w:rsidR="002C3819">
        <w:rPr>
          <w:sz w:val="22"/>
          <w:szCs w:val="22"/>
        </w:rPr>
        <w:t>Hyak to Concept.</w:t>
      </w:r>
      <w:r>
        <w:rPr>
          <w:sz w:val="22"/>
          <w:szCs w:val="22"/>
          <w:vertAlign w:val="superscript"/>
        </w:rPr>
        <w:footnoteReference w:id="4"/>
      </w:r>
      <w:r w:rsidRPr="00745B87">
        <w:rPr>
          <w:sz w:val="22"/>
          <w:szCs w:val="22"/>
        </w:rPr>
        <w:t xml:space="preserve">  </w:t>
      </w:r>
    </w:p>
    <w:p w:rsidR="00FF530A" w:rsidP="00021FCD" w14:paraId="776E568C" w14:textId="57F7A12D">
      <w:pPr>
        <w:autoSpaceDE w:val="0"/>
        <w:autoSpaceDN w:val="0"/>
        <w:adjustRightInd w:val="0"/>
        <w:spacing w:before="120" w:after="120"/>
        <w:ind w:firstLine="720"/>
        <w:rPr>
          <w:sz w:val="22"/>
          <w:szCs w:val="22"/>
        </w:rPr>
      </w:pPr>
      <w:r w:rsidRPr="00FF530A">
        <w:rPr>
          <w:sz w:val="22"/>
          <w:szCs w:val="22"/>
        </w:rPr>
        <w:t xml:space="preserve">On </w:t>
      </w:r>
      <w:r w:rsidR="00602C49">
        <w:rPr>
          <w:sz w:val="22"/>
          <w:szCs w:val="22"/>
        </w:rPr>
        <w:t>July 27</w:t>
      </w:r>
      <w:r w:rsidRPr="00FF530A">
        <w:rPr>
          <w:sz w:val="22"/>
          <w:szCs w:val="22"/>
        </w:rPr>
        <w:t>, 2023, the Bureau released a public notice seeking comment on the Application.</w:t>
      </w:r>
      <w:r>
        <w:rPr>
          <w:sz w:val="22"/>
          <w:szCs w:val="22"/>
          <w:vertAlign w:val="superscript"/>
        </w:rPr>
        <w:footnoteReference w:id="5"/>
      </w:r>
      <w:r w:rsidRPr="00FF530A">
        <w:rPr>
          <w:sz w:val="22"/>
          <w:szCs w:val="22"/>
        </w:rPr>
        <w:t xml:space="preserve">  We did not receive comments or petitions in opposition to the Application.</w:t>
      </w:r>
    </w:p>
    <w:p w:rsidR="006D4466" w:rsidRPr="006D4466" w:rsidP="00021FCD" w14:paraId="13595B76" w14:textId="5FEB11ED">
      <w:pPr>
        <w:widowControl w:val="0"/>
        <w:autoSpaceDE w:val="0"/>
        <w:autoSpaceDN w:val="0"/>
        <w:adjustRightInd w:val="0"/>
        <w:spacing w:before="120" w:after="120"/>
        <w:ind w:firstLine="720"/>
        <w:rPr>
          <w:b/>
          <w:bCs/>
          <w:sz w:val="22"/>
          <w:szCs w:val="22"/>
          <w:u w:val="single"/>
        </w:rPr>
      </w:pPr>
      <w:r w:rsidRPr="006D4466">
        <w:rPr>
          <w:b/>
          <w:bCs/>
          <w:sz w:val="22"/>
          <w:szCs w:val="22"/>
          <w:u w:val="single"/>
        </w:rPr>
        <w:t>Applicants and Description of Transaction</w:t>
      </w:r>
    </w:p>
    <w:p w:rsidR="004A2142" w:rsidRPr="00745B87" w:rsidP="005753A1" w14:paraId="40A21B08" w14:textId="41E54373">
      <w:pPr>
        <w:widowControl w:val="0"/>
        <w:autoSpaceDE w:val="0"/>
        <w:autoSpaceDN w:val="0"/>
        <w:adjustRightInd w:val="0"/>
        <w:spacing w:before="120" w:after="120"/>
        <w:ind w:firstLine="720"/>
        <w:rPr>
          <w:sz w:val="22"/>
          <w:szCs w:val="22"/>
        </w:rPr>
      </w:pPr>
      <w:r w:rsidRPr="00745B87">
        <w:rPr>
          <w:sz w:val="22"/>
          <w:szCs w:val="22"/>
        </w:rPr>
        <w:t xml:space="preserve">Hyak is a limited liability company. </w:t>
      </w:r>
      <w:r w:rsidRPr="00745B87" w:rsidR="00591BF5">
        <w:rPr>
          <w:sz w:val="22"/>
          <w:szCs w:val="22"/>
        </w:rPr>
        <w:t xml:space="preserve"> </w:t>
      </w:r>
      <w:r w:rsidRPr="00745B87" w:rsidR="00E31FEE">
        <w:rPr>
          <w:sz w:val="22"/>
          <w:szCs w:val="22"/>
        </w:rPr>
        <w:t>In Oregon, Hyak is authorized as a local exchange and interexchange service provider and is designated as an Eligible Telecommunications Carrier</w:t>
      </w:r>
      <w:r w:rsidRPr="00745B87" w:rsidR="00A405D6">
        <w:rPr>
          <w:sz w:val="22"/>
          <w:szCs w:val="22"/>
        </w:rPr>
        <w:t xml:space="preserve"> </w:t>
      </w:r>
      <w:r w:rsidRPr="00745B87" w:rsidR="00E31FEE">
        <w:rPr>
          <w:sz w:val="22"/>
          <w:szCs w:val="22"/>
        </w:rPr>
        <w:t xml:space="preserve">and Eligible Telecommunications </w:t>
      </w:r>
      <w:r w:rsidRPr="00745B87" w:rsidR="00F211B6">
        <w:rPr>
          <w:sz w:val="22"/>
          <w:szCs w:val="22"/>
        </w:rPr>
        <w:t>Provider.</w:t>
      </w:r>
      <w:r>
        <w:rPr>
          <w:rStyle w:val="FootnoteReference"/>
          <w:sz w:val="22"/>
          <w:szCs w:val="22"/>
        </w:rPr>
        <w:footnoteReference w:id="6"/>
      </w:r>
      <w:r w:rsidRPr="00745B87" w:rsidR="00F211B6">
        <w:rPr>
          <w:sz w:val="22"/>
          <w:szCs w:val="22"/>
        </w:rPr>
        <w:t xml:space="preserve"> </w:t>
      </w:r>
      <w:r w:rsidRPr="00745B87" w:rsidR="00591BF5">
        <w:rPr>
          <w:sz w:val="22"/>
          <w:szCs w:val="22"/>
        </w:rPr>
        <w:t xml:space="preserve"> </w:t>
      </w:r>
      <w:r w:rsidRPr="00745B87" w:rsidR="00F630FA">
        <w:rPr>
          <w:sz w:val="22"/>
          <w:szCs w:val="22"/>
        </w:rPr>
        <w:t>Hyak</w:t>
      </w:r>
      <w:r w:rsidRPr="00745B87" w:rsidR="00634C0B">
        <w:rPr>
          <w:sz w:val="22"/>
          <w:szCs w:val="22"/>
        </w:rPr>
        <w:t xml:space="preserve"> provides fiber internet services, wireless internet </w:t>
      </w:r>
      <w:r w:rsidRPr="00745B87" w:rsidR="00091446">
        <w:rPr>
          <w:sz w:val="22"/>
          <w:szCs w:val="22"/>
        </w:rPr>
        <w:t>services, V</w:t>
      </w:r>
      <w:r w:rsidR="008C5257">
        <w:rPr>
          <w:sz w:val="22"/>
          <w:szCs w:val="22"/>
        </w:rPr>
        <w:t xml:space="preserve">oice </w:t>
      </w:r>
      <w:r w:rsidRPr="00745B87" w:rsidR="00091446">
        <w:rPr>
          <w:sz w:val="22"/>
          <w:szCs w:val="22"/>
        </w:rPr>
        <w:t>o</w:t>
      </w:r>
      <w:r w:rsidR="008C5257">
        <w:rPr>
          <w:sz w:val="22"/>
          <w:szCs w:val="22"/>
        </w:rPr>
        <w:t xml:space="preserve">ver </w:t>
      </w:r>
      <w:r w:rsidRPr="00745B87" w:rsidR="00091446">
        <w:rPr>
          <w:sz w:val="22"/>
          <w:szCs w:val="22"/>
        </w:rPr>
        <w:t>I</w:t>
      </w:r>
      <w:r w:rsidR="008C5257">
        <w:rPr>
          <w:sz w:val="22"/>
          <w:szCs w:val="22"/>
        </w:rPr>
        <w:t xml:space="preserve">nternet </w:t>
      </w:r>
      <w:r w:rsidRPr="00745B87" w:rsidR="00091446">
        <w:rPr>
          <w:sz w:val="22"/>
          <w:szCs w:val="22"/>
        </w:rPr>
        <w:t>P</w:t>
      </w:r>
      <w:r w:rsidR="008C5257">
        <w:rPr>
          <w:sz w:val="22"/>
          <w:szCs w:val="22"/>
        </w:rPr>
        <w:t>rotocol</w:t>
      </w:r>
      <w:r w:rsidRPr="00745B87" w:rsidR="00091446">
        <w:rPr>
          <w:sz w:val="22"/>
          <w:szCs w:val="22"/>
        </w:rPr>
        <w:t xml:space="preserve"> services, and managed </w:t>
      </w:r>
      <w:r w:rsidRPr="00745B87" w:rsidR="00C66DC6">
        <w:rPr>
          <w:sz w:val="22"/>
          <w:szCs w:val="22"/>
        </w:rPr>
        <w:t>service</w:t>
      </w:r>
      <w:r w:rsidRPr="00745B87" w:rsidR="003B0073">
        <w:rPr>
          <w:sz w:val="22"/>
          <w:szCs w:val="22"/>
        </w:rPr>
        <w:t xml:space="preserve">s </w:t>
      </w:r>
      <w:r w:rsidRPr="00745B87" w:rsidR="00C66DC6">
        <w:rPr>
          <w:sz w:val="22"/>
          <w:szCs w:val="22"/>
        </w:rPr>
        <w:t>to residential and business customers</w:t>
      </w:r>
      <w:r w:rsidRPr="00745B87" w:rsidR="003319C4">
        <w:rPr>
          <w:sz w:val="22"/>
          <w:szCs w:val="22"/>
        </w:rPr>
        <w:t xml:space="preserve">. </w:t>
      </w:r>
      <w:r w:rsidRPr="00745B87" w:rsidR="00591BF5">
        <w:rPr>
          <w:sz w:val="22"/>
          <w:szCs w:val="22"/>
        </w:rPr>
        <w:t xml:space="preserve"> </w:t>
      </w:r>
      <w:r w:rsidRPr="00745B87" w:rsidR="003319C4">
        <w:rPr>
          <w:sz w:val="22"/>
          <w:szCs w:val="22"/>
        </w:rPr>
        <w:t xml:space="preserve">In addition, Hyak </w:t>
      </w:r>
      <w:r w:rsidRPr="00745B87" w:rsidR="00576FA3">
        <w:rPr>
          <w:sz w:val="22"/>
          <w:szCs w:val="22"/>
        </w:rPr>
        <w:t xml:space="preserve">receives high-cost universal service support through the </w:t>
      </w:r>
      <w:r w:rsidRPr="00745B87" w:rsidR="003319C4">
        <w:rPr>
          <w:sz w:val="22"/>
          <w:szCs w:val="22"/>
        </w:rPr>
        <w:t>R</w:t>
      </w:r>
      <w:r w:rsidRPr="00745B87" w:rsidR="00D731A3">
        <w:rPr>
          <w:sz w:val="22"/>
          <w:szCs w:val="22"/>
        </w:rPr>
        <w:t xml:space="preserve">ural </w:t>
      </w:r>
      <w:r w:rsidRPr="00745B87" w:rsidR="003319C4">
        <w:rPr>
          <w:sz w:val="22"/>
          <w:szCs w:val="22"/>
        </w:rPr>
        <w:t>D</w:t>
      </w:r>
      <w:r w:rsidRPr="00745B87" w:rsidR="00D731A3">
        <w:rPr>
          <w:sz w:val="22"/>
          <w:szCs w:val="22"/>
        </w:rPr>
        <w:t xml:space="preserve">igital </w:t>
      </w:r>
      <w:r w:rsidRPr="00745B87" w:rsidR="003319C4">
        <w:rPr>
          <w:sz w:val="22"/>
          <w:szCs w:val="22"/>
        </w:rPr>
        <w:t>O</w:t>
      </w:r>
      <w:r w:rsidRPr="00745B87" w:rsidR="00D731A3">
        <w:rPr>
          <w:sz w:val="22"/>
          <w:szCs w:val="22"/>
        </w:rPr>
        <w:t xml:space="preserve">pportunity </w:t>
      </w:r>
      <w:r w:rsidRPr="00745B87" w:rsidR="003319C4">
        <w:rPr>
          <w:sz w:val="22"/>
          <w:szCs w:val="22"/>
        </w:rPr>
        <w:t>F</w:t>
      </w:r>
      <w:r w:rsidRPr="00745B87" w:rsidR="00D731A3">
        <w:rPr>
          <w:sz w:val="22"/>
          <w:szCs w:val="22"/>
        </w:rPr>
        <w:t>und</w:t>
      </w:r>
      <w:r w:rsidRPr="00745B87" w:rsidR="007E1935">
        <w:rPr>
          <w:sz w:val="22"/>
          <w:szCs w:val="22"/>
        </w:rPr>
        <w:t xml:space="preserve"> </w:t>
      </w:r>
      <w:r w:rsidRPr="00745B87" w:rsidR="00295691">
        <w:rPr>
          <w:sz w:val="22"/>
          <w:szCs w:val="22"/>
        </w:rPr>
        <w:t xml:space="preserve">(RDOF) </w:t>
      </w:r>
      <w:r w:rsidRPr="00745B87" w:rsidR="007E1935">
        <w:rPr>
          <w:sz w:val="22"/>
          <w:szCs w:val="22"/>
        </w:rPr>
        <w:t>Phase</w:t>
      </w:r>
      <w:r w:rsidR="007930E1">
        <w:rPr>
          <w:sz w:val="22"/>
          <w:szCs w:val="22"/>
        </w:rPr>
        <w:t xml:space="preserve"> </w:t>
      </w:r>
      <w:r w:rsidRPr="00745B87" w:rsidR="007E1935">
        <w:rPr>
          <w:sz w:val="22"/>
          <w:szCs w:val="22"/>
        </w:rPr>
        <w:t>1</w:t>
      </w:r>
      <w:r w:rsidRPr="00745B87" w:rsidR="003319C4">
        <w:rPr>
          <w:sz w:val="22"/>
          <w:szCs w:val="22"/>
        </w:rPr>
        <w:t xml:space="preserve"> </w:t>
      </w:r>
      <w:r w:rsidRPr="00745B87" w:rsidR="007E1935">
        <w:rPr>
          <w:sz w:val="22"/>
          <w:szCs w:val="22"/>
        </w:rPr>
        <w:t>(</w:t>
      </w:r>
      <w:r w:rsidRPr="00745B87" w:rsidR="003319C4">
        <w:rPr>
          <w:sz w:val="22"/>
          <w:szCs w:val="22"/>
        </w:rPr>
        <w:t>Auction 904</w:t>
      </w:r>
      <w:r w:rsidRPr="00745B87" w:rsidR="007E1935">
        <w:rPr>
          <w:sz w:val="22"/>
          <w:szCs w:val="22"/>
        </w:rPr>
        <w:t>)</w:t>
      </w:r>
      <w:r w:rsidRPr="00745B87" w:rsidR="00576FA3">
        <w:rPr>
          <w:sz w:val="22"/>
          <w:szCs w:val="22"/>
        </w:rPr>
        <w:t xml:space="preserve"> support mechanism</w:t>
      </w:r>
      <w:r w:rsidRPr="00745B87" w:rsidR="003319C4">
        <w:rPr>
          <w:sz w:val="22"/>
          <w:szCs w:val="22"/>
        </w:rPr>
        <w:t>.</w:t>
      </w:r>
      <w:r>
        <w:rPr>
          <w:rStyle w:val="FootnoteReference"/>
          <w:sz w:val="22"/>
          <w:szCs w:val="22"/>
        </w:rPr>
        <w:footnoteReference w:id="7"/>
      </w:r>
      <w:r w:rsidRPr="00745B87" w:rsidR="003319C4">
        <w:rPr>
          <w:sz w:val="22"/>
          <w:szCs w:val="22"/>
        </w:rPr>
        <w:t xml:space="preserve">  The majority owners of Hyak are two individuals, Neil Ecker and Robbie Wright, and no other individual or entity currently owns more than 10% of Hyak. </w:t>
      </w:r>
      <w:r w:rsidRPr="00745B87" w:rsidR="00C66DC6">
        <w:rPr>
          <w:sz w:val="22"/>
          <w:szCs w:val="22"/>
        </w:rPr>
        <w:t xml:space="preserve"> </w:t>
      </w:r>
    </w:p>
    <w:p w:rsidR="000F37E1" w:rsidRPr="00745B87" w:rsidP="00021FCD" w14:paraId="09C3D598" w14:textId="5F14C131">
      <w:pPr>
        <w:autoSpaceDE w:val="0"/>
        <w:autoSpaceDN w:val="0"/>
        <w:adjustRightInd w:val="0"/>
        <w:spacing w:before="120" w:after="120"/>
        <w:ind w:firstLine="720"/>
        <w:rPr>
          <w:sz w:val="22"/>
          <w:szCs w:val="22"/>
        </w:rPr>
      </w:pPr>
      <w:r w:rsidRPr="00745B87">
        <w:rPr>
          <w:sz w:val="22"/>
          <w:szCs w:val="22"/>
        </w:rPr>
        <w:t>Concept</w:t>
      </w:r>
      <w:r w:rsidRPr="00745B87" w:rsidR="004A2142">
        <w:rPr>
          <w:sz w:val="22"/>
          <w:szCs w:val="22"/>
        </w:rPr>
        <w:t xml:space="preserve">, </w:t>
      </w:r>
      <w:r w:rsidRPr="00745B87" w:rsidR="00E57564">
        <w:rPr>
          <w:sz w:val="22"/>
          <w:szCs w:val="22"/>
        </w:rPr>
        <w:t xml:space="preserve">a </w:t>
      </w:r>
      <w:r w:rsidRPr="00745B87" w:rsidR="004A2142">
        <w:rPr>
          <w:sz w:val="22"/>
          <w:szCs w:val="22"/>
        </w:rPr>
        <w:t xml:space="preserve">Washington limited liability company, is a provider of cable service and Internet services in Washington.  </w:t>
      </w:r>
      <w:r w:rsidRPr="00745B87" w:rsidR="0035466D">
        <w:rPr>
          <w:sz w:val="22"/>
          <w:szCs w:val="22"/>
        </w:rPr>
        <w:t xml:space="preserve">Concept </w:t>
      </w:r>
      <w:r w:rsidRPr="00745B87" w:rsidR="004A2142">
        <w:rPr>
          <w:sz w:val="22"/>
          <w:szCs w:val="22"/>
        </w:rPr>
        <w:t xml:space="preserve">is 95.8% owned by </w:t>
      </w:r>
      <w:r w:rsidRPr="00745B87" w:rsidR="004A2142">
        <w:rPr>
          <w:sz w:val="22"/>
          <w:szCs w:val="22"/>
        </w:rPr>
        <w:t>MiFiber</w:t>
      </w:r>
      <w:r w:rsidRPr="00745B87" w:rsidR="004A2142">
        <w:rPr>
          <w:sz w:val="22"/>
          <w:szCs w:val="22"/>
        </w:rPr>
        <w:t xml:space="preserve"> Holding, LLC (</w:t>
      </w:r>
      <w:r w:rsidRPr="00745B87" w:rsidR="004A2142">
        <w:rPr>
          <w:sz w:val="22"/>
          <w:szCs w:val="22"/>
        </w:rPr>
        <w:t>MiFiber</w:t>
      </w:r>
      <w:r w:rsidRPr="00745B87" w:rsidR="004A2142">
        <w:rPr>
          <w:sz w:val="22"/>
          <w:szCs w:val="22"/>
        </w:rPr>
        <w:t xml:space="preserve"> Holding), a Delaware</w:t>
      </w:r>
      <w:r w:rsidRPr="00745B87" w:rsidR="001D74E1">
        <w:rPr>
          <w:sz w:val="22"/>
          <w:szCs w:val="22"/>
        </w:rPr>
        <w:t xml:space="preserve"> </w:t>
      </w:r>
      <w:r w:rsidRPr="00745B87" w:rsidR="004A2142">
        <w:rPr>
          <w:sz w:val="22"/>
          <w:szCs w:val="22"/>
        </w:rPr>
        <w:t>limited liability company.</w:t>
      </w:r>
      <w:r>
        <w:rPr>
          <w:rStyle w:val="FootnoteReference"/>
          <w:sz w:val="22"/>
          <w:szCs w:val="22"/>
        </w:rPr>
        <w:footnoteReference w:id="8"/>
      </w:r>
      <w:r w:rsidRPr="00745B87" w:rsidR="004A2142">
        <w:rPr>
          <w:sz w:val="22"/>
          <w:szCs w:val="22"/>
        </w:rPr>
        <w:t xml:space="preserve">  </w:t>
      </w:r>
      <w:r w:rsidRPr="00745B87" w:rsidR="00792839">
        <w:rPr>
          <w:sz w:val="22"/>
          <w:szCs w:val="22"/>
        </w:rPr>
        <w:t>MiFiber</w:t>
      </w:r>
      <w:r w:rsidRPr="00745B87" w:rsidR="00792839">
        <w:rPr>
          <w:sz w:val="22"/>
          <w:szCs w:val="22"/>
        </w:rPr>
        <w:t xml:space="preserve"> </w:t>
      </w:r>
      <w:r w:rsidRPr="00745B87" w:rsidR="005B4213">
        <w:rPr>
          <w:sz w:val="22"/>
          <w:szCs w:val="22"/>
        </w:rPr>
        <w:t>Holdi</w:t>
      </w:r>
      <w:r w:rsidRPr="00745B87" w:rsidR="00F651C5">
        <w:rPr>
          <w:sz w:val="22"/>
          <w:szCs w:val="22"/>
        </w:rPr>
        <w:t>ng</w:t>
      </w:r>
      <w:r w:rsidRPr="00745B87" w:rsidR="007B4CE9">
        <w:rPr>
          <w:sz w:val="22"/>
          <w:szCs w:val="22"/>
        </w:rPr>
        <w:t xml:space="preserve">’s 10% or greater direct owners </w:t>
      </w:r>
      <w:r w:rsidRPr="00745B87" w:rsidR="005B4213">
        <w:rPr>
          <w:sz w:val="22"/>
          <w:szCs w:val="22"/>
        </w:rPr>
        <w:t xml:space="preserve">are:  </w:t>
      </w:r>
      <w:r w:rsidRPr="00745B87" w:rsidR="0058377C">
        <w:rPr>
          <w:sz w:val="22"/>
          <w:szCs w:val="22"/>
        </w:rPr>
        <w:t>2PS Investments II</w:t>
      </w:r>
      <w:r w:rsidRPr="00745B87" w:rsidR="00F93C56">
        <w:rPr>
          <w:sz w:val="22"/>
          <w:szCs w:val="22"/>
        </w:rPr>
        <w:t>,</w:t>
      </w:r>
      <w:r w:rsidRPr="00745B87" w:rsidR="0058377C">
        <w:rPr>
          <w:sz w:val="22"/>
          <w:szCs w:val="22"/>
        </w:rPr>
        <w:t xml:space="preserve"> LLC </w:t>
      </w:r>
      <w:r w:rsidRPr="00745B87" w:rsidR="005B4213">
        <w:rPr>
          <w:sz w:val="22"/>
          <w:szCs w:val="22"/>
        </w:rPr>
        <w:t>(</w:t>
      </w:r>
      <w:r w:rsidRPr="00745B87" w:rsidR="0058377C">
        <w:rPr>
          <w:sz w:val="22"/>
          <w:szCs w:val="22"/>
        </w:rPr>
        <w:t>35.</w:t>
      </w:r>
      <w:r w:rsidRPr="00745B87" w:rsidR="002E61A2">
        <w:rPr>
          <w:sz w:val="22"/>
          <w:szCs w:val="22"/>
        </w:rPr>
        <w:t xml:space="preserve">61% </w:t>
      </w:r>
      <w:r w:rsidRPr="00745B87" w:rsidR="005B4213">
        <w:rPr>
          <w:sz w:val="22"/>
          <w:szCs w:val="22"/>
        </w:rPr>
        <w:t>)</w:t>
      </w:r>
      <w:r w:rsidRPr="00745B87" w:rsidR="00A97515">
        <w:rPr>
          <w:sz w:val="22"/>
          <w:szCs w:val="22"/>
        </w:rPr>
        <w:t>; Valley Oak Growth Tech B, LP (11.23%)</w:t>
      </w:r>
      <w:r w:rsidRPr="00745B87" w:rsidR="005F7782">
        <w:rPr>
          <w:sz w:val="22"/>
          <w:szCs w:val="22"/>
        </w:rPr>
        <w:t>; and</w:t>
      </w:r>
      <w:r w:rsidRPr="00745B87" w:rsidR="005B4213">
        <w:rPr>
          <w:sz w:val="22"/>
          <w:szCs w:val="22"/>
        </w:rPr>
        <w:t xml:space="preserve"> </w:t>
      </w:r>
      <w:r w:rsidRPr="00745B87" w:rsidR="00A97515">
        <w:rPr>
          <w:sz w:val="22"/>
          <w:szCs w:val="22"/>
        </w:rPr>
        <w:t>MFB Investment</w:t>
      </w:r>
      <w:r w:rsidRPr="00745B87" w:rsidR="00F93C56">
        <w:rPr>
          <w:sz w:val="22"/>
          <w:szCs w:val="22"/>
        </w:rPr>
        <w:t>,</w:t>
      </w:r>
      <w:r w:rsidRPr="00745B87" w:rsidR="00A97515">
        <w:rPr>
          <w:sz w:val="22"/>
          <w:szCs w:val="22"/>
        </w:rPr>
        <w:t xml:space="preserve"> LLC (11.23%)</w:t>
      </w:r>
      <w:r w:rsidRPr="00745B87" w:rsidR="002E61A2">
        <w:rPr>
          <w:sz w:val="22"/>
          <w:szCs w:val="22"/>
        </w:rPr>
        <w:t>.</w:t>
      </w:r>
      <w:r>
        <w:rPr>
          <w:rStyle w:val="FootnoteReference"/>
          <w:sz w:val="22"/>
          <w:szCs w:val="22"/>
        </w:rPr>
        <w:footnoteReference w:id="9"/>
      </w:r>
      <w:r w:rsidRPr="00745B87" w:rsidR="002E61A2">
        <w:rPr>
          <w:sz w:val="22"/>
          <w:szCs w:val="22"/>
        </w:rPr>
        <w:t xml:space="preserve">  </w:t>
      </w:r>
      <w:r w:rsidRPr="00745B87" w:rsidR="0058663A">
        <w:rPr>
          <w:sz w:val="22"/>
          <w:szCs w:val="22"/>
        </w:rPr>
        <w:t xml:space="preserve">The managers of </w:t>
      </w:r>
      <w:r w:rsidRPr="00745B87" w:rsidR="0058663A">
        <w:rPr>
          <w:sz w:val="22"/>
          <w:szCs w:val="22"/>
        </w:rPr>
        <w:t>MiFiber</w:t>
      </w:r>
      <w:r w:rsidRPr="00745B87" w:rsidR="0058663A">
        <w:rPr>
          <w:sz w:val="22"/>
          <w:szCs w:val="22"/>
        </w:rPr>
        <w:t xml:space="preserve"> Holding</w:t>
      </w:r>
      <w:r w:rsidRPr="00745B87" w:rsidR="00E951E3">
        <w:rPr>
          <w:sz w:val="22"/>
          <w:szCs w:val="22"/>
        </w:rPr>
        <w:t>’</w:t>
      </w:r>
      <w:r w:rsidRPr="00745B87" w:rsidR="0058663A">
        <w:rPr>
          <w:sz w:val="22"/>
          <w:szCs w:val="22"/>
        </w:rPr>
        <w:t>s Board</w:t>
      </w:r>
      <w:r w:rsidRPr="00745B87" w:rsidR="00EC7FB6">
        <w:rPr>
          <w:sz w:val="22"/>
          <w:szCs w:val="22"/>
        </w:rPr>
        <w:t xml:space="preserve">, each </w:t>
      </w:r>
      <w:r w:rsidRPr="00745B87" w:rsidR="00E951E3">
        <w:rPr>
          <w:sz w:val="22"/>
          <w:szCs w:val="22"/>
        </w:rPr>
        <w:t>holding a</w:t>
      </w:r>
      <w:r w:rsidRPr="00745B87" w:rsidR="00EC7FB6">
        <w:rPr>
          <w:sz w:val="22"/>
          <w:szCs w:val="22"/>
        </w:rPr>
        <w:t xml:space="preserve"> 16.25% </w:t>
      </w:r>
      <w:r w:rsidRPr="00745B87" w:rsidR="00D91888">
        <w:rPr>
          <w:sz w:val="22"/>
          <w:szCs w:val="22"/>
        </w:rPr>
        <w:t>indirect</w:t>
      </w:r>
      <w:r w:rsidRPr="00745B87" w:rsidR="00005517">
        <w:rPr>
          <w:sz w:val="22"/>
          <w:szCs w:val="22"/>
        </w:rPr>
        <w:t xml:space="preserve"> </w:t>
      </w:r>
      <w:r w:rsidRPr="00745B87" w:rsidR="00EC7FB6">
        <w:rPr>
          <w:sz w:val="22"/>
          <w:szCs w:val="22"/>
        </w:rPr>
        <w:t>interest</w:t>
      </w:r>
      <w:r w:rsidRPr="00745B87" w:rsidR="004931EB">
        <w:rPr>
          <w:sz w:val="22"/>
          <w:szCs w:val="22"/>
        </w:rPr>
        <w:t xml:space="preserve"> in </w:t>
      </w:r>
      <w:r w:rsidRPr="00745B87" w:rsidR="004931EB">
        <w:rPr>
          <w:sz w:val="22"/>
          <w:szCs w:val="22"/>
        </w:rPr>
        <w:t>MiFiber</w:t>
      </w:r>
      <w:r w:rsidRPr="00745B87" w:rsidR="00DB6EAD">
        <w:rPr>
          <w:sz w:val="22"/>
          <w:szCs w:val="22"/>
        </w:rPr>
        <w:t xml:space="preserve"> Holding</w:t>
      </w:r>
      <w:r w:rsidRPr="00745B87" w:rsidR="00CB0261">
        <w:rPr>
          <w:sz w:val="22"/>
          <w:szCs w:val="22"/>
        </w:rPr>
        <w:t xml:space="preserve"> </w:t>
      </w:r>
      <w:r w:rsidRPr="00745B87" w:rsidR="00D91888">
        <w:rPr>
          <w:sz w:val="22"/>
          <w:szCs w:val="22"/>
        </w:rPr>
        <w:t>through their respective interests in 2PS Investments II</w:t>
      </w:r>
      <w:r w:rsidRPr="00745B87" w:rsidR="007F6200">
        <w:rPr>
          <w:sz w:val="22"/>
          <w:szCs w:val="22"/>
        </w:rPr>
        <w:t>,</w:t>
      </w:r>
      <w:r w:rsidRPr="00745B87" w:rsidR="00D91888">
        <w:rPr>
          <w:sz w:val="22"/>
          <w:szCs w:val="22"/>
        </w:rPr>
        <w:t xml:space="preserve"> LLC and another entity with less than a 5%</w:t>
      </w:r>
      <w:r w:rsidRPr="00745B87" w:rsidR="00F93C56">
        <w:rPr>
          <w:sz w:val="22"/>
          <w:szCs w:val="22"/>
        </w:rPr>
        <w:t xml:space="preserve"> </w:t>
      </w:r>
      <w:r w:rsidRPr="00745B87" w:rsidR="00D91888">
        <w:rPr>
          <w:sz w:val="22"/>
          <w:szCs w:val="22"/>
        </w:rPr>
        <w:t xml:space="preserve">direct interest in </w:t>
      </w:r>
      <w:r w:rsidRPr="00745B87" w:rsidR="00D91888">
        <w:rPr>
          <w:sz w:val="22"/>
          <w:szCs w:val="22"/>
        </w:rPr>
        <w:t>MiFiber</w:t>
      </w:r>
      <w:r w:rsidRPr="00745B87" w:rsidR="00D91888">
        <w:rPr>
          <w:sz w:val="22"/>
          <w:szCs w:val="22"/>
        </w:rPr>
        <w:t xml:space="preserve"> Holding</w:t>
      </w:r>
      <w:r w:rsidRPr="00745B87" w:rsidR="00005517">
        <w:rPr>
          <w:sz w:val="22"/>
          <w:szCs w:val="22"/>
        </w:rPr>
        <w:t>,</w:t>
      </w:r>
      <w:r w:rsidRPr="00745B87" w:rsidR="00EC7FB6">
        <w:rPr>
          <w:sz w:val="22"/>
          <w:szCs w:val="22"/>
        </w:rPr>
        <w:t xml:space="preserve"> </w:t>
      </w:r>
      <w:r w:rsidRPr="00745B87" w:rsidR="0058663A">
        <w:rPr>
          <w:sz w:val="22"/>
          <w:szCs w:val="22"/>
        </w:rPr>
        <w:t xml:space="preserve">are Karnig Ross Baron Porter, a U.S. citizen, and Louis-Alexandre </w:t>
      </w:r>
      <w:r w:rsidRPr="00745B87" w:rsidR="0058663A">
        <w:rPr>
          <w:sz w:val="22"/>
          <w:szCs w:val="22"/>
        </w:rPr>
        <w:t>Pfyffer</w:t>
      </w:r>
      <w:r w:rsidRPr="00745B87" w:rsidR="0058663A">
        <w:rPr>
          <w:sz w:val="22"/>
          <w:szCs w:val="22"/>
        </w:rPr>
        <w:t xml:space="preserve"> von </w:t>
      </w:r>
      <w:r w:rsidRPr="00745B87" w:rsidR="0058663A">
        <w:rPr>
          <w:sz w:val="22"/>
          <w:szCs w:val="22"/>
        </w:rPr>
        <w:t>Altishofen</w:t>
      </w:r>
      <w:r w:rsidRPr="00745B87" w:rsidR="0058663A">
        <w:rPr>
          <w:sz w:val="22"/>
          <w:szCs w:val="22"/>
        </w:rPr>
        <w:t>, a Switzerland citizen</w:t>
      </w:r>
      <w:r w:rsidRPr="00745B87" w:rsidR="00EC7FB6">
        <w:rPr>
          <w:sz w:val="22"/>
          <w:szCs w:val="22"/>
        </w:rPr>
        <w:t>.</w:t>
      </w:r>
      <w:r>
        <w:rPr>
          <w:rStyle w:val="FootnoteReference"/>
          <w:sz w:val="22"/>
          <w:szCs w:val="22"/>
        </w:rPr>
        <w:footnoteReference w:id="10"/>
      </w:r>
      <w:r w:rsidRPr="00745B87" w:rsidR="00E951E3">
        <w:rPr>
          <w:sz w:val="22"/>
          <w:szCs w:val="22"/>
        </w:rPr>
        <w:t xml:space="preserve">  </w:t>
      </w:r>
      <w:r w:rsidRPr="00745B87" w:rsidR="00DA7148">
        <w:rPr>
          <w:sz w:val="22"/>
          <w:szCs w:val="22"/>
        </w:rPr>
        <w:t>Juan Carlos Serrano, an Ecuador</w:t>
      </w:r>
      <w:r w:rsidR="00A028F4">
        <w:rPr>
          <w:sz w:val="22"/>
          <w:szCs w:val="22"/>
        </w:rPr>
        <w:t>ian</w:t>
      </w:r>
      <w:r w:rsidRPr="00745B87" w:rsidR="00DA7148">
        <w:rPr>
          <w:sz w:val="22"/>
          <w:szCs w:val="22"/>
        </w:rPr>
        <w:t xml:space="preserve"> citizen,</w:t>
      </w:r>
      <w:r w:rsidRPr="00745B87" w:rsidR="00CE16DA">
        <w:rPr>
          <w:sz w:val="22"/>
          <w:szCs w:val="22"/>
        </w:rPr>
        <w:t xml:space="preserve"> </w:t>
      </w:r>
      <w:r w:rsidRPr="00745B87" w:rsidR="00DA7148">
        <w:rPr>
          <w:sz w:val="22"/>
          <w:szCs w:val="22"/>
        </w:rPr>
        <w:t xml:space="preserve">indirectly holds a 19.99% interest in </w:t>
      </w:r>
      <w:r w:rsidRPr="00745B87" w:rsidR="00DA7148">
        <w:rPr>
          <w:sz w:val="22"/>
          <w:szCs w:val="22"/>
        </w:rPr>
        <w:t>MiFiber</w:t>
      </w:r>
      <w:r w:rsidRPr="00745B87" w:rsidR="00DA7148">
        <w:rPr>
          <w:sz w:val="22"/>
          <w:szCs w:val="22"/>
        </w:rPr>
        <w:t xml:space="preserve"> Holding</w:t>
      </w:r>
      <w:r w:rsidRPr="00745B87" w:rsidR="00295074">
        <w:rPr>
          <w:sz w:val="22"/>
          <w:szCs w:val="22"/>
        </w:rPr>
        <w:t xml:space="preserve"> through interests in 2 PS Investments II</w:t>
      </w:r>
      <w:r w:rsidRPr="00745B87" w:rsidR="007E768A">
        <w:rPr>
          <w:sz w:val="22"/>
          <w:szCs w:val="22"/>
        </w:rPr>
        <w:t>,</w:t>
      </w:r>
      <w:r w:rsidRPr="00745B87" w:rsidR="00295074">
        <w:rPr>
          <w:sz w:val="22"/>
          <w:szCs w:val="22"/>
        </w:rPr>
        <w:t xml:space="preserve"> LLC and MFB</w:t>
      </w:r>
      <w:r w:rsidRPr="00745B87" w:rsidR="00CE16DA">
        <w:rPr>
          <w:sz w:val="22"/>
          <w:szCs w:val="22"/>
        </w:rPr>
        <w:t xml:space="preserve"> </w:t>
      </w:r>
      <w:r w:rsidRPr="00745B87" w:rsidR="00295074">
        <w:rPr>
          <w:sz w:val="22"/>
          <w:szCs w:val="22"/>
        </w:rPr>
        <w:t>Investment</w:t>
      </w:r>
      <w:r w:rsidRPr="00745B87" w:rsidR="007E768A">
        <w:rPr>
          <w:sz w:val="22"/>
          <w:szCs w:val="22"/>
        </w:rPr>
        <w:t>,</w:t>
      </w:r>
      <w:r w:rsidRPr="00745B87" w:rsidR="00295074">
        <w:rPr>
          <w:sz w:val="22"/>
          <w:szCs w:val="22"/>
        </w:rPr>
        <w:t xml:space="preserve"> LLC</w:t>
      </w:r>
      <w:r w:rsidRPr="00745B87" w:rsidR="00792839">
        <w:rPr>
          <w:sz w:val="22"/>
          <w:szCs w:val="22"/>
        </w:rPr>
        <w:t>.</w:t>
      </w:r>
      <w:r>
        <w:rPr>
          <w:rStyle w:val="FootnoteReference"/>
          <w:sz w:val="22"/>
          <w:szCs w:val="22"/>
        </w:rPr>
        <w:footnoteReference w:id="11"/>
      </w:r>
    </w:p>
    <w:p w:rsidR="000F37E1" w:rsidRPr="00745B87" w:rsidP="00021FCD" w14:paraId="684EE91F" w14:textId="3A444E0B">
      <w:pPr>
        <w:autoSpaceDE w:val="0"/>
        <w:autoSpaceDN w:val="0"/>
        <w:adjustRightInd w:val="0"/>
        <w:spacing w:before="120" w:after="120"/>
        <w:ind w:firstLine="720"/>
        <w:rPr>
          <w:sz w:val="22"/>
          <w:szCs w:val="22"/>
        </w:rPr>
      </w:pPr>
      <w:r w:rsidRPr="00745B87">
        <w:rPr>
          <w:sz w:val="22"/>
          <w:szCs w:val="22"/>
        </w:rPr>
        <w:t xml:space="preserve">Concept owns (1) NCI Data.com, LLC, a Washington limited liability company, which is a competitive local exchange provider in Washington and an FCC microwave license holder, and (2) Wind Wireless, LLC, a Washington limited liability company </w:t>
      </w:r>
      <w:r w:rsidRPr="00745B87" w:rsidR="00056476">
        <w:rPr>
          <w:sz w:val="22"/>
          <w:szCs w:val="22"/>
        </w:rPr>
        <w:t xml:space="preserve">and </w:t>
      </w:r>
      <w:r w:rsidRPr="00745B87">
        <w:rPr>
          <w:sz w:val="22"/>
          <w:szCs w:val="22"/>
        </w:rPr>
        <w:t xml:space="preserve">an FCC microwave license holder.  </w:t>
      </w:r>
      <w:bookmarkStart w:id="3" w:name="_Hlk143689747"/>
      <w:r w:rsidRPr="00745B87">
        <w:rPr>
          <w:sz w:val="22"/>
          <w:szCs w:val="22"/>
        </w:rPr>
        <w:t xml:space="preserve">Neither Concept nor any of </w:t>
      </w:r>
      <w:r w:rsidRPr="00745B87" w:rsidR="005B343A">
        <w:rPr>
          <w:sz w:val="22"/>
          <w:szCs w:val="22"/>
        </w:rPr>
        <w:t xml:space="preserve">its </w:t>
      </w:r>
      <w:r w:rsidRPr="00745B87" w:rsidR="00B449B2">
        <w:rPr>
          <w:sz w:val="22"/>
          <w:szCs w:val="22"/>
        </w:rPr>
        <w:t xml:space="preserve">affiliates </w:t>
      </w:r>
      <w:r w:rsidRPr="00745B87" w:rsidR="009B5E52">
        <w:rPr>
          <w:sz w:val="22"/>
          <w:szCs w:val="22"/>
        </w:rPr>
        <w:t>or subsidiaries hold</w:t>
      </w:r>
      <w:r w:rsidRPr="00745B87" w:rsidR="00056476">
        <w:rPr>
          <w:sz w:val="22"/>
          <w:szCs w:val="22"/>
        </w:rPr>
        <w:t>s</w:t>
      </w:r>
      <w:r w:rsidRPr="00745B87" w:rsidR="009B5E52">
        <w:rPr>
          <w:sz w:val="22"/>
          <w:szCs w:val="22"/>
        </w:rPr>
        <w:t xml:space="preserve"> a</w:t>
      </w:r>
      <w:r w:rsidRPr="00745B87">
        <w:rPr>
          <w:sz w:val="22"/>
          <w:szCs w:val="22"/>
        </w:rPr>
        <w:t xml:space="preserve"> 10% or greater ownership interest in any </w:t>
      </w:r>
      <w:r w:rsidRPr="00745B87" w:rsidR="009B5E52">
        <w:rPr>
          <w:sz w:val="22"/>
          <w:szCs w:val="22"/>
        </w:rPr>
        <w:t>other provider</w:t>
      </w:r>
      <w:r w:rsidRPr="00745B87" w:rsidR="00417A68">
        <w:rPr>
          <w:sz w:val="22"/>
          <w:szCs w:val="22"/>
        </w:rPr>
        <w:t>s</w:t>
      </w:r>
      <w:r w:rsidRPr="00745B87" w:rsidR="009B5E52">
        <w:rPr>
          <w:sz w:val="22"/>
          <w:szCs w:val="22"/>
        </w:rPr>
        <w:t xml:space="preserve"> of </w:t>
      </w:r>
      <w:r w:rsidRPr="00745B87">
        <w:rPr>
          <w:sz w:val="22"/>
          <w:szCs w:val="22"/>
        </w:rPr>
        <w:t>domestic telecommunications services</w:t>
      </w:r>
      <w:r w:rsidRPr="00745B87" w:rsidR="004209F1">
        <w:rPr>
          <w:sz w:val="22"/>
          <w:szCs w:val="22"/>
        </w:rPr>
        <w:t>.</w:t>
      </w:r>
      <w:r>
        <w:rPr>
          <w:rStyle w:val="FootnoteReference"/>
          <w:sz w:val="22"/>
          <w:szCs w:val="22"/>
        </w:rPr>
        <w:footnoteReference w:id="12"/>
      </w:r>
      <w:r w:rsidRPr="00745B87" w:rsidR="00F3706A">
        <w:rPr>
          <w:sz w:val="22"/>
          <w:szCs w:val="22"/>
        </w:rPr>
        <w:t xml:space="preserve">  </w:t>
      </w:r>
      <w:bookmarkEnd w:id="3"/>
      <w:r w:rsidRPr="00745B87" w:rsidR="00F3706A">
        <w:rPr>
          <w:sz w:val="22"/>
          <w:szCs w:val="22"/>
        </w:rPr>
        <w:t xml:space="preserve">Additionally, </w:t>
      </w:r>
      <w:r w:rsidRPr="00745B87" w:rsidR="008D4C5E">
        <w:rPr>
          <w:sz w:val="22"/>
          <w:szCs w:val="22"/>
        </w:rPr>
        <w:t>neither Concept</w:t>
      </w:r>
      <w:r w:rsidRPr="00745B87" w:rsidR="00EC5C4A">
        <w:rPr>
          <w:sz w:val="22"/>
          <w:szCs w:val="22"/>
        </w:rPr>
        <w:t xml:space="preserve"> </w:t>
      </w:r>
      <w:r w:rsidRPr="00745B87" w:rsidR="008D4C5E">
        <w:rPr>
          <w:sz w:val="22"/>
          <w:szCs w:val="22"/>
        </w:rPr>
        <w:t>no</w:t>
      </w:r>
      <w:r w:rsidRPr="00745B87" w:rsidR="00EC5C4A">
        <w:rPr>
          <w:sz w:val="22"/>
          <w:szCs w:val="22"/>
        </w:rPr>
        <w:t>r any of its affiliates or subsidiaries</w:t>
      </w:r>
      <w:r w:rsidRPr="00745B87" w:rsidR="008D4C5E">
        <w:rPr>
          <w:sz w:val="22"/>
          <w:szCs w:val="22"/>
        </w:rPr>
        <w:t xml:space="preserve"> provide</w:t>
      </w:r>
      <w:r w:rsidRPr="00745B87" w:rsidR="001B6627">
        <w:rPr>
          <w:sz w:val="22"/>
          <w:szCs w:val="22"/>
        </w:rPr>
        <w:t>s</w:t>
      </w:r>
      <w:r w:rsidRPr="00745B87" w:rsidR="008D4C5E">
        <w:rPr>
          <w:sz w:val="22"/>
          <w:szCs w:val="22"/>
        </w:rPr>
        <w:t xml:space="preserve"> telecommunications services in Oregon</w:t>
      </w:r>
      <w:r w:rsidRPr="00745B87" w:rsidR="00EC5C4A">
        <w:rPr>
          <w:sz w:val="22"/>
          <w:szCs w:val="22"/>
        </w:rPr>
        <w:t xml:space="preserve">, </w:t>
      </w:r>
      <w:r w:rsidRPr="00745B87" w:rsidR="001B6627">
        <w:rPr>
          <w:sz w:val="22"/>
          <w:szCs w:val="22"/>
        </w:rPr>
        <w:t xml:space="preserve">and </w:t>
      </w:r>
      <w:r w:rsidRPr="00745B87" w:rsidR="00EC5C4A">
        <w:rPr>
          <w:sz w:val="22"/>
          <w:szCs w:val="22"/>
        </w:rPr>
        <w:t>thus</w:t>
      </w:r>
      <w:r w:rsidRPr="00745B87" w:rsidR="008D4C5E">
        <w:rPr>
          <w:sz w:val="22"/>
          <w:szCs w:val="22"/>
        </w:rPr>
        <w:t xml:space="preserve"> </w:t>
      </w:r>
      <w:r w:rsidRPr="00745B87" w:rsidR="00F3706A">
        <w:rPr>
          <w:sz w:val="22"/>
          <w:szCs w:val="22"/>
        </w:rPr>
        <w:t xml:space="preserve">there is no </w:t>
      </w:r>
      <w:r w:rsidRPr="00745B87" w:rsidR="00EC5C4A">
        <w:rPr>
          <w:sz w:val="22"/>
          <w:szCs w:val="22"/>
        </w:rPr>
        <w:t xml:space="preserve">service area </w:t>
      </w:r>
      <w:r w:rsidRPr="00745B87" w:rsidR="00F3706A">
        <w:rPr>
          <w:sz w:val="22"/>
          <w:szCs w:val="22"/>
        </w:rPr>
        <w:t xml:space="preserve">overlap </w:t>
      </w:r>
      <w:r w:rsidRPr="00745B87" w:rsidR="00EC5C4A">
        <w:rPr>
          <w:sz w:val="22"/>
          <w:szCs w:val="22"/>
        </w:rPr>
        <w:t>with</w:t>
      </w:r>
      <w:r w:rsidRPr="00745B87" w:rsidR="00F3706A">
        <w:rPr>
          <w:sz w:val="22"/>
          <w:szCs w:val="22"/>
        </w:rPr>
        <w:t xml:space="preserve"> </w:t>
      </w:r>
      <w:r w:rsidRPr="00745B87" w:rsidR="000063F9">
        <w:rPr>
          <w:sz w:val="22"/>
          <w:szCs w:val="22"/>
        </w:rPr>
        <w:t>Hyak.</w:t>
      </w:r>
      <w:r>
        <w:rPr>
          <w:rStyle w:val="FootnoteReference"/>
          <w:sz w:val="22"/>
          <w:szCs w:val="22"/>
        </w:rPr>
        <w:footnoteReference w:id="13"/>
      </w:r>
    </w:p>
    <w:p w:rsidR="008E3AE8" w:rsidRPr="00745B87" w:rsidP="00021FCD" w14:paraId="46A1DE0E" w14:textId="6972BC48">
      <w:pPr>
        <w:autoSpaceDE w:val="0"/>
        <w:autoSpaceDN w:val="0"/>
        <w:adjustRightInd w:val="0"/>
        <w:spacing w:before="120" w:after="120"/>
        <w:ind w:firstLine="720"/>
        <w:rPr>
          <w:sz w:val="22"/>
          <w:szCs w:val="22"/>
        </w:rPr>
      </w:pPr>
      <w:r w:rsidRPr="00745B87">
        <w:rPr>
          <w:sz w:val="22"/>
          <w:szCs w:val="22"/>
        </w:rPr>
        <w:t>Pursuant to the terms of an Equity Purchase Agreement, Concept will acquire 100% of the outstanding membership interests of Hyak and will then insert a holding company, Hyak Oregon Holdings, LLC (Hyak Holdings)</w:t>
      </w:r>
      <w:r w:rsidR="00ED685F">
        <w:rPr>
          <w:sz w:val="22"/>
          <w:szCs w:val="22"/>
        </w:rPr>
        <w:t>,</w:t>
      </w:r>
      <w:r w:rsidRPr="00745B87">
        <w:rPr>
          <w:sz w:val="22"/>
          <w:szCs w:val="22"/>
        </w:rPr>
        <w:t xml:space="preserve"> between Concept and Hyak</w:t>
      </w:r>
      <w:r w:rsidRPr="00745B87" w:rsidR="00264344">
        <w:rPr>
          <w:sz w:val="22"/>
          <w:szCs w:val="22"/>
        </w:rPr>
        <w:t>.</w:t>
      </w:r>
      <w:r>
        <w:rPr>
          <w:rStyle w:val="FootnoteReference"/>
          <w:sz w:val="22"/>
          <w:szCs w:val="22"/>
        </w:rPr>
        <w:footnoteReference w:id="14"/>
      </w:r>
      <w:r w:rsidRPr="00745B87">
        <w:rPr>
          <w:sz w:val="22"/>
          <w:szCs w:val="22"/>
        </w:rPr>
        <w:t xml:space="preserve">  The Applicants state</w:t>
      </w:r>
      <w:r w:rsidRPr="00745B87" w:rsidR="006F3B85">
        <w:rPr>
          <w:sz w:val="22"/>
          <w:szCs w:val="22"/>
        </w:rPr>
        <w:t xml:space="preserve"> that</w:t>
      </w:r>
      <w:r w:rsidRPr="00745B87">
        <w:rPr>
          <w:sz w:val="22"/>
          <w:szCs w:val="22"/>
        </w:rPr>
        <w:t>, as a result of the proposed transaction, Hyak will become a wholly</w:t>
      </w:r>
      <w:r w:rsidRPr="00745B87" w:rsidR="00E858A5">
        <w:rPr>
          <w:sz w:val="22"/>
          <w:szCs w:val="22"/>
        </w:rPr>
        <w:t>-</w:t>
      </w:r>
      <w:r w:rsidRPr="00745B87">
        <w:rPr>
          <w:sz w:val="22"/>
          <w:szCs w:val="22"/>
        </w:rPr>
        <w:t>owned subsidiary of Hyak Holdings and an indirect, wholly</w:t>
      </w:r>
      <w:r w:rsidRPr="00745B87" w:rsidR="00E065E2">
        <w:rPr>
          <w:sz w:val="22"/>
          <w:szCs w:val="22"/>
        </w:rPr>
        <w:t>-</w:t>
      </w:r>
      <w:r w:rsidRPr="00745B87">
        <w:rPr>
          <w:sz w:val="22"/>
          <w:szCs w:val="22"/>
        </w:rPr>
        <w:t>owned subsidiary of Concept, and Concept will indirectly control Hyak.</w:t>
      </w:r>
      <w:r>
        <w:rPr>
          <w:rStyle w:val="FootnoteReference"/>
          <w:sz w:val="22"/>
          <w:szCs w:val="22"/>
        </w:rPr>
        <w:footnoteReference w:id="15"/>
      </w:r>
      <w:r w:rsidRPr="00745B87">
        <w:rPr>
          <w:sz w:val="22"/>
          <w:szCs w:val="22"/>
        </w:rPr>
        <w:t xml:space="preserve"> </w:t>
      </w:r>
      <w:r w:rsidRPr="00745B87" w:rsidR="00BB7CD6">
        <w:rPr>
          <w:sz w:val="22"/>
          <w:szCs w:val="22"/>
        </w:rPr>
        <w:t xml:space="preserve"> </w:t>
      </w:r>
      <w:r w:rsidRPr="00745B87">
        <w:rPr>
          <w:sz w:val="22"/>
          <w:szCs w:val="22"/>
        </w:rPr>
        <w:t xml:space="preserve">Moreover, Concept will seek to optimize Hyak’s existing assets to </w:t>
      </w:r>
      <w:r w:rsidRPr="00745B87" w:rsidR="006B12C5">
        <w:rPr>
          <w:sz w:val="22"/>
          <w:szCs w:val="22"/>
        </w:rPr>
        <w:t>support investment in new infrastructure and to continue offering innovative and high-quality services to customers.</w:t>
      </w:r>
      <w:r>
        <w:rPr>
          <w:rStyle w:val="FootnoteReference"/>
          <w:sz w:val="22"/>
          <w:szCs w:val="22"/>
        </w:rPr>
        <w:footnoteReference w:id="16"/>
      </w:r>
    </w:p>
    <w:p w:rsidR="006815F2" w:rsidRPr="00745B87" w:rsidP="00021FCD" w14:paraId="56779342" w14:textId="71AE1083">
      <w:pPr>
        <w:autoSpaceDE w:val="0"/>
        <w:autoSpaceDN w:val="0"/>
        <w:adjustRightInd w:val="0"/>
        <w:spacing w:before="120" w:after="120"/>
        <w:ind w:firstLine="720"/>
        <w:rPr>
          <w:sz w:val="22"/>
          <w:szCs w:val="22"/>
        </w:rPr>
      </w:pPr>
      <w:r w:rsidRPr="008F242E">
        <w:rPr>
          <w:sz w:val="22"/>
          <w:szCs w:val="22"/>
        </w:rPr>
        <w:t>Applicants assert that a grant of the Application would serve the public interest, convenience, and necessity.</w:t>
      </w:r>
      <w:r>
        <w:rPr>
          <w:sz w:val="22"/>
          <w:szCs w:val="22"/>
          <w:vertAlign w:val="superscript"/>
        </w:rPr>
        <w:footnoteReference w:id="17"/>
      </w:r>
      <w:r w:rsidRPr="008F242E">
        <w:rPr>
          <w:sz w:val="22"/>
          <w:szCs w:val="22"/>
        </w:rPr>
        <w:t xml:space="preserve"> </w:t>
      </w:r>
    </w:p>
    <w:p w:rsidR="005B39B0" w:rsidRPr="005B39B0" w:rsidP="00917EA3" w14:paraId="2CD19F31" w14:textId="77777777">
      <w:pPr>
        <w:keepNext/>
        <w:keepLines/>
        <w:autoSpaceDE w:val="0"/>
        <w:autoSpaceDN w:val="0"/>
        <w:adjustRightInd w:val="0"/>
        <w:spacing w:before="120" w:after="120"/>
        <w:ind w:firstLine="720"/>
        <w:rPr>
          <w:b/>
          <w:bCs/>
          <w:sz w:val="22"/>
          <w:szCs w:val="22"/>
          <w:u w:val="single"/>
        </w:rPr>
      </w:pPr>
      <w:r w:rsidRPr="005B39B0">
        <w:rPr>
          <w:b/>
          <w:bCs/>
          <w:sz w:val="22"/>
          <w:szCs w:val="22"/>
          <w:u w:val="single"/>
        </w:rPr>
        <w:t>Discussion</w:t>
      </w:r>
    </w:p>
    <w:p w:rsidR="005B39B0" w:rsidRPr="005B39B0" w:rsidP="00917EA3" w14:paraId="00D4F8C4" w14:textId="77777777">
      <w:pPr>
        <w:keepNext/>
        <w:keepLines/>
        <w:autoSpaceDE w:val="0"/>
        <w:autoSpaceDN w:val="0"/>
        <w:adjustRightInd w:val="0"/>
        <w:spacing w:before="120" w:after="120"/>
        <w:ind w:firstLine="720"/>
        <w:rPr>
          <w:bCs/>
          <w:sz w:val="22"/>
          <w:szCs w:val="22"/>
        </w:rPr>
      </w:pPr>
      <w:r w:rsidRPr="005B39B0">
        <w:rPr>
          <w:sz w:val="22"/>
          <w:szCs w:val="22"/>
        </w:rPr>
        <w:t>We</w:t>
      </w:r>
      <w:r w:rsidRPr="005B39B0">
        <w:rPr>
          <w:bCs/>
          <w:sz w:val="22"/>
          <w:szCs w:val="22"/>
        </w:rPr>
        <w:t xml:space="preserve"> find, upon consideration of the record, that a grant of the Application will serve the public interest, convenience, and necessity.  To make this determination under Commission precedent, we consider whether the proposed transaction could result in public interest harms by substantially frustrating or impairing the objectives or implementation of the Act or related statutes.</w:t>
      </w:r>
      <w:r>
        <w:rPr>
          <w:bCs/>
          <w:sz w:val="22"/>
          <w:szCs w:val="22"/>
          <w:vertAlign w:val="superscript"/>
        </w:rPr>
        <w:footnoteReference w:id="18"/>
      </w:r>
      <w:r w:rsidRPr="005B39B0">
        <w:rPr>
          <w:bCs/>
          <w:sz w:val="22"/>
          <w:szCs w:val="22"/>
        </w:rPr>
        <w:t xml:space="preserve">  We then employ a balancing test weighing any potential public interest harms of the proposed transaction against any potential public interest benefits.</w:t>
      </w:r>
      <w:r>
        <w:rPr>
          <w:bCs/>
          <w:sz w:val="22"/>
          <w:szCs w:val="22"/>
          <w:vertAlign w:val="superscript"/>
        </w:rPr>
        <w:footnoteReference w:id="19"/>
      </w:r>
      <w:r w:rsidRPr="005B39B0">
        <w:rPr>
          <w:bCs/>
          <w:sz w:val="22"/>
          <w:szCs w:val="22"/>
        </w:rPr>
        <w:t xml:space="preserve">  The Applicants bear the burden of proving, by a preponderance of the evidence, that the proposed transaction, on balance, serves the public interest.</w:t>
      </w:r>
      <w:r>
        <w:rPr>
          <w:bCs/>
          <w:sz w:val="22"/>
          <w:szCs w:val="22"/>
          <w:vertAlign w:val="superscript"/>
        </w:rPr>
        <w:footnoteReference w:id="20"/>
      </w:r>
    </w:p>
    <w:p w:rsidR="005B39B0" w:rsidRPr="005B39B0" w:rsidP="00021FCD" w14:paraId="05582224" w14:textId="37C998D1">
      <w:pPr>
        <w:autoSpaceDE w:val="0"/>
        <w:autoSpaceDN w:val="0"/>
        <w:adjustRightInd w:val="0"/>
        <w:spacing w:before="120" w:after="120"/>
        <w:ind w:firstLine="720"/>
        <w:rPr>
          <w:bCs/>
          <w:sz w:val="22"/>
          <w:szCs w:val="22"/>
        </w:rPr>
      </w:pPr>
      <w:r w:rsidRPr="005B39B0">
        <w:rPr>
          <w:bCs/>
          <w:sz w:val="22"/>
          <w:szCs w:val="22"/>
        </w:rPr>
        <w:t xml:space="preserve">We find that there are no potential public interest harms identified in the record.  First, the proposed transaction will not result in a significant reduction of competition.  </w:t>
      </w:r>
      <w:r w:rsidR="00524768">
        <w:rPr>
          <w:bCs/>
          <w:sz w:val="22"/>
          <w:szCs w:val="22"/>
        </w:rPr>
        <w:t>N</w:t>
      </w:r>
      <w:r w:rsidRPr="00603315" w:rsidR="00603315">
        <w:rPr>
          <w:bCs/>
          <w:sz w:val="22"/>
          <w:szCs w:val="22"/>
        </w:rPr>
        <w:t>either Concept nor any of its affiliates or subsidiaries provides telecommunications services in Oregon</w:t>
      </w:r>
      <w:r w:rsidR="00087B24">
        <w:rPr>
          <w:bCs/>
          <w:sz w:val="22"/>
          <w:szCs w:val="22"/>
        </w:rPr>
        <w:t>.</w:t>
      </w:r>
      <w:r>
        <w:rPr>
          <w:bCs/>
          <w:sz w:val="22"/>
          <w:szCs w:val="22"/>
          <w:vertAlign w:val="superscript"/>
        </w:rPr>
        <w:footnoteReference w:id="21"/>
      </w:r>
      <w:r w:rsidR="0069095F">
        <w:rPr>
          <w:bCs/>
          <w:sz w:val="22"/>
          <w:szCs w:val="22"/>
        </w:rPr>
        <w:t xml:space="preserve"> </w:t>
      </w:r>
      <w:r w:rsidRPr="00A72B77" w:rsidR="007639AB">
        <w:rPr>
          <w:bCs/>
          <w:sz w:val="22"/>
          <w:szCs w:val="22"/>
        </w:rPr>
        <w:t>T</w:t>
      </w:r>
      <w:r w:rsidR="00512CE7">
        <w:rPr>
          <w:bCs/>
          <w:sz w:val="22"/>
          <w:szCs w:val="22"/>
        </w:rPr>
        <w:t>hus, t</w:t>
      </w:r>
      <w:r w:rsidRPr="005B39B0">
        <w:rPr>
          <w:bCs/>
          <w:sz w:val="22"/>
          <w:szCs w:val="22"/>
        </w:rPr>
        <w:t>here will be no physical overlap or reduction in service providers in any markets as a result of the transaction</w:t>
      </w:r>
      <w:r w:rsidRPr="00A72B77" w:rsidR="00A826EE">
        <w:rPr>
          <w:bCs/>
          <w:sz w:val="22"/>
          <w:szCs w:val="22"/>
        </w:rPr>
        <w:t xml:space="preserve">. </w:t>
      </w:r>
      <w:r w:rsidRPr="005B39B0">
        <w:rPr>
          <w:bCs/>
          <w:sz w:val="22"/>
          <w:szCs w:val="22"/>
        </w:rPr>
        <w:t xml:space="preserve"> Applicants state further that </w:t>
      </w:r>
      <w:r w:rsidRPr="00A72B77" w:rsidR="000C7D3D">
        <w:rPr>
          <w:bCs/>
          <w:sz w:val="22"/>
          <w:szCs w:val="22"/>
        </w:rPr>
        <w:t>Concept</w:t>
      </w:r>
      <w:r w:rsidRPr="00A72B77" w:rsidR="003B0D22">
        <w:rPr>
          <w:bCs/>
          <w:sz w:val="22"/>
          <w:szCs w:val="22"/>
        </w:rPr>
        <w:t xml:space="preserve"> “</w:t>
      </w:r>
      <w:r w:rsidRPr="005B39B0">
        <w:rPr>
          <w:bCs/>
          <w:sz w:val="22"/>
          <w:szCs w:val="22"/>
        </w:rPr>
        <w:t>will</w:t>
      </w:r>
      <w:r w:rsidRPr="00A72B77" w:rsidR="003B0D22">
        <w:rPr>
          <w:bCs/>
          <w:sz w:val="22"/>
          <w:szCs w:val="22"/>
        </w:rPr>
        <w:t xml:space="preserve"> seek to optimize Hyak’s existing assets to </w:t>
      </w:r>
      <w:r w:rsidRPr="00A72B77" w:rsidR="00153208">
        <w:rPr>
          <w:bCs/>
          <w:sz w:val="22"/>
          <w:szCs w:val="22"/>
        </w:rPr>
        <w:t xml:space="preserve">support investment in new infrastructure and </w:t>
      </w:r>
      <w:r w:rsidRPr="00A72B77" w:rsidR="00A72B77">
        <w:rPr>
          <w:bCs/>
          <w:sz w:val="22"/>
          <w:szCs w:val="22"/>
        </w:rPr>
        <w:t xml:space="preserve">continue </w:t>
      </w:r>
      <w:r w:rsidRPr="00A72B77" w:rsidR="00153208">
        <w:rPr>
          <w:bCs/>
          <w:sz w:val="22"/>
          <w:szCs w:val="22"/>
        </w:rPr>
        <w:t>offering innovative and high-quality</w:t>
      </w:r>
      <w:r w:rsidRPr="00A72B77" w:rsidR="00F245FC">
        <w:rPr>
          <w:bCs/>
          <w:sz w:val="22"/>
          <w:szCs w:val="22"/>
        </w:rPr>
        <w:t xml:space="preserve"> services to Hyak’s business and residential customers</w:t>
      </w:r>
      <w:r w:rsidR="009A4EDB">
        <w:rPr>
          <w:bCs/>
          <w:sz w:val="22"/>
          <w:szCs w:val="22"/>
        </w:rPr>
        <w:t>,</w:t>
      </w:r>
      <w:r w:rsidRPr="00A72B77" w:rsidR="00A72B77">
        <w:rPr>
          <w:bCs/>
          <w:sz w:val="22"/>
          <w:szCs w:val="22"/>
        </w:rPr>
        <w:t>”</w:t>
      </w:r>
      <w:r>
        <w:rPr>
          <w:bCs/>
          <w:sz w:val="22"/>
          <w:szCs w:val="22"/>
          <w:vertAlign w:val="superscript"/>
        </w:rPr>
        <w:footnoteReference w:id="22"/>
      </w:r>
      <w:r w:rsidRPr="005B39B0">
        <w:rPr>
          <w:bCs/>
          <w:sz w:val="22"/>
          <w:szCs w:val="22"/>
        </w:rPr>
        <w:t xml:space="preserve"> and we thus expect no potential harm to existing customers to result from the transaction.</w:t>
      </w:r>
    </w:p>
    <w:p w:rsidR="005B39B0" w:rsidRPr="005B39B0" w:rsidP="00F73653" w14:paraId="212275A1" w14:textId="60B3560F">
      <w:pPr>
        <w:autoSpaceDE w:val="0"/>
        <w:autoSpaceDN w:val="0"/>
        <w:adjustRightInd w:val="0"/>
        <w:spacing w:before="120" w:after="120"/>
        <w:ind w:firstLine="720"/>
        <w:rPr>
          <w:bCs/>
          <w:sz w:val="22"/>
          <w:szCs w:val="22"/>
          <w:highlight w:val="yellow"/>
        </w:rPr>
      </w:pPr>
      <w:r w:rsidRPr="005B39B0">
        <w:rPr>
          <w:bCs/>
          <w:sz w:val="22"/>
          <w:szCs w:val="22"/>
        </w:rPr>
        <w:t xml:space="preserve">Second, </w:t>
      </w:r>
      <w:r w:rsidR="00A72B77">
        <w:rPr>
          <w:bCs/>
          <w:sz w:val="22"/>
          <w:szCs w:val="22"/>
        </w:rPr>
        <w:t>Concept</w:t>
      </w:r>
      <w:r w:rsidRPr="005B39B0">
        <w:rPr>
          <w:bCs/>
          <w:sz w:val="22"/>
          <w:szCs w:val="22"/>
        </w:rPr>
        <w:t xml:space="preserve"> remain</w:t>
      </w:r>
      <w:r w:rsidR="00A72B77">
        <w:rPr>
          <w:bCs/>
          <w:sz w:val="22"/>
          <w:szCs w:val="22"/>
        </w:rPr>
        <w:t>s</w:t>
      </w:r>
      <w:r w:rsidRPr="005B39B0">
        <w:rPr>
          <w:bCs/>
          <w:sz w:val="22"/>
          <w:szCs w:val="22"/>
        </w:rPr>
        <w:t xml:space="preserve"> financially, managerially, and technically obligated to meet all public interest and performance obligations associated with the receipt of RDOF funding in accordance with the Commission’s pre-transaction approval of its qualifications, and we expect that the proposed transaction will not negatively impact these obligations.  Indeed, Applicants assert </w:t>
      </w:r>
      <w:r w:rsidR="00007E1F">
        <w:rPr>
          <w:bCs/>
          <w:sz w:val="22"/>
          <w:szCs w:val="22"/>
        </w:rPr>
        <w:t xml:space="preserve">the transaction </w:t>
      </w:r>
      <w:r w:rsidR="001533E9">
        <w:rPr>
          <w:bCs/>
          <w:sz w:val="22"/>
          <w:szCs w:val="22"/>
        </w:rPr>
        <w:t>will</w:t>
      </w:r>
      <w:r w:rsidR="00007E1F">
        <w:rPr>
          <w:bCs/>
          <w:sz w:val="22"/>
          <w:szCs w:val="22"/>
        </w:rPr>
        <w:t xml:space="preserve"> actually</w:t>
      </w:r>
      <w:r w:rsidR="001533E9">
        <w:rPr>
          <w:bCs/>
          <w:sz w:val="22"/>
          <w:szCs w:val="22"/>
        </w:rPr>
        <w:t xml:space="preserve"> “enhance Hyak’s ability to</w:t>
      </w:r>
      <w:r w:rsidR="00F108FE">
        <w:rPr>
          <w:bCs/>
          <w:sz w:val="22"/>
          <w:szCs w:val="22"/>
        </w:rPr>
        <w:t xml:space="preserve"> meet its RDOF support and public interest obligatio</w:t>
      </w:r>
      <w:r w:rsidR="00A41BEA">
        <w:rPr>
          <w:bCs/>
          <w:sz w:val="22"/>
          <w:szCs w:val="22"/>
        </w:rPr>
        <w:t>ns”</w:t>
      </w:r>
      <w:r w:rsidR="005D2E07">
        <w:rPr>
          <w:bCs/>
          <w:sz w:val="22"/>
          <w:szCs w:val="22"/>
        </w:rPr>
        <w:t xml:space="preserve"> by providing access to additional </w:t>
      </w:r>
      <w:r w:rsidR="00AA4867">
        <w:rPr>
          <w:bCs/>
          <w:sz w:val="22"/>
          <w:szCs w:val="22"/>
        </w:rPr>
        <w:t>capital and “</w:t>
      </w:r>
      <w:r w:rsidR="005D2E07">
        <w:rPr>
          <w:bCs/>
          <w:sz w:val="22"/>
          <w:szCs w:val="22"/>
        </w:rPr>
        <w:t>financial, technical, and operational expert</w:t>
      </w:r>
      <w:r w:rsidR="000D3451">
        <w:rPr>
          <w:bCs/>
          <w:sz w:val="22"/>
          <w:szCs w:val="22"/>
        </w:rPr>
        <w:t xml:space="preserve">ise to support and </w:t>
      </w:r>
      <w:r w:rsidR="000D3451">
        <w:rPr>
          <w:bCs/>
          <w:sz w:val="22"/>
          <w:szCs w:val="22"/>
        </w:rPr>
        <w:t>accelerate</w:t>
      </w:r>
      <w:r w:rsidR="00401926">
        <w:rPr>
          <w:bCs/>
          <w:sz w:val="22"/>
          <w:szCs w:val="22"/>
        </w:rPr>
        <w:t>”</w:t>
      </w:r>
      <w:r w:rsidR="000D3451">
        <w:rPr>
          <w:bCs/>
          <w:sz w:val="22"/>
          <w:szCs w:val="22"/>
        </w:rPr>
        <w:t xml:space="preserve"> Hyak’s RDOF </w:t>
      </w:r>
      <w:r w:rsidRPr="005C5D8F" w:rsidR="000D3451">
        <w:rPr>
          <w:bCs/>
          <w:sz w:val="22"/>
          <w:szCs w:val="22"/>
        </w:rPr>
        <w:t>service</w:t>
      </w:r>
      <w:r w:rsidR="00CD5174">
        <w:rPr>
          <w:bCs/>
          <w:sz w:val="22"/>
          <w:szCs w:val="22"/>
        </w:rPr>
        <w:t xml:space="preserve"> obligations</w:t>
      </w:r>
      <w:r w:rsidRPr="005C5D8F" w:rsidR="000D3451">
        <w:rPr>
          <w:bCs/>
          <w:sz w:val="22"/>
          <w:szCs w:val="22"/>
        </w:rPr>
        <w:t>.</w:t>
      </w:r>
      <w:r>
        <w:rPr>
          <w:rStyle w:val="FootnoteReference"/>
          <w:bCs/>
          <w:sz w:val="22"/>
          <w:szCs w:val="22"/>
        </w:rPr>
        <w:footnoteReference w:id="23"/>
      </w:r>
      <w:r w:rsidRPr="005C5D8F" w:rsidR="00F73653">
        <w:rPr>
          <w:bCs/>
          <w:sz w:val="22"/>
          <w:szCs w:val="22"/>
        </w:rPr>
        <w:t xml:space="preserve">  </w:t>
      </w:r>
      <w:r w:rsidRPr="005B39B0">
        <w:rPr>
          <w:bCs/>
          <w:sz w:val="22"/>
          <w:szCs w:val="22"/>
        </w:rPr>
        <w:t xml:space="preserve">Applicants </w:t>
      </w:r>
      <w:r w:rsidR="005361EA">
        <w:rPr>
          <w:bCs/>
          <w:sz w:val="22"/>
          <w:szCs w:val="22"/>
        </w:rPr>
        <w:t>confirm</w:t>
      </w:r>
      <w:r w:rsidRPr="005B39B0">
        <w:rPr>
          <w:bCs/>
          <w:sz w:val="22"/>
          <w:szCs w:val="22"/>
        </w:rPr>
        <w:t xml:space="preserve"> that the proposed transaction </w:t>
      </w:r>
      <w:r w:rsidRPr="009B4733" w:rsidR="009B4733">
        <w:rPr>
          <w:bCs/>
          <w:sz w:val="22"/>
          <w:szCs w:val="22"/>
        </w:rPr>
        <w:t>does not involve any changes to Hyak that will compromise its ability to meet its service obligations.</w:t>
      </w:r>
      <w:r>
        <w:rPr>
          <w:bCs/>
          <w:sz w:val="22"/>
          <w:szCs w:val="22"/>
          <w:vertAlign w:val="superscript"/>
        </w:rPr>
        <w:footnoteReference w:id="24"/>
      </w:r>
      <w:r w:rsidRPr="009B4733" w:rsidR="009B4733">
        <w:rPr>
          <w:bCs/>
          <w:sz w:val="22"/>
          <w:szCs w:val="22"/>
        </w:rPr>
        <w:t xml:space="preserve">  </w:t>
      </w:r>
      <w:r w:rsidR="009B4733">
        <w:rPr>
          <w:bCs/>
          <w:sz w:val="22"/>
          <w:szCs w:val="22"/>
        </w:rPr>
        <w:t xml:space="preserve">Specifically, the proposed transaction </w:t>
      </w:r>
      <w:r w:rsidRPr="005B39B0">
        <w:rPr>
          <w:bCs/>
          <w:sz w:val="22"/>
          <w:szCs w:val="22"/>
        </w:rPr>
        <w:t xml:space="preserve">will not affect </w:t>
      </w:r>
      <w:r w:rsidRPr="00CD5174" w:rsidR="001A4FC9">
        <w:rPr>
          <w:bCs/>
          <w:sz w:val="22"/>
          <w:szCs w:val="22"/>
        </w:rPr>
        <w:t>Hyak’s</w:t>
      </w:r>
      <w:r w:rsidRPr="005B39B0">
        <w:rPr>
          <w:bCs/>
          <w:sz w:val="22"/>
          <w:szCs w:val="22"/>
        </w:rPr>
        <w:t xml:space="preserve"> deployment plans</w:t>
      </w:r>
      <w:r w:rsidRPr="00CD5174" w:rsidR="002B3BAC">
        <w:rPr>
          <w:bCs/>
          <w:sz w:val="22"/>
          <w:szCs w:val="22"/>
        </w:rPr>
        <w:t>, existing technology, or management of Hyak following completion of the transition</w:t>
      </w:r>
      <w:r w:rsidR="009B4733">
        <w:rPr>
          <w:bCs/>
          <w:sz w:val="22"/>
          <w:szCs w:val="22"/>
        </w:rPr>
        <w:t>.</w:t>
      </w:r>
      <w:r>
        <w:rPr>
          <w:bCs/>
          <w:sz w:val="22"/>
          <w:szCs w:val="22"/>
          <w:vertAlign w:val="superscript"/>
        </w:rPr>
        <w:footnoteReference w:id="25"/>
      </w:r>
      <w:r w:rsidRPr="00CD5174" w:rsidR="002B3BAC">
        <w:rPr>
          <w:bCs/>
          <w:sz w:val="22"/>
          <w:szCs w:val="22"/>
        </w:rPr>
        <w:t xml:space="preserve">  </w:t>
      </w:r>
      <w:r w:rsidRPr="005B39B0">
        <w:rPr>
          <w:bCs/>
          <w:sz w:val="22"/>
          <w:szCs w:val="22"/>
        </w:rPr>
        <w:t xml:space="preserve">Applicants </w:t>
      </w:r>
      <w:r w:rsidR="005361EA">
        <w:rPr>
          <w:bCs/>
          <w:sz w:val="22"/>
          <w:szCs w:val="22"/>
        </w:rPr>
        <w:t>state</w:t>
      </w:r>
      <w:r w:rsidRPr="00CD5174" w:rsidR="00CE2EB0">
        <w:rPr>
          <w:bCs/>
          <w:sz w:val="22"/>
          <w:szCs w:val="22"/>
        </w:rPr>
        <w:t xml:space="preserve"> that </w:t>
      </w:r>
      <w:r w:rsidR="00F21CED">
        <w:rPr>
          <w:bCs/>
          <w:sz w:val="22"/>
          <w:szCs w:val="22"/>
        </w:rPr>
        <w:t>Hyak’s</w:t>
      </w:r>
      <w:r w:rsidRPr="00CD5174" w:rsidR="00F21CED">
        <w:rPr>
          <w:bCs/>
          <w:sz w:val="22"/>
          <w:szCs w:val="22"/>
        </w:rPr>
        <w:t xml:space="preserve"> </w:t>
      </w:r>
      <w:r w:rsidRPr="00CD5174" w:rsidR="00CE2EB0">
        <w:rPr>
          <w:bCs/>
          <w:sz w:val="22"/>
          <w:szCs w:val="22"/>
        </w:rPr>
        <w:t>existing debt</w:t>
      </w:r>
      <w:r w:rsidR="00F21CED">
        <w:rPr>
          <w:bCs/>
          <w:sz w:val="22"/>
          <w:szCs w:val="22"/>
        </w:rPr>
        <w:t xml:space="preserve">, other than its </w:t>
      </w:r>
      <w:r w:rsidRPr="00CD5174" w:rsidR="00F21CED">
        <w:rPr>
          <w:bCs/>
          <w:sz w:val="22"/>
          <w:szCs w:val="22"/>
        </w:rPr>
        <w:t>USDA Reconnect loan obtained in the second half of 2022</w:t>
      </w:r>
      <w:r w:rsidR="00F21CED">
        <w:rPr>
          <w:bCs/>
          <w:sz w:val="22"/>
          <w:szCs w:val="22"/>
        </w:rPr>
        <w:t>,</w:t>
      </w:r>
      <w:r w:rsidRPr="00CD5174" w:rsidR="00CE2EB0">
        <w:rPr>
          <w:bCs/>
          <w:sz w:val="22"/>
          <w:szCs w:val="22"/>
        </w:rPr>
        <w:t xml:space="preserve"> will be paid off at closing</w:t>
      </w:r>
      <w:r w:rsidR="00CD5174">
        <w:rPr>
          <w:bCs/>
          <w:sz w:val="22"/>
          <w:szCs w:val="22"/>
        </w:rPr>
        <w:t>.</w:t>
      </w:r>
      <w:r>
        <w:rPr>
          <w:bCs/>
          <w:sz w:val="22"/>
          <w:szCs w:val="22"/>
          <w:vertAlign w:val="superscript"/>
        </w:rPr>
        <w:footnoteReference w:id="26"/>
      </w:r>
      <w:r w:rsidRPr="005B39B0">
        <w:rPr>
          <w:bCs/>
          <w:sz w:val="22"/>
          <w:szCs w:val="22"/>
        </w:rPr>
        <w:t xml:space="preserve">  </w:t>
      </w:r>
      <w:r w:rsidR="005361EA">
        <w:rPr>
          <w:bCs/>
          <w:sz w:val="22"/>
          <w:szCs w:val="22"/>
        </w:rPr>
        <w:t xml:space="preserve">Applicants </w:t>
      </w:r>
      <w:r w:rsidR="00DA5476">
        <w:rPr>
          <w:bCs/>
          <w:sz w:val="22"/>
          <w:szCs w:val="22"/>
        </w:rPr>
        <w:t xml:space="preserve">also confirm that all RDOF funding </w:t>
      </w:r>
      <w:r w:rsidR="00063C8B">
        <w:rPr>
          <w:bCs/>
          <w:sz w:val="22"/>
          <w:szCs w:val="22"/>
        </w:rPr>
        <w:t xml:space="preserve">and </w:t>
      </w:r>
      <w:r w:rsidR="00DA5476">
        <w:rPr>
          <w:bCs/>
          <w:sz w:val="22"/>
          <w:szCs w:val="22"/>
        </w:rPr>
        <w:t>any related assets “will remain with Hyak</w:t>
      </w:r>
      <w:r w:rsidR="00D656BA">
        <w:rPr>
          <w:bCs/>
          <w:sz w:val="22"/>
          <w:szCs w:val="22"/>
        </w:rPr>
        <w:t xml:space="preserve"> following completion of the proposed transaction</w:t>
      </w:r>
      <w:r w:rsidR="009323C9">
        <w:rPr>
          <w:bCs/>
          <w:sz w:val="22"/>
          <w:szCs w:val="22"/>
        </w:rPr>
        <w:t>” and “are, and will continue to be, used for the provision of covered services by Hyak.”</w:t>
      </w:r>
      <w:r>
        <w:rPr>
          <w:rStyle w:val="FootnoteReference"/>
          <w:bCs/>
          <w:sz w:val="22"/>
          <w:szCs w:val="22"/>
        </w:rPr>
        <w:footnoteReference w:id="27"/>
      </w:r>
      <w:r w:rsidR="009323C9">
        <w:rPr>
          <w:bCs/>
          <w:sz w:val="22"/>
          <w:szCs w:val="22"/>
        </w:rPr>
        <w:t xml:space="preserve">  </w:t>
      </w:r>
      <w:r w:rsidR="00EA6D02">
        <w:rPr>
          <w:bCs/>
          <w:sz w:val="22"/>
          <w:szCs w:val="22"/>
        </w:rPr>
        <w:t>Applicants further state that Hyak is expected to meet its buildout</w:t>
      </w:r>
      <w:r w:rsidR="00C93AB7">
        <w:rPr>
          <w:bCs/>
          <w:sz w:val="22"/>
          <w:szCs w:val="22"/>
        </w:rPr>
        <w:t xml:space="preserve"> obligations under RDOF and </w:t>
      </w:r>
      <w:r w:rsidR="00251665">
        <w:rPr>
          <w:bCs/>
          <w:sz w:val="22"/>
          <w:szCs w:val="22"/>
        </w:rPr>
        <w:t xml:space="preserve">that </w:t>
      </w:r>
      <w:r w:rsidR="00C93AB7">
        <w:rPr>
          <w:bCs/>
          <w:sz w:val="22"/>
          <w:szCs w:val="22"/>
        </w:rPr>
        <w:t>if “Hyak fails to satisfy any support recovery</w:t>
      </w:r>
      <w:r w:rsidR="00F637CC">
        <w:rPr>
          <w:bCs/>
          <w:sz w:val="22"/>
          <w:szCs w:val="22"/>
        </w:rPr>
        <w:t xml:space="preserve"> obligations imposed by a final, non-appealable order, [Concept] will</w:t>
      </w:r>
      <w:r w:rsidR="00371923">
        <w:rPr>
          <w:bCs/>
          <w:sz w:val="22"/>
          <w:szCs w:val="22"/>
        </w:rPr>
        <w:t xml:space="preserve"> be Hyak’s direct parent and will ensure those obligations are met</w:t>
      </w:r>
      <w:r w:rsidR="00752480">
        <w:rPr>
          <w:bCs/>
          <w:sz w:val="22"/>
          <w:szCs w:val="22"/>
        </w:rPr>
        <w:t>, conditional upon any required regulatory approvals</w:t>
      </w:r>
      <w:r w:rsidR="00F637CC">
        <w:rPr>
          <w:bCs/>
          <w:sz w:val="22"/>
          <w:szCs w:val="22"/>
        </w:rPr>
        <w:t>.</w:t>
      </w:r>
      <w:r w:rsidR="009A4EDB">
        <w:rPr>
          <w:bCs/>
          <w:sz w:val="22"/>
          <w:szCs w:val="22"/>
        </w:rPr>
        <w:t>”</w:t>
      </w:r>
      <w:r>
        <w:rPr>
          <w:rStyle w:val="FootnoteReference"/>
          <w:bCs/>
          <w:sz w:val="22"/>
          <w:szCs w:val="22"/>
        </w:rPr>
        <w:footnoteReference w:id="28"/>
      </w:r>
      <w:r w:rsidR="00F637CC">
        <w:rPr>
          <w:bCs/>
          <w:sz w:val="22"/>
          <w:szCs w:val="22"/>
        </w:rPr>
        <w:t xml:space="preserve">  </w:t>
      </w:r>
      <w:r w:rsidRPr="005B39B0">
        <w:rPr>
          <w:bCs/>
          <w:sz w:val="22"/>
          <w:szCs w:val="22"/>
        </w:rPr>
        <w:t>Overall, we conclude that the record in this proceeding does not support a finding of a public interest harm.</w:t>
      </w:r>
    </w:p>
    <w:p w:rsidR="005B39B0" w:rsidRPr="005B39B0" w:rsidP="00021FCD" w14:paraId="42076974" w14:textId="77777777">
      <w:pPr>
        <w:autoSpaceDE w:val="0"/>
        <w:autoSpaceDN w:val="0"/>
        <w:adjustRightInd w:val="0"/>
        <w:spacing w:before="120" w:after="120"/>
        <w:ind w:firstLine="720"/>
        <w:rPr>
          <w:bCs/>
          <w:sz w:val="22"/>
          <w:szCs w:val="22"/>
        </w:rPr>
      </w:pPr>
      <w:r w:rsidRPr="005B39B0">
        <w:rPr>
          <w:bCs/>
          <w:sz w:val="22"/>
          <w:szCs w:val="22"/>
        </w:rPr>
        <w:t>We next consider whether the proposed transaction is likely to generate verifiable, transaction-specific public interest benefits.</w:t>
      </w:r>
      <w:r>
        <w:rPr>
          <w:bCs/>
          <w:sz w:val="22"/>
          <w:szCs w:val="22"/>
          <w:vertAlign w:val="superscript"/>
        </w:rPr>
        <w:footnoteReference w:id="29"/>
      </w:r>
      <w:r w:rsidRPr="005B39B0">
        <w:rPr>
          <w:bCs/>
          <w:sz w:val="22"/>
          <w:szCs w:val="22"/>
        </w:rPr>
        <w:t xml:space="preserve">  Applicants must provide evidence of a claimed benefit to allow the Commission to verify its likelihood and magnitude.</w:t>
      </w:r>
      <w:r>
        <w:rPr>
          <w:bCs/>
          <w:sz w:val="22"/>
          <w:szCs w:val="22"/>
          <w:vertAlign w:val="superscript"/>
        </w:rPr>
        <w:footnoteReference w:id="30"/>
      </w:r>
      <w:r w:rsidRPr="005B39B0">
        <w:rPr>
          <w:bCs/>
          <w:sz w:val="22"/>
          <w:szCs w:val="22"/>
        </w:rPr>
        <w:t xml:space="preserve">  Where potential harms appear unlikely, as is the case with the Application before us here, the Commission accepts a lesser degree of magnitude and likelihood than when harms are present.</w:t>
      </w:r>
      <w:r>
        <w:rPr>
          <w:bCs/>
          <w:sz w:val="22"/>
          <w:szCs w:val="22"/>
          <w:vertAlign w:val="superscript"/>
        </w:rPr>
        <w:footnoteReference w:id="31"/>
      </w:r>
      <w:r w:rsidRPr="005B39B0">
        <w:rPr>
          <w:bCs/>
          <w:sz w:val="22"/>
          <w:szCs w:val="22"/>
        </w:rPr>
        <w:t xml:space="preserve">  </w:t>
      </w:r>
    </w:p>
    <w:p w:rsidR="005B39B0" w:rsidRPr="005B39B0" w:rsidP="002B5DD4" w14:paraId="31655807" w14:textId="5189B538">
      <w:pPr>
        <w:autoSpaceDE w:val="0"/>
        <w:autoSpaceDN w:val="0"/>
        <w:adjustRightInd w:val="0"/>
        <w:spacing w:before="120" w:after="120"/>
        <w:ind w:firstLine="720"/>
        <w:rPr>
          <w:bCs/>
          <w:sz w:val="22"/>
          <w:szCs w:val="22"/>
          <w:highlight w:val="yellow"/>
        </w:rPr>
      </w:pPr>
      <w:r w:rsidRPr="005B39B0">
        <w:rPr>
          <w:bCs/>
          <w:sz w:val="22"/>
          <w:szCs w:val="22"/>
        </w:rPr>
        <w:t xml:space="preserve">Applicants claim that the proposed transaction will provide additional capital and managerial resources that </w:t>
      </w:r>
      <w:r w:rsidR="00793629">
        <w:rPr>
          <w:bCs/>
          <w:sz w:val="22"/>
          <w:szCs w:val="22"/>
        </w:rPr>
        <w:t>“</w:t>
      </w:r>
      <w:r w:rsidRPr="005B39B0">
        <w:rPr>
          <w:bCs/>
          <w:sz w:val="22"/>
          <w:szCs w:val="22"/>
        </w:rPr>
        <w:t xml:space="preserve">will </w:t>
      </w:r>
      <w:r w:rsidRPr="00AB0E00" w:rsidR="00AB0E00">
        <w:rPr>
          <w:bCs/>
          <w:sz w:val="22"/>
          <w:szCs w:val="22"/>
        </w:rPr>
        <w:t>support</w:t>
      </w:r>
      <w:r w:rsidRPr="005B39B0">
        <w:rPr>
          <w:bCs/>
          <w:sz w:val="22"/>
          <w:szCs w:val="22"/>
        </w:rPr>
        <w:t xml:space="preserve"> </w:t>
      </w:r>
      <w:r w:rsidRPr="00AB0E00" w:rsidR="00AB0E00">
        <w:rPr>
          <w:bCs/>
          <w:sz w:val="22"/>
          <w:szCs w:val="22"/>
        </w:rPr>
        <w:t>investment in new infrastructure</w:t>
      </w:r>
      <w:r w:rsidR="00C0722E">
        <w:rPr>
          <w:bCs/>
          <w:sz w:val="22"/>
          <w:szCs w:val="22"/>
        </w:rPr>
        <w:t>”</w:t>
      </w:r>
      <w:r w:rsidRPr="00AB0E00" w:rsidR="00AB0E00">
        <w:rPr>
          <w:bCs/>
          <w:sz w:val="22"/>
          <w:szCs w:val="22"/>
        </w:rPr>
        <w:t xml:space="preserve"> and </w:t>
      </w:r>
      <w:r w:rsidR="00C0722E">
        <w:rPr>
          <w:bCs/>
          <w:sz w:val="22"/>
          <w:szCs w:val="22"/>
        </w:rPr>
        <w:t xml:space="preserve">ensure </w:t>
      </w:r>
      <w:r w:rsidR="00793629">
        <w:rPr>
          <w:bCs/>
          <w:sz w:val="22"/>
          <w:szCs w:val="22"/>
        </w:rPr>
        <w:t xml:space="preserve">that </w:t>
      </w:r>
      <w:r w:rsidR="00C0722E">
        <w:rPr>
          <w:bCs/>
          <w:sz w:val="22"/>
          <w:szCs w:val="22"/>
        </w:rPr>
        <w:t>“</w:t>
      </w:r>
      <w:r w:rsidRPr="00AB0E00" w:rsidR="00AB0E00">
        <w:rPr>
          <w:bCs/>
          <w:sz w:val="22"/>
          <w:szCs w:val="22"/>
        </w:rPr>
        <w:t>innovative and high-quality services</w:t>
      </w:r>
      <w:r w:rsidR="00C0722E">
        <w:rPr>
          <w:bCs/>
          <w:sz w:val="22"/>
          <w:szCs w:val="22"/>
        </w:rPr>
        <w:t xml:space="preserve">” </w:t>
      </w:r>
      <w:r w:rsidR="00793629">
        <w:rPr>
          <w:bCs/>
          <w:sz w:val="22"/>
          <w:szCs w:val="22"/>
        </w:rPr>
        <w:t>continue to be</w:t>
      </w:r>
      <w:r w:rsidR="00C0722E">
        <w:rPr>
          <w:bCs/>
          <w:sz w:val="22"/>
          <w:szCs w:val="22"/>
        </w:rPr>
        <w:t xml:space="preserve"> </w:t>
      </w:r>
      <w:r w:rsidR="00793629">
        <w:rPr>
          <w:bCs/>
          <w:sz w:val="22"/>
          <w:szCs w:val="22"/>
        </w:rPr>
        <w:t>offered</w:t>
      </w:r>
      <w:r w:rsidRPr="00AB0E00" w:rsidR="00AB0E00">
        <w:rPr>
          <w:bCs/>
          <w:sz w:val="22"/>
          <w:szCs w:val="22"/>
        </w:rPr>
        <w:t xml:space="preserve"> to Hyak’s business and residential customers</w:t>
      </w:r>
      <w:r w:rsidRPr="00C066F4" w:rsidR="00AB0E00">
        <w:rPr>
          <w:bCs/>
          <w:sz w:val="22"/>
          <w:szCs w:val="22"/>
        </w:rPr>
        <w:t>”</w:t>
      </w:r>
      <w:r>
        <w:rPr>
          <w:bCs/>
          <w:sz w:val="22"/>
          <w:szCs w:val="22"/>
          <w:vertAlign w:val="superscript"/>
        </w:rPr>
        <w:footnoteReference w:id="32"/>
      </w:r>
      <w:r w:rsidRPr="005B39B0" w:rsidR="00AB0E00">
        <w:rPr>
          <w:bCs/>
          <w:sz w:val="22"/>
          <w:szCs w:val="22"/>
        </w:rPr>
        <w:t xml:space="preserve"> </w:t>
      </w:r>
      <w:r w:rsidRPr="005B39B0">
        <w:rPr>
          <w:bCs/>
          <w:sz w:val="22"/>
          <w:szCs w:val="22"/>
        </w:rPr>
        <w:t xml:space="preserve"> Applicants expect that the infusion of new financial</w:t>
      </w:r>
      <w:r w:rsidRPr="00C066F4" w:rsidR="00D343A6">
        <w:rPr>
          <w:bCs/>
          <w:sz w:val="22"/>
          <w:szCs w:val="22"/>
        </w:rPr>
        <w:t>, technical, and operational</w:t>
      </w:r>
      <w:r w:rsidRPr="005B39B0">
        <w:rPr>
          <w:bCs/>
          <w:sz w:val="22"/>
          <w:szCs w:val="22"/>
        </w:rPr>
        <w:t xml:space="preserve"> support resulting from the transaction will </w:t>
      </w:r>
      <w:r w:rsidRPr="00271ACA" w:rsidR="00D343A6">
        <w:rPr>
          <w:bCs/>
          <w:sz w:val="22"/>
          <w:szCs w:val="22"/>
        </w:rPr>
        <w:t xml:space="preserve">enhance </w:t>
      </w:r>
      <w:r w:rsidRPr="00271ACA" w:rsidR="00C066F4">
        <w:rPr>
          <w:bCs/>
          <w:sz w:val="22"/>
          <w:szCs w:val="22"/>
        </w:rPr>
        <w:t>and accelerate “</w:t>
      </w:r>
      <w:r w:rsidRPr="00271ACA" w:rsidR="00D343A6">
        <w:rPr>
          <w:bCs/>
          <w:sz w:val="22"/>
          <w:szCs w:val="22"/>
        </w:rPr>
        <w:t>Hyak’s ability to meet its RDOF support and public interest obligations</w:t>
      </w:r>
      <w:r w:rsidR="00251665">
        <w:rPr>
          <w:bCs/>
          <w:sz w:val="22"/>
          <w:szCs w:val="22"/>
        </w:rPr>
        <w:t>.</w:t>
      </w:r>
      <w:r w:rsidRPr="00271ACA" w:rsidR="00D343A6">
        <w:rPr>
          <w:bCs/>
          <w:sz w:val="22"/>
          <w:szCs w:val="22"/>
        </w:rPr>
        <w:t>”</w:t>
      </w:r>
      <w:r>
        <w:rPr>
          <w:bCs/>
          <w:sz w:val="22"/>
          <w:szCs w:val="22"/>
          <w:vertAlign w:val="superscript"/>
        </w:rPr>
        <w:footnoteReference w:id="33"/>
      </w:r>
      <w:r w:rsidRPr="00271ACA" w:rsidR="00D343A6">
        <w:rPr>
          <w:bCs/>
          <w:sz w:val="22"/>
          <w:szCs w:val="22"/>
        </w:rPr>
        <w:t xml:space="preserve">  </w:t>
      </w:r>
      <w:r w:rsidRPr="005B39B0">
        <w:rPr>
          <w:bCs/>
          <w:sz w:val="22"/>
          <w:szCs w:val="22"/>
        </w:rPr>
        <w:t xml:space="preserve">Further, Applicants aver that, following the proposed transaction, </w:t>
      </w:r>
      <w:r w:rsidRPr="00F44DC3" w:rsidR="00F44DC3">
        <w:rPr>
          <w:bCs/>
          <w:sz w:val="22"/>
          <w:szCs w:val="22"/>
        </w:rPr>
        <w:t>“the management team that demonstrated the necessary industry expertise to qualify to obtain RDOF funding will remain in place.”</w:t>
      </w:r>
      <w:r>
        <w:rPr>
          <w:bCs/>
          <w:sz w:val="22"/>
          <w:szCs w:val="22"/>
          <w:vertAlign w:val="superscript"/>
        </w:rPr>
        <w:footnoteReference w:id="34"/>
      </w:r>
      <w:r w:rsidRPr="005B39B0">
        <w:rPr>
          <w:bCs/>
          <w:sz w:val="22"/>
          <w:szCs w:val="22"/>
        </w:rPr>
        <w:t xml:space="preserve">  With the addition of </w:t>
      </w:r>
      <w:r w:rsidRPr="00F44DC3" w:rsidR="00271ACA">
        <w:rPr>
          <w:bCs/>
          <w:sz w:val="22"/>
          <w:szCs w:val="22"/>
        </w:rPr>
        <w:t>Concept’s</w:t>
      </w:r>
      <w:r w:rsidRPr="005B39B0">
        <w:rPr>
          <w:bCs/>
          <w:sz w:val="22"/>
          <w:szCs w:val="22"/>
        </w:rPr>
        <w:t xml:space="preserve"> capital following the proposed transaction, Applicants state that </w:t>
      </w:r>
      <w:r w:rsidRPr="00F44DC3" w:rsidR="00271ACA">
        <w:rPr>
          <w:bCs/>
          <w:sz w:val="22"/>
          <w:szCs w:val="22"/>
        </w:rPr>
        <w:t>Hyak</w:t>
      </w:r>
      <w:r w:rsidRPr="005B39B0">
        <w:rPr>
          <w:bCs/>
          <w:sz w:val="22"/>
          <w:szCs w:val="22"/>
        </w:rPr>
        <w:t xml:space="preserve"> will </w:t>
      </w:r>
      <w:r w:rsidR="00155AD1">
        <w:rPr>
          <w:bCs/>
          <w:sz w:val="22"/>
          <w:szCs w:val="22"/>
        </w:rPr>
        <w:t>meet its buildout obligations under RDOF</w:t>
      </w:r>
      <w:r w:rsidR="00CA342F">
        <w:rPr>
          <w:bCs/>
          <w:sz w:val="22"/>
          <w:szCs w:val="22"/>
        </w:rPr>
        <w:t>,</w:t>
      </w:r>
      <w:r w:rsidR="00BD53BE">
        <w:rPr>
          <w:bCs/>
          <w:sz w:val="22"/>
          <w:szCs w:val="22"/>
        </w:rPr>
        <w:t xml:space="preserve"> and </w:t>
      </w:r>
      <w:r w:rsidR="00CA342F">
        <w:rPr>
          <w:bCs/>
          <w:sz w:val="22"/>
          <w:szCs w:val="22"/>
        </w:rPr>
        <w:t xml:space="preserve">Concept will </w:t>
      </w:r>
      <w:r w:rsidR="00BD53BE">
        <w:rPr>
          <w:bCs/>
          <w:sz w:val="22"/>
          <w:szCs w:val="22"/>
        </w:rPr>
        <w:t>ensure</w:t>
      </w:r>
      <w:r w:rsidRPr="005B39B0">
        <w:rPr>
          <w:bCs/>
          <w:sz w:val="22"/>
          <w:szCs w:val="22"/>
        </w:rPr>
        <w:t xml:space="preserve"> that </w:t>
      </w:r>
      <w:r w:rsidR="00EA1907">
        <w:rPr>
          <w:bCs/>
          <w:sz w:val="22"/>
          <w:szCs w:val="22"/>
        </w:rPr>
        <w:t>those obligations are met</w:t>
      </w:r>
      <w:r w:rsidRPr="005B39B0">
        <w:rPr>
          <w:bCs/>
          <w:sz w:val="22"/>
          <w:szCs w:val="22"/>
        </w:rPr>
        <w:t>.</w:t>
      </w:r>
      <w:r>
        <w:rPr>
          <w:bCs/>
          <w:sz w:val="22"/>
          <w:szCs w:val="22"/>
          <w:vertAlign w:val="superscript"/>
        </w:rPr>
        <w:footnoteReference w:id="35"/>
      </w:r>
    </w:p>
    <w:p w:rsidR="005B39B0" w:rsidRPr="005B39B0" w:rsidP="00956BCA" w14:paraId="17EECE46" w14:textId="5AF966A6">
      <w:pPr>
        <w:autoSpaceDE w:val="0"/>
        <w:autoSpaceDN w:val="0"/>
        <w:adjustRightInd w:val="0"/>
        <w:spacing w:before="120" w:after="120"/>
        <w:ind w:firstLine="720"/>
        <w:rPr>
          <w:bCs/>
          <w:sz w:val="22"/>
          <w:szCs w:val="22"/>
          <w:highlight w:val="yellow"/>
        </w:rPr>
      </w:pPr>
      <w:r w:rsidRPr="005B39B0">
        <w:rPr>
          <w:bCs/>
          <w:sz w:val="22"/>
          <w:szCs w:val="22"/>
        </w:rPr>
        <w:t>The Commission has specified that ensuring consumers receive new or additional services is an important public interest factor,</w:t>
      </w:r>
      <w:r>
        <w:rPr>
          <w:bCs/>
          <w:sz w:val="22"/>
          <w:szCs w:val="22"/>
          <w:vertAlign w:val="superscript"/>
        </w:rPr>
        <w:footnoteReference w:id="36"/>
      </w:r>
      <w:r w:rsidRPr="005B39B0">
        <w:rPr>
          <w:bCs/>
          <w:sz w:val="22"/>
          <w:szCs w:val="22"/>
        </w:rPr>
        <w:t xml:space="preserve"> and accelerating private sector deployment of advanced services is </w:t>
      </w:r>
      <w:r w:rsidRPr="005B39B0">
        <w:rPr>
          <w:bCs/>
          <w:sz w:val="22"/>
          <w:szCs w:val="22"/>
        </w:rPr>
        <w:t>one of the aims of the Act.</w:t>
      </w:r>
      <w:r>
        <w:rPr>
          <w:bCs/>
          <w:sz w:val="22"/>
          <w:szCs w:val="22"/>
          <w:vertAlign w:val="superscript"/>
        </w:rPr>
        <w:footnoteReference w:id="37"/>
      </w:r>
      <w:r w:rsidRPr="005B39B0">
        <w:rPr>
          <w:bCs/>
          <w:sz w:val="22"/>
          <w:szCs w:val="22"/>
        </w:rPr>
        <w:t xml:space="preserve">  In light of the Applicants’ commitments to meet all of </w:t>
      </w:r>
      <w:r w:rsidRPr="00956BCA" w:rsidR="00956BCA">
        <w:rPr>
          <w:bCs/>
          <w:sz w:val="22"/>
          <w:szCs w:val="22"/>
        </w:rPr>
        <w:t>Hyak’s</w:t>
      </w:r>
      <w:r w:rsidRPr="005B39B0">
        <w:rPr>
          <w:bCs/>
          <w:sz w:val="22"/>
          <w:szCs w:val="22"/>
        </w:rPr>
        <w:t xml:space="preserve"> federal high cost funding obligations</w:t>
      </w:r>
      <w:r>
        <w:rPr>
          <w:bCs/>
          <w:sz w:val="22"/>
          <w:szCs w:val="22"/>
          <w:vertAlign w:val="superscript"/>
        </w:rPr>
        <w:footnoteReference w:id="38"/>
      </w:r>
      <w:r w:rsidRPr="005B39B0">
        <w:rPr>
          <w:bCs/>
          <w:sz w:val="22"/>
          <w:szCs w:val="22"/>
        </w:rPr>
        <w:t xml:space="preserve"> and the fact that Applicants are prepared to devote additional capital to accelerate facilities-based service offerings,</w:t>
      </w:r>
      <w:r>
        <w:rPr>
          <w:bCs/>
          <w:sz w:val="22"/>
          <w:szCs w:val="22"/>
          <w:vertAlign w:val="superscript"/>
        </w:rPr>
        <w:footnoteReference w:id="39"/>
      </w:r>
      <w:r w:rsidRPr="005B39B0">
        <w:rPr>
          <w:bCs/>
          <w:sz w:val="22"/>
          <w:szCs w:val="22"/>
        </w:rPr>
        <w:t xml:space="preserve"> we find it likely that the proposed transaction would result in some public interest benefits.  Absent any potential harms, and considering that the proposed transaction is likely to yield some benefits, we find, on balance, that the proposed transaction serves the public interest.</w:t>
      </w:r>
    </w:p>
    <w:p w:rsidR="005B39B0" w:rsidRPr="005B39B0" w:rsidP="00021FCD" w14:paraId="3F6C2314" w14:textId="0773CD34">
      <w:pPr>
        <w:autoSpaceDE w:val="0"/>
        <w:autoSpaceDN w:val="0"/>
        <w:adjustRightInd w:val="0"/>
        <w:spacing w:before="120" w:after="120"/>
        <w:ind w:firstLine="720"/>
        <w:rPr>
          <w:bCs/>
          <w:sz w:val="22"/>
          <w:szCs w:val="22"/>
        </w:rPr>
      </w:pPr>
      <w:r w:rsidRPr="005B39B0">
        <w:rPr>
          <w:bCs/>
          <w:sz w:val="22"/>
          <w:szCs w:val="22"/>
        </w:rPr>
        <w:t>Therefore, pursuant to section 214</w:t>
      </w:r>
      <w:r w:rsidR="00CA342F">
        <w:rPr>
          <w:bCs/>
          <w:sz w:val="22"/>
          <w:szCs w:val="22"/>
        </w:rPr>
        <w:t>(a)</w:t>
      </w:r>
      <w:r w:rsidRPr="005B39B0">
        <w:rPr>
          <w:bCs/>
          <w:sz w:val="22"/>
          <w:szCs w:val="22"/>
        </w:rPr>
        <w:t xml:space="preserve"> of the Act, 47 U.S.C. § 214</w:t>
      </w:r>
      <w:r w:rsidR="00CA342F">
        <w:rPr>
          <w:bCs/>
          <w:sz w:val="22"/>
          <w:szCs w:val="22"/>
        </w:rPr>
        <w:t>(a)</w:t>
      </w:r>
      <w:r w:rsidRPr="005B39B0">
        <w:rPr>
          <w:bCs/>
          <w:sz w:val="22"/>
          <w:szCs w:val="22"/>
        </w:rPr>
        <w:t>, and sections 0.91, 0.291, 63.03, and 63.04 of the Commission’s rules, 47 C</w:t>
      </w:r>
      <w:r w:rsidR="00136203">
        <w:rPr>
          <w:bCs/>
          <w:sz w:val="22"/>
          <w:szCs w:val="22"/>
        </w:rPr>
        <w:t>F</w:t>
      </w:r>
      <w:r w:rsidRPr="005B39B0">
        <w:rPr>
          <w:bCs/>
          <w:sz w:val="22"/>
          <w:szCs w:val="22"/>
        </w:rPr>
        <w:t>R §§ 0.91, 0.291, 63.03, and 63.04, the Bureau hereby grants the Application discussed in this Public Notice, subject to Applicants’ compliance with all applicable obligations.</w:t>
      </w:r>
      <w:r>
        <w:rPr>
          <w:bCs/>
          <w:sz w:val="22"/>
          <w:szCs w:val="22"/>
          <w:vertAlign w:val="superscript"/>
        </w:rPr>
        <w:footnoteReference w:id="40"/>
      </w:r>
      <w:r w:rsidRPr="005B39B0">
        <w:rPr>
          <w:bCs/>
          <w:sz w:val="22"/>
          <w:szCs w:val="22"/>
        </w:rPr>
        <w:t xml:space="preserve"> </w:t>
      </w:r>
    </w:p>
    <w:p w:rsidR="005B39B0" w:rsidRPr="005B39B0" w:rsidP="329B6718" w14:paraId="328A9354" w14:textId="05789007">
      <w:pPr>
        <w:autoSpaceDE w:val="0"/>
        <w:autoSpaceDN w:val="0"/>
        <w:adjustRightInd w:val="0"/>
        <w:spacing w:before="120" w:after="120"/>
        <w:ind w:firstLine="720"/>
        <w:rPr>
          <w:sz w:val="22"/>
          <w:szCs w:val="22"/>
        </w:rPr>
      </w:pPr>
      <w:r w:rsidRPr="329B6718">
        <w:rPr>
          <w:sz w:val="22"/>
          <w:szCs w:val="22"/>
        </w:rPr>
        <w:t>Pursuant to section 1.103 of the Commission’s rules, 47 CFR § 1.103, the grant is effective upon release of this Public Notice.</w:t>
      </w:r>
      <w:r>
        <w:rPr>
          <w:sz w:val="22"/>
          <w:szCs w:val="22"/>
          <w:vertAlign w:val="superscript"/>
        </w:rPr>
        <w:footnoteReference w:id="41"/>
      </w:r>
      <w:r w:rsidRPr="329B6718">
        <w:rPr>
          <w:sz w:val="22"/>
          <w:szCs w:val="22"/>
        </w:rPr>
        <w:t xml:space="preserve">  Petitions for reconsideration under section 1.106 or applications for review under section 1.115 of the Commission’s rules, 47 CFR §§ 1.106, 1.115, may be filed within 30 days of the date of this Public Notice.</w:t>
      </w:r>
      <w:bookmarkStart w:id="4" w:name="FN[FN9]"/>
      <w:bookmarkStart w:id="5" w:name="sp_999_1"/>
      <w:bookmarkStart w:id="6" w:name="SDU_1"/>
      <w:bookmarkEnd w:id="4"/>
      <w:bookmarkEnd w:id="5"/>
      <w:bookmarkEnd w:id="6"/>
    </w:p>
    <w:p w:rsidR="00524C68" w:rsidRPr="00745B87" w:rsidP="00021FCD" w14:paraId="79265EB5" w14:textId="1EF506F5">
      <w:pPr>
        <w:autoSpaceDE w:val="0"/>
        <w:autoSpaceDN w:val="0"/>
        <w:adjustRightInd w:val="0"/>
        <w:spacing w:before="120" w:after="120"/>
        <w:ind w:firstLine="720"/>
        <w:rPr>
          <w:sz w:val="22"/>
          <w:szCs w:val="22"/>
        </w:rPr>
      </w:pPr>
      <w:r w:rsidRPr="00745B87">
        <w:rPr>
          <w:sz w:val="22"/>
          <w:szCs w:val="22"/>
        </w:rPr>
        <w:t>For further information, please contact Megan Danner at (202) 418-1151.</w:t>
      </w:r>
    </w:p>
    <w:p w:rsidR="00524D79" w:rsidRPr="00745B87" w:rsidP="006D3591" w14:paraId="46B192E7" w14:textId="5B7A4D81">
      <w:pPr>
        <w:autoSpaceDE w:val="0"/>
        <w:autoSpaceDN w:val="0"/>
        <w:adjustRightInd w:val="0"/>
        <w:jc w:val="center"/>
        <w:rPr>
          <w:color w:val="000000"/>
          <w:sz w:val="22"/>
          <w:szCs w:val="22"/>
        </w:rPr>
      </w:pPr>
      <w:r>
        <w:rPr>
          <w:b/>
          <w:sz w:val="22"/>
          <w:szCs w:val="22"/>
        </w:rPr>
        <w:t>-</w:t>
      </w:r>
      <w:r w:rsidRPr="00745B87" w:rsidR="00DE44CF">
        <w:rPr>
          <w:b/>
          <w:sz w:val="22"/>
          <w:szCs w:val="22"/>
        </w:rPr>
        <w:t>FCC</w:t>
      </w:r>
      <w:bookmarkEnd w:id="1"/>
      <w:bookmarkEnd w:id="2"/>
      <w:r>
        <w:rPr>
          <w:b/>
          <w:sz w:val="22"/>
          <w:szCs w:val="22"/>
        </w:rPr>
        <w:t>-</w:t>
      </w:r>
    </w:p>
    <w:sectPr w:rsidSect="005753A1">
      <w:footerReference w:type="default" r:id="rId8"/>
      <w:headerReference w:type="first" r:id="rId9"/>
      <w:type w:val="continuous"/>
      <w:pgSz w:w="12240" w:h="15840" w:code="1"/>
      <w:pgMar w:top="1152" w:right="1440" w:bottom="1152" w:left="1440" w:header="0" w:footer="792"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B737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52DE45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7A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CAC2F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30544FB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067" w14:paraId="25DF4724" w14:textId="77777777">
      <w:r>
        <w:separator/>
      </w:r>
    </w:p>
  </w:footnote>
  <w:footnote w:type="continuationSeparator" w:id="1">
    <w:p w:rsidR="00566067" w14:paraId="2F31F6E9" w14:textId="77777777">
      <w:r>
        <w:continuationSeparator/>
      </w:r>
    </w:p>
  </w:footnote>
  <w:footnote w:type="continuationNotice" w:id="2">
    <w:p w:rsidR="00566067" w14:paraId="0D081C1F" w14:textId="77777777"/>
  </w:footnote>
  <w:footnote w:id="3">
    <w:p w:rsidR="00D76F4A" w:rsidP="00E44E64" w14:paraId="1B95230B" w14:textId="457B132B">
      <w:pPr>
        <w:spacing w:after="120"/>
      </w:pPr>
      <w:r>
        <w:rPr>
          <w:rStyle w:val="FootnoteReference"/>
        </w:rPr>
        <w:footnoteRef/>
      </w:r>
      <w:r>
        <w:t xml:space="preserve"> </w:t>
      </w:r>
      <w:r>
        <w:rPr>
          <w:i/>
        </w:rPr>
        <w:t>See</w:t>
      </w:r>
      <w:r>
        <w:t xml:space="preserve"> 47 U.S.C. § 214</w:t>
      </w:r>
      <w:r w:rsidR="00087B24">
        <w:t>(a)</w:t>
      </w:r>
      <w:r>
        <w:t>; 47 CFR §§ 63.03-04.</w:t>
      </w:r>
    </w:p>
  </w:footnote>
  <w:footnote w:id="4">
    <w:p w:rsidR="00D76F4A" w:rsidRPr="008C55BA" w:rsidP="00E44E64" w14:paraId="436E2E4B" w14:textId="77777777">
      <w:pPr>
        <w:spacing w:after="120"/>
      </w:pPr>
      <w:r>
        <w:rPr>
          <w:rStyle w:val="FootnoteReference"/>
        </w:rPr>
        <w:footnoteRef/>
      </w:r>
      <w:r>
        <w:t xml:space="preserve"> </w:t>
      </w:r>
      <w:r w:rsidR="00BD7A55">
        <w:rPr>
          <w:i/>
          <w:iCs/>
        </w:rPr>
        <w:t xml:space="preserve">See </w:t>
      </w:r>
      <w:r w:rsidRPr="00BD7A55" w:rsidR="00BD7A55">
        <w:t xml:space="preserve">Application </w:t>
      </w:r>
      <w:r w:rsidR="00814872">
        <w:t xml:space="preserve">of </w:t>
      </w:r>
      <w:r w:rsidRPr="00814872" w:rsidR="00814872">
        <w:t>Concept Communications LLC</w:t>
      </w:r>
      <w:r w:rsidR="00814872">
        <w:t xml:space="preserve"> and </w:t>
      </w:r>
      <w:r w:rsidRPr="00814872" w:rsidR="00814872">
        <w:t xml:space="preserve">Siuslaw Broadband LLC d/b/a Hyak </w:t>
      </w:r>
      <w:r w:rsidRPr="00BD7A55" w:rsidR="00BD7A55">
        <w:t>for</w:t>
      </w:r>
      <w:r w:rsidR="001A1BA0">
        <w:t xml:space="preserve"> Consent to Transfer </w:t>
      </w:r>
      <w:r w:rsidR="00CB6092">
        <w:t xml:space="preserve">Indirect Control </w:t>
      </w:r>
      <w:r w:rsidRPr="00BD7A55" w:rsidR="00BD7A55">
        <w:t>of</w:t>
      </w:r>
      <w:r w:rsidR="00CB6092">
        <w:t xml:space="preserve"> Domestic Section 214 Authority</w:t>
      </w:r>
      <w:r w:rsidR="003D50D4">
        <w:t xml:space="preserve"> Under the Communications Act of 1934, as Amended</w:t>
      </w:r>
      <w:r w:rsidRPr="00BD7A55" w:rsidR="00BD7A55">
        <w:t>, WC Docket No. 23-</w:t>
      </w:r>
      <w:r w:rsidR="003D50D4">
        <w:t>222</w:t>
      </w:r>
      <w:r w:rsidRPr="00BD7A55" w:rsidR="00BD7A55">
        <w:t xml:space="preserve"> (filed </w:t>
      </w:r>
      <w:r w:rsidR="00854B90">
        <w:t>June 2</w:t>
      </w:r>
      <w:r w:rsidR="003F6203">
        <w:t>8</w:t>
      </w:r>
      <w:r w:rsidRPr="00BD7A55" w:rsidR="00BD7A55">
        <w:t>, 2023) (Application).  Applicants filed supplement</w:t>
      </w:r>
      <w:r w:rsidR="00707E9C">
        <w:t>s</w:t>
      </w:r>
      <w:r w:rsidRPr="00BD7A55" w:rsidR="00BD7A55">
        <w:t xml:space="preserve"> to the Application on </w:t>
      </w:r>
      <w:r w:rsidR="00854B90">
        <w:t>July 13</w:t>
      </w:r>
      <w:r w:rsidRPr="00BD7A55" w:rsidR="00BD7A55">
        <w:t>, 2023</w:t>
      </w:r>
      <w:r w:rsidR="00707E9C">
        <w:t xml:space="preserve"> and August 2, 2023</w:t>
      </w:r>
      <w:r w:rsidRPr="00BD7A55" w:rsidR="00BD7A55">
        <w:t xml:space="preserve">.  Supplement </w:t>
      </w:r>
      <w:r w:rsidR="00B449B2">
        <w:t xml:space="preserve">to </w:t>
      </w:r>
      <w:r w:rsidRPr="00C1581E" w:rsidR="00C1581E">
        <w:t xml:space="preserve">Domestic Section 214 Application </w:t>
      </w:r>
      <w:r w:rsidR="00DB5ADE">
        <w:t>F</w:t>
      </w:r>
      <w:r w:rsidRPr="00C1581E" w:rsidR="00C1581E">
        <w:t xml:space="preserve">iled </w:t>
      </w:r>
      <w:r w:rsidR="00DB5ADE">
        <w:t>f</w:t>
      </w:r>
      <w:r w:rsidRPr="00C1581E" w:rsidR="00C1581E">
        <w:t xml:space="preserve">or </w:t>
      </w:r>
      <w:r w:rsidR="00B449B2">
        <w:t>t</w:t>
      </w:r>
      <w:r w:rsidRPr="00C1581E" w:rsidR="00C1581E">
        <w:t>he Transfer of Indirect Control of Concept Communications LLC-Siuslaw Broadband LLC d/b/a Hyak</w:t>
      </w:r>
      <w:r w:rsidRPr="00BD7A55" w:rsidR="00BD7A55">
        <w:t>, WC Docket No. 23-</w:t>
      </w:r>
      <w:r w:rsidR="00DB5ADE">
        <w:t>222</w:t>
      </w:r>
      <w:r w:rsidRPr="00BD7A55" w:rsidR="00BD7A55">
        <w:t xml:space="preserve"> (filed </w:t>
      </w:r>
      <w:r w:rsidR="00DB5ADE">
        <w:t>July 13</w:t>
      </w:r>
      <w:r w:rsidRPr="00BD7A55" w:rsidR="00BD7A55">
        <w:t>, 2023) (</w:t>
      </w:r>
      <w:r w:rsidR="0080459C">
        <w:t xml:space="preserve">July </w:t>
      </w:r>
      <w:r w:rsidR="00DB5ADE">
        <w:t>S</w:t>
      </w:r>
      <w:r w:rsidRPr="00BD7A55" w:rsidR="00BD7A55">
        <w:t>upplement)</w:t>
      </w:r>
      <w:r w:rsidR="0080459C">
        <w:t xml:space="preserve">; </w:t>
      </w:r>
      <w:r w:rsidRPr="0080459C" w:rsidR="0080459C">
        <w:t xml:space="preserve">Supplement to Domestic Section 214 Application Filed for the Transfer of Indirect Control of Concept Communications LLC-Siuslaw Broadband LLC d/b/a Hyak, WC Docket No. 23-222 (filed </w:t>
      </w:r>
      <w:r w:rsidR="0080459C">
        <w:t>Aug. 2</w:t>
      </w:r>
      <w:r w:rsidRPr="0080459C" w:rsidR="0080459C">
        <w:t xml:space="preserve">, 2023) </w:t>
      </w:r>
      <w:r w:rsidR="0080459C">
        <w:t>(August Supplement)</w:t>
      </w:r>
      <w:r w:rsidR="00DB5ADE">
        <w:t>.</w:t>
      </w:r>
      <w:r w:rsidRPr="00BD7A55" w:rsidR="00BD7A55">
        <w:t xml:space="preserve"> </w:t>
      </w:r>
      <w:r w:rsidR="00DB5ADE">
        <w:t xml:space="preserve"> </w:t>
      </w:r>
      <w:r>
        <w:t xml:space="preserve">Applicants also filed </w:t>
      </w:r>
      <w:r w:rsidR="003E28FD">
        <w:t xml:space="preserve">an </w:t>
      </w:r>
      <w:r>
        <w:t xml:space="preserve">application for the transfer of authorizations associated with wireless licenses.  </w:t>
      </w:r>
      <w:r w:rsidR="00FF23EF">
        <w:t>Application at 9</w:t>
      </w:r>
      <w:r w:rsidR="00707E9C">
        <w:t xml:space="preserve">.  </w:t>
      </w:r>
      <w:r>
        <w:t xml:space="preserve">Any action on this domestic section 214 application is </w:t>
      </w:r>
      <w:r w:rsidRPr="008C55BA">
        <w:t xml:space="preserve">without prejudice to Commission action on other related, pending applications.    </w:t>
      </w:r>
    </w:p>
  </w:footnote>
  <w:footnote w:id="5">
    <w:p w:rsidR="00FF530A" w:rsidRPr="003D74D9" w:rsidP="00E44E64" w14:paraId="7DA09D32" w14:textId="426593D0">
      <w:pPr>
        <w:pStyle w:val="FootnoteText"/>
        <w:spacing w:after="120"/>
      </w:pPr>
      <w:r w:rsidRPr="003D74D9">
        <w:rPr>
          <w:rStyle w:val="FootnoteReference"/>
        </w:rPr>
        <w:footnoteRef/>
      </w:r>
      <w:r w:rsidRPr="003D74D9">
        <w:t xml:space="preserve"> </w:t>
      </w:r>
      <w:r w:rsidRPr="003D74D9">
        <w:rPr>
          <w:i/>
          <w:iCs/>
        </w:rPr>
        <w:t xml:space="preserve">Domestic </w:t>
      </w:r>
      <w:r w:rsidRPr="009A5BB4">
        <w:rPr>
          <w:i/>
          <w:iCs/>
        </w:rPr>
        <w:t>Section 214 Application Filed for the Transfer of Control of</w:t>
      </w:r>
      <w:r w:rsidRPr="009A5BB4" w:rsidR="00034BF2">
        <w:rPr>
          <w:i/>
          <w:iCs/>
        </w:rPr>
        <w:t xml:space="preserve"> Siuslaw</w:t>
      </w:r>
      <w:r w:rsidRPr="009A5BB4" w:rsidR="00F60136">
        <w:rPr>
          <w:i/>
          <w:iCs/>
        </w:rPr>
        <w:t xml:space="preserve"> Broadband, LLC d/b/a H</w:t>
      </w:r>
      <w:r w:rsidRPr="009A5BB4" w:rsidR="009A5BB4">
        <w:rPr>
          <w:i/>
          <w:iCs/>
        </w:rPr>
        <w:t>yak Communications, LLC to Concept Communications</w:t>
      </w:r>
      <w:r w:rsidRPr="009A5BB4" w:rsidR="00BA7C06">
        <w:rPr>
          <w:i/>
          <w:iCs/>
        </w:rPr>
        <w:t>, LLC</w:t>
      </w:r>
      <w:r>
        <w:t xml:space="preserve">, </w:t>
      </w:r>
      <w:r w:rsidRPr="00C27E16">
        <w:t>WC</w:t>
      </w:r>
      <w:r w:rsidRPr="003D74D9">
        <w:t xml:space="preserve"> Docket No. 2</w:t>
      </w:r>
      <w:r>
        <w:t>3</w:t>
      </w:r>
      <w:r w:rsidRPr="003D74D9">
        <w:t>-</w:t>
      </w:r>
      <w:r w:rsidR="005B4BCA">
        <w:t>22</w:t>
      </w:r>
      <w:r w:rsidR="00034BF2">
        <w:t>2</w:t>
      </w:r>
      <w:r w:rsidRPr="003D74D9">
        <w:t>, Public Notice, DA 2</w:t>
      </w:r>
      <w:r>
        <w:t>3</w:t>
      </w:r>
      <w:r w:rsidRPr="003D74D9">
        <w:t>-</w:t>
      </w:r>
      <w:r w:rsidR="00034BF2">
        <w:t>643</w:t>
      </w:r>
      <w:r w:rsidRPr="003D74D9">
        <w:t xml:space="preserve"> (WCB 202</w:t>
      </w:r>
      <w:r>
        <w:t>3</w:t>
      </w:r>
      <w:r w:rsidRPr="003D74D9">
        <w:t>)</w:t>
      </w:r>
      <w:r w:rsidR="009264D6">
        <w:t>.</w:t>
      </w:r>
      <w:r w:rsidR="00BD6F85">
        <w:t xml:space="preserve"> </w:t>
      </w:r>
    </w:p>
  </w:footnote>
  <w:footnote w:id="6">
    <w:p w:rsidR="004A7BAA" w:rsidRPr="00E934C3" w:rsidP="00E44E64" w14:paraId="34F52530" w14:textId="11DAF7ED">
      <w:pPr>
        <w:pStyle w:val="FootnoteText"/>
        <w:spacing w:after="120"/>
      </w:pPr>
      <w:r w:rsidRPr="00E934C3">
        <w:rPr>
          <w:rStyle w:val="FootnoteReference"/>
        </w:rPr>
        <w:footnoteRef/>
      </w:r>
      <w:r w:rsidRPr="00E934C3">
        <w:t xml:space="preserve"> </w:t>
      </w:r>
      <w:r w:rsidRPr="00E934C3" w:rsidR="008C55BA">
        <w:t>Application at 2.</w:t>
      </w:r>
      <w:r w:rsidR="00BA7C06">
        <w:t xml:space="preserve"> </w:t>
      </w:r>
    </w:p>
  </w:footnote>
  <w:footnote w:id="7">
    <w:p w:rsidR="005470C1" w:rsidRPr="005470C1" w:rsidP="005470C1" w14:paraId="48791D47" w14:textId="08807EC0">
      <w:pPr>
        <w:pStyle w:val="FootnoteText"/>
        <w:spacing w:after="120"/>
      </w:pPr>
      <w:r w:rsidRPr="00E934C3">
        <w:rPr>
          <w:rStyle w:val="FootnoteReference"/>
        </w:rPr>
        <w:footnoteRef/>
      </w:r>
      <w:r w:rsidRPr="00E934C3">
        <w:t xml:space="preserve"> </w:t>
      </w:r>
      <w:r w:rsidRPr="00E934C3" w:rsidR="00A50278">
        <w:rPr>
          <w:i/>
          <w:iCs/>
        </w:rPr>
        <w:t>Id</w:t>
      </w:r>
      <w:r w:rsidRPr="00E934C3" w:rsidR="00A50278">
        <w:t>.</w:t>
      </w:r>
      <w:r w:rsidR="00DD2479">
        <w:t xml:space="preserve"> at </w:t>
      </w:r>
      <w:r w:rsidR="002C6659">
        <w:t>2, 10</w:t>
      </w:r>
      <w:r w:rsidR="00EA2276">
        <w:t xml:space="preserve"> (</w:t>
      </w:r>
      <w:r w:rsidR="00E217DB">
        <w:t>confirming</w:t>
      </w:r>
      <w:r w:rsidRPr="00E248E3" w:rsidR="00E248E3">
        <w:t xml:space="preserve"> that the </w:t>
      </w:r>
      <w:r w:rsidR="00E248E3">
        <w:t>t</w:t>
      </w:r>
      <w:r w:rsidRPr="00E248E3" w:rsidR="00E248E3">
        <w:t xml:space="preserve">ransaction </w:t>
      </w:r>
      <w:r w:rsidR="00E217DB">
        <w:t>“</w:t>
      </w:r>
      <w:r w:rsidRPr="00E248E3" w:rsidR="00E248E3">
        <w:t>does</w:t>
      </w:r>
      <w:r w:rsidR="00E248E3">
        <w:t xml:space="preserve"> </w:t>
      </w:r>
      <w:r w:rsidRPr="00E248E3" w:rsidR="00E248E3">
        <w:t>not involve any changes to Hyak that will compromise its ability to meet its service obligations</w:t>
      </w:r>
      <w:r w:rsidR="00E217DB">
        <w:t>,</w:t>
      </w:r>
      <w:r w:rsidR="00E248E3">
        <w:t xml:space="preserve"> </w:t>
      </w:r>
      <w:r w:rsidRPr="00E248E3" w:rsidR="00E248E3">
        <w:t>and Applicants anticipate that Hyak will continue to meet its RDOF obligations</w:t>
      </w:r>
      <w:r w:rsidR="00E217DB">
        <w:t>”</w:t>
      </w:r>
      <w:r w:rsidR="00E248E3">
        <w:t>)</w:t>
      </w:r>
      <w:r w:rsidR="00BD34AC">
        <w:t>;</w:t>
      </w:r>
      <w:r w:rsidR="005127A9">
        <w:t xml:space="preserve"> </w:t>
      </w:r>
      <w:r w:rsidRPr="00790372">
        <w:rPr>
          <w:i/>
          <w:iCs/>
        </w:rPr>
        <w:t>Rural Digital Opportunity Fund Support Authorized for 1,345 Winning Bids</w:t>
      </w:r>
      <w:r w:rsidRPr="00790372">
        <w:t>,</w:t>
      </w:r>
      <w:r>
        <w:t xml:space="preserve"> AU Docket No. 20-34, WC Docket Nos 19-126, 10-90, Public Notice, </w:t>
      </w:r>
      <w:r w:rsidRPr="005127A9">
        <w:t>37 FCC Rcd 4897 (WCB 2022) (authorizing Hyak to receive $1,611,684.90 over 10 years to serve 554 locations in Oregon)</w:t>
      </w:r>
      <w:r w:rsidR="00CB56B8">
        <w:t xml:space="preserve"> (</w:t>
      </w:r>
      <w:r w:rsidRPr="005127A9" w:rsidR="00CB56B8">
        <w:rPr>
          <w:i/>
          <w:iCs/>
        </w:rPr>
        <w:t>RDOF Public Notice</w:t>
      </w:r>
      <w:r w:rsidR="00CB56B8">
        <w:t>)</w:t>
      </w:r>
      <w:r w:rsidRPr="005127A9">
        <w:t>.</w:t>
      </w:r>
      <w:r>
        <w:t xml:space="preserve">  </w:t>
      </w:r>
      <w:r w:rsidRPr="00E934C3">
        <w:t xml:space="preserve">Hyak also offers Lifeline and Oregon Telephone Assistance Program services to its customers.  </w:t>
      </w:r>
      <w:r w:rsidR="005127A9">
        <w:t>Application</w:t>
      </w:r>
      <w:r w:rsidR="00A50278">
        <w:t xml:space="preserve"> </w:t>
      </w:r>
      <w:r w:rsidR="00DD2479">
        <w:t>at 2.</w:t>
      </w:r>
      <w:r>
        <w:t xml:space="preserve"> </w:t>
      </w:r>
      <w:r w:rsidR="00DD2479">
        <w:t xml:space="preserve"> </w:t>
      </w:r>
      <w:r w:rsidRPr="00D71CDC" w:rsidR="00D71CDC">
        <w:t>Hyak doe</w:t>
      </w:r>
      <w:r w:rsidR="009F17DB">
        <w:t>s</w:t>
      </w:r>
      <w:r w:rsidRPr="00D71CDC" w:rsidR="00D71CDC">
        <w:t xml:space="preserve"> participate in the Affordable Connectivity Program, </w:t>
      </w:r>
      <w:r w:rsidR="009F17DB">
        <w:t xml:space="preserve">but </w:t>
      </w:r>
      <w:r w:rsidR="00E14666">
        <w:t xml:space="preserve">not </w:t>
      </w:r>
      <w:r w:rsidR="009F17DB">
        <w:t xml:space="preserve">in the </w:t>
      </w:r>
      <w:r w:rsidRPr="00D71CDC" w:rsidR="00D71CDC">
        <w:t>E-Rate or</w:t>
      </w:r>
      <w:r w:rsidR="00D71CDC">
        <w:t xml:space="preserve"> </w:t>
      </w:r>
      <w:r w:rsidRPr="00D71CDC" w:rsidR="00D71CDC">
        <w:t>Rural Health Care funding programs</w:t>
      </w:r>
      <w:r w:rsidR="00D71CDC">
        <w:t xml:space="preserve">.  </w:t>
      </w:r>
      <w:r w:rsidRPr="0054479A" w:rsidR="0054479A">
        <w:rPr>
          <w:i/>
          <w:iCs/>
        </w:rPr>
        <w:t>Id</w:t>
      </w:r>
      <w:r w:rsidR="0054479A">
        <w:t xml:space="preserve">. </w:t>
      </w:r>
      <w:r w:rsidRPr="0054479A" w:rsidR="00D71CDC">
        <w:t>at</w:t>
      </w:r>
      <w:r w:rsidR="00D71CDC">
        <w:t xml:space="preserve"> 11</w:t>
      </w:r>
      <w:r w:rsidR="009F17DB">
        <w:t>; August Supplement at 1</w:t>
      </w:r>
      <w:r w:rsidR="00D71CDC">
        <w:t xml:space="preserve">. </w:t>
      </w:r>
    </w:p>
  </w:footnote>
  <w:footnote w:id="8">
    <w:p w:rsidR="00D60C6E" w:rsidP="00917EA3" w14:paraId="7DEBADA9" w14:textId="73B16D48">
      <w:pPr>
        <w:pStyle w:val="FootnoteText"/>
        <w:spacing w:after="120"/>
      </w:pPr>
      <w:r>
        <w:rPr>
          <w:rStyle w:val="FootnoteReference"/>
        </w:rPr>
        <w:footnoteRef/>
      </w:r>
      <w:r>
        <w:t xml:space="preserve"> </w:t>
      </w:r>
      <w:r w:rsidRPr="00D60C6E">
        <w:t xml:space="preserve">Neither </w:t>
      </w:r>
      <w:r w:rsidR="00CA1F43">
        <w:t>Concept</w:t>
      </w:r>
      <w:r w:rsidRPr="00D60C6E">
        <w:t xml:space="preserve"> nor any of its affiliates receives USF high cost support.  </w:t>
      </w:r>
      <w:r w:rsidR="00967B94">
        <w:t>Application</w:t>
      </w:r>
      <w:r w:rsidRPr="00D60C6E">
        <w:rPr>
          <w:i/>
          <w:iCs/>
        </w:rPr>
        <w:t xml:space="preserve"> </w:t>
      </w:r>
      <w:r w:rsidRPr="00D60C6E">
        <w:t>at 10.</w:t>
      </w:r>
    </w:p>
  </w:footnote>
  <w:footnote w:id="9">
    <w:p w:rsidR="00792839" w:rsidRPr="00792839" w:rsidP="00917EA3" w14:paraId="2C47CA48" w14:textId="78ABDE5A">
      <w:pPr>
        <w:pStyle w:val="FootnoteText"/>
        <w:spacing w:after="120"/>
      </w:pPr>
      <w:r>
        <w:rPr>
          <w:rStyle w:val="FootnoteReference"/>
        </w:rPr>
        <w:footnoteRef/>
      </w:r>
      <w:r>
        <w:t xml:space="preserve"> </w:t>
      </w:r>
      <w:r>
        <w:rPr>
          <w:i/>
          <w:iCs/>
        </w:rPr>
        <w:t>Id</w:t>
      </w:r>
      <w:r>
        <w:t xml:space="preserve">. at </w:t>
      </w:r>
      <w:r>
        <w:t>Exh</w:t>
      </w:r>
      <w:r>
        <w:t>. B.</w:t>
      </w:r>
    </w:p>
  </w:footnote>
  <w:footnote w:id="10">
    <w:p w:rsidR="0058663A" w:rsidRPr="0058663A" w:rsidP="00E44E64" w14:paraId="6A6F94B2" w14:textId="50B67A55">
      <w:pPr>
        <w:pStyle w:val="FootnoteText"/>
        <w:spacing w:after="120"/>
      </w:pPr>
      <w:r>
        <w:rPr>
          <w:rStyle w:val="FootnoteReference"/>
        </w:rPr>
        <w:footnoteRef/>
      </w:r>
      <w:r>
        <w:t xml:space="preserve"> </w:t>
      </w:r>
      <w:r>
        <w:rPr>
          <w:i/>
          <w:iCs/>
        </w:rPr>
        <w:t>Id</w:t>
      </w:r>
      <w:r>
        <w:t>.</w:t>
      </w:r>
      <w:r w:rsidR="00333792">
        <w:t xml:space="preserve"> at </w:t>
      </w:r>
      <w:r w:rsidR="00B660B8">
        <w:t xml:space="preserve">3, </w:t>
      </w:r>
      <w:r w:rsidR="00333792">
        <w:t>Exh</w:t>
      </w:r>
      <w:r w:rsidR="00333792">
        <w:t xml:space="preserve">. </w:t>
      </w:r>
      <w:r w:rsidR="001E0E2B">
        <w:t>B</w:t>
      </w:r>
      <w:r w:rsidR="00CE16DA">
        <w:t xml:space="preserve">.  </w:t>
      </w:r>
    </w:p>
  </w:footnote>
  <w:footnote w:id="11">
    <w:p w:rsidR="00792839" w:rsidRPr="00792839" w:rsidP="00917EA3" w14:paraId="5C893FFF" w14:textId="5EE1C962">
      <w:pPr>
        <w:pStyle w:val="FootnoteText"/>
        <w:spacing w:after="120"/>
      </w:pPr>
      <w:r>
        <w:rPr>
          <w:rStyle w:val="FootnoteReference"/>
        </w:rPr>
        <w:footnoteRef/>
      </w:r>
      <w:r>
        <w:t xml:space="preserve"> </w:t>
      </w:r>
      <w:r>
        <w:rPr>
          <w:i/>
          <w:iCs/>
        </w:rPr>
        <w:t xml:space="preserve">Id. </w:t>
      </w:r>
    </w:p>
  </w:footnote>
  <w:footnote w:id="12">
    <w:p w:rsidR="004209F1" w:rsidRPr="00437CB8" w:rsidP="00E44E64" w14:paraId="52CFBBFA" w14:textId="714509A5">
      <w:pPr>
        <w:pStyle w:val="FootnoteText"/>
        <w:spacing w:after="120"/>
      </w:pPr>
      <w:r w:rsidRPr="00437CB8">
        <w:rPr>
          <w:rStyle w:val="FootnoteReference"/>
        </w:rPr>
        <w:footnoteRef/>
      </w:r>
      <w:r w:rsidRPr="00437CB8">
        <w:t xml:space="preserve"> </w:t>
      </w:r>
      <w:r w:rsidRPr="00DC35C8" w:rsidR="00DC35C8">
        <w:rPr>
          <w:i/>
          <w:iCs/>
        </w:rPr>
        <w:t>Id</w:t>
      </w:r>
      <w:r w:rsidR="00DC35C8">
        <w:t>.</w:t>
      </w:r>
      <w:r w:rsidR="0081480B">
        <w:t xml:space="preserve"> </w:t>
      </w:r>
      <w:r w:rsidRPr="0081480B" w:rsidR="00437CB8">
        <w:t>at</w:t>
      </w:r>
      <w:r w:rsidRPr="00437CB8" w:rsidR="00437CB8">
        <w:t xml:space="preserve"> 1</w:t>
      </w:r>
      <w:r w:rsidR="001C71AA">
        <w:t xml:space="preserve">, </w:t>
      </w:r>
      <w:r w:rsidR="001C71AA">
        <w:t>Exh</w:t>
      </w:r>
      <w:r w:rsidR="001C71AA">
        <w:t>. B</w:t>
      </w:r>
      <w:r w:rsidRPr="00437CB8" w:rsidR="00437CB8">
        <w:t>.</w:t>
      </w:r>
    </w:p>
  </w:footnote>
  <w:footnote w:id="13">
    <w:p w:rsidR="00437CB8" w:rsidP="00E44E64" w14:paraId="1A692D01" w14:textId="3C13C64A">
      <w:pPr>
        <w:pStyle w:val="FootnoteText"/>
        <w:spacing w:after="120"/>
      </w:pPr>
      <w:r w:rsidRPr="00437CB8">
        <w:rPr>
          <w:rStyle w:val="FootnoteReference"/>
        </w:rPr>
        <w:footnoteRef/>
      </w:r>
      <w:r>
        <w:t xml:space="preserve"> </w:t>
      </w:r>
      <w:r w:rsidR="00700C7B">
        <w:t xml:space="preserve">July </w:t>
      </w:r>
      <w:r w:rsidRPr="00437CB8">
        <w:t>Supplement at 1.</w:t>
      </w:r>
      <w:r w:rsidR="00CD442A">
        <w:t xml:space="preserve"> </w:t>
      </w:r>
    </w:p>
  </w:footnote>
  <w:footnote w:id="14">
    <w:p w:rsidR="00264344" w:rsidP="00E44E64" w14:paraId="66307C38" w14:textId="52951F06">
      <w:pPr>
        <w:pStyle w:val="FootnoteText"/>
        <w:spacing w:after="120"/>
      </w:pPr>
      <w:r>
        <w:rPr>
          <w:rStyle w:val="FootnoteReference"/>
        </w:rPr>
        <w:footnoteRef/>
      </w:r>
      <w:r>
        <w:t xml:space="preserve"> Application at 3</w:t>
      </w:r>
      <w:r w:rsidR="007E14FD">
        <w:t>.</w:t>
      </w:r>
    </w:p>
  </w:footnote>
  <w:footnote w:id="15">
    <w:p w:rsidR="00DC35C8" w:rsidRPr="00DC35C8" w:rsidP="00E44E64" w14:paraId="660FFD88" w14:textId="192FC666">
      <w:pPr>
        <w:pStyle w:val="FootnoteText"/>
        <w:spacing w:after="120"/>
      </w:pPr>
      <w:r>
        <w:rPr>
          <w:rStyle w:val="FootnoteReference"/>
        </w:rPr>
        <w:footnoteRef/>
      </w:r>
      <w:r>
        <w:t xml:space="preserve"> </w:t>
      </w:r>
      <w:r>
        <w:rPr>
          <w:i/>
          <w:iCs/>
        </w:rPr>
        <w:t>Id.</w:t>
      </w:r>
      <w:r>
        <w:t xml:space="preserve"> </w:t>
      </w:r>
    </w:p>
  </w:footnote>
  <w:footnote w:id="16">
    <w:p w:rsidR="00981AB3" w:rsidP="00E44E64" w14:paraId="5D47119A" w14:textId="55FE9C4C">
      <w:pPr>
        <w:pStyle w:val="FootnoteText"/>
        <w:spacing w:after="120"/>
      </w:pPr>
      <w:r>
        <w:rPr>
          <w:rStyle w:val="FootnoteReference"/>
        </w:rPr>
        <w:footnoteRef/>
      </w:r>
      <w:r>
        <w:t xml:space="preserve"> </w:t>
      </w:r>
      <w:r w:rsidRPr="00981AB3">
        <w:rPr>
          <w:i/>
          <w:iCs/>
        </w:rPr>
        <w:t>Id.</w:t>
      </w:r>
      <w:r w:rsidRPr="00981AB3">
        <w:t xml:space="preserve"> at 5-6.</w:t>
      </w:r>
    </w:p>
  </w:footnote>
  <w:footnote w:id="17">
    <w:p w:rsidR="008F242E" w:rsidRPr="00F62AF6" w:rsidP="00917EA3" w14:paraId="02AD0111" w14:textId="54D38435">
      <w:pPr>
        <w:pStyle w:val="FootnoteText"/>
        <w:spacing w:after="120"/>
      </w:pPr>
      <w:r>
        <w:rPr>
          <w:rStyle w:val="FootnoteReference"/>
        </w:rPr>
        <w:footnoteRef/>
      </w:r>
      <w:r>
        <w:t xml:space="preserve"> </w:t>
      </w:r>
      <w:r w:rsidRPr="00CF7636">
        <w:rPr>
          <w:i/>
          <w:iCs/>
        </w:rPr>
        <w:t>Id</w:t>
      </w:r>
      <w:r>
        <w:t>.</w:t>
      </w:r>
    </w:p>
  </w:footnote>
  <w:footnote w:id="18">
    <w:p w:rsidR="005B39B0" w:rsidRPr="00C37B71" w:rsidP="00917EA3" w14:paraId="0942C7EC" w14:textId="69F47BA7">
      <w:pPr>
        <w:pStyle w:val="FootnoteText"/>
        <w:widowControl w:val="0"/>
        <w:spacing w:after="120"/>
      </w:pPr>
      <w:r w:rsidRPr="00C37B71">
        <w:rPr>
          <w:rStyle w:val="FootnoteReference"/>
        </w:rPr>
        <w:footnoteRef/>
      </w:r>
      <w:r w:rsidRPr="00C37B71">
        <w:t xml:space="preserve"> </w:t>
      </w:r>
      <w:r w:rsidRPr="006E3ED7">
        <w:rPr>
          <w:i/>
        </w:rPr>
        <w:t>See, e.g.</w:t>
      </w:r>
      <w:r w:rsidRPr="00917EA3">
        <w:t>,</w:t>
      </w:r>
      <w:r w:rsidRPr="006E3ED7">
        <w:t xml:space="preserve"> </w:t>
      </w:r>
      <w:r w:rsidRPr="006E3ED7">
        <w:rPr>
          <w:i/>
          <w:iCs/>
        </w:rPr>
        <w:t xml:space="preserve">Application of Verizon Communications Inc. and América </w:t>
      </w:r>
      <w:r w:rsidRPr="006E3ED7">
        <w:rPr>
          <w:i/>
          <w:iCs/>
        </w:rPr>
        <w:t>Móvil</w:t>
      </w:r>
      <w:r w:rsidRPr="006E3ED7">
        <w:rPr>
          <w:i/>
          <w:iCs/>
        </w:rPr>
        <w:t xml:space="preserve"> S.A.B. de C.V for Consent to Transfer Control of International Section 214 Authorization</w:t>
      </w:r>
      <w:r w:rsidRPr="006E3ED7">
        <w:t>, GN Docket No. 21-112</w:t>
      </w:r>
      <w:r>
        <w:t xml:space="preserve">, IBFS File No. ITC-T/C-20200930-00173, </w:t>
      </w:r>
      <w:r w:rsidRPr="006E3ED7">
        <w:t xml:space="preserve">Memorandum Opinion and Order, </w:t>
      </w:r>
      <w:r w:rsidRPr="00BF1128" w:rsidR="003F2B02">
        <w:t>36 FCC Rcd 16994</w:t>
      </w:r>
      <w:r w:rsidRPr="006E3ED7">
        <w:t xml:space="preserve">, </w:t>
      </w:r>
      <w:r w:rsidR="00BF1128">
        <w:t>16999</w:t>
      </w:r>
      <w:r>
        <w:t xml:space="preserve">, </w:t>
      </w:r>
      <w:r w:rsidRPr="006E3ED7">
        <w:t xml:space="preserve">para. 21 </w:t>
      </w:r>
      <w:r w:rsidR="003F2B02">
        <w:t>(</w:t>
      </w:r>
      <w:r w:rsidRPr="006E3ED7">
        <w:t>2021) (</w:t>
      </w:r>
      <w:r w:rsidRPr="00C37B71">
        <w:rPr>
          <w:i/>
          <w:iCs/>
        </w:rPr>
        <w:t>Verizon-TracFone Order</w:t>
      </w:r>
      <w:r w:rsidRPr="00C37B71">
        <w:t>)</w:t>
      </w:r>
      <w:r w:rsidRPr="00BF1128" w:rsidR="00BF1128">
        <w:rPr>
          <w:i/>
          <w:snapToGrid w:val="0"/>
          <w:kern w:val="28"/>
          <w:sz w:val="22"/>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w:t>
      </w:r>
      <w:r>
        <w:t xml:space="preserve">ITC-214-20110901-00289, </w:t>
      </w:r>
      <w:r w:rsidRPr="00C37B71">
        <w:t xml:space="preserve">Memorandum Opinion and Order, 34 FCC Rcd 3361, 3366, para. 9 (2019); </w:t>
      </w:r>
      <w:r w:rsidRPr="00C37B71">
        <w:rPr>
          <w:i/>
        </w:rPr>
        <w:t xml:space="preserve">Applications for Consent to the Assignment and/or Transfer of Control of Licenses,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to Time Warner Cable Inc. (</w:t>
      </w:r>
      <w:r>
        <w:rPr>
          <w:i/>
        </w:rPr>
        <w:t>S</w:t>
      </w:r>
      <w:r w:rsidRPr="00C37B71">
        <w:rPr>
          <w:i/>
        </w:rPr>
        <w:t xml:space="preserve">ubsidiaries), Assignees;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and Transferors et al</w:t>
      </w:r>
      <w:r w:rsidRPr="00C37B71">
        <w:t>., MB Docket No. 05-192, Memorandum Opinion and Order, 21 FCC Rcd 8203, 8219-21, paras. 27-28 (2006) (</w:t>
      </w:r>
      <w:r w:rsidRPr="00C37B71">
        <w:rPr>
          <w:i/>
          <w:iCs/>
        </w:rPr>
        <w:t>Adelphia-TWC Order</w:t>
      </w:r>
      <w:r w:rsidRPr="00C37B71">
        <w:t>))</w:t>
      </w:r>
      <w:r>
        <w:t>.</w:t>
      </w:r>
    </w:p>
  </w:footnote>
  <w:footnote w:id="19">
    <w:p w:rsidR="005B39B0" w:rsidRPr="00B83976" w:rsidP="00917EA3" w14:paraId="61FC6A5F" w14:textId="1AD34601">
      <w:pPr>
        <w:pStyle w:val="FootnoteText"/>
        <w:spacing w:after="120"/>
      </w:pPr>
      <w:r w:rsidRPr="00C37B71">
        <w:rPr>
          <w:rStyle w:val="FootnoteReference"/>
        </w:rPr>
        <w:footnoteRef/>
      </w:r>
      <w:r w:rsidRPr="00C37B71">
        <w:t xml:space="preserve"> </w:t>
      </w:r>
      <w:r w:rsidRPr="00C37B71">
        <w:rPr>
          <w:i/>
        </w:rPr>
        <w:t>See Verizon-TracFone Order</w:t>
      </w:r>
      <w:r w:rsidRPr="00C37B71">
        <w:rPr>
          <w:iCs/>
        </w:rPr>
        <w:t xml:space="preserve"> at</w:t>
      </w:r>
      <w:r w:rsidR="003F2B02">
        <w:rPr>
          <w:iCs/>
        </w:rPr>
        <w:t xml:space="preserve"> 16999</w:t>
      </w:r>
      <w:r>
        <w:rPr>
          <w:iCs/>
        </w:rPr>
        <w:t xml:space="preserve">, </w:t>
      </w:r>
      <w:r w:rsidRPr="00C37B71">
        <w:rPr>
          <w:iCs/>
        </w:rPr>
        <w:t xml:space="preserve">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(further citations omitted).</w:t>
      </w:r>
    </w:p>
  </w:footnote>
  <w:footnote w:id="20">
    <w:p w:rsidR="005B39B0" w:rsidRPr="0067092E" w:rsidP="00917EA3" w14:paraId="2B899CD9" w14:textId="0ED707B0">
      <w:pPr>
        <w:pStyle w:val="FootnoteText"/>
        <w:spacing w:after="120"/>
      </w:pPr>
      <w:r w:rsidRPr="00B83976">
        <w:rPr>
          <w:rStyle w:val="FootnoteReference"/>
        </w:rPr>
        <w:footnoteRef/>
      </w:r>
      <w:r w:rsidRPr="00B83976">
        <w:t xml:space="preserve"> </w:t>
      </w:r>
      <w:r>
        <w:rPr>
          <w:i/>
        </w:rPr>
        <w:t>See Verizon-TracFone Order</w:t>
      </w:r>
      <w:r>
        <w:rPr>
          <w:iCs/>
        </w:rPr>
        <w:t xml:space="preserve"> at </w:t>
      </w:r>
      <w:r w:rsidR="003F2B02">
        <w:rPr>
          <w:iCs/>
        </w:rPr>
        <w:t>16999</w:t>
      </w:r>
      <w:r>
        <w:rPr>
          <w:iCs/>
        </w:rPr>
        <w: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w:t>
      </w:r>
      <w:r w:rsidRPr="0067092E">
        <w:t xml:space="preserve">Docket No. 01-348, Hearing Designation Order, 17 FCC Rcd 20559, </w:t>
      </w:r>
      <w:r w:rsidRPr="0067092E">
        <w:rPr>
          <w:snapToGrid w:val="0"/>
        </w:rPr>
        <w:t>20574, para.</w:t>
      </w:r>
      <w:r w:rsidRPr="0067092E">
        <w:t xml:space="preserve"> 25 (2002)) </w:t>
      </w:r>
      <w:r w:rsidRPr="0067092E">
        <w:rPr>
          <w:iCs/>
        </w:rPr>
        <w:t>(further citations omitted)</w:t>
      </w:r>
      <w:r w:rsidRPr="0067092E">
        <w:t>.</w:t>
      </w:r>
    </w:p>
  </w:footnote>
  <w:footnote w:id="21">
    <w:p w:rsidR="00603315" w:rsidP="00E44E64" w14:paraId="119F53CA" w14:textId="6D230050">
      <w:pPr>
        <w:pStyle w:val="FootnoteText"/>
        <w:spacing w:after="120"/>
      </w:pPr>
      <w:r w:rsidRPr="0067092E">
        <w:rPr>
          <w:rStyle w:val="FootnoteReference"/>
        </w:rPr>
        <w:footnoteRef/>
      </w:r>
      <w:r w:rsidRPr="0067092E">
        <w:t xml:space="preserve"> July Supplement at 1. </w:t>
      </w:r>
      <w:r w:rsidRPr="0067092E" w:rsidR="00512CE7">
        <w:t xml:space="preserve"> </w:t>
      </w:r>
      <w:r w:rsidRPr="00917EA3" w:rsidR="00512CE7">
        <w:rPr>
          <w:bCs/>
        </w:rPr>
        <w:t xml:space="preserve">Additionally, neither Concept nor any of its affiliates or subsidiaries hold any domestic or international section 214(a) authorization or have a 10% or greater ownership interest in any other providers of domestic telecommunications services.  </w:t>
      </w:r>
      <w:r w:rsidRPr="00917EA3" w:rsidR="00512CE7">
        <w:rPr>
          <w:bCs/>
          <w:i/>
          <w:iCs/>
        </w:rPr>
        <w:t>Id.</w:t>
      </w:r>
      <w:r w:rsidRPr="00A72B77" w:rsidR="00512CE7">
        <w:rPr>
          <w:bCs/>
          <w:sz w:val="22"/>
          <w:szCs w:val="22"/>
        </w:rPr>
        <w:t xml:space="preserve"> </w:t>
      </w:r>
    </w:p>
  </w:footnote>
  <w:footnote w:id="22">
    <w:p w:rsidR="005B39B0" w:rsidP="00917EA3" w14:paraId="3EF45186" w14:textId="221A961E">
      <w:pPr>
        <w:pStyle w:val="FootnoteText"/>
        <w:spacing w:after="120"/>
      </w:pPr>
      <w:r>
        <w:rPr>
          <w:rStyle w:val="FootnoteReference"/>
        </w:rPr>
        <w:footnoteRef/>
      </w:r>
      <w:r>
        <w:t xml:space="preserve"> </w:t>
      </w:r>
      <w:r>
        <w:rPr>
          <w:i/>
          <w:iCs/>
        </w:rPr>
        <w:t>Id</w:t>
      </w:r>
      <w:r>
        <w:t>.</w:t>
      </w:r>
      <w:r w:rsidR="00AC3CC0">
        <w:t xml:space="preserve"> at </w:t>
      </w:r>
      <w:r w:rsidR="00594C50">
        <w:t>5-6</w:t>
      </w:r>
      <w:r>
        <w:t>.</w:t>
      </w:r>
    </w:p>
  </w:footnote>
  <w:footnote w:id="23">
    <w:p w:rsidR="000D3451" w:rsidRPr="000D3451" w:rsidP="00917EA3" w14:paraId="5781B24F" w14:textId="35CA5E78">
      <w:pPr>
        <w:pStyle w:val="FootnoteText"/>
        <w:spacing w:after="120"/>
      </w:pPr>
      <w:r>
        <w:rPr>
          <w:rStyle w:val="FootnoteReference"/>
        </w:rPr>
        <w:footnoteRef/>
      </w:r>
      <w:r>
        <w:t xml:space="preserve"> </w:t>
      </w:r>
      <w:r>
        <w:rPr>
          <w:i/>
          <w:iCs/>
        </w:rPr>
        <w:t>Id</w:t>
      </w:r>
      <w:r>
        <w:t>. at</w:t>
      </w:r>
      <w:r w:rsidR="001A4FC9">
        <w:t xml:space="preserve"> </w:t>
      </w:r>
      <w:r w:rsidR="00007E1F">
        <w:t>6</w:t>
      </w:r>
      <w:r w:rsidR="0045009F">
        <w:t xml:space="preserve">, </w:t>
      </w:r>
      <w:r w:rsidR="00AA4867">
        <w:t>10</w:t>
      </w:r>
      <w:r w:rsidR="00007E1F">
        <w:t>.</w:t>
      </w:r>
    </w:p>
  </w:footnote>
  <w:footnote w:id="24">
    <w:p w:rsidR="009B4733" w:rsidP="00917EA3" w14:paraId="5F76BFF6" w14:textId="77777777">
      <w:pPr>
        <w:pStyle w:val="FootnoteText"/>
        <w:spacing w:after="120"/>
      </w:pPr>
      <w:r>
        <w:rPr>
          <w:rStyle w:val="FootnoteReference"/>
        </w:rPr>
        <w:footnoteRef/>
      </w:r>
      <w:r>
        <w:t xml:space="preserve"> </w:t>
      </w:r>
      <w:r>
        <w:rPr>
          <w:i/>
          <w:iCs/>
        </w:rPr>
        <w:t>Id</w:t>
      </w:r>
      <w:r>
        <w:t>. at 10.</w:t>
      </w:r>
    </w:p>
  </w:footnote>
  <w:footnote w:id="25">
    <w:p w:rsidR="002B3BAC" w:rsidP="00917EA3" w14:paraId="32FC0593" w14:textId="72D6D9C8">
      <w:pPr>
        <w:pStyle w:val="FootnoteText"/>
        <w:spacing w:after="120"/>
      </w:pPr>
      <w:r>
        <w:rPr>
          <w:rStyle w:val="FootnoteReference"/>
        </w:rPr>
        <w:footnoteRef/>
      </w:r>
      <w:r>
        <w:t xml:space="preserve"> </w:t>
      </w:r>
      <w:r>
        <w:rPr>
          <w:i/>
          <w:iCs/>
        </w:rPr>
        <w:t>Id</w:t>
      </w:r>
      <w:r>
        <w:t xml:space="preserve">. </w:t>
      </w:r>
    </w:p>
  </w:footnote>
  <w:footnote w:id="26">
    <w:p w:rsidR="005B39B0" w:rsidRPr="00181971" w:rsidP="00917EA3" w14:paraId="10E9FA2E" w14:textId="14DD6A91">
      <w:pPr>
        <w:pStyle w:val="FootnoteText"/>
        <w:spacing w:after="120"/>
      </w:pPr>
      <w:r>
        <w:rPr>
          <w:rStyle w:val="FootnoteReference"/>
        </w:rPr>
        <w:footnoteRef/>
      </w:r>
      <w:r>
        <w:t xml:space="preserve"> </w:t>
      </w:r>
      <w:r>
        <w:rPr>
          <w:i/>
          <w:iCs/>
        </w:rPr>
        <w:t>Id</w:t>
      </w:r>
      <w:r>
        <w:t xml:space="preserve">.  </w:t>
      </w:r>
    </w:p>
  </w:footnote>
  <w:footnote w:id="27">
    <w:p w:rsidR="009323C9" w:rsidRPr="0088037D" w:rsidP="00917EA3" w14:paraId="4459DB2A" w14:textId="745DA449">
      <w:pPr>
        <w:pStyle w:val="FootnoteText"/>
        <w:spacing w:after="120"/>
      </w:pPr>
      <w:r>
        <w:rPr>
          <w:rStyle w:val="FootnoteReference"/>
        </w:rPr>
        <w:footnoteRef/>
      </w:r>
      <w:r>
        <w:t xml:space="preserve"> </w:t>
      </w:r>
      <w:r w:rsidR="0088037D">
        <w:rPr>
          <w:i/>
          <w:iCs/>
        </w:rPr>
        <w:t>Id</w:t>
      </w:r>
      <w:r w:rsidR="0088037D">
        <w:t xml:space="preserve">. </w:t>
      </w:r>
    </w:p>
  </w:footnote>
  <w:footnote w:id="28">
    <w:p w:rsidR="00F637CC" w:rsidP="00917EA3" w14:paraId="2859C736" w14:textId="2F728EDF">
      <w:pPr>
        <w:pStyle w:val="FootnoteText"/>
        <w:spacing w:after="120"/>
      </w:pPr>
      <w:r>
        <w:rPr>
          <w:rStyle w:val="FootnoteReference"/>
        </w:rPr>
        <w:footnoteRef/>
      </w:r>
      <w:r>
        <w:t xml:space="preserve"> </w:t>
      </w:r>
      <w:r>
        <w:rPr>
          <w:i/>
          <w:iCs/>
        </w:rPr>
        <w:t>Id</w:t>
      </w:r>
      <w:r>
        <w:t>.</w:t>
      </w:r>
    </w:p>
  </w:footnote>
  <w:footnote w:id="29">
    <w:p w:rsidR="005B39B0" w:rsidP="00917EA3" w14:paraId="63A51525" w14:textId="77777777">
      <w:pPr>
        <w:pStyle w:val="FootnoteText"/>
        <w:spacing w:after="120"/>
      </w:pPr>
      <w:r>
        <w:rPr>
          <w:rStyle w:val="FootnoteReference"/>
        </w:rPr>
        <w:footnoteRef/>
      </w:r>
      <w:r>
        <w:t xml:space="preserve"> </w:t>
      </w:r>
      <w:r w:rsidRPr="001005A4">
        <w:rPr>
          <w:i/>
          <w:iCs/>
        </w:rPr>
        <w:t>See AT&amp;T/DIRECTV Order</w:t>
      </w:r>
      <w:r>
        <w:t>, 30 FCC Rcd at 9237, paras. 273-74.</w:t>
      </w:r>
    </w:p>
  </w:footnote>
  <w:footnote w:id="30">
    <w:p w:rsidR="005B39B0" w:rsidP="00917EA3" w14:paraId="4F291245" w14:textId="77777777">
      <w:pPr>
        <w:pStyle w:val="FootnoteText"/>
        <w:spacing w:after="120"/>
      </w:pPr>
      <w:r>
        <w:rPr>
          <w:rStyle w:val="FootnoteReference"/>
        </w:rPr>
        <w:footnoteRef/>
      </w:r>
      <w:r>
        <w:t xml:space="preserve"> </w:t>
      </w:r>
      <w:r w:rsidRPr="00907911">
        <w:rPr>
          <w:i/>
          <w:iCs/>
        </w:rPr>
        <w:t>See id</w:t>
      </w:r>
      <w:r>
        <w:t xml:space="preserve">. </w:t>
      </w:r>
      <w:r w:rsidRPr="00907911">
        <w:t>at</w:t>
      </w:r>
      <w:r>
        <w:t xml:space="preserve"> 9237-38, paras. 275-76.</w:t>
      </w:r>
    </w:p>
  </w:footnote>
  <w:footnote w:id="31">
    <w:p w:rsidR="005B39B0" w:rsidP="00917EA3" w14:paraId="75AEB522" w14:textId="77777777">
      <w:pPr>
        <w:pStyle w:val="FootnoteText"/>
        <w:spacing w:after="120"/>
      </w:pPr>
      <w:r>
        <w:rPr>
          <w:rStyle w:val="FootnoteReference"/>
        </w:rPr>
        <w:footnoteRef/>
      </w:r>
      <w:r>
        <w:t xml:space="preserve"> </w:t>
      </w:r>
      <w:r w:rsidRPr="001005A4">
        <w:rPr>
          <w:i/>
          <w:iCs/>
        </w:rPr>
        <w:t xml:space="preserve">See </w:t>
      </w:r>
      <w:r>
        <w:rPr>
          <w:i/>
          <w:iCs/>
        </w:rPr>
        <w:t>id</w:t>
      </w:r>
      <w:r>
        <w:t>.</w:t>
      </w:r>
    </w:p>
  </w:footnote>
  <w:footnote w:id="32">
    <w:p w:rsidR="00AB0E00" w:rsidP="00917EA3" w14:paraId="4CAE4CB0" w14:textId="77777777">
      <w:pPr>
        <w:pStyle w:val="FootnoteText"/>
        <w:spacing w:after="120"/>
      </w:pPr>
      <w:r>
        <w:rPr>
          <w:rStyle w:val="FootnoteReference"/>
        </w:rPr>
        <w:footnoteRef/>
      </w:r>
      <w:r>
        <w:t xml:space="preserve"> </w:t>
      </w:r>
      <w:r>
        <w:rPr>
          <w:i/>
          <w:iCs/>
        </w:rPr>
        <w:t>Id</w:t>
      </w:r>
      <w:r>
        <w:t>. at 5-6.</w:t>
      </w:r>
    </w:p>
  </w:footnote>
  <w:footnote w:id="33">
    <w:p w:rsidR="00D343A6" w:rsidRPr="000D3451" w:rsidP="00917EA3" w14:paraId="470F07E4" w14:textId="77777777">
      <w:pPr>
        <w:pStyle w:val="FootnoteText"/>
        <w:spacing w:after="120"/>
      </w:pPr>
      <w:r>
        <w:rPr>
          <w:rStyle w:val="FootnoteReference"/>
        </w:rPr>
        <w:footnoteRef/>
      </w:r>
      <w:r>
        <w:t xml:space="preserve"> </w:t>
      </w:r>
      <w:r>
        <w:rPr>
          <w:i/>
          <w:iCs/>
        </w:rPr>
        <w:t>Id</w:t>
      </w:r>
      <w:r>
        <w:t>. at 6, 10.</w:t>
      </w:r>
    </w:p>
  </w:footnote>
  <w:footnote w:id="34">
    <w:p w:rsidR="005B39B0" w:rsidP="00917EA3" w14:paraId="13E2E264" w14:textId="11C56E41">
      <w:pPr>
        <w:pStyle w:val="FootnoteText"/>
        <w:spacing w:after="120"/>
      </w:pPr>
      <w:r>
        <w:rPr>
          <w:rStyle w:val="FootnoteReference"/>
        </w:rPr>
        <w:footnoteRef/>
      </w:r>
      <w:r>
        <w:t xml:space="preserve"> </w:t>
      </w:r>
      <w:r>
        <w:rPr>
          <w:i/>
          <w:iCs/>
        </w:rPr>
        <w:t>Id</w:t>
      </w:r>
      <w:r>
        <w:t xml:space="preserve">. at </w:t>
      </w:r>
      <w:r w:rsidR="00271ACA">
        <w:t>10</w:t>
      </w:r>
      <w:r>
        <w:t>.</w:t>
      </w:r>
    </w:p>
  </w:footnote>
  <w:footnote w:id="35">
    <w:p w:rsidR="005B39B0" w:rsidP="00917EA3" w14:paraId="0213E096" w14:textId="1BF16A54">
      <w:pPr>
        <w:pStyle w:val="FootnoteText"/>
        <w:spacing w:after="120"/>
      </w:pPr>
      <w:r>
        <w:rPr>
          <w:rStyle w:val="FootnoteReference"/>
        </w:rPr>
        <w:footnoteRef/>
      </w:r>
      <w:r>
        <w:t xml:space="preserve"> </w:t>
      </w:r>
      <w:r>
        <w:rPr>
          <w:i/>
          <w:iCs/>
        </w:rPr>
        <w:t>Id</w:t>
      </w:r>
      <w:r>
        <w:t>.</w:t>
      </w:r>
    </w:p>
  </w:footnote>
  <w:footnote w:id="36">
    <w:p w:rsidR="005B39B0" w:rsidP="00917EA3" w14:paraId="4F9B8E31" w14:textId="77777777">
      <w:pPr>
        <w:pStyle w:val="FootnoteText"/>
        <w:spacing w:after="120"/>
      </w:pPr>
      <w:r>
        <w:rPr>
          <w:rStyle w:val="FootnoteReference"/>
        </w:rPr>
        <w:footnoteRef/>
      </w:r>
      <w:r>
        <w:t xml:space="preserve"> </w:t>
      </w:r>
      <w:r w:rsidRPr="00B83976">
        <w:rPr>
          <w:i/>
          <w:iCs/>
        </w:rPr>
        <w:t>See</w:t>
      </w:r>
      <w:r>
        <w:rPr>
          <w:i/>
          <w:iCs/>
        </w:rPr>
        <w:t>, e.g.</w:t>
      </w:r>
      <w:r w:rsidRPr="004B012F">
        <w:t>,</w:t>
      </w:r>
      <w:r w:rsidRPr="00AE4642">
        <w:rPr>
          <w:i/>
          <w:iCs/>
        </w:rPr>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37">
    <w:p w:rsidR="005B39B0" w:rsidRPr="00956BCA" w:rsidP="00917EA3" w14:paraId="1DAAD462" w14:textId="77777777">
      <w:pPr>
        <w:pStyle w:val="FootnoteText"/>
        <w:spacing w:after="120"/>
      </w:pPr>
      <w:r w:rsidRPr="00B83976">
        <w:rPr>
          <w:rStyle w:val="FootnoteReference"/>
        </w:rPr>
        <w:footnoteRef/>
      </w:r>
      <w:r w:rsidRPr="00B83976">
        <w:t xml:space="preserve"> </w:t>
      </w:r>
      <w:r>
        <w:rPr>
          <w:i/>
        </w:rPr>
        <w:t>See Verizon-TracFone Order</w:t>
      </w:r>
      <w:r>
        <w:rPr>
          <w:iCs/>
        </w:rPr>
        <w:t xml:space="preserve"> at 9, para. 22 (citing </w:t>
      </w:r>
      <w:r w:rsidRPr="00B83976">
        <w:t xml:space="preserve">47 U.S.C. §§ 254, 332(c)(7), 1302; Telecommunications Act of 1996, Pub. L. No. 104-104, </w:t>
      </w:r>
      <w:r>
        <w:t xml:space="preserve">Preamble, </w:t>
      </w:r>
      <w:r w:rsidRPr="00B83976">
        <w:t xml:space="preserve">110 Stat. 56 (1996) (one purpose of the Act is to “accelerate rapidly </w:t>
      </w:r>
      <w:r w:rsidRPr="00956BCA">
        <w:t>private sector deployment of advanced telecommunications and information technologies and services”)).</w:t>
      </w:r>
    </w:p>
  </w:footnote>
  <w:footnote w:id="38">
    <w:p w:rsidR="005B39B0" w:rsidRPr="00536F7E" w:rsidP="00917EA3" w14:paraId="3DA27145" w14:textId="3930CAC2">
      <w:pPr>
        <w:pStyle w:val="FootnoteText"/>
        <w:spacing w:after="120"/>
      </w:pPr>
      <w:r w:rsidRPr="00536F7E">
        <w:rPr>
          <w:rStyle w:val="FootnoteReference"/>
        </w:rPr>
        <w:footnoteRef/>
      </w:r>
      <w:r w:rsidRPr="00536F7E">
        <w:t xml:space="preserve"> Application at</w:t>
      </w:r>
      <w:r w:rsidRPr="00536F7E" w:rsidR="00956BCA">
        <w:t xml:space="preserve"> 10.</w:t>
      </w:r>
    </w:p>
  </w:footnote>
  <w:footnote w:id="39">
    <w:p w:rsidR="005B39B0" w:rsidRPr="00EF1BF9" w:rsidP="00917EA3" w14:paraId="1BE02A5A" w14:textId="71E6C540">
      <w:pPr>
        <w:pStyle w:val="FootnoteText"/>
        <w:spacing w:after="120"/>
      </w:pPr>
      <w:r w:rsidRPr="00536F7E">
        <w:rPr>
          <w:rStyle w:val="FootnoteReference"/>
        </w:rPr>
        <w:footnoteRef/>
      </w:r>
      <w:r w:rsidRPr="00536F7E">
        <w:t xml:space="preserve"> </w:t>
      </w:r>
      <w:r w:rsidRPr="00536F7E">
        <w:rPr>
          <w:i/>
          <w:iCs/>
        </w:rPr>
        <w:t>Id</w:t>
      </w:r>
      <w:r w:rsidRPr="00536F7E" w:rsidR="00956BCA">
        <w:t>.</w:t>
      </w:r>
    </w:p>
  </w:footnote>
  <w:footnote w:id="40">
    <w:p w:rsidR="005B39B0" w:rsidRPr="00331967" w:rsidP="00917EA3" w14:paraId="01C580B6" w14:textId="561DE3F7">
      <w:pPr>
        <w:pStyle w:val="FootnoteText"/>
        <w:spacing w:after="120"/>
      </w:pPr>
      <w:r w:rsidRPr="00331967">
        <w:rPr>
          <w:rStyle w:val="FootnoteReference"/>
        </w:rPr>
        <w:footnoteRef/>
      </w:r>
      <w:r w:rsidRPr="00331967">
        <w:t xml:space="preserve"> </w:t>
      </w:r>
      <w:r w:rsidRPr="00331967">
        <w:rPr>
          <w:i/>
          <w:iCs/>
        </w:rPr>
        <w:t>See</w:t>
      </w:r>
      <w:r w:rsidRPr="00331967" w:rsidR="00331967">
        <w:rPr>
          <w:i/>
          <w:iCs/>
        </w:rPr>
        <w:t xml:space="preserve"> </w:t>
      </w:r>
      <w:r w:rsidRPr="00331967">
        <w:rPr>
          <w:i/>
          <w:iCs/>
        </w:rPr>
        <w:t>RDOF Public Notice</w:t>
      </w:r>
      <w:r w:rsidRPr="00331967">
        <w:t xml:space="preserve"> at </w:t>
      </w:r>
      <w:r w:rsidR="00CB56B8">
        <w:t>4897-</w:t>
      </w:r>
      <w:r w:rsidR="00267156">
        <w:t>4905</w:t>
      </w:r>
      <w:r w:rsidR="00267156">
        <w:rPr>
          <w:i/>
          <w:iCs/>
        </w:rPr>
        <w:t xml:space="preserve"> </w:t>
      </w:r>
      <w:r w:rsidRPr="00331967">
        <w:t xml:space="preserve">(listing obligations of authorized support recipients). </w:t>
      </w:r>
    </w:p>
  </w:footnote>
  <w:footnote w:id="41">
    <w:p w:rsidR="005B39B0" w:rsidP="00917EA3" w14:paraId="10E77A92" w14:textId="4421774B">
      <w:pPr>
        <w:pStyle w:val="FootnoteText"/>
        <w:spacing w:after="120"/>
      </w:pPr>
      <w:r w:rsidRPr="00331967">
        <w:rPr>
          <w:rStyle w:val="FootnoteReference"/>
        </w:rPr>
        <w:footnoteRef/>
      </w:r>
      <w:r w:rsidRPr="00331967">
        <w:t xml:space="preserve"> We direct Applicants to submit, within 30 days of closing the proposed transaction, a notice in WC Docket No. 2</w:t>
      </w:r>
      <w:r w:rsidRPr="00331967" w:rsidR="00B858FE">
        <w:t>3</w:t>
      </w:r>
      <w:r w:rsidRPr="00331967">
        <w:t>-2</w:t>
      </w:r>
      <w:r w:rsidRPr="00331967" w:rsidR="00B858FE">
        <w:t>22</w:t>
      </w:r>
      <w:r w:rsidRPr="00331967">
        <w:t xml:space="preserve"> that the proposed transaction has closed, with the consummation date, and also provide a courtesy copy of the notice to </w:t>
      </w:r>
      <w:hyperlink r:id="rId1" w:history="1">
        <w:r w:rsidRPr="00331967">
          <w:rPr>
            <w:rStyle w:val="Hyperlink"/>
          </w:rPr>
          <w:t>hcinfo@usac.org</w:t>
        </w:r>
      </w:hyperlink>
      <w:r w:rsidRPr="003319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BEBAC92" w14:textId="77777777">
    <w:pPr>
      <w:pStyle w:val="Header"/>
      <w:tabs>
        <w:tab w:val="clear" w:pos="4320"/>
        <w:tab w:val="clear" w:pos="8640"/>
      </w:tabs>
      <w:spacing w:before="40"/>
      <w:ind w:firstLine="1080"/>
      <w:rPr>
        <w:rFonts w:ascii="News Gothic MT" w:hAnsi="News Gothic MT"/>
        <w:b/>
        <w:kern w:val="28"/>
        <w:sz w:val="96"/>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sz w:val="22"/>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96CEE8C" w14:textId="77777777">
                <w:pPr>
                  <w:rPr>
                    <w:rFonts w:ascii="Arial" w:hAnsi="Arial"/>
                    <w:b/>
                  </w:rPr>
                </w:pPr>
                <w:r>
                  <w:rPr>
                    <w:rFonts w:ascii="Arial" w:hAnsi="Arial"/>
                    <w:b/>
                  </w:rPr>
                  <w:t>Federal Communications Commission</w:t>
                </w:r>
              </w:p>
              <w:p w:rsidR="005E21F5" w14:paraId="63086991" w14:textId="77777777">
                <w:pPr>
                  <w:rPr>
                    <w:rFonts w:ascii="Arial" w:hAnsi="Arial"/>
                    <w:b/>
                  </w:rPr>
                </w:pPr>
                <w:r>
                  <w:rPr>
                    <w:rFonts w:ascii="Arial" w:hAnsi="Arial"/>
                    <w:b/>
                  </w:rPr>
                  <w:t>45 L St., N.E.</w:t>
                </w:r>
              </w:p>
              <w:p w:rsidR="005E21F5" w14:paraId="54C6D17E"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rsidRPr="002421D1" w:rsidP="002421D1" w14:paraId="496EA9F1" w14:textId="6DE82C18">
    <w:pPr>
      <w:pStyle w:val="Header"/>
      <w:tabs>
        <w:tab w:val="left" w:pos="1080"/>
        <w:tab w:val="clear" w:pos="4320"/>
        <w:tab w:val="clear" w:pos="8640"/>
      </w:tabs>
      <w:spacing w:line="1120" w:lineRule="exact"/>
      <w:ind w:left="720"/>
      <w:rPr>
        <w:rFonts w:ascii="Arial" w:hAnsi="Arial"/>
        <w:b/>
        <w:sz w:val="28"/>
      </w:rPr>
    </w:pPr>
    <w:r>
      <w:rPr>
        <w:noProof/>
        <w:sz w:val="22"/>
      </w:rPr>
      <w:pict>
        <v:line id="Line 2" o:spid="_x0000_s2051" style="position:absolute;visibility:visible;z-index:251659264" from="0,54.95pt" to="540pt,55.15pt" o:allowincell="f"/>
      </w:pict>
    </w:r>
    <w:r>
      <w:rPr>
        <w:noProof/>
        <w:sz w:val="22"/>
      </w:rPr>
      <w:pict>
        <v:shape id="Text Box 3" o:spid="_x0000_s2052" type="#_x0000_t202" style="width:207.95pt;height:43.2pt;margin-top:10.25pt;margin-left:336.7pt;position:absolute;visibility:visible;z-index:251660288" o:allowincell="f" stroked="f">
          <v:textbox inset=",0,,0">
            <w:txbxContent>
              <w:p w:rsidR="005E21F5" w14:paraId="72530686" w14:textId="77777777">
                <w:pPr>
                  <w:spacing w:before="40"/>
                  <w:jc w:val="right"/>
                  <w:rPr>
                    <w:rFonts w:ascii="Arial" w:hAnsi="Arial"/>
                    <w:b/>
                    <w:sz w:val="16"/>
                  </w:rPr>
                </w:pPr>
                <w:r>
                  <w:rPr>
                    <w:rFonts w:ascii="Arial" w:hAnsi="Arial"/>
                    <w:b/>
                    <w:sz w:val="16"/>
                  </w:rPr>
                  <w:t>News Media Information 202 / 418-0500</w:t>
                </w:r>
              </w:p>
              <w:p w:rsidR="005E21F5" w14:paraId="762E3C0F"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66C3158A" w14:textId="77777777">
                <w:pPr>
                  <w:jc w:val="right"/>
                  <w:rPr>
                    <w:rFonts w:ascii="Arial" w:hAnsi="Arial"/>
                    <w:b/>
                    <w:sz w:val="16"/>
                  </w:rPr>
                </w:pPr>
              </w:p>
              <w:p w:rsidR="005E21F5" w14:paraId="651E4657" w14:textId="77777777">
                <w:pPr>
                  <w:jc w:val="right"/>
                  <w:rPr>
                    <w:rFonts w:ascii="Arial" w:hAnsi="Arial"/>
                    <w:b/>
                    <w:sz w:val="16"/>
                  </w:rPr>
                </w:pPr>
              </w:p>
              <w:p w:rsidR="005E21F5" w14:paraId="557D776F" w14:textId="77777777">
                <w:pPr>
                  <w:jc w:val="right"/>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616877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53E2"/>
    <w:rsid w:val="00005517"/>
    <w:rsid w:val="000063F9"/>
    <w:rsid w:val="000064CD"/>
    <w:rsid w:val="00007E1F"/>
    <w:rsid w:val="0001023F"/>
    <w:rsid w:val="000103C1"/>
    <w:rsid w:val="0001135F"/>
    <w:rsid w:val="0001280D"/>
    <w:rsid w:val="00012E14"/>
    <w:rsid w:val="00015C00"/>
    <w:rsid w:val="0001608E"/>
    <w:rsid w:val="000173AE"/>
    <w:rsid w:val="00017A3A"/>
    <w:rsid w:val="00020B12"/>
    <w:rsid w:val="00020FC6"/>
    <w:rsid w:val="00021FCD"/>
    <w:rsid w:val="0002354E"/>
    <w:rsid w:val="00024494"/>
    <w:rsid w:val="0002566C"/>
    <w:rsid w:val="00025A42"/>
    <w:rsid w:val="00026F70"/>
    <w:rsid w:val="00027342"/>
    <w:rsid w:val="0003099A"/>
    <w:rsid w:val="00031C8B"/>
    <w:rsid w:val="00032A4A"/>
    <w:rsid w:val="000330E3"/>
    <w:rsid w:val="00034BF2"/>
    <w:rsid w:val="00035419"/>
    <w:rsid w:val="00035CA1"/>
    <w:rsid w:val="00035F32"/>
    <w:rsid w:val="00040610"/>
    <w:rsid w:val="00040B01"/>
    <w:rsid w:val="00040BA0"/>
    <w:rsid w:val="00040DAF"/>
    <w:rsid w:val="00040F6C"/>
    <w:rsid w:val="00041B38"/>
    <w:rsid w:val="00041C01"/>
    <w:rsid w:val="00043692"/>
    <w:rsid w:val="0004575B"/>
    <w:rsid w:val="0004648D"/>
    <w:rsid w:val="00047439"/>
    <w:rsid w:val="00050A3A"/>
    <w:rsid w:val="0005245A"/>
    <w:rsid w:val="000534AC"/>
    <w:rsid w:val="00055AB3"/>
    <w:rsid w:val="00056476"/>
    <w:rsid w:val="000575E7"/>
    <w:rsid w:val="00057881"/>
    <w:rsid w:val="00057E12"/>
    <w:rsid w:val="00060124"/>
    <w:rsid w:val="000629CF"/>
    <w:rsid w:val="000639C7"/>
    <w:rsid w:val="00063C8B"/>
    <w:rsid w:val="00063CA5"/>
    <w:rsid w:val="00064092"/>
    <w:rsid w:val="00064C7D"/>
    <w:rsid w:val="000656F9"/>
    <w:rsid w:val="0006624C"/>
    <w:rsid w:val="00066D12"/>
    <w:rsid w:val="000677D9"/>
    <w:rsid w:val="00067DAE"/>
    <w:rsid w:val="0007122D"/>
    <w:rsid w:val="000721D3"/>
    <w:rsid w:val="00073173"/>
    <w:rsid w:val="000735C8"/>
    <w:rsid w:val="00075703"/>
    <w:rsid w:val="00075D57"/>
    <w:rsid w:val="000762B4"/>
    <w:rsid w:val="00077E64"/>
    <w:rsid w:val="00080F60"/>
    <w:rsid w:val="00082503"/>
    <w:rsid w:val="0008381D"/>
    <w:rsid w:val="00084C81"/>
    <w:rsid w:val="00085611"/>
    <w:rsid w:val="00086D16"/>
    <w:rsid w:val="00087205"/>
    <w:rsid w:val="00087B24"/>
    <w:rsid w:val="00091446"/>
    <w:rsid w:val="00092A4E"/>
    <w:rsid w:val="000946FB"/>
    <w:rsid w:val="0009534A"/>
    <w:rsid w:val="00097AB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27C1"/>
    <w:rsid w:val="000C7CA4"/>
    <w:rsid w:val="000C7D3D"/>
    <w:rsid w:val="000D1A67"/>
    <w:rsid w:val="000D2383"/>
    <w:rsid w:val="000D3451"/>
    <w:rsid w:val="000D3A8B"/>
    <w:rsid w:val="000D7E4D"/>
    <w:rsid w:val="000E082E"/>
    <w:rsid w:val="000E14B7"/>
    <w:rsid w:val="000E1546"/>
    <w:rsid w:val="000E35A7"/>
    <w:rsid w:val="000E4938"/>
    <w:rsid w:val="000E538C"/>
    <w:rsid w:val="000E5955"/>
    <w:rsid w:val="000F02F7"/>
    <w:rsid w:val="000F233E"/>
    <w:rsid w:val="000F37E1"/>
    <w:rsid w:val="000F467E"/>
    <w:rsid w:val="000F5E94"/>
    <w:rsid w:val="001005A4"/>
    <w:rsid w:val="00100ED3"/>
    <w:rsid w:val="001019E2"/>
    <w:rsid w:val="00101D0B"/>
    <w:rsid w:val="00106F5A"/>
    <w:rsid w:val="001150BA"/>
    <w:rsid w:val="0011590C"/>
    <w:rsid w:val="0011599F"/>
    <w:rsid w:val="00116026"/>
    <w:rsid w:val="00117529"/>
    <w:rsid w:val="00117D06"/>
    <w:rsid w:val="00120AEF"/>
    <w:rsid w:val="001226CB"/>
    <w:rsid w:val="0012329A"/>
    <w:rsid w:val="0012437D"/>
    <w:rsid w:val="001247D9"/>
    <w:rsid w:val="00126DDB"/>
    <w:rsid w:val="00131952"/>
    <w:rsid w:val="00132529"/>
    <w:rsid w:val="0013405D"/>
    <w:rsid w:val="00134FFC"/>
    <w:rsid w:val="00135583"/>
    <w:rsid w:val="001356E5"/>
    <w:rsid w:val="00135910"/>
    <w:rsid w:val="00135941"/>
    <w:rsid w:val="00136203"/>
    <w:rsid w:val="0014084C"/>
    <w:rsid w:val="00140FAF"/>
    <w:rsid w:val="00141388"/>
    <w:rsid w:val="00141C81"/>
    <w:rsid w:val="00142ED5"/>
    <w:rsid w:val="001449F9"/>
    <w:rsid w:val="00144E61"/>
    <w:rsid w:val="001470F0"/>
    <w:rsid w:val="001474FD"/>
    <w:rsid w:val="0015118F"/>
    <w:rsid w:val="001513B4"/>
    <w:rsid w:val="00151559"/>
    <w:rsid w:val="0015217F"/>
    <w:rsid w:val="00152CF6"/>
    <w:rsid w:val="00153208"/>
    <w:rsid w:val="001533E9"/>
    <w:rsid w:val="001538C4"/>
    <w:rsid w:val="001551A7"/>
    <w:rsid w:val="00155AD1"/>
    <w:rsid w:val="00155CC3"/>
    <w:rsid w:val="00156EA3"/>
    <w:rsid w:val="0016127B"/>
    <w:rsid w:val="00161A99"/>
    <w:rsid w:val="00165FDC"/>
    <w:rsid w:val="00171181"/>
    <w:rsid w:val="001736D0"/>
    <w:rsid w:val="00176BD0"/>
    <w:rsid w:val="00181971"/>
    <w:rsid w:val="0018581D"/>
    <w:rsid w:val="00187617"/>
    <w:rsid w:val="00190745"/>
    <w:rsid w:val="001916C0"/>
    <w:rsid w:val="00193234"/>
    <w:rsid w:val="001947E9"/>
    <w:rsid w:val="00194E1E"/>
    <w:rsid w:val="00195951"/>
    <w:rsid w:val="001A00A7"/>
    <w:rsid w:val="001A1BA0"/>
    <w:rsid w:val="001A2DFA"/>
    <w:rsid w:val="001A3813"/>
    <w:rsid w:val="001A3E67"/>
    <w:rsid w:val="001A47EC"/>
    <w:rsid w:val="001A4FC9"/>
    <w:rsid w:val="001A5568"/>
    <w:rsid w:val="001B1B08"/>
    <w:rsid w:val="001B1DAB"/>
    <w:rsid w:val="001B1E25"/>
    <w:rsid w:val="001B2C26"/>
    <w:rsid w:val="001B2D7C"/>
    <w:rsid w:val="001B2FBB"/>
    <w:rsid w:val="001B4C2F"/>
    <w:rsid w:val="001B5141"/>
    <w:rsid w:val="001B57A4"/>
    <w:rsid w:val="001B607D"/>
    <w:rsid w:val="001B6627"/>
    <w:rsid w:val="001B69F9"/>
    <w:rsid w:val="001B6EFA"/>
    <w:rsid w:val="001C0B0C"/>
    <w:rsid w:val="001C16E8"/>
    <w:rsid w:val="001C2314"/>
    <w:rsid w:val="001C372A"/>
    <w:rsid w:val="001C3C98"/>
    <w:rsid w:val="001C5D07"/>
    <w:rsid w:val="001C71AA"/>
    <w:rsid w:val="001C78FB"/>
    <w:rsid w:val="001C7CD1"/>
    <w:rsid w:val="001D10A0"/>
    <w:rsid w:val="001D21AD"/>
    <w:rsid w:val="001D24A7"/>
    <w:rsid w:val="001D3F27"/>
    <w:rsid w:val="001D521C"/>
    <w:rsid w:val="001D74E1"/>
    <w:rsid w:val="001E0E2B"/>
    <w:rsid w:val="001E1210"/>
    <w:rsid w:val="001E16CA"/>
    <w:rsid w:val="001E17F4"/>
    <w:rsid w:val="001E2274"/>
    <w:rsid w:val="001E382D"/>
    <w:rsid w:val="001E659B"/>
    <w:rsid w:val="001E7604"/>
    <w:rsid w:val="001F024C"/>
    <w:rsid w:val="001F136E"/>
    <w:rsid w:val="001F1508"/>
    <w:rsid w:val="001F33B5"/>
    <w:rsid w:val="001F4ACC"/>
    <w:rsid w:val="001F5124"/>
    <w:rsid w:val="001F6762"/>
    <w:rsid w:val="0020342F"/>
    <w:rsid w:val="002057AC"/>
    <w:rsid w:val="0020603F"/>
    <w:rsid w:val="002073D2"/>
    <w:rsid w:val="00207926"/>
    <w:rsid w:val="00210341"/>
    <w:rsid w:val="002106D5"/>
    <w:rsid w:val="00210914"/>
    <w:rsid w:val="00211CCB"/>
    <w:rsid w:val="00213D04"/>
    <w:rsid w:val="00214441"/>
    <w:rsid w:val="00214CE3"/>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11B0"/>
    <w:rsid w:val="002344E7"/>
    <w:rsid w:val="00234F46"/>
    <w:rsid w:val="0023676D"/>
    <w:rsid w:val="002368C4"/>
    <w:rsid w:val="00240B49"/>
    <w:rsid w:val="00241CB2"/>
    <w:rsid w:val="002421D1"/>
    <w:rsid w:val="0024326F"/>
    <w:rsid w:val="00251665"/>
    <w:rsid w:val="002519DF"/>
    <w:rsid w:val="0025247F"/>
    <w:rsid w:val="00253247"/>
    <w:rsid w:val="00253616"/>
    <w:rsid w:val="00253AB2"/>
    <w:rsid w:val="00254C0B"/>
    <w:rsid w:val="00255351"/>
    <w:rsid w:val="00257DD2"/>
    <w:rsid w:val="002606A8"/>
    <w:rsid w:val="0026090D"/>
    <w:rsid w:val="00262C25"/>
    <w:rsid w:val="00262E65"/>
    <w:rsid w:val="00263433"/>
    <w:rsid w:val="0026356E"/>
    <w:rsid w:val="00264344"/>
    <w:rsid w:val="00266135"/>
    <w:rsid w:val="002666BC"/>
    <w:rsid w:val="00266D63"/>
    <w:rsid w:val="00267156"/>
    <w:rsid w:val="002676B9"/>
    <w:rsid w:val="00267BF2"/>
    <w:rsid w:val="00271ACA"/>
    <w:rsid w:val="00272142"/>
    <w:rsid w:val="00280873"/>
    <w:rsid w:val="00280FCE"/>
    <w:rsid w:val="00281053"/>
    <w:rsid w:val="0028149F"/>
    <w:rsid w:val="00282C9D"/>
    <w:rsid w:val="0028397D"/>
    <w:rsid w:val="0028534C"/>
    <w:rsid w:val="0028555C"/>
    <w:rsid w:val="00286187"/>
    <w:rsid w:val="00287432"/>
    <w:rsid w:val="00287FB9"/>
    <w:rsid w:val="0029098D"/>
    <w:rsid w:val="002923BD"/>
    <w:rsid w:val="0029337C"/>
    <w:rsid w:val="00295074"/>
    <w:rsid w:val="00295691"/>
    <w:rsid w:val="00297F1D"/>
    <w:rsid w:val="002A0210"/>
    <w:rsid w:val="002A1D13"/>
    <w:rsid w:val="002A30D9"/>
    <w:rsid w:val="002A7BD3"/>
    <w:rsid w:val="002B073C"/>
    <w:rsid w:val="002B0B1E"/>
    <w:rsid w:val="002B16FA"/>
    <w:rsid w:val="002B1948"/>
    <w:rsid w:val="002B1EF7"/>
    <w:rsid w:val="002B26A1"/>
    <w:rsid w:val="002B34DB"/>
    <w:rsid w:val="002B3BAC"/>
    <w:rsid w:val="002B430C"/>
    <w:rsid w:val="002B58DE"/>
    <w:rsid w:val="002B5D0C"/>
    <w:rsid w:val="002B5DD4"/>
    <w:rsid w:val="002B6B43"/>
    <w:rsid w:val="002B705C"/>
    <w:rsid w:val="002B7287"/>
    <w:rsid w:val="002C0122"/>
    <w:rsid w:val="002C0339"/>
    <w:rsid w:val="002C1AA9"/>
    <w:rsid w:val="002C203E"/>
    <w:rsid w:val="002C22F3"/>
    <w:rsid w:val="002C27F4"/>
    <w:rsid w:val="002C3819"/>
    <w:rsid w:val="002C3F26"/>
    <w:rsid w:val="002C6659"/>
    <w:rsid w:val="002D09E2"/>
    <w:rsid w:val="002D0D5C"/>
    <w:rsid w:val="002D11BE"/>
    <w:rsid w:val="002D16A6"/>
    <w:rsid w:val="002D1D90"/>
    <w:rsid w:val="002D4A00"/>
    <w:rsid w:val="002D4CB4"/>
    <w:rsid w:val="002D65CC"/>
    <w:rsid w:val="002D6B25"/>
    <w:rsid w:val="002D6F61"/>
    <w:rsid w:val="002E08AD"/>
    <w:rsid w:val="002E0BAF"/>
    <w:rsid w:val="002E28F5"/>
    <w:rsid w:val="002E2A6F"/>
    <w:rsid w:val="002E363F"/>
    <w:rsid w:val="002E4851"/>
    <w:rsid w:val="002E4894"/>
    <w:rsid w:val="002E61A2"/>
    <w:rsid w:val="002F2901"/>
    <w:rsid w:val="002F2B0F"/>
    <w:rsid w:val="002F4E17"/>
    <w:rsid w:val="002F5F38"/>
    <w:rsid w:val="002F6B6F"/>
    <w:rsid w:val="00303480"/>
    <w:rsid w:val="0030523C"/>
    <w:rsid w:val="00305D86"/>
    <w:rsid w:val="00306AAD"/>
    <w:rsid w:val="0031155D"/>
    <w:rsid w:val="0031156F"/>
    <w:rsid w:val="00312CE1"/>
    <w:rsid w:val="00313546"/>
    <w:rsid w:val="00315BA9"/>
    <w:rsid w:val="00315D50"/>
    <w:rsid w:val="00315FCD"/>
    <w:rsid w:val="0031636F"/>
    <w:rsid w:val="0031639D"/>
    <w:rsid w:val="0031702A"/>
    <w:rsid w:val="00321F97"/>
    <w:rsid w:val="00325988"/>
    <w:rsid w:val="00325E35"/>
    <w:rsid w:val="0032625B"/>
    <w:rsid w:val="0032678E"/>
    <w:rsid w:val="00331967"/>
    <w:rsid w:val="003319C4"/>
    <w:rsid w:val="00333792"/>
    <w:rsid w:val="003344B9"/>
    <w:rsid w:val="00334E5E"/>
    <w:rsid w:val="00334E6C"/>
    <w:rsid w:val="003357F4"/>
    <w:rsid w:val="0033631D"/>
    <w:rsid w:val="00336C69"/>
    <w:rsid w:val="00340881"/>
    <w:rsid w:val="003416E5"/>
    <w:rsid w:val="00345CA2"/>
    <w:rsid w:val="00346DB3"/>
    <w:rsid w:val="003471AE"/>
    <w:rsid w:val="003479C9"/>
    <w:rsid w:val="00351689"/>
    <w:rsid w:val="00351D1D"/>
    <w:rsid w:val="00353CB5"/>
    <w:rsid w:val="0035466D"/>
    <w:rsid w:val="0035476F"/>
    <w:rsid w:val="003551F3"/>
    <w:rsid w:val="0035611F"/>
    <w:rsid w:val="0035663A"/>
    <w:rsid w:val="003570A6"/>
    <w:rsid w:val="00360A78"/>
    <w:rsid w:val="003632CF"/>
    <w:rsid w:val="00364590"/>
    <w:rsid w:val="00364DFB"/>
    <w:rsid w:val="00365194"/>
    <w:rsid w:val="00366BC6"/>
    <w:rsid w:val="00367E50"/>
    <w:rsid w:val="00370A7F"/>
    <w:rsid w:val="00371142"/>
    <w:rsid w:val="00371923"/>
    <w:rsid w:val="00372CA2"/>
    <w:rsid w:val="003768D4"/>
    <w:rsid w:val="0037705C"/>
    <w:rsid w:val="00377839"/>
    <w:rsid w:val="003811C7"/>
    <w:rsid w:val="003817EB"/>
    <w:rsid w:val="00384DEA"/>
    <w:rsid w:val="003855A0"/>
    <w:rsid w:val="003870EF"/>
    <w:rsid w:val="00387294"/>
    <w:rsid w:val="003879D0"/>
    <w:rsid w:val="00387BBE"/>
    <w:rsid w:val="0039175A"/>
    <w:rsid w:val="00393786"/>
    <w:rsid w:val="00395294"/>
    <w:rsid w:val="003954A4"/>
    <w:rsid w:val="00395A7A"/>
    <w:rsid w:val="00396D92"/>
    <w:rsid w:val="003A0227"/>
    <w:rsid w:val="003A04F5"/>
    <w:rsid w:val="003A0E99"/>
    <w:rsid w:val="003A18A0"/>
    <w:rsid w:val="003A1DFF"/>
    <w:rsid w:val="003A253D"/>
    <w:rsid w:val="003A2BEF"/>
    <w:rsid w:val="003A2CE0"/>
    <w:rsid w:val="003A37AE"/>
    <w:rsid w:val="003A580D"/>
    <w:rsid w:val="003A6B1D"/>
    <w:rsid w:val="003A7B39"/>
    <w:rsid w:val="003B0073"/>
    <w:rsid w:val="003B01B9"/>
    <w:rsid w:val="003B08F2"/>
    <w:rsid w:val="003B0D22"/>
    <w:rsid w:val="003B26B4"/>
    <w:rsid w:val="003B3E60"/>
    <w:rsid w:val="003B43C3"/>
    <w:rsid w:val="003B5CEE"/>
    <w:rsid w:val="003C18DA"/>
    <w:rsid w:val="003C2000"/>
    <w:rsid w:val="003C23FE"/>
    <w:rsid w:val="003C3E8C"/>
    <w:rsid w:val="003C43FA"/>
    <w:rsid w:val="003C4A02"/>
    <w:rsid w:val="003C5416"/>
    <w:rsid w:val="003C7229"/>
    <w:rsid w:val="003D08F3"/>
    <w:rsid w:val="003D0E6A"/>
    <w:rsid w:val="003D0F71"/>
    <w:rsid w:val="003D0F8F"/>
    <w:rsid w:val="003D40EC"/>
    <w:rsid w:val="003D4F94"/>
    <w:rsid w:val="003D4FC7"/>
    <w:rsid w:val="003D50D4"/>
    <w:rsid w:val="003D57B9"/>
    <w:rsid w:val="003D74D9"/>
    <w:rsid w:val="003E0297"/>
    <w:rsid w:val="003E14F3"/>
    <w:rsid w:val="003E1784"/>
    <w:rsid w:val="003E187A"/>
    <w:rsid w:val="003E2442"/>
    <w:rsid w:val="003E28FD"/>
    <w:rsid w:val="003E3AD7"/>
    <w:rsid w:val="003E5630"/>
    <w:rsid w:val="003E58EC"/>
    <w:rsid w:val="003E6571"/>
    <w:rsid w:val="003F0ECD"/>
    <w:rsid w:val="003F16BE"/>
    <w:rsid w:val="003F1D04"/>
    <w:rsid w:val="003F2B02"/>
    <w:rsid w:val="003F2CD4"/>
    <w:rsid w:val="003F398A"/>
    <w:rsid w:val="003F58EA"/>
    <w:rsid w:val="003F6203"/>
    <w:rsid w:val="00401926"/>
    <w:rsid w:val="00401B7B"/>
    <w:rsid w:val="004045FC"/>
    <w:rsid w:val="0040580F"/>
    <w:rsid w:val="004076BA"/>
    <w:rsid w:val="004077D0"/>
    <w:rsid w:val="004124D8"/>
    <w:rsid w:val="00412C94"/>
    <w:rsid w:val="00417052"/>
    <w:rsid w:val="00417A68"/>
    <w:rsid w:val="00420995"/>
    <w:rsid w:val="004209F1"/>
    <w:rsid w:val="00422B16"/>
    <w:rsid w:val="0042593D"/>
    <w:rsid w:val="00425FAF"/>
    <w:rsid w:val="00425FF2"/>
    <w:rsid w:val="0042603C"/>
    <w:rsid w:val="004272E4"/>
    <w:rsid w:val="00430AC0"/>
    <w:rsid w:val="00430E1C"/>
    <w:rsid w:val="00431E30"/>
    <w:rsid w:val="004331D7"/>
    <w:rsid w:val="00433D8C"/>
    <w:rsid w:val="0043434B"/>
    <w:rsid w:val="00434899"/>
    <w:rsid w:val="00434C96"/>
    <w:rsid w:val="004354F6"/>
    <w:rsid w:val="0043596D"/>
    <w:rsid w:val="00436B4A"/>
    <w:rsid w:val="00437CB8"/>
    <w:rsid w:val="0044009A"/>
    <w:rsid w:val="00440989"/>
    <w:rsid w:val="00440E79"/>
    <w:rsid w:val="004435EE"/>
    <w:rsid w:val="00444548"/>
    <w:rsid w:val="00446342"/>
    <w:rsid w:val="004477C9"/>
    <w:rsid w:val="0045009F"/>
    <w:rsid w:val="004503EA"/>
    <w:rsid w:val="00452843"/>
    <w:rsid w:val="00453514"/>
    <w:rsid w:val="0045717F"/>
    <w:rsid w:val="00457574"/>
    <w:rsid w:val="00460914"/>
    <w:rsid w:val="004609A4"/>
    <w:rsid w:val="004626EA"/>
    <w:rsid w:val="00462D8F"/>
    <w:rsid w:val="00464B40"/>
    <w:rsid w:val="00464B4D"/>
    <w:rsid w:val="00464E8A"/>
    <w:rsid w:val="00465520"/>
    <w:rsid w:val="00466B9F"/>
    <w:rsid w:val="00466E9C"/>
    <w:rsid w:val="00473955"/>
    <w:rsid w:val="00476EFB"/>
    <w:rsid w:val="00477C43"/>
    <w:rsid w:val="004808FC"/>
    <w:rsid w:val="00480C0A"/>
    <w:rsid w:val="00482EB0"/>
    <w:rsid w:val="00483B1B"/>
    <w:rsid w:val="00485BBB"/>
    <w:rsid w:val="00485D13"/>
    <w:rsid w:val="00490F6A"/>
    <w:rsid w:val="004913FF"/>
    <w:rsid w:val="00492290"/>
    <w:rsid w:val="00492A28"/>
    <w:rsid w:val="004931EB"/>
    <w:rsid w:val="004951AE"/>
    <w:rsid w:val="004A2142"/>
    <w:rsid w:val="004A3A3C"/>
    <w:rsid w:val="004A4D05"/>
    <w:rsid w:val="004A51C9"/>
    <w:rsid w:val="004A59CA"/>
    <w:rsid w:val="004A684C"/>
    <w:rsid w:val="004A7357"/>
    <w:rsid w:val="004A7BAA"/>
    <w:rsid w:val="004A7E1B"/>
    <w:rsid w:val="004B012F"/>
    <w:rsid w:val="004B24F3"/>
    <w:rsid w:val="004B49CC"/>
    <w:rsid w:val="004B666C"/>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3043"/>
    <w:rsid w:val="004E5AE8"/>
    <w:rsid w:val="004E6AC6"/>
    <w:rsid w:val="004E6D9E"/>
    <w:rsid w:val="004E718B"/>
    <w:rsid w:val="004E74EE"/>
    <w:rsid w:val="004F0DA8"/>
    <w:rsid w:val="004F1C11"/>
    <w:rsid w:val="004F2447"/>
    <w:rsid w:val="004F260B"/>
    <w:rsid w:val="004F2D3B"/>
    <w:rsid w:val="004F3603"/>
    <w:rsid w:val="004F3CEC"/>
    <w:rsid w:val="004F515D"/>
    <w:rsid w:val="004F686B"/>
    <w:rsid w:val="004F6F64"/>
    <w:rsid w:val="004F70FA"/>
    <w:rsid w:val="004F7649"/>
    <w:rsid w:val="00500BD0"/>
    <w:rsid w:val="00501D17"/>
    <w:rsid w:val="00501F06"/>
    <w:rsid w:val="005039B2"/>
    <w:rsid w:val="00504505"/>
    <w:rsid w:val="00504BF5"/>
    <w:rsid w:val="00505DA1"/>
    <w:rsid w:val="0050614C"/>
    <w:rsid w:val="005107DF"/>
    <w:rsid w:val="005127A9"/>
    <w:rsid w:val="00512CE7"/>
    <w:rsid w:val="0051681C"/>
    <w:rsid w:val="00517620"/>
    <w:rsid w:val="00520F5F"/>
    <w:rsid w:val="00521A97"/>
    <w:rsid w:val="00521FBD"/>
    <w:rsid w:val="005226C6"/>
    <w:rsid w:val="00522D66"/>
    <w:rsid w:val="00524768"/>
    <w:rsid w:val="00524C68"/>
    <w:rsid w:val="00524D79"/>
    <w:rsid w:val="00526561"/>
    <w:rsid w:val="005273AB"/>
    <w:rsid w:val="00531F24"/>
    <w:rsid w:val="005320B5"/>
    <w:rsid w:val="005336D7"/>
    <w:rsid w:val="00533917"/>
    <w:rsid w:val="00533E5A"/>
    <w:rsid w:val="00535877"/>
    <w:rsid w:val="005361EA"/>
    <w:rsid w:val="00536ED2"/>
    <w:rsid w:val="00536F7E"/>
    <w:rsid w:val="0053732F"/>
    <w:rsid w:val="005400AA"/>
    <w:rsid w:val="00540E25"/>
    <w:rsid w:val="00541D22"/>
    <w:rsid w:val="005424F4"/>
    <w:rsid w:val="005431A6"/>
    <w:rsid w:val="0054479A"/>
    <w:rsid w:val="00545B46"/>
    <w:rsid w:val="0054677E"/>
    <w:rsid w:val="005470C1"/>
    <w:rsid w:val="005473A6"/>
    <w:rsid w:val="005505CE"/>
    <w:rsid w:val="00551202"/>
    <w:rsid w:val="00551ADB"/>
    <w:rsid w:val="005524B6"/>
    <w:rsid w:val="00554D90"/>
    <w:rsid w:val="00554E17"/>
    <w:rsid w:val="0055505D"/>
    <w:rsid w:val="0055684E"/>
    <w:rsid w:val="0056058F"/>
    <w:rsid w:val="0056467B"/>
    <w:rsid w:val="00566067"/>
    <w:rsid w:val="00567286"/>
    <w:rsid w:val="0057033A"/>
    <w:rsid w:val="00570DA8"/>
    <w:rsid w:val="00573CA8"/>
    <w:rsid w:val="005753A1"/>
    <w:rsid w:val="00576E6C"/>
    <w:rsid w:val="00576EDE"/>
    <w:rsid w:val="00576FA3"/>
    <w:rsid w:val="00580DBD"/>
    <w:rsid w:val="00580EDF"/>
    <w:rsid w:val="00581792"/>
    <w:rsid w:val="0058377C"/>
    <w:rsid w:val="00585D57"/>
    <w:rsid w:val="0058663A"/>
    <w:rsid w:val="0059084B"/>
    <w:rsid w:val="00591BF5"/>
    <w:rsid w:val="00591C54"/>
    <w:rsid w:val="00591ED8"/>
    <w:rsid w:val="00592F09"/>
    <w:rsid w:val="005932BA"/>
    <w:rsid w:val="00594A46"/>
    <w:rsid w:val="00594C50"/>
    <w:rsid w:val="00594E8C"/>
    <w:rsid w:val="00596F10"/>
    <w:rsid w:val="00597ABB"/>
    <w:rsid w:val="005A0622"/>
    <w:rsid w:val="005A0D19"/>
    <w:rsid w:val="005A13D0"/>
    <w:rsid w:val="005A24CD"/>
    <w:rsid w:val="005A256B"/>
    <w:rsid w:val="005A3E2A"/>
    <w:rsid w:val="005A56D4"/>
    <w:rsid w:val="005A64A7"/>
    <w:rsid w:val="005B2105"/>
    <w:rsid w:val="005B2E8A"/>
    <w:rsid w:val="005B343A"/>
    <w:rsid w:val="005B376F"/>
    <w:rsid w:val="005B39B0"/>
    <w:rsid w:val="005B3D27"/>
    <w:rsid w:val="005B4213"/>
    <w:rsid w:val="005B4BCA"/>
    <w:rsid w:val="005B4CA6"/>
    <w:rsid w:val="005B57F1"/>
    <w:rsid w:val="005B5B84"/>
    <w:rsid w:val="005B678C"/>
    <w:rsid w:val="005C0AE1"/>
    <w:rsid w:val="005C2ADB"/>
    <w:rsid w:val="005C342C"/>
    <w:rsid w:val="005C3E2F"/>
    <w:rsid w:val="005C403A"/>
    <w:rsid w:val="005C44C6"/>
    <w:rsid w:val="005C5391"/>
    <w:rsid w:val="005C5C55"/>
    <w:rsid w:val="005C5D8F"/>
    <w:rsid w:val="005C740F"/>
    <w:rsid w:val="005C7535"/>
    <w:rsid w:val="005C7DC4"/>
    <w:rsid w:val="005D1687"/>
    <w:rsid w:val="005D1C91"/>
    <w:rsid w:val="005D2E07"/>
    <w:rsid w:val="005D3640"/>
    <w:rsid w:val="005D4020"/>
    <w:rsid w:val="005D5519"/>
    <w:rsid w:val="005D55CB"/>
    <w:rsid w:val="005D5B08"/>
    <w:rsid w:val="005D64C0"/>
    <w:rsid w:val="005D6BD0"/>
    <w:rsid w:val="005D709C"/>
    <w:rsid w:val="005D7DE6"/>
    <w:rsid w:val="005D7F49"/>
    <w:rsid w:val="005E071B"/>
    <w:rsid w:val="005E0AB0"/>
    <w:rsid w:val="005E1BF3"/>
    <w:rsid w:val="005E21F5"/>
    <w:rsid w:val="005E40DD"/>
    <w:rsid w:val="005E4129"/>
    <w:rsid w:val="005E5A13"/>
    <w:rsid w:val="005E5E96"/>
    <w:rsid w:val="005E6383"/>
    <w:rsid w:val="005E65C4"/>
    <w:rsid w:val="005E7A72"/>
    <w:rsid w:val="005E7C21"/>
    <w:rsid w:val="005F0281"/>
    <w:rsid w:val="005F06C4"/>
    <w:rsid w:val="005F090A"/>
    <w:rsid w:val="005F189F"/>
    <w:rsid w:val="005F2812"/>
    <w:rsid w:val="005F70A2"/>
    <w:rsid w:val="005F73CF"/>
    <w:rsid w:val="005F76FA"/>
    <w:rsid w:val="005F7782"/>
    <w:rsid w:val="00600B5F"/>
    <w:rsid w:val="0060105E"/>
    <w:rsid w:val="0060106A"/>
    <w:rsid w:val="0060110D"/>
    <w:rsid w:val="00601476"/>
    <w:rsid w:val="00601534"/>
    <w:rsid w:val="00602C49"/>
    <w:rsid w:val="0060316C"/>
    <w:rsid w:val="00603315"/>
    <w:rsid w:val="006034FD"/>
    <w:rsid w:val="00603880"/>
    <w:rsid w:val="00603E1E"/>
    <w:rsid w:val="00604A3C"/>
    <w:rsid w:val="00604CFF"/>
    <w:rsid w:val="00610743"/>
    <w:rsid w:val="0061117C"/>
    <w:rsid w:val="0061137C"/>
    <w:rsid w:val="00611B99"/>
    <w:rsid w:val="00611BF2"/>
    <w:rsid w:val="00611CD9"/>
    <w:rsid w:val="00611E7B"/>
    <w:rsid w:val="0061241F"/>
    <w:rsid w:val="006132D7"/>
    <w:rsid w:val="006138D4"/>
    <w:rsid w:val="00615BB7"/>
    <w:rsid w:val="00616221"/>
    <w:rsid w:val="00616757"/>
    <w:rsid w:val="00617093"/>
    <w:rsid w:val="00617F31"/>
    <w:rsid w:val="00622967"/>
    <w:rsid w:val="006229EC"/>
    <w:rsid w:val="00623D80"/>
    <w:rsid w:val="00624454"/>
    <w:rsid w:val="00626D16"/>
    <w:rsid w:val="006311C4"/>
    <w:rsid w:val="006324D3"/>
    <w:rsid w:val="00633290"/>
    <w:rsid w:val="00634064"/>
    <w:rsid w:val="00634C0B"/>
    <w:rsid w:val="00635062"/>
    <w:rsid w:val="0063611E"/>
    <w:rsid w:val="00636679"/>
    <w:rsid w:val="006368CF"/>
    <w:rsid w:val="00637ECE"/>
    <w:rsid w:val="00641B4F"/>
    <w:rsid w:val="00641F60"/>
    <w:rsid w:val="006420D0"/>
    <w:rsid w:val="00642643"/>
    <w:rsid w:val="00642C6C"/>
    <w:rsid w:val="00642F32"/>
    <w:rsid w:val="0064748A"/>
    <w:rsid w:val="00647C67"/>
    <w:rsid w:val="00650544"/>
    <w:rsid w:val="00653610"/>
    <w:rsid w:val="00654B1F"/>
    <w:rsid w:val="00656777"/>
    <w:rsid w:val="0065693D"/>
    <w:rsid w:val="006577BA"/>
    <w:rsid w:val="00660732"/>
    <w:rsid w:val="006619A7"/>
    <w:rsid w:val="00661D82"/>
    <w:rsid w:val="00663300"/>
    <w:rsid w:val="00663519"/>
    <w:rsid w:val="00663922"/>
    <w:rsid w:val="0066395C"/>
    <w:rsid w:val="00663975"/>
    <w:rsid w:val="006639BB"/>
    <w:rsid w:val="00665C2A"/>
    <w:rsid w:val="00667736"/>
    <w:rsid w:val="006703D5"/>
    <w:rsid w:val="0067092E"/>
    <w:rsid w:val="0067115F"/>
    <w:rsid w:val="006768CC"/>
    <w:rsid w:val="00677DF3"/>
    <w:rsid w:val="0068067C"/>
    <w:rsid w:val="00680868"/>
    <w:rsid w:val="006815F2"/>
    <w:rsid w:val="00683755"/>
    <w:rsid w:val="00684AB3"/>
    <w:rsid w:val="00685583"/>
    <w:rsid w:val="006876EF"/>
    <w:rsid w:val="006907C3"/>
    <w:rsid w:val="0069095F"/>
    <w:rsid w:val="00690EA9"/>
    <w:rsid w:val="00691832"/>
    <w:rsid w:val="006925E9"/>
    <w:rsid w:val="00693A44"/>
    <w:rsid w:val="00693C2C"/>
    <w:rsid w:val="0069455A"/>
    <w:rsid w:val="00695785"/>
    <w:rsid w:val="006962BC"/>
    <w:rsid w:val="00697832"/>
    <w:rsid w:val="006A138C"/>
    <w:rsid w:val="006A156E"/>
    <w:rsid w:val="006A1620"/>
    <w:rsid w:val="006A19A2"/>
    <w:rsid w:val="006A1C8E"/>
    <w:rsid w:val="006A1F64"/>
    <w:rsid w:val="006B12C5"/>
    <w:rsid w:val="006B3480"/>
    <w:rsid w:val="006B36F1"/>
    <w:rsid w:val="006B391F"/>
    <w:rsid w:val="006B5C06"/>
    <w:rsid w:val="006B6400"/>
    <w:rsid w:val="006B7632"/>
    <w:rsid w:val="006C146A"/>
    <w:rsid w:val="006C211E"/>
    <w:rsid w:val="006C277B"/>
    <w:rsid w:val="006C2DC7"/>
    <w:rsid w:val="006C32C8"/>
    <w:rsid w:val="006C3309"/>
    <w:rsid w:val="006C3C55"/>
    <w:rsid w:val="006C4B76"/>
    <w:rsid w:val="006C4F3D"/>
    <w:rsid w:val="006C5160"/>
    <w:rsid w:val="006C5912"/>
    <w:rsid w:val="006C591C"/>
    <w:rsid w:val="006C6FE0"/>
    <w:rsid w:val="006D3591"/>
    <w:rsid w:val="006D4466"/>
    <w:rsid w:val="006D49DF"/>
    <w:rsid w:val="006D4FB7"/>
    <w:rsid w:val="006D5391"/>
    <w:rsid w:val="006D767F"/>
    <w:rsid w:val="006E099D"/>
    <w:rsid w:val="006E37FC"/>
    <w:rsid w:val="006E3B3B"/>
    <w:rsid w:val="006E3C11"/>
    <w:rsid w:val="006E3E11"/>
    <w:rsid w:val="006E3ED7"/>
    <w:rsid w:val="006E4EF0"/>
    <w:rsid w:val="006E61ED"/>
    <w:rsid w:val="006E620D"/>
    <w:rsid w:val="006E643F"/>
    <w:rsid w:val="006E67A0"/>
    <w:rsid w:val="006E7452"/>
    <w:rsid w:val="006E77B7"/>
    <w:rsid w:val="006F1EDD"/>
    <w:rsid w:val="006F2F1F"/>
    <w:rsid w:val="006F3441"/>
    <w:rsid w:val="006F3B85"/>
    <w:rsid w:val="006F4359"/>
    <w:rsid w:val="006F4360"/>
    <w:rsid w:val="006F4B1B"/>
    <w:rsid w:val="006F4D60"/>
    <w:rsid w:val="006F5392"/>
    <w:rsid w:val="00700C7B"/>
    <w:rsid w:val="00702B72"/>
    <w:rsid w:val="00702B9D"/>
    <w:rsid w:val="00702EB3"/>
    <w:rsid w:val="00703543"/>
    <w:rsid w:val="007049BE"/>
    <w:rsid w:val="0070514A"/>
    <w:rsid w:val="007052BE"/>
    <w:rsid w:val="007067E2"/>
    <w:rsid w:val="00706D49"/>
    <w:rsid w:val="0070755C"/>
    <w:rsid w:val="00707E9C"/>
    <w:rsid w:val="0071041E"/>
    <w:rsid w:val="00710722"/>
    <w:rsid w:val="00710BAB"/>
    <w:rsid w:val="00710E57"/>
    <w:rsid w:val="0071176B"/>
    <w:rsid w:val="007124C8"/>
    <w:rsid w:val="00712BB0"/>
    <w:rsid w:val="00713AFA"/>
    <w:rsid w:val="00714887"/>
    <w:rsid w:val="00715689"/>
    <w:rsid w:val="00721062"/>
    <w:rsid w:val="00721165"/>
    <w:rsid w:val="007223A9"/>
    <w:rsid w:val="00724722"/>
    <w:rsid w:val="00726409"/>
    <w:rsid w:val="0072750E"/>
    <w:rsid w:val="00733B9B"/>
    <w:rsid w:val="007349C4"/>
    <w:rsid w:val="00734F75"/>
    <w:rsid w:val="00736201"/>
    <w:rsid w:val="007413DA"/>
    <w:rsid w:val="00741682"/>
    <w:rsid w:val="0074294F"/>
    <w:rsid w:val="00744022"/>
    <w:rsid w:val="00744E0C"/>
    <w:rsid w:val="00745559"/>
    <w:rsid w:val="00745B87"/>
    <w:rsid w:val="00746FDA"/>
    <w:rsid w:val="00752480"/>
    <w:rsid w:val="00752ED1"/>
    <w:rsid w:val="00753889"/>
    <w:rsid w:val="0075392E"/>
    <w:rsid w:val="00756775"/>
    <w:rsid w:val="007569C5"/>
    <w:rsid w:val="00760269"/>
    <w:rsid w:val="00760571"/>
    <w:rsid w:val="007606ED"/>
    <w:rsid w:val="0076246F"/>
    <w:rsid w:val="007631B9"/>
    <w:rsid w:val="0076331F"/>
    <w:rsid w:val="0076359A"/>
    <w:rsid w:val="007639AB"/>
    <w:rsid w:val="00766B00"/>
    <w:rsid w:val="00766D64"/>
    <w:rsid w:val="00767128"/>
    <w:rsid w:val="0077017E"/>
    <w:rsid w:val="00771214"/>
    <w:rsid w:val="0077396E"/>
    <w:rsid w:val="00774E30"/>
    <w:rsid w:val="00774F8B"/>
    <w:rsid w:val="007758B4"/>
    <w:rsid w:val="00775CD4"/>
    <w:rsid w:val="00776827"/>
    <w:rsid w:val="00776D7B"/>
    <w:rsid w:val="00777B41"/>
    <w:rsid w:val="00777F32"/>
    <w:rsid w:val="00780F55"/>
    <w:rsid w:val="007814BE"/>
    <w:rsid w:val="00784ED5"/>
    <w:rsid w:val="00790372"/>
    <w:rsid w:val="007904D9"/>
    <w:rsid w:val="00790DDF"/>
    <w:rsid w:val="00791238"/>
    <w:rsid w:val="007915C7"/>
    <w:rsid w:val="00792839"/>
    <w:rsid w:val="007928DC"/>
    <w:rsid w:val="007930E1"/>
    <w:rsid w:val="00793629"/>
    <w:rsid w:val="00793927"/>
    <w:rsid w:val="00794EA6"/>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CE9"/>
    <w:rsid w:val="007B4D1E"/>
    <w:rsid w:val="007B4DB8"/>
    <w:rsid w:val="007B5F97"/>
    <w:rsid w:val="007B7204"/>
    <w:rsid w:val="007B7313"/>
    <w:rsid w:val="007C06D5"/>
    <w:rsid w:val="007C1833"/>
    <w:rsid w:val="007C2014"/>
    <w:rsid w:val="007C263F"/>
    <w:rsid w:val="007C4108"/>
    <w:rsid w:val="007C4D2F"/>
    <w:rsid w:val="007D03E3"/>
    <w:rsid w:val="007D1A4D"/>
    <w:rsid w:val="007D2657"/>
    <w:rsid w:val="007D27E1"/>
    <w:rsid w:val="007D2E71"/>
    <w:rsid w:val="007D31F7"/>
    <w:rsid w:val="007D3B6A"/>
    <w:rsid w:val="007D3B8F"/>
    <w:rsid w:val="007D5068"/>
    <w:rsid w:val="007D545B"/>
    <w:rsid w:val="007E0464"/>
    <w:rsid w:val="007E051A"/>
    <w:rsid w:val="007E14FD"/>
    <w:rsid w:val="007E1935"/>
    <w:rsid w:val="007E44C2"/>
    <w:rsid w:val="007E47B5"/>
    <w:rsid w:val="007E488A"/>
    <w:rsid w:val="007E50EA"/>
    <w:rsid w:val="007E64BB"/>
    <w:rsid w:val="007E6693"/>
    <w:rsid w:val="007E6CDA"/>
    <w:rsid w:val="007E768A"/>
    <w:rsid w:val="007F1CE8"/>
    <w:rsid w:val="007F23AB"/>
    <w:rsid w:val="007F289A"/>
    <w:rsid w:val="007F3103"/>
    <w:rsid w:val="007F470A"/>
    <w:rsid w:val="007F6200"/>
    <w:rsid w:val="007F6E7B"/>
    <w:rsid w:val="007F7E7B"/>
    <w:rsid w:val="0080023C"/>
    <w:rsid w:val="0080055D"/>
    <w:rsid w:val="00802483"/>
    <w:rsid w:val="00803625"/>
    <w:rsid w:val="0080459C"/>
    <w:rsid w:val="008047BC"/>
    <w:rsid w:val="00804B53"/>
    <w:rsid w:val="008052CD"/>
    <w:rsid w:val="00805DF1"/>
    <w:rsid w:val="00806E02"/>
    <w:rsid w:val="00807040"/>
    <w:rsid w:val="0081108D"/>
    <w:rsid w:val="0081318C"/>
    <w:rsid w:val="00813C6D"/>
    <w:rsid w:val="008143C1"/>
    <w:rsid w:val="0081480B"/>
    <w:rsid w:val="00814872"/>
    <w:rsid w:val="0081531F"/>
    <w:rsid w:val="008177D0"/>
    <w:rsid w:val="00817B2E"/>
    <w:rsid w:val="00817CEC"/>
    <w:rsid w:val="00821491"/>
    <w:rsid w:val="0082271C"/>
    <w:rsid w:val="00824B50"/>
    <w:rsid w:val="00824E65"/>
    <w:rsid w:val="0082798B"/>
    <w:rsid w:val="008279B6"/>
    <w:rsid w:val="00830915"/>
    <w:rsid w:val="00831D30"/>
    <w:rsid w:val="0083237E"/>
    <w:rsid w:val="008338B7"/>
    <w:rsid w:val="0083618B"/>
    <w:rsid w:val="008371F5"/>
    <w:rsid w:val="00837B07"/>
    <w:rsid w:val="00840199"/>
    <w:rsid w:val="0084125A"/>
    <w:rsid w:val="0084563E"/>
    <w:rsid w:val="00845D33"/>
    <w:rsid w:val="008470BA"/>
    <w:rsid w:val="0084778A"/>
    <w:rsid w:val="00850A62"/>
    <w:rsid w:val="0085101A"/>
    <w:rsid w:val="00851095"/>
    <w:rsid w:val="00853114"/>
    <w:rsid w:val="00853ACD"/>
    <w:rsid w:val="00854B90"/>
    <w:rsid w:val="0085536D"/>
    <w:rsid w:val="0085579D"/>
    <w:rsid w:val="008557CB"/>
    <w:rsid w:val="00856944"/>
    <w:rsid w:val="008603D8"/>
    <w:rsid w:val="00861CB0"/>
    <w:rsid w:val="008650A4"/>
    <w:rsid w:val="00866293"/>
    <w:rsid w:val="0086691C"/>
    <w:rsid w:val="008675C7"/>
    <w:rsid w:val="00870E07"/>
    <w:rsid w:val="008711C5"/>
    <w:rsid w:val="00872D12"/>
    <w:rsid w:val="00873C90"/>
    <w:rsid w:val="0087554B"/>
    <w:rsid w:val="00876629"/>
    <w:rsid w:val="0087685F"/>
    <w:rsid w:val="00876BE1"/>
    <w:rsid w:val="00877D35"/>
    <w:rsid w:val="0088037D"/>
    <w:rsid w:val="00883136"/>
    <w:rsid w:val="008850A3"/>
    <w:rsid w:val="00885BBC"/>
    <w:rsid w:val="00886642"/>
    <w:rsid w:val="00890CFD"/>
    <w:rsid w:val="00892694"/>
    <w:rsid w:val="00893308"/>
    <w:rsid w:val="00893B61"/>
    <w:rsid w:val="00894B20"/>
    <w:rsid w:val="008950DE"/>
    <w:rsid w:val="008954D0"/>
    <w:rsid w:val="00895561"/>
    <w:rsid w:val="00895EBA"/>
    <w:rsid w:val="00895EC3"/>
    <w:rsid w:val="00896536"/>
    <w:rsid w:val="0089666B"/>
    <w:rsid w:val="008A103A"/>
    <w:rsid w:val="008A16BE"/>
    <w:rsid w:val="008A2C82"/>
    <w:rsid w:val="008A3AA2"/>
    <w:rsid w:val="008A5AB2"/>
    <w:rsid w:val="008A5E93"/>
    <w:rsid w:val="008A65A6"/>
    <w:rsid w:val="008A6CDA"/>
    <w:rsid w:val="008B3835"/>
    <w:rsid w:val="008B67F9"/>
    <w:rsid w:val="008C0750"/>
    <w:rsid w:val="008C1C7C"/>
    <w:rsid w:val="008C294A"/>
    <w:rsid w:val="008C297A"/>
    <w:rsid w:val="008C2DCD"/>
    <w:rsid w:val="008C3B0F"/>
    <w:rsid w:val="008C5257"/>
    <w:rsid w:val="008C55BA"/>
    <w:rsid w:val="008C58D7"/>
    <w:rsid w:val="008C5968"/>
    <w:rsid w:val="008C670C"/>
    <w:rsid w:val="008C679F"/>
    <w:rsid w:val="008C7CA7"/>
    <w:rsid w:val="008D060D"/>
    <w:rsid w:val="008D11F6"/>
    <w:rsid w:val="008D16FB"/>
    <w:rsid w:val="008D196D"/>
    <w:rsid w:val="008D2804"/>
    <w:rsid w:val="008D29D5"/>
    <w:rsid w:val="008D4C5E"/>
    <w:rsid w:val="008D51DE"/>
    <w:rsid w:val="008D55E0"/>
    <w:rsid w:val="008D5CEF"/>
    <w:rsid w:val="008D709D"/>
    <w:rsid w:val="008D798E"/>
    <w:rsid w:val="008E0514"/>
    <w:rsid w:val="008E1C99"/>
    <w:rsid w:val="008E1F98"/>
    <w:rsid w:val="008E2495"/>
    <w:rsid w:val="008E27B4"/>
    <w:rsid w:val="008E3218"/>
    <w:rsid w:val="008E3AE8"/>
    <w:rsid w:val="008E416A"/>
    <w:rsid w:val="008E6F5B"/>
    <w:rsid w:val="008E7011"/>
    <w:rsid w:val="008F1B26"/>
    <w:rsid w:val="008F1B9F"/>
    <w:rsid w:val="008F242E"/>
    <w:rsid w:val="008F438E"/>
    <w:rsid w:val="008F4B15"/>
    <w:rsid w:val="008F4D2D"/>
    <w:rsid w:val="008F67DB"/>
    <w:rsid w:val="008F6981"/>
    <w:rsid w:val="009004A5"/>
    <w:rsid w:val="0090059F"/>
    <w:rsid w:val="00903154"/>
    <w:rsid w:val="00903330"/>
    <w:rsid w:val="00903D35"/>
    <w:rsid w:val="00903DE0"/>
    <w:rsid w:val="009075DA"/>
    <w:rsid w:val="00907911"/>
    <w:rsid w:val="00907AE5"/>
    <w:rsid w:val="009101A4"/>
    <w:rsid w:val="00912D13"/>
    <w:rsid w:val="00913852"/>
    <w:rsid w:val="009161AD"/>
    <w:rsid w:val="00917EA3"/>
    <w:rsid w:val="009211C4"/>
    <w:rsid w:val="009236BF"/>
    <w:rsid w:val="009264D6"/>
    <w:rsid w:val="00926DC4"/>
    <w:rsid w:val="009323C9"/>
    <w:rsid w:val="0093491F"/>
    <w:rsid w:val="009375A4"/>
    <w:rsid w:val="0094117D"/>
    <w:rsid w:val="009416A6"/>
    <w:rsid w:val="00941A31"/>
    <w:rsid w:val="00950639"/>
    <w:rsid w:val="0095112E"/>
    <w:rsid w:val="00951B8C"/>
    <w:rsid w:val="0095318C"/>
    <w:rsid w:val="009558A7"/>
    <w:rsid w:val="00956255"/>
    <w:rsid w:val="009564D0"/>
    <w:rsid w:val="00956BCA"/>
    <w:rsid w:val="00960857"/>
    <w:rsid w:val="00963EF4"/>
    <w:rsid w:val="00963F91"/>
    <w:rsid w:val="00965889"/>
    <w:rsid w:val="00966264"/>
    <w:rsid w:val="00966A1F"/>
    <w:rsid w:val="00966EE1"/>
    <w:rsid w:val="00967B94"/>
    <w:rsid w:val="0097049D"/>
    <w:rsid w:val="0097409F"/>
    <w:rsid w:val="0097560B"/>
    <w:rsid w:val="00976736"/>
    <w:rsid w:val="0097746C"/>
    <w:rsid w:val="00977479"/>
    <w:rsid w:val="00977B5C"/>
    <w:rsid w:val="0098015F"/>
    <w:rsid w:val="00980592"/>
    <w:rsid w:val="00980EF3"/>
    <w:rsid w:val="00981AB3"/>
    <w:rsid w:val="0098207F"/>
    <w:rsid w:val="0098437F"/>
    <w:rsid w:val="00990455"/>
    <w:rsid w:val="00992C03"/>
    <w:rsid w:val="00993154"/>
    <w:rsid w:val="0099352F"/>
    <w:rsid w:val="00995176"/>
    <w:rsid w:val="009A068F"/>
    <w:rsid w:val="009A0D7F"/>
    <w:rsid w:val="009A124E"/>
    <w:rsid w:val="009A338B"/>
    <w:rsid w:val="009A41E5"/>
    <w:rsid w:val="009A483F"/>
    <w:rsid w:val="009A4EDB"/>
    <w:rsid w:val="009A503B"/>
    <w:rsid w:val="009A53C3"/>
    <w:rsid w:val="009A5BB4"/>
    <w:rsid w:val="009A7B5B"/>
    <w:rsid w:val="009B0128"/>
    <w:rsid w:val="009B0757"/>
    <w:rsid w:val="009B097E"/>
    <w:rsid w:val="009B18C4"/>
    <w:rsid w:val="009B1CCF"/>
    <w:rsid w:val="009B1E94"/>
    <w:rsid w:val="009B2319"/>
    <w:rsid w:val="009B2852"/>
    <w:rsid w:val="009B2ACA"/>
    <w:rsid w:val="009B43E1"/>
    <w:rsid w:val="009B4733"/>
    <w:rsid w:val="009B5191"/>
    <w:rsid w:val="009B5E52"/>
    <w:rsid w:val="009B6797"/>
    <w:rsid w:val="009B6B9B"/>
    <w:rsid w:val="009B705E"/>
    <w:rsid w:val="009B7836"/>
    <w:rsid w:val="009C0B5E"/>
    <w:rsid w:val="009C0CA0"/>
    <w:rsid w:val="009C175B"/>
    <w:rsid w:val="009C1999"/>
    <w:rsid w:val="009C209E"/>
    <w:rsid w:val="009C27E9"/>
    <w:rsid w:val="009C2C26"/>
    <w:rsid w:val="009C3304"/>
    <w:rsid w:val="009C3EC2"/>
    <w:rsid w:val="009C4538"/>
    <w:rsid w:val="009C53C4"/>
    <w:rsid w:val="009C5CEB"/>
    <w:rsid w:val="009C6EEF"/>
    <w:rsid w:val="009C75F3"/>
    <w:rsid w:val="009C7BE4"/>
    <w:rsid w:val="009D0956"/>
    <w:rsid w:val="009D0C5A"/>
    <w:rsid w:val="009D1D4A"/>
    <w:rsid w:val="009D25CE"/>
    <w:rsid w:val="009D2AE1"/>
    <w:rsid w:val="009D7781"/>
    <w:rsid w:val="009E1797"/>
    <w:rsid w:val="009E312D"/>
    <w:rsid w:val="009E32B3"/>
    <w:rsid w:val="009E32BA"/>
    <w:rsid w:val="009E40EA"/>
    <w:rsid w:val="009E4467"/>
    <w:rsid w:val="009E7194"/>
    <w:rsid w:val="009F17DB"/>
    <w:rsid w:val="009F4216"/>
    <w:rsid w:val="009F4470"/>
    <w:rsid w:val="009F4F63"/>
    <w:rsid w:val="009F52E2"/>
    <w:rsid w:val="009F6D2D"/>
    <w:rsid w:val="00A00CAA"/>
    <w:rsid w:val="00A02787"/>
    <w:rsid w:val="00A028F4"/>
    <w:rsid w:val="00A04005"/>
    <w:rsid w:val="00A07DE6"/>
    <w:rsid w:val="00A11865"/>
    <w:rsid w:val="00A12619"/>
    <w:rsid w:val="00A132F3"/>
    <w:rsid w:val="00A14824"/>
    <w:rsid w:val="00A14FAC"/>
    <w:rsid w:val="00A15248"/>
    <w:rsid w:val="00A17A0D"/>
    <w:rsid w:val="00A21A77"/>
    <w:rsid w:val="00A229F0"/>
    <w:rsid w:val="00A24A9C"/>
    <w:rsid w:val="00A25AB6"/>
    <w:rsid w:val="00A25C41"/>
    <w:rsid w:val="00A26754"/>
    <w:rsid w:val="00A268CF"/>
    <w:rsid w:val="00A30C04"/>
    <w:rsid w:val="00A326BD"/>
    <w:rsid w:val="00A34DD7"/>
    <w:rsid w:val="00A3545A"/>
    <w:rsid w:val="00A36DEA"/>
    <w:rsid w:val="00A37CD0"/>
    <w:rsid w:val="00A405D6"/>
    <w:rsid w:val="00A41BEA"/>
    <w:rsid w:val="00A4540E"/>
    <w:rsid w:val="00A47815"/>
    <w:rsid w:val="00A47EA1"/>
    <w:rsid w:val="00A50278"/>
    <w:rsid w:val="00A55996"/>
    <w:rsid w:val="00A55BA1"/>
    <w:rsid w:val="00A55F2F"/>
    <w:rsid w:val="00A569E4"/>
    <w:rsid w:val="00A576F0"/>
    <w:rsid w:val="00A63EDF"/>
    <w:rsid w:val="00A64935"/>
    <w:rsid w:val="00A70C46"/>
    <w:rsid w:val="00A72A78"/>
    <w:rsid w:val="00A72B77"/>
    <w:rsid w:val="00A73CA9"/>
    <w:rsid w:val="00A8041F"/>
    <w:rsid w:val="00A824AF"/>
    <w:rsid w:val="00A826EE"/>
    <w:rsid w:val="00A826F0"/>
    <w:rsid w:val="00A845DF"/>
    <w:rsid w:val="00A85921"/>
    <w:rsid w:val="00A868F0"/>
    <w:rsid w:val="00A8711D"/>
    <w:rsid w:val="00A91559"/>
    <w:rsid w:val="00A92C9E"/>
    <w:rsid w:val="00A930EF"/>
    <w:rsid w:val="00A93D5C"/>
    <w:rsid w:val="00A93D6C"/>
    <w:rsid w:val="00A94D7F"/>
    <w:rsid w:val="00A95B96"/>
    <w:rsid w:val="00A964BE"/>
    <w:rsid w:val="00A9705F"/>
    <w:rsid w:val="00A97515"/>
    <w:rsid w:val="00AA04BA"/>
    <w:rsid w:val="00AA1CE3"/>
    <w:rsid w:val="00AA2293"/>
    <w:rsid w:val="00AA2F73"/>
    <w:rsid w:val="00AA461C"/>
    <w:rsid w:val="00AA4867"/>
    <w:rsid w:val="00AA50FB"/>
    <w:rsid w:val="00AA662F"/>
    <w:rsid w:val="00AA79C4"/>
    <w:rsid w:val="00AB0E00"/>
    <w:rsid w:val="00AB2573"/>
    <w:rsid w:val="00AB2A9E"/>
    <w:rsid w:val="00AB4DEF"/>
    <w:rsid w:val="00AB582C"/>
    <w:rsid w:val="00AB583F"/>
    <w:rsid w:val="00AB5C1F"/>
    <w:rsid w:val="00AB6787"/>
    <w:rsid w:val="00AC3CC0"/>
    <w:rsid w:val="00AC4CEF"/>
    <w:rsid w:val="00AC7FFC"/>
    <w:rsid w:val="00AD0360"/>
    <w:rsid w:val="00AD1CD1"/>
    <w:rsid w:val="00AD2147"/>
    <w:rsid w:val="00AD23E5"/>
    <w:rsid w:val="00AD440B"/>
    <w:rsid w:val="00AD62D8"/>
    <w:rsid w:val="00AD68EA"/>
    <w:rsid w:val="00AD690B"/>
    <w:rsid w:val="00AD6AEC"/>
    <w:rsid w:val="00AD6E6B"/>
    <w:rsid w:val="00AE10B2"/>
    <w:rsid w:val="00AE16BD"/>
    <w:rsid w:val="00AE4642"/>
    <w:rsid w:val="00AE4EB4"/>
    <w:rsid w:val="00AF04F4"/>
    <w:rsid w:val="00AF16FC"/>
    <w:rsid w:val="00AF1A8C"/>
    <w:rsid w:val="00AF26B2"/>
    <w:rsid w:val="00AF3021"/>
    <w:rsid w:val="00AF3506"/>
    <w:rsid w:val="00AF43D8"/>
    <w:rsid w:val="00AF6905"/>
    <w:rsid w:val="00B001EF"/>
    <w:rsid w:val="00B00CBF"/>
    <w:rsid w:val="00B00E70"/>
    <w:rsid w:val="00B00F51"/>
    <w:rsid w:val="00B01A23"/>
    <w:rsid w:val="00B01C67"/>
    <w:rsid w:val="00B02029"/>
    <w:rsid w:val="00B02CE4"/>
    <w:rsid w:val="00B037B9"/>
    <w:rsid w:val="00B04549"/>
    <w:rsid w:val="00B04DDD"/>
    <w:rsid w:val="00B05262"/>
    <w:rsid w:val="00B07676"/>
    <w:rsid w:val="00B07DCE"/>
    <w:rsid w:val="00B119F9"/>
    <w:rsid w:val="00B11E8B"/>
    <w:rsid w:val="00B13AC2"/>
    <w:rsid w:val="00B16BB3"/>
    <w:rsid w:val="00B17A14"/>
    <w:rsid w:val="00B21FD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49B2"/>
    <w:rsid w:val="00B455EB"/>
    <w:rsid w:val="00B46FA7"/>
    <w:rsid w:val="00B500E9"/>
    <w:rsid w:val="00B506FC"/>
    <w:rsid w:val="00B50FF2"/>
    <w:rsid w:val="00B52C92"/>
    <w:rsid w:val="00B5576C"/>
    <w:rsid w:val="00B55A93"/>
    <w:rsid w:val="00B565D8"/>
    <w:rsid w:val="00B56E1B"/>
    <w:rsid w:val="00B57D2A"/>
    <w:rsid w:val="00B604CE"/>
    <w:rsid w:val="00B621AB"/>
    <w:rsid w:val="00B63B58"/>
    <w:rsid w:val="00B64D59"/>
    <w:rsid w:val="00B660B8"/>
    <w:rsid w:val="00B66279"/>
    <w:rsid w:val="00B6681C"/>
    <w:rsid w:val="00B66A71"/>
    <w:rsid w:val="00B7010C"/>
    <w:rsid w:val="00B71C43"/>
    <w:rsid w:val="00B72F45"/>
    <w:rsid w:val="00B73211"/>
    <w:rsid w:val="00B73AED"/>
    <w:rsid w:val="00B73C7A"/>
    <w:rsid w:val="00B81228"/>
    <w:rsid w:val="00B82819"/>
    <w:rsid w:val="00B83976"/>
    <w:rsid w:val="00B83A8F"/>
    <w:rsid w:val="00B84642"/>
    <w:rsid w:val="00B854DC"/>
    <w:rsid w:val="00B856DD"/>
    <w:rsid w:val="00B858FE"/>
    <w:rsid w:val="00B90069"/>
    <w:rsid w:val="00B908C9"/>
    <w:rsid w:val="00B91444"/>
    <w:rsid w:val="00B9303A"/>
    <w:rsid w:val="00B934A6"/>
    <w:rsid w:val="00B9373D"/>
    <w:rsid w:val="00B93BD0"/>
    <w:rsid w:val="00B951D6"/>
    <w:rsid w:val="00B958E7"/>
    <w:rsid w:val="00B97629"/>
    <w:rsid w:val="00B977B5"/>
    <w:rsid w:val="00BA0D9C"/>
    <w:rsid w:val="00BA257D"/>
    <w:rsid w:val="00BA42C4"/>
    <w:rsid w:val="00BA45FE"/>
    <w:rsid w:val="00BA47A9"/>
    <w:rsid w:val="00BA496C"/>
    <w:rsid w:val="00BA513A"/>
    <w:rsid w:val="00BA561F"/>
    <w:rsid w:val="00BA5CCA"/>
    <w:rsid w:val="00BA6803"/>
    <w:rsid w:val="00BA7C06"/>
    <w:rsid w:val="00BB0D72"/>
    <w:rsid w:val="00BB1216"/>
    <w:rsid w:val="00BB16F2"/>
    <w:rsid w:val="00BB24EB"/>
    <w:rsid w:val="00BB7CD6"/>
    <w:rsid w:val="00BB7CEB"/>
    <w:rsid w:val="00BC0F23"/>
    <w:rsid w:val="00BC136F"/>
    <w:rsid w:val="00BC1394"/>
    <w:rsid w:val="00BC7555"/>
    <w:rsid w:val="00BD0A70"/>
    <w:rsid w:val="00BD2520"/>
    <w:rsid w:val="00BD3278"/>
    <w:rsid w:val="00BD34AC"/>
    <w:rsid w:val="00BD53BE"/>
    <w:rsid w:val="00BD5AFA"/>
    <w:rsid w:val="00BD5F83"/>
    <w:rsid w:val="00BD6631"/>
    <w:rsid w:val="00BD6F85"/>
    <w:rsid w:val="00BD7A55"/>
    <w:rsid w:val="00BD7B61"/>
    <w:rsid w:val="00BE0364"/>
    <w:rsid w:val="00BE063A"/>
    <w:rsid w:val="00BE09A9"/>
    <w:rsid w:val="00BE0AC5"/>
    <w:rsid w:val="00BE1FC9"/>
    <w:rsid w:val="00BE1FE5"/>
    <w:rsid w:val="00BE22A0"/>
    <w:rsid w:val="00BE4C7C"/>
    <w:rsid w:val="00BE679E"/>
    <w:rsid w:val="00BE77A9"/>
    <w:rsid w:val="00BF0215"/>
    <w:rsid w:val="00BF059C"/>
    <w:rsid w:val="00BF0B00"/>
    <w:rsid w:val="00BF0DA2"/>
    <w:rsid w:val="00BF1128"/>
    <w:rsid w:val="00BF2351"/>
    <w:rsid w:val="00BF3E2A"/>
    <w:rsid w:val="00BF4558"/>
    <w:rsid w:val="00BF54A4"/>
    <w:rsid w:val="00BF741B"/>
    <w:rsid w:val="00C001B1"/>
    <w:rsid w:val="00C022BF"/>
    <w:rsid w:val="00C066F4"/>
    <w:rsid w:val="00C0722E"/>
    <w:rsid w:val="00C100C9"/>
    <w:rsid w:val="00C117C2"/>
    <w:rsid w:val="00C11939"/>
    <w:rsid w:val="00C11C1B"/>
    <w:rsid w:val="00C13CFD"/>
    <w:rsid w:val="00C15025"/>
    <w:rsid w:val="00C152B5"/>
    <w:rsid w:val="00C1581E"/>
    <w:rsid w:val="00C16A22"/>
    <w:rsid w:val="00C16F28"/>
    <w:rsid w:val="00C219A5"/>
    <w:rsid w:val="00C229D8"/>
    <w:rsid w:val="00C24812"/>
    <w:rsid w:val="00C2710F"/>
    <w:rsid w:val="00C27E16"/>
    <w:rsid w:val="00C324E6"/>
    <w:rsid w:val="00C33788"/>
    <w:rsid w:val="00C35C48"/>
    <w:rsid w:val="00C3643D"/>
    <w:rsid w:val="00C3705B"/>
    <w:rsid w:val="00C37B71"/>
    <w:rsid w:val="00C37D69"/>
    <w:rsid w:val="00C404CF"/>
    <w:rsid w:val="00C405A1"/>
    <w:rsid w:val="00C42810"/>
    <w:rsid w:val="00C42D1B"/>
    <w:rsid w:val="00C4446E"/>
    <w:rsid w:val="00C4607F"/>
    <w:rsid w:val="00C4620F"/>
    <w:rsid w:val="00C500B8"/>
    <w:rsid w:val="00C53E5E"/>
    <w:rsid w:val="00C543BE"/>
    <w:rsid w:val="00C60F32"/>
    <w:rsid w:val="00C612F3"/>
    <w:rsid w:val="00C612FD"/>
    <w:rsid w:val="00C62B03"/>
    <w:rsid w:val="00C64B14"/>
    <w:rsid w:val="00C64C79"/>
    <w:rsid w:val="00C64DFC"/>
    <w:rsid w:val="00C64F55"/>
    <w:rsid w:val="00C65747"/>
    <w:rsid w:val="00C66C4F"/>
    <w:rsid w:val="00C66DC6"/>
    <w:rsid w:val="00C676AD"/>
    <w:rsid w:val="00C67FE7"/>
    <w:rsid w:val="00C70494"/>
    <w:rsid w:val="00C71072"/>
    <w:rsid w:val="00C72423"/>
    <w:rsid w:val="00C744C3"/>
    <w:rsid w:val="00C749BC"/>
    <w:rsid w:val="00C74EF5"/>
    <w:rsid w:val="00C75DF3"/>
    <w:rsid w:val="00C76B61"/>
    <w:rsid w:val="00C76C0E"/>
    <w:rsid w:val="00C76CCF"/>
    <w:rsid w:val="00C76DC9"/>
    <w:rsid w:val="00C80742"/>
    <w:rsid w:val="00C81DA7"/>
    <w:rsid w:val="00C82A4A"/>
    <w:rsid w:val="00C82D34"/>
    <w:rsid w:val="00C84A4A"/>
    <w:rsid w:val="00C8763B"/>
    <w:rsid w:val="00C8791A"/>
    <w:rsid w:val="00C9095A"/>
    <w:rsid w:val="00C930E0"/>
    <w:rsid w:val="00C93AB7"/>
    <w:rsid w:val="00C9414E"/>
    <w:rsid w:val="00C950B4"/>
    <w:rsid w:val="00C9578D"/>
    <w:rsid w:val="00CA0E4F"/>
    <w:rsid w:val="00CA1F43"/>
    <w:rsid w:val="00CA342F"/>
    <w:rsid w:val="00CA3644"/>
    <w:rsid w:val="00CA5169"/>
    <w:rsid w:val="00CB0261"/>
    <w:rsid w:val="00CB08EA"/>
    <w:rsid w:val="00CB1CBB"/>
    <w:rsid w:val="00CB47BC"/>
    <w:rsid w:val="00CB56B8"/>
    <w:rsid w:val="00CB56E5"/>
    <w:rsid w:val="00CB5D7D"/>
    <w:rsid w:val="00CB6092"/>
    <w:rsid w:val="00CB6B4E"/>
    <w:rsid w:val="00CB772F"/>
    <w:rsid w:val="00CC3327"/>
    <w:rsid w:val="00CC3DC6"/>
    <w:rsid w:val="00CC45A6"/>
    <w:rsid w:val="00CC70CB"/>
    <w:rsid w:val="00CC7E97"/>
    <w:rsid w:val="00CD20C1"/>
    <w:rsid w:val="00CD3CBE"/>
    <w:rsid w:val="00CD442A"/>
    <w:rsid w:val="00CD5174"/>
    <w:rsid w:val="00CD5614"/>
    <w:rsid w:val="00CD6760"/>
    <w:rsid w:val="00CD711A"/>
    <w:rsid w:val="00CE03DE"/>
    <w:rsid w:val="00CE16DA"/>
    <w:rsid w:val="00CE2115"/>
    <w:rsid w:val="00CE2EB0"/>
    <w:rsid w:val="00CE3D85"/>
    <w:rsid w:val="00CE49B4"/>
    <w:rsid w:val="00CF0A99"/>
    <w:rsid w:val="00CF1452"/>
    <w:rsid w:val="00CF2BC7"/>
    <w:rsid w:val="00CF3F1F"/>
    <w:rsid w:val="00CF53D7"/>
    <w:rsid w:val="00CF569B"/>
    <w:rsid w:val="00CF6822"/>
    <w:rsid w:val="00CF6960"/>
    <w:rsid w:val="00CF7636"/>
    <w:rsid w:val="00CF767F"/>
    <w:rsid w:val="00D00C86"/>
    <w:rsid w:val="00D01A62"/>
    <w:rsid w:val="00D02269"/>
    <w:rsid w:val="00D04963"/>
    <w:rsid w:val="00D04D1F"/>
    <w:rsid w:val="00D04DB0"/>
    <w:rsid w:val="00D0507B"/>
    <w:rsid w:val="00D05475"/>
    <w:rsid w:val="00D111DF"/>
    <w:rsid w:val="00D123DB"/>
    <w:rsid w:val="00D130E3"/>
    <w:rsid w:val="00D13A95"/>
    <w:rsid w:val="00D1542F"/>
    <w:rsid w:val="00D209FB"/>
    <w:rsid w:val="00D20D70"/>
    <w:rsid w:val="00D218FF"/>
    <w:rsid w:val="00D22738"/>
    <w:rsid w:val="00D23CB9"/>
    <w:rsid w:val="00D252B2"/>
    <w:rsid w:val="00D25A5D"/>
    <w:rsid w:val="00D261C4"/>
    <w:rsid w:val="00D26335"/>
    <w:rsid w:val="00D26644"/>
    <w:rsid w:val="00D300FE"/>
    <w:rsid w:val="00D30DAA"/>
    <w:rsid w:val="00D313A3"/>
    <w:rsid w:val="00D33FC7"/>
    <w:rsid w:val="00D343A6"/>
    <w:rsid w:val="00D343D8"/>
    <w:rsid w:val="00D347E0"/>
    <w:rsid w:val="00D34AD8"/>
    <w:rsid w:val="00D359B7"/>
    <w:rsid w:val="00D42D5A"/>
    <w:rsid w:val="00D4304C"/>
    <w:rsid w:val="00D43850"/>
    <w:rsid w:val="00D443D8"/>
    <w:rsid w:val="00D4618E"/>
    <w:rsid w:val="00D47918"/>
    <w:rsid w:val="00D51D8A"/>
    <w:rsid w:val="00D553EC"/>
    <w:rsid w:val="00D55FB1"/>
    <w:rsid w:val="00D566DE"/>
    <w:rsid w:val="00D56FEF"/>
    <w:rsid w:val="00D57071"/>
    <w:rsid w:val="00D57598"/>
    <w:rsid w:val="00D57FBF"/>
    <w:rsid w:val="00D605CB"/>
    <w:rsid w:val="00D60C6E"/>
    <w:rsid w:val="00D64667"/>
    <w:rsid w:val="00D64788"/>
    <w:rsid w:val="00D656BA"/>
    <w:rsid w:val="00D668AD"/>
    <w:rsid w:val="00D674A6"/>
    <w:rsid w:val="00D7063B"/>
    <w:rsid w:val="00D70C95"/>
    <w:rsid w:val="00D71906"/>
    <w:rsid w:val="00D71CDC"/>
    <w:rsid w:val="00D731A3"/>
    <w:rsid w:val="00D74088"/>
    <w:rsid w:val="00D75D75"/>
    <w:rsid w:val="00D767D0"/>
    <w:rsid w:val="00D76F4A"/>
    <w:rsid w:val="00D819E5"/>
    <w:rsid w:val="00D81CDC"/>
    <w:rsid w:val="00D82F0A"/>
    <w:rsid w:val="00D84FE8"/>
    <w:rsid w:val="00D8568B"/>
    <w:rsid w:val="00D85A2E"/>
    <w:rsid w:val="00D90B6C"/>
    <w:rsid w:val="00D91888"/>
    <w:rsid w:val="00D918DB"/>
    <w:rsid w:val="00D937FF"/>
    <w:rsid w:val="00D94C3B"/>
    <w:rsid w:val="00D94FDC"/>
    <w:rsid w:val="00D95C83"/>
    <w:rsid w:val="00D9655B"/>
    <w:rsid w:val="00DA1392"/>
    <w:rsid w:val="00DA1C06"/>
    <w:rsid w:val="00DA1E1B"/>
    <w:rsid w:val="00DA2683"/>
    <w:rsid w:val="00DA26DF"/>
    <w:rsid w:val="00DA2A23"/>
    <w:rsid w:val="00DA2C92"/>
    <w:rsid w:val="00DA5476"/>
    <w:rsid w:val="00DA55F8"/>
    <w:rsid w:val="00DA7148"/>
    <w:rsid w:val="00DB0CA1"/>
    <w:rsid w:val="00DB15FB"/>
    <w:rsid w:val="00DB1A74"/>
    <w:rsid w:val="00DB59FD"/>
    <w:rsid w:val="00DB5ADE"/>
    <w:rsid w:val="00DB6614"/>
    <w:rsid w:val="00DB6EAD"/>
    <w:rsid w:val="00DC0024"/>
    <w:rsid w:val="00DC063D"/>
    <w:rsid w:val="00DC097A"/>
    <w:rsid w:val="00DC24AD"/>
    <w:rsid w:val="00DC35C8"/>
    <w:rsid w:val="00DC3A1A"/>
    <w:rsid w:val="00DC441A"/>
    <w:rsid w:val="00DC5921"/>
    <w:rsid w:val="00DC5BDD"/>
    <w:rsid w:val="00DC6D92"/>
    <w:rsid w:val="00DC776D"/>
    <w:rsid w:val="00DD0493"/>
    <w:rsid w:val="00DD0968"/>
    <w:rsid w:val="00DD10F5"/>
    <w:rsid w:val="00DD1676"/>
    <w:rsid w:val="00DD17EF"/>
    <w:rsid w:val="00DD2479"/>
    <w:rsid w:val="00DD2629"/>
    <w:rsid w:val="00DE03F3"/>
    <w:rsid w:val="00DE10E3"/>
    <w:rsid w:val="00DE12DE"/>
    <w:rsid w:val="00DE1DB8"/>
    <w:rsid w:val="00DE1FBD"/>
    <w:rsid w:val="00DE2494"/>
    <w:rsid w:val="00DE39A5"/>
    <w:rsid w:val="00DE3FF0"/>
    <w:rsid w:val="00DE4457"/>
    <w:rsid w:val="00DE44CF"/>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42F4"/>
    <w:rsid w:val="00E04732"/>
    <w:rsid w:val="00E05096"/>
    <w:rsid w:val="00E065E2"/>
    <w:rsid w:val="00E07B1B"/>
    <w:rsid w:val="00E100F3"/>
    <w:rsid w:val="00E10C0C"/>
    <w:rsid w:val="00E11A1D"/>
    <w:rsid w:val="00E12C12"/>
    <w:rsid w:val="00E1390B"/>
    <w:rsid w:val="00E14666"/>
    <w:rsid w:val="00E15BC9"/>
    <w:rsid w:val="00E15E9A"/>
    <w:rsid w:val="00E16412"/>
    <w:rsid w:val="00E16D19"/>
    <w:rsid w:val="00E201EE"/>
    <w:rsid w:val="00E20DF3"/>
    <w:rsid w:val="00E217DB"/>
    <w:rsid w:val="00E21D8E"/>
    <w:rsid w:val="00E22E53"/>
    <w:rsid w:val="00E23AF4"/>
    <w:rsid w:val="00E248E3"/>
    <w:rsid w:val="00E27AAE"/>
    <w:rsid w:val="00E30C1D"/>
    <w:rsid w:val="00E31619"/>
    <w:rsid w:val="00E31FEE"/>
    <w:rsid w:val="00E34FAC"/>
    <w:rsid w:val="00E35ED5"/>
    <w:rsid w:val="00E36408"/>
    <w:rsid w:val="00E36A37"/>
    <w:rsid w:val="00E3745A"/>
    <w:rsid w:val="00E379D1"/>
    <w:rsid w:val="00E417E3"/>
    <w:rsid w:val="00E43799"/>
    <w:rsid w:val="00E43A72"/>
    <w:rsid w:val="00E43F64"/>
    <w:rsid w:val="00E4485B"/>
    <w:rsid w:val="00E44E64"/>
    <w:rsid w:val="00E478CC"/>
    <w:rsid w:val="00E511ED"/>
    <w:rsid w:val="00E511FB"/>
    <w:rsid w:val="00E51A47"/>
    <w:rsid w:val="00E52900"/>
    <w:rsid w:val="00E54085"/>
    <w:rsid w:val="00E54722"/>
    <w:rsid w:val="00E547F0"/>
    <w:rsid w:val="00E55A96"/>
    <w:rsid w:val="00E57564"/>
    <w:rsid w:val="00E577F2"/>
    <w:rsid w:val="00E63A01"/>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58A5"/>
    <w:rsid w:val="00E866AA"/>
    <w:rsid w:val="00E86FCB"/>
    <w:rsid w:val="00E87A1A"/>
    <w:rsid w:val="00E90A56"/>
    <w:rsid w:val="00E918BD"/>
    <w:rsid w:val="00E92F16"/>
    <w:rsid w:val="00E934C3"/>
    <w:rsid w:val="00E94F15"/>
    <w:rsid w:val="00E951E3"/>
    <w:rsid w:val="00E95E2E"/>
    <w:rsid w:val="00E97EEF"/>
    <w:rsid w:val="00EA02F6"/>
    <w:rsid w:val="00EA1907"/>
    <w:rsid w:val="00EA2276"/>
    <w:rsid w:val="00EA27A2"/>
    <w:rsid w:val="00EA28AA"/>
    <w:rsid w:val="00EA37A1"/>
    <w:rsid w:val="00EA4948"/>
    <w:rsid w:val="00EA4DBF"/>
    <w:rsid w:val="00EA5089"/>
    <w:rsid w:val="00EA5434"/>
    <w:rsid w:val="00EA5DC9"/>
    <w:rsid w:val="00EA6D02"/>
    <w:rsid w:val="00EA7500"/>
    <w:rsid w:val="00EA7E6E"/>
    <w:rsid w:val="00EA7EFB"/>
    <w:rsid w:val="00EB0DD8"/>
    <w:rsid w:val="00EB2E3F"/>
    <w:rsid w:val="00EB30DB"/>
    <w:rsid w:val="00EB3FD5"/>
    <w:rsid w:val="00EB4B17"/>
    <w:rsid w:val="00EB7973"/>
    <w:rsid w:val="00EC0FDA"/>
    <w:rsid w:val="00EC3BF9"/>
    <w:rsid w:val="00EC3CCE"/>
    <w:rsid w:val="00EC4B1A"/>
    <w:rsid w:val="00EC4D3D"/>
    <w:rsid w:val="00EC5A0A"/>
    <w:rsid w:val="00EC5A1B"/>
    <w:rsid w:val="00EC5C4A"/>
    <w:rsid w:val="00EC7ADB"/>
    <w:rsid w:val="00EC7DF9"/>
    <w:rsid w:val="00EC7FB6"/>
    <w:rsid w:val="00ED02CB"/>
    <w:rsid w:val="00ED2A13"/>
    <w:rsid w:val="00ED40B2"/>
    <w:rsid w:val="00ED4E9F"/>
    <w:rsid w:val="00ED51D0"/>
    <w:rsid w:val="00ED55DB"/>
    <w:rsid w:val="00ED685F"/>
    <w:rsid w:val="00ED6A08"/>
    <w:rsid w:val="00ED6E8F"/>
    <w:rsid w:val="00ED7DFD"/>
    <w:rsid w:val="00EE0450"/>
    <w:rsid w:val="00EE37C8"/>
    <w:rsid w:val="00EE53CD"/>
    <w:rsid w:val="00EE59BC"/>
    <w:rsid w:val="00EE5E86"/>
    <w:rsid w:val="00EE61E6"/>
    <w:rsid w:val="00EE7A85"/>
    <w:rsid w:val="00EF03E8"/>
    <w:rsid w:val="00EF1BF9"/>
    <w:rsid w:val="00EF45D4"/>
    <w:rsid w:val="00EF59CB"/>
    <w:rsid w:val="00EF6A29"/>
    <w:rsid w:val="00F0047B"/>
    <w:rsid w:val="00F005CF"/>
    <w:rsid w:val="00F016FA"/>
    <w:rsid w:val="00F02029"/>
    <w:rsid w:val="00F02173"/>
    <w:rsid w:val="00F02CE0"/>
    <w:rsid w:val="00F02FD1"/>
    <w:rsid w:val="00F03FBE"/>
    <w:rsid w:val="00F04342"/>
    <w:rsid w:val="00F048D9"/>
    <w:rsid w:val="00F04906"/>
    <w:rsid w:val="00F04E22"/>
    <w:rsid w:val="00F05755"/>
    <w:rsid w:val="00F0788E"/>
    <w:rsid w:val="00F108FE"/>
    <w:rsid w:val="00F11DE0"/>
    <w:rsid w:val="00F125FF"/>
    <w:rsid w:val="00F12675"/>
    <w:rsid w:val="00F12E9C"/>
    <w:rsid w:val="00F1320F"/>
    <w:rsid w:val="00F13E8E"/>
    <w:rsid w:val="00F149F6"/>
    <w:rsid w:val="00F151DB"/>
    <w:rsid w:val="00F211B6"/>
    <w:rsid w:val="00F21CED"/>
    <w:rsid w:val="00F226AC"/>
    <w:rsid w:val="00F22A55"/>
    <w:rsid w:val="00F236D3"/>
    <w:rsid w:val="00F23F94"/>
    <w:rsid w:val="00F24030"/>
    <w:rsid w:val="00F242B0"/>
    <w:rsid w:val="00F242B2"/>
    <w:rsid w:val="00F244C2"/>
    <w:rsid w:val="00F245FC"/>
    <w:rsid w:val="00F257E5"/>
    <w:rsid w:val="00F25C6B"/>
    <w:rsid w:val="00F25E0D"/>
    <w:rsid w:val="00F270D4"/>
    <w:rsid w:val="00F27787"/>
    <w:rsid w:val="00F27F09"/>
    <w:rsid w:val="00F3027E"/>
    <w:rsid w:val="00F3092F"/>
    <w:rsid w:val="00F30EA4"/>
    <w:rsid w:val="00F34481"/>
    <w:rsid w:val="00F34756"/>
    <w:rsid w:val="00F3488E"/>
    <w:rsid w:val="00F35294"/>
    <w:rsid w:val="00F35D70"/>
    <w:rsid w:val="00F36FF9"/>
    <w:rsid w:val="00F3706A"/>
    <w:rsid w:val="00F3762F"/>
    <w:rsid w:val="00F41893"/>
    <w:rsid w:val="00F41DFE"/>
    <w:rsid w:val="00F43CCF"/>
    <w:rsid w:val="00F4490B"/>
    <w:rsid w:val="00F44DC3"/>
    <w:rsid w:val="00F451CB"/>
    <w:rsid w:val="00F51F08"/>
    <w:rsid w:val="00F52571"/>
    <w:rsid w:val="00F54AF5"/>
    <w:rsid w:val="00F56767"/>
    <w:rsid w:val="00F57A04"/>
    <w:rsid w:val="00F60136"/>
    <w:rsid w:val="00F6289C"/>
    <w:rsid w:val="00F62AF6"/>
    <w:rsid w:val="00F630FA"/>
    <w:rsid w:val="00F636D6"/>
    <w:rsid w:val="00F637CC"/>
    <w:rsid w:val="00F639B0"/>
    <w:rsid w:val="00F644CD"/>
    <w:rsid w:val="00F651C5"/>
    <w:rsid w:val="00F65523"/>
    <w:rsid w:val="00F66234"/>
    <w:rsid w:val="00F6664A"/>
    <w:rsid w:val="00F66DDA"/>
    <w:rsid w:val="00F674FB"/>
    <w:rsid w:val="00F7052D"/>
    <w:rsid w:val="00F72816"/>
    <w:rsid w:val="00F73653"/>
    <w:rsid w:val="00F737C1"/>
    <w:rsid w:val="00F7479D"/>
    <w:rsid w:val="00F768B9"/>
    <w:rsid w:val="00F80D9C"/>
    <w:rsid w:val="00F825B6"/>
    <w:rsid w:val="00F83075"/>
    <w:rsid w:val="00F84F1C"/>
    <w:rsid w:val="00F859AF"/>
    <w:rsid w:val="00F91423"/>
    <w:rsid w:val="00F93C56"/>
    <w:rsid w:val="00F96F35"/>
    <w:rsid w:val="00FA093F"/>
    <w:rsid w:val="00FA32B6"/>
    <w:rsid w:val="00FA3B63"/>
    <w:rsid w:val="00FA3E37"/>
    <w:rsid w:val="00FA453A"/>
    <w:rsid w:val="00FA546C"/>
    <w:rsid w:val="00FA68BC"/>
    <w:rsid w:val="00FA76F1"/>
    <w:rsid w:val="00FB15A3"/>
    <w:rsid w:val="00FB2DB4"/>
    <w:rsid w:val="00FB6CC3"/>
    <w:rsid w:val="00FB729A"/>
    <w:rsid w:val="00FC1DA6"/>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4E4"/>
    <w:rsid w:val="00FE48E3"/>
    <w:rsid w:val="00FE6F2D"/>
    <w:rsid w:val="00FF0927"/>
    <w:rsid w:val="00FF1466"/>
    <w:rsid w:val="00FF1BC5"/>
    <w:rsid w:val="00FF23CF"/>
    <w:rsid w:val="00FF23EF"/>
    <w:rsid w:val="00FF29DC"/>
    <w:rsid w:val="00FF30FF"/>
    <w:rsid w:val="00FF411B"/>
    <w:rsid w:val="00FF437B"/>
    <w:rsid w:val="00FF44B1"/>
    <w:rsid w:val="00FF4934"/>
    <w:rsid w:val="00FF4D79"/>
    <w:rsid w:val="00FF530A"/>
    <w:rsid w:val="00FF564E"/>
    <w:rsid w:val="00FF6835"/>
    <w:rsid w:val="00FF6AD9"/>
    <w:rsid w:val="00FF700D"/>
    <w:rsid w:val="00FF7317"/>
    <w:rsid w:val="00FF789C"/>
    <w:rsid w:val="329B67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F3332DA"/>
  <w15:docId w15:val="{136252A9-B7C7-49DD-96E0-312D3ECB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 w:type="character" w:styleId="Mention">
    <w:name w:val="Mention"/>
    <w:rsid w:val="00087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