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60ED6" w:rsidRPr="00DB47A2" w:rsidP="00460ED6" w14:paraId="67DB1D6D" w14:textId="77777777">
      <w:pPr>
        <w:pStyle w:val="StyleBoldCentered"/>
        <w:rPr>
          <w:rFonts w:ascii="Times New Roman" w:hAnsi="Times New Roman"/>
          <w:caps w:val="0"/>
        </w:rPr>
      </w:pPr>
      <w:r w:rsidRPr="00DB47A2">
        <w:rPr>
          <w:rFonts w:ascii="Times New Roman" w:hAnsi="Times New Roman"/>
          <w:caps w:val="0"/>
        </w:rPr>
        <w:t>Before the</w:t>
      </w:r>
    </w:p>
    <w:p w:rsidR="00460ED6" w:rsidRPr="00DB47A2" w:rsidP="00460ED6" w14:paraId="5C04DE59" w14:textId="77777777">
      <w:pPr>
        <w:pStyle w:val="StyleBoldCentered"/>
        <w:rPr>
          <w:rFonts w:ascii="Times New Roman" w:hAnsi="Times New Roman"/>
        </w:rPr>
      </w:pPr>
      <w:r w:rsidRPr="00DB47A2">
        <w:rPr>
          <w:rFonts w:ascii="Times New Roman" w:hAnsi="Times New Roman"/>
        </w:rPr>
        <w:t>F</w:t>
      </w:r>
      <w:r w:rsidRPr="00DB47A2">
        <w:rPr>
          <w:rFonts w:ascii="Times New Roman" w:hAnsi="Times New Roman"/>
          <w:caps w:val="0"/>
        </w:rPr>
        <w:t>ederal Communications Commission</w:t>
      </w:r>
    </w:p>
    <w:p w:rsidR="00460ED6" w:rsidRPr="00DB47A2" w:rsidP="00460ED6" w14:paraId="41D2F0EC" w14:textId="77777777">
      <w:pPr>
        <w:pStyle w:val="StyleBoldCentered"/>
        <w:rPr>
          <w:rFonts w:ascii="Times New Roman" w:hAnsi="Times New Roman"/>
        </w:rPr>
      </w:pPr>
      <w:r w:rsidRPr="00DB47A2">
        <w:rPr>
          <w:rFonts w:ascii="Times New Roman" w:hAnsi="Times New Roman"/>
          <w:caps w:val="0"/>
        </w:rPr>
        <w:t>Washington, D.C. 20554</w:t>
      </w:r>
    </w:p>
    <w:p w:rsidR="00460ED6" w:rsidRPr="00DB47A2" w:rsidP="00460ED6" w14:paraId="5471597C" w14:textId="77777777">
      <w:pPr>
        <w:rPr>
          <w:szCs w:val="22"/>
        </w:rPr>
      </w:pPr>
    </w:p>
    <w:p w:rsidR="00460ED6" w:rsidRPr="00DB47A2" w:rsidP="00460ED6" w14:paraId="1B82DC64" w14:textId="77777777">
      <w:pPr>
        <w:rPr>
          <w:szCs w:val="22"/>
        </w:rPr>
      </w:pPr>
    </w:p>
    <w:tbl>
      <w:tblPr>
        <w:tblW w:w="0" w:type="auto"/>
        <w:tblLayout w:type="fixed"/>
        <w:tblLook w:val="0000"/>
      </w:tblPr>
      <w:tblGrid>
        <w:gridCol w:w="4698"/>
        <w:gridCol w:w="630"/>
        <w:gridCol w:w="4248"/>
      </w:tblGrid>
      <w:tr w14:paraId="6039A9C2" w14:textId="77777777" w:rsidTr="02223A43">
        <w:tblPrEx>
          <w:tblW w:w="0" w:type="auto"/>
          <w:tblLayout w:type="fixed"/>
          <w:tblLook w:val="0000"/>
        </w:tblPrEx>
        <w:tc>
          <w:tcPr>
            <w:tcW w:w="4698" w:type="dxa"/>
          </w:tcPr>
          <w:p w:rsidR="00460ED6" w:rsidRPr="00DB47A2" w:rsidP="001D3C11" w14:paraId="064DA2DA" w14:textId="77777777">
            <w:pPr>
              <w:tabs>
                <w:tab w:val="center" w:pos="4680"/>
              </w:tabs>
              <w:suppressAutoHyphens/>
              <w:rPr>
                <w:spacing w:val="-2"/>
                <w:szCs w:val="22"/>
              </w:rPr>
            </w:pPr>
          </w:p>
        </w:tc>
        <w:tc>
          <w:tcPr>
            <w:tcW w:w="630" w:type="dxa"/>
          </w:tcPr>
          <w:p w:rsidR="00460ED6" w:rsidRPr="00DB47A2" w:rsidP="001D3C11" w14:paraId="6B6D3359" w14:textId="77777777">
            <w:pPr>
              <w:tabs>
                <w:tab w:val="center" w:pos="4680"/>
              </w:tabs>
              <w:suppressAutoHyphens/>
              <w:rPr>
                <w:b/>
                <w:spacing w:val="-2"/>
                <w:szCs w:val="22"/>
              </w:rPr>
            </w:pPr>
          </w:p>
        </w:tc>
        <w:tc>
          <w:tcPr>
            <w:tcW w:w="4248" w:type="dxa"/>
          </w:tcPr>
          <w:p w:rsidR="00460ED6" w:rsidRPr="00DB47A2" w:rsidP="001D3C11" w14:paraId="5757D956" w14:textId="77777777">
            <w:pPr>
              <w:tabs>
                <w:tab w:val="center" w:pos="4680"/>
              </w:tabs>
              <w:suppressAutoHyphens/>
              <w:rPr>
                <w:spacing w:val="-2"/>
                <w:szCs w:val="22"/>
              </w:rPr>
            </w:pPr>
          </w:p>
        </w:tc>
      </w:tr>
      <w:tr w14:paraId="1C1BF2B3" w14:textId="77777777" w:rsidTr="02223A43">
        <w:tblPrEx>
          <w:tblW w:w="0" w:type="auto"/>
          <w:tblLayout w:type="fixed"/>
          <w:tblLook w:val="0000"/>
        </w:tblPrEx>
        <w:tc>
          <w:tcPr>
            <w:tcW w:w="4698" w:type="dxa"/>
          </w:tcPr>
          <w:p w:rsidR="00460ED6" w:rsidRPr="00DB47A2" w:rsidP="001D3C11" w14:paraId="1F325870" w14:textId="416BA1F4">
            <w:pPr>
              <w:tabs>
                <w:tab w:val="center" w:pos="4680"/>
              </w:tabs>
              <w:suppressAutoHyphens/>
              <w:rPr>
                <w:spacing w:val="-2"/>
                <w:szCs w:val="22"/>
              </w:rPr>
            </w:pPr>
            <w:r w:rsidRPr="00DB47A2">
              <w:rPr>
                <w:spacing w:val="-2"/>
                <w:szCs w:val="22"/>
              </w:rPr>
              <w:t>In the Matter of</w:t>
            </w:r>
          </w:p>
          <w:p w:rsidR="00460ED6" w:rsidRPr="00DB47A2" w:rsidP="001D3C11" w14:paraId="697775CF" w14:textId="77777777">
            <w:pPr>
              <w:tabs>
                <w:tab w:val="center" w:pos="4680"/>
              </w:tabs>
              <w:suppressAutoHyphens/>
              <w:rPr>
                <w:spacing w:val="-2"/>
                <w:szCs w:val="22"/>
              </w:rPr>
            </w:pPr>
          </w:p>
          <w:p w:rsidR="00460ED6" w:rsidRPr="00DB47A2" w:rsidP="001D3C11" w14:paraId="4CC4DD72" w14:textId="3D109980">
            <w:pPr>
              <w:tabs>
                <w:tab w:val="center" w:pos="4680"/>
              </w:tabs>
              <w:suppressAutoHyphens/>
              <w:rPr>
                <w:spacing w:val="-2"/>
                <w:szCs w:val="22"/>
              </w:rPr>
            </w:pPr>
            <w:r w:rsidRPr="00DB47A2">
              <w:rPr>
                <w:spacing w:val="-2"/>
                <w:szCs w:val="22"/>
              </w:rPr>
              <w:t>Viasat, Inc.</w:t>
            </w:r>
          </w:p>
          <w:p w:rsidR="00F5113B" w:rsidRPr="00DB47A2" w:rsidP="001D3C11" w14:paraId="40DDA79B" w14:textId="77777777">
            <w:pPr>
              <w:tabs>
                <w:tab w:val="center" w:pos="4680"/>
              </w:tabs>
              <w:suppressAutoHyphens/>
              <w:rPr>
                <w:spacing w:val="-2"/>
                <w:szCs w:val="22"/>
              </w:rPr>
            </w:pPr>
          </w:p>
          <w:p w:rsidR="00460ED6" w:rsidRPr="00DB47A2" w:rsidP="001D3C11" w14:paraId="377034E2" w14:textId="310E5890">
            <w:pPr>
              <w:tabs>
                <w:tab w:val="center" w:pos="4680"/>
              </w:tabs>
              <w:suppressAutoHyphens/>
              <w:rPr>
                <w:spacing w:val="-2"/>
                <w:szCs w:val="22"/>
              </w:rPr>
            </w:pPr>
            <w:r w:rsidRPr="00DB47A2">
              <w:rPr>
                <w:spacing w:val="-2"/>
                <w:szCs w:val="22"/>
              </w:rPr>
              <w:t>Application for Earth Station License</w:t>
            </w:r>
          </w:p>
          <w:p w:rsidR="00460ED6" w:rsidRPr="00DB47A2" w:rsidP="001D3C11" w14:paraId="66A98D1A" w14:textId="52AE4F2A">
            <w:pPr>
              <w:tabs>
                <w:tab w:val="center" w:pos="4680"/>
              </w:tabs>
              <w:suppressAutoHyphens/>
            </w:pPr>
            <w:r>
              <w:t>Douglasville, Georgia</w:t>
            </w:r>
          </w:p>
          <w:p w:rsidR="00460ED6" w:rsidRPr="00DB47A2" w:rsidP="001D3C11" w14:paraId="119717D5" w14:textId="169BDAE4">
            <w:pPr>
              <w:tabs>
                <w:tab w:val="center" w:pos="4680"/>
              </w:tabs>
              <w:suppressAutoHyphens/>
              <w:rPr>
                <w:spacing w:val="-2"/>
                <w:szCs w:val="22"/>
              </w:rPr>
            </w:pPr>
          </w:p>
        </w:tc>
        <w:tc>
          <w:tcPr>
            <w:tcW w:w="630" w:type="dxa"/>
          </w:tcPr>
          <w:p w:rsidR="00460ED6" w:rsidRPr="00DB47A2" w:rsidP="001D3C11" w14:paraId="6C7A03BE" w14:textId="77777777">
            <w:pPr>
              <w:tabs>
                <w:tab w:val="center" w:pos="4680"/>
              </w:tabs>
              <w:suppressAutoHyphens/>
              <w:rPr>
                <w:b/>
                <w:spacing w:val="-2"/>
                <w:szCs w:val="22"/>
              </w:rPr>
            </w:pPr>
            <w:r w:rsidRPr="00DB47A2">
              <w:rPr>
                <w:b/>
                <w:spacing w:val="-2"/>
                <w:szCs w:val="22"/>
              </w:rPr>
              <w:t>)</w:t>
            </w:r>
          </w:p>
          <w:p w:rsidR="00460ED6" w:rsidRPr="00DB47A2" w:rsidP="20A4209D" w14:paraId="1FEE8729" w14:textId="4134045B">
            <w:pPr>
              <w:tabs>
                <w:tab w:val="center" w:pos="4680"/>
              </w:tabs>
              <w:suppressAutoHyphens/>
              <w:rPr>
                <w:b/>
                <w:bCs/>
                <w:spacing w:val="-2"/>
              </w:rPr>
            </w:pPr>
            <w:r w:rsidRPr="20A4209D">
              <w:rPr>
                <w:b/>
                <w:bCs/>
                <w:spacing w:val="-2"/>
              </w:rPr>
              <w:t xml:space="preserve">)      </w:t>
            </w:r>
          </w:p>
          <w:p w:rsidR="00460ED6" w:rsidRPr="00DB47A2" w:rsidP="001D3C11" w14:paraId="1CC4028B" w14:textId="77777777">
            <w:pPr>
              <w:tabs>
                <w:tab w:val="center" w:pos="4680"/>
              </w:tabs>
              <w:suppressAutoHyphens/>
              <w:rPr>
                <w:b/>
                <w:spacing w:val="-2"/>
                <w:szCs w:val="22"/>
              </w:rPr>
            </w:pPr>
            <w:r w:rsidRPr="00DB47A2">
              <w:rPr>
                <w:b/>
                <w:spacing w:val="-2"/>
                <w:szCs w:val="22"/>
              </w:rPr>
              <w:t>)</w:t>
            </w:r>
          </w:p>
          <w:p w:rsidR="00460ED6" w:rsidRPr="00DB47A2" w:rsidP="001D3C11" w14:paraId="26A24F63" w14:textId="77777777">
            <w:pPr>
              <w:tabs>
                <w:tab w:val="center" w:pos="4680"/>
              </w:tabs>
              <w:suppressAutoHyphens/>
              <w:rPr>
                <w:b/>
                <w:spacing w:val="-2"/>
                <w:szCs w:val="22"/>
              </w:rPr>
            </w:pPr>
            <w:r w:rsidRPr="00DB47A2">
              <w:rPr>
                <w:b/>
                <w:spacing w:val="-2"/>
                <w:szCs w:val="22"/>
              </w:rPr>
              <w:t>)</w:t>
            </w:r>
          </w:p>
          <w:p w:rsidR="00460ED6" w:rsidRPr="00DB47A2" w:rsidP="001D3C11" w14:paraId="3BCC47FB" w14:textId="77777777">
            <w:pPr>
              <w:tabs>
                <w:tab w:val="center" w:pos="4680"/>
              </w:tabs>
              <w:suppressAutoHyphens/>
              <w:rPr>
                <w:b/>
                <w:spacing w:val="-2"/>
                <w:szCs w:val="22"/>
              </w:rPr>
            </w:pPr>
            <w:r w:rsidRPr="00DB47A2">
              <w:rPr>
                <w:b/>
                <w:spacing w:val="-2"/>
                <w:szCs w:val="22"/>
              </w:rPr>
              <w:t>)</w:t>
            </w:r>
          </w:p>
          <w:p w:rsidR="00460ED6" w:rsidRPr="00DB47A2" w:rsidP="001D3C11" w14:paraId="26F238CF" w14:textId="41720ABF">
            <w:pPr>
              <w:tabs>
                <w:tab w:val="center" w:pos="4680"/>
              </w:tabs>
              <w:suppressAutoHyphens/>
              <w:rPr>
                <w:b/>
                <w:spacing w:val="-2"/>
                <w:szCs w:val="22"/>
              </w:rPr>
            </w:pPr>
            <w:r>
              <w:rPr>
                <w:b/>
                <w:spacing w:val="-2"/>
                <w:szCs w:val="22"/>
              </w:rPr>
              <w:t>)</w:t>
            </w:r>
          </w:p>
          <w:p w:rsidR="00460ED6" w:rsidRPr="00DB47A2" w:rsidP="00DC0A00" w14:paraId="414607D5" w14:textId="77777777">
            <w:pPr>
              <w:tabs>
                <w:tab w:val="center" w:pos="4680"/>
              </w:tabs>
              <w:suppressAutoHyphens/>
              <w:rPr>
                <w:b/>
                <w:bCs/>
                <w:spacing w:val="-2"/>
                <w:szCs w:val="22"/>
              </w:rPr>
            </w:pPr>
          </w:p>
        </w:tc>
        <w:tc>
          <w:tcPr>
            <w:tcW w:w="4248" w:type="dxa"/>
          </w:tcPr>
          <w:p w:rsidR="008C6A04" w:rsidP="00527D1A" w14:paraId="5FF2CEFD" w14:textId="77777777">
            <w:pPr>
              <w:tabs>
                <w:tab w:val="center" w:pos="4680"/>
              </w:tabs>
              <w:suppressAutoHyphens/>
              <w:rPr>
                <w:spacing w:val="-2"/>
                <w:szCs w:val="22"/>
              </w:rPr>
            </w:pPr>
          </w:p>
          <w:p w:rsidR="003B4A18" w:rsidP="00527D1A" w14:paraId="2A4A9A48" w14:textId="77777777">
            <w:pPr>
              <w:tabs>
                <w:tab w:val="center" w:pos="4680"/>
              </w:tabs>
              <w:suppressAutoHyphens/>
              <w:rPr>
                <w:spacing w:val="-2"/>
              </w:rPr>
            </w:pPr>
          </w:p>
          <w:p w:rsidR="00460ED6" w:rsidRPr="002C4F26" w:rsidP="00527D1A" w14:paraId="74BD3594" w14:textId="4F131648">
            <w:pPr>
              <w:tabs>
                <w:tab w:val="center" w:pos="4680"/>
              </w:tabs>
              <w:suppressAutoHyphens/>
            </w:pPr>
            <w:r w:rsidRPr="20A4209D">
              <w:rPr>
                <w:spacing w:val="-2"/>
              </w:rPr>
              <w:t>I</w:t>
            </w:r>
            <w:r w:rsidRPr="20A4209D" w:rsidR="2C91E903">
              <w:rPr>
                <w:spacing w:val="-2"/>
              </w:rPr>
              <w:t>C</w:t>
            </w:r>
            <w:r w:rsidRPr="20A4209D">
              <w:rPr>
                <w:spacing w:val="-2"/>
              </w:rPr>
              <w:t>FS File No. SES-LIC-20210</w:t>
            </w:r>
            <w:r w:rsidRPr="20A4209D" w:rsidR="00643998">
              <w:rPr>
                <w:spacing w:val="-2"/>
              </w:rPr>
              <w:t>323</w:t>
            </w:r>
            <w:r w:rsidRPr="20A4209D">
              <w:rPr>
                <w:spacing w:val="-2"/>
              </w:rPr>
              <w:t>-0</w:t>
            </w:r>
            <w:r w:rsidRPr="20A4209D" w:rsidR="00BB692E">
              <w:rPr>
                <w:spacing w:val="-2"/>
              </w:rPr>
              <w:t>0559</w:t>
            </w:r>
          </w:p>
          <w:p w:rsidR="00065FA4" w:rsidRPr="002C4F26" w:rsidP="00527D1A" w14:paraId="771526AB" w14:textId="017962A4">
            <w:pPr>
              <w:tabs>
                <w:tab w:val="center" w:pos="4680"/>
              </w:tabs>
              <w:suppressAutoHyphens/>
              <w:rPr>
                <w:spacing w:val="-2"/>
                <w:szCs w:val="22"/>
              </w:rPr>
            </w:pPr>
          </w:p>
          <w:p w:rsidR="00065FA4" w:rsidRPr="00DB47A2" w:rsidP="00065FA4" w14:paraId="28C9CC13" w14:textId="783578B7">
            <w:pPr>
              <w:tabs>
                <w:tab w:val="center" w:pos="4680"/>
              </w:tabs>
              <w:suppressAutoHyphens/>
              <w:rPr>
                <w:spacing w:val="-2"/>
                <w:szCs w:val="22"/>
              </w:rPr>
            </w:pPr>
            <w:r w:rsidRPr="00DB47A2">
              <w:rPr>
                <w:spacing w:val="-2"/>
                <w:szCs w:val="22"/>
              </w:rPr>
              <w:t xml:space="preserve">Call Sign:  </w:t>
            </w:r>
            <w:r w:rsidRPr="00DB47A2" w:rsidR="00514172">
              <w:rPr>
                <w:spacing w:val="-2"/>
                <w:szCs w:val="22"/>
              </w:rPr>
              <w:t>E210</w:t>
            </w:r>
            <w:r w:rsidR="00BB692E">
              <w:rPr>
                <w:spacing w:val="-2"/>
                <w:szCs w:val="22"/>
              </w:rPr>
              <w:t>058</w:t>
            </w:r>
          </w:p>
          <w:p w:rsidR="00460ED6" w:rsidRPr="00DB47A2" w:rsidP="001D3C11" w14:paraId="19BD56EB" w14:textId="77777777">
            <w:pPr>
              <w:tabs>
                <w:tab w:val="center" w:pos="4680"/>
              </w:tabs>
              <w:suppressAutoHyphens/>
              <w:rPr>
                <w:spacing w:val="-2"/>
                <w:szCs w:val="22"/>
              </w:rPr>
            </w:pPr>
          </w:p>
          <w:p w:rsidR="00460ED6" w:rsidRPr="00DB47A2" w:rsidP="001D3C11" w14:paraId="0FBC3B6F" w14:textId="460F6B38">
            <w:pPr>
              <w:tabs>
                <w:tab w:val="center" w:pos="4680"/>
              </w:tabs>
              <w:suppressAutoHyphens/>
              <w:rPr>
                <w:spacing w:val="-2"/>
                <w:szCs w:val="22"/>
              </w:rPr>
            </w:pPr>
          </w:p>
          <w:p w:rsidR="00460ED6" w:rsidRPr="00DB47A2" w:rsidP="001D3C11" w14:paraId="2D8C4220" w14:textId="77777777">
            <w:pPr>
              <w:tabs>
                <w:tab w:val="center" w:pos="4680"/>
              </w:tabs>
              <w:suppressAutoHyphens/>
              <w:rPr>
                <w:spacing w:val="-2"/>
                <w:szCs w:val="22"/>
              </w:rPr>
            </w:pPr>
          </w:p>
          <w:p w:rsidR="00460ED6" w:rsidRPr="00DB47A2" w:rsidP="001D3C11" w14:paraId="78D19A5E" w14:textId="77777777">
            <w:pPr>
              <w:tabs>
                <w:tab w:val="center" w:pos="4680"/>
              </w:tabs>
              <w:suppressAutoHyphens/>
              <w:rPr>
                <w:spacing w:val="-2"/>
                <w:szCs w:val="22"/>
              </w:rPr>
            </w:pPr>
          </w:p>
        </w:tc>
      </w:tr>
    </w:tbl>
    <w:p w:rsidR="00460ED6" w:rsidRPr="00DB47A2" w:rsidP="000F61FD" w14:paraId="19AFC2E1" w14:textId="59C6D1A2">
      <w:pPr>
        <w:pStyle w:val="StyleBoldCentered"/>
        <w:rPr>
          <w:rFonts w:ascii="Times New Roman" w:hAnsi="Times New Roman"/>
        </w:rPr>
      </w:pPr>
      <w:r>
        <w:rPr>
          <w:rFonts w:ascii="Times New Roman" w:hAnsi="Times New Roman"/>
        </w:rPr>
        <w:t>Order</w:t>
      </w:r>
      <w:r w:rsidR="00207EF7">
        <w:rPr>
          <w:rFonts w:ascii="Times New Roman" w:hAnsi="Times New Roman"/>
        </w:rPr>
        <w:t xml:space="preserve"> And AUTHORIZATION</w:t>
      </w:r>
    </w:p>
    <w:p w:rsidR="00460ED6" w:rsidRPr="00DB47A2" w:rsidP="00460ED6" w14:paraId="06D3FEB2" w14:textId="77777777">
      <w:pPr>
        <w:tabs>
          <w:tab w:val="left" w:pos="-720"/>
        </w:tabs>
        <w:suppressAutoHyphens/>
        <w:spacing w:line="227" w:lineRule="auto"/>
        <w:rPr>
          <w:spacing w:val="-2"/>
          <w:szCs w:val="22"/>
        </w:rPr>
      </w:pPr>
    </w:p>
    <w:p w:rsidR="00460ED6" w:rsidRPr="00DB47A2" w:rsidP="00460ED6" w14:paraId="0DDE94AF" w14:textId="1C11DC77">
      <w:pPr>
        <w:tabs>
          <w:tab w:val="left" w:pos="720"/>
          <w:tab w:val="right" w:pos="9360"/>
        </w:tabs>
        <w:suppressAutoHyphens/>
        <w:spacing w:line="227" w:lineRule="auto"/>
      </w:pPr>
      <w:r w:rsidRPr="20A4209D">
        <w:rPr>
          <w:b/>
          <w:bCs/>
          <w:spacing w:val="-2"/>
        </w:rPr>
        <w:t xml:space="preserve">Adopted:  </w:t>
      </w:r>
      <w:r w:rsidR="00446191">
        <w:rPr>
          <w:b/>
          <w:bCs/>
          <w:spacing w:val="-2"/>
        </w:rPr>
        <w:t>September 5, 2023</w:t>
      </w:r>
      <w:r>
        <w:tab/>
      </w:r>
      <w:r w:rsidRPr="20A4209D">
        <w:rPr>
          <w:b/>
          <w:bCs/>
          <w:spacing w:val="-2"/>
        </w:rPr>
        <w:t xml:space="preserve">Released:  </w:t>
      </w:r>
      <w:r w:rsidR="00446191">
        <w:rPr>
          <w:b/>
          <w:bCs/>
          <w:spacing w:val="-2"/>
        </w:rPr>
        <w:t>September 5, 2023</w:t>
      </w:r>
      <w:r w:rsidR="00E86267">
        <w:rPr>
          <w:b/>
          <w:bCs/>
          <w:spacing w:val="-2"/>
        </w:rPr>
        <w:t xml:space="preserve"> </w:t>
      </w:r>
    </w:p>
    <w:p w:rsidR="00460ED6" w:rsidRPr="00DB47A2" w:rsidP="00460ED6" w14:paraId="2EFAC2E2" w14:textId="77777777">
      <w:pPr>
        <w:rPr>
          <w:szCs w:val="22"/>
        </w:rPr>
      </w:pPr>
    </w:p>
    <w:p w:rsidR="00460ED6" w:rsidRPr="00DB47A2" w:rsidP="00460ED6" w14:paraId="6513329D" w14:textId="31680DB8">
      <w:r w:rsidRPr="20A4209D">
        <w:t xml:space="preserve">By the </w:t>
      </w:r>
      <w:r w:rsidRPr="20A4209D" w:rsidR="6AF9A7E5">
        <w:t xml:space="preserve">Chief, </w:t>
      </w:r>
      <w:r w:rsidRPr="20A4209D" w:rsidR="00362885">
        <w:t>Space</w:t>
      </w:r>
      <w:r w:rsidRPr="20A4209D">
        <w:t xml:space="preserve"> Bureau</w:t>
      </w:r>
      <w:r w:rsidRPr="00DB47A2">
        <w:rPr>
          <w:spacing w:val="-2"/>
          <w:szCs w:val="22"/>
        </w:rPr>
        <w:t>:</w:t>
      </w:r>
    </w:p>
    <w:p w:rsidR="00460ED6" w:rsidRPr="00DB47A2" w:rsidP="00460ED6" w14:paraId="360E691D" w14:textId="77777777">
      <w:pPr>
        <w:ind w:left="720" w:hanging="720"/>
        <w:rPr>
          <w:b/>
          <w:szCs w:val="22"/>
        </w:rPr>
      </w:pPr>
    </w:p>
    <w:p w:rsidR="006D653D" w:rsidP="006D653D" w14:paraId="1C087DEC" w14:textId="77777777">
      <w:pPr>
        <w:pStyle w:val="Heading1"/>
        <w:rPr>
          <w:rFonts w:ascii="Times New Roman" w:hAnsi="Times New Roman"/>
          <w:szCs w:val="22"/>
        </w:rPr>
      </w:pPr>
      <w:r w:rsidRPr="00DB47A2">
        <w:rPr>
          <w:rFonts w:ascii="Times New Roman" w:hAnsi="Times New Roman"/>
          <w:szCs w:val="22"/>
        </w:rPr>
        <w:t>INTRODUCTION</w:t>
      </w:r>
    </w:p>
    <w:p w:rsidR="006D653D" w:rsidRPr="008743B6" w:rsidP="008743B6" w14:paraId="450AD291" w14:textId="75AE2274">
      <w:pPr>
        <w:pStyle w:val="ParaNum"/>
        <w:tabs>
          <w:tab w:val="clear" w:pos="1080"/>
          <w:tab w:val="num" w:pos="1440"/>
        </w:tabs>
      </w:pPr>
      <w:r w:rsidRPr="093AB727">
        <w:t xml:space="preserve">By this </w:t>
      </w:r>
      <w:r w:rsidR="40D2CF9F">
        <w:t>Order</w:t>
      </w:r>
      <w:r w:rsidRPr="093AB727">
        <w:t xml:space="preserve">, </w:t>
      </w:r>
      <w:r w:rsidRPr="093AB727" w:rsidR="656016E5">
        <w:t>w</w:t>
      </w:r>
      <w:r w:rsidRPr="093AB727" w:rsidR="5833803E">
        <w:t xml:space="preserve">e </w:t>
      </w:r>
      <w:r w:rsidR="40D2CF9F">
        <w:t xml:space="preserve">grant </w:t>
      </w:r>
      <w:r>
        <w:t>the</w:t>
      </w:r>
      <w:r w:rsidR="40D2CF9F">
        <w:t xml:space="preserve"> </w:t>
      </w:r>
      <w:r w:rsidRPr="093AB727" w:rsidR="201715D1">
        <w:t>Fixed</w:t>
      </w:r>
      <w:r w:rsidRPr="093AB727" w:rsidR="10B21DF3">
        <w:t>-</w:t>
      </w:r>
      <w:r w:rsidRPr="093AB727" w:rsidR="201715D1">
        <w:t xml:space="preserve">Satellite Service (FSS) </w:t>
      </w:r>
      <w:r w:rsidR="40D2CF9F">
        <w:t>earth station license application</w:t>
      </w:r>
      <w:r>
        <w:t xml:space="preserve"> of Viasat, Inc. (Viasat)</w:t>
      </w:r>
      <w:r w:rsidR="201715D1">
        <w:t xml:space="preserve"> to operate </w:t>
      </w:r>
      <w:r w:rsidR="095CAAFC">
        <w:t>an earth station in Douglasville, Georgia to communicat</w:t>
      </w:r>
      <w:r w:rsidR="7B84CB1B">
        <w:t>e</w:t>
      </w:r>
      <w:r w:rsidR="095CAAFC">
        <w:t xml:space="preserve"> with </w:t>
      </w:r>
      <w:r w:rsidR="0A135A26">
        <w:t>its</w:t>
      </w:r>
      <w:r w:rsidR="7B84CB1B">
        <w:t xml:space="preserve"> Viasat</w:t>
      </w:r>
      <w:r w:rsidR="00037373">
        <w:t>-</w:t>
      </w:r>
      <w:r w:rsidR="7B84CB1B">
        <w:t>3 system.  We also grant</w:t>
      </w:r>
      <w:r w:rsidR="0F3F6632">
        <w:t xml:space="preserve"> Viasat</w:t>
      </w:r>
      <w:r w:rsidR="0A135A26">
        <w:t>’s</w:t>
      </w:r>
      <w:r w:rsidR="0F3F6632">
        <w:t xml:space="preserve"> </w:t>
      </w:r>
      <w:r w:rsidR="7B84CB1B">
        <w:t>request</w:t>
      </w:r>
      <w:r w:rsidRPr="093AB727" w:rsidR="0F3F6632">
        <w:t xml:space="preserve"> to operate</w:t>
      </w:r>
      <w:r w:rsidR="7B84CB1B">
        <w:t xml:space="preserve"> this</w:t>
      </w:r>
      <w:r w:rsidRPr="093AB727" w:rsidR="0F3F6632">
        <w:t xml:space="preserve"> earth station in the 27.5-28.35 GHz </w:t>
      </w:r>
      <w:r w:rsidR="18F78ED1">
        <w:t xml:space="preserve">frequency </w:t>
      </w:r>
      <w:r w:rsidRPr="093AB727" w:rsidR="0F3F6632">
        <w:t>band on a co-primary basis</w:t>
      </w:r>
      <w:r w:rsidR="66FB2FE7">
        <w:t xml:space="preserve"> with </w:t>
      </w:r>
      <w:r w:rsidR="00AA3C59">
        <w:t xml:space="preserve">terrestrial </w:t>
      </w:r>
      <w:r w:rsidR="66FB2FE7">
        <w:t xml:space="preserve">Upper Microwave Flexible Service (UMFUS) </w:t>
      </w:r>
      <w:r w:rsidR="007D055A">
        <w:t>operations, and</w:t>
      </w:r>
      <w:r w:rsidR="6E5874C5">
        <w:t xml:space="preserve"> </w:t>
      </w:r>
      <w:r w:rsidR="001E4D12">
        <w:t>deny</w:t>
      </w:r>
      <w:r w:rsidR="6E5874C5">
        <w:t xml:space="preserve"> Verizon</w:t>
      </w:r>
      <w:r w:rsidR="586AABB5">
        <w:t xml:space="preserve">, Inc’s </w:t>
      </w:r>
      <w:r w:rsidR="7711368C">
        <w:t>Petition in opposition.</w:t>
      </w:r>
      <w:r>
        <w:rPr>
          <w:rStyle w:val="FootnoteReference"/>
        </w:rPr>
        <w:footnoteReference w:id="3"/>
      </w:r>
      <w:r w:rsidRPr="006D653D" w:rsidR="0F3F6632">
        <w:rPr>
          <w:szCs w:val="22"/>
        </w:rPr>
        <w:t xml:space="preserve">  </w:t>
      </w:r>
      <w:r w:rsidRPr="093AB727" w:rsidR="0A135A26">
        <w:t>Verizon</w:t>
      </w:r>
      <w:r w:rsidR="0A135A26">
        <w:t xml:space="preserve"> objects to Viasat’s use of the </w:t>
      </w:r>
      <w:r w:rsidRPr="093AB727" w:rsidR="0A135A26">
        <w:t xml:space="preserve">irregular terrain model </w:t>
      </w:r>
      <w:r w:rsidR="0A135A26">
        <w:t xml:space="preserve">(ITM) in modelling its </w:t>
      </w:r>
      <w:r w:rsidRPr="093AB727" w:rsidR="0A135A26">
        <w:t>power flux density (PFD</w:t>
      </w:r>
      <w:r w:rsidRPr="006D653D" w:rsidR="0A135A26">
        <w:rPr>
          <w:szCs w:val="22"/>
        </w:rPr>
        <w:t xml:space="preserve">) </w:t>
      </w:r>
      <w:r w:rsidRPr="093AB727" w:rsidR="0A135A26">
        <w:t xml:space="preserve">propagation </w:t>
      </w:r>
      <w:r w:rsidR="0A135A26">
        <w:t>contour.</w:t>
      </w:r>
      <w:r w:rsidRPr="006D653D" w:rsidR="0A135A26">
        <w:rPr>
          <w:szCs w:val="22"/>
        </w:rPr>
        <w:t xml:space="preserve"> </w:t>
      </w:r>
      <w:r w:rsidRPr="093AB727" w:rsidR="0A135A26">
        <w:t xml:space="preserve"> We find that Viasat’s use of the ITM PFD</w:t>
      </w:r>
      <w:r w:rsidRPr="006D653D" w:rsidR="0A135A26">
        <w:rPr>
          <w:szCs w:val="22"/>
        </w:rPr>
        <w:t xml:space="preserve"> </w:t>
      </w:r>
      <w:r w:rsidRPr="093AB727" w:rsidR="0A135A26">
        <w:t xml:space="preserve">propagation model complies with the </w:t>
      </w:r>
      <w:r w:rsidR="0A135A26">
        <w:t xml:space="preserve">Commission’s </w:t>
      </w:r>
      <w:r w:rsidRPr="093AB727" w:rsidR="0A135A26">
        <w:t>rule</w:t>
      </w:r>
      <w:r w:rsidR="0A135A26">
        <w:t>s</w:t>
      </w:r>
      <w:r w:rsidR="588E6900">
        <w:t>, and we deny Verizon’s petition</w:t>
      </w:r>
      <w:r w:rsidR="001E39CD">
        <w:t>.</w:t>
      </w:r>
      <w:r w:rsidR="008743B6">
        <w:t xml:space="preserve">  Finally, we grant Viasat’s request for a waiver </w:t>
      </w:r>
      <w:r w:rsidRPr="2A618142" w:rsidR="008743B6">
        <w:t>of section 2.106 of the U.S. Table of Frequency Allocations, 47 CFR</w:t>
      </w:r>
      <w:r w:rsidR="008743B6">
        <w:t xml:space="preserve"> § </w:t>
      </w:r>
      <w:r w:rsidRPr="2A618142" w:rsidR="008743B6">
        <w:t>2.106, to permit operations in the 17.7-17.8 GHz band</w:t>
      </w:r>
      <w:r w:rsidR="008743B6">
        <w:t xml:space="preserve"> </w:t>
      </w:r>
      <w:r w:rsidR="000E758B">
        <w:t xml:space="preserve">on an </w:t>
      </w:r>
      <w:r w:rsidRPr="2A618142" w:rsidR="008743B6">
        <w:t>unprotected, non-harmful interference basis</w:t>
      </w:r>
      <w:r w:rsidR="008743B6">
        <w:t>.</w:t>
      </w:r>
    </w:p>
    <w:p w:rsidR="003C4BCE" w:rsidRPr="006D653D" w:rsidP="006D653D" w14:paraId="398D8360" w14:textId="414D1426">
      <w:pPr>
        <w:pStyle w:val="Heading1"/>
        <w:rPr>
          <w:rFonts w:ascii="Times New Roman" w:hAnsi="Times New Roman"/>
          <w:szCs w:val="22"/>
        </w:rPr>
      </w:pPr>
      <w:r>
        <w:t>BACKGROUND</w:t>
      </w:r>
    </w:p>
    <w:p w:rsidR="005373D4" w:rsidRPr="00DB47A2" w:rsidP="00330854" w14:paraId="50777264" w14:textId="64B289F8">
      <w:pPr>
        <w:pStyle w:val="Heading2"/>
      </w:pPr>
      <w:r w:rsidRPr="00DB47A2">
        <w:t xml:space="preserve">Review </w:t>
      </w:r>
      <w:r w:rsidRPr="00DB47A2" w:rsidR="00AE7F45">
        <w:t>of Section 25.136</w:t>
      </w:r>
      <w:r w:rsidRPr="00DB47A2" w:rsidR="00927EB5">
        <w:t xml:space="preserve"> and Public Notices</w:t>
      </w:r>
    </w:p>
    <w:p w:rsidR="008D59FF" w:rsidRPr="00DB47A2" w:rsidP="00DD299F" w14:paraId="6B5CA67E" w14:textId="652FC72A">
      <w:pPr>
        <w:pStyle w:val="ParaNum"/>
        <w:tabs>
          <w:tab w:val="clear" w:pos="1080"/>
          <w:tab w:val="num" w:pos="1440"/>
        </w:tabs>
      </w:pPr>
      <w:r w:rsidRPr="00DB47A2">
        <w:t>T</w:t>
      </w:r>
      <w:r w:rsidRPr="00DB47A2" w:rsidR="5BA98EB7">
        <w:t>he Commission adopted section 25.136</w:t>
      </w:r>
      <w:r w:rsidRPr="00DB47A2" w:rsidR="065095CC">
        <w:t xml:space="preserve"> in the </w:t>
      </w:r>
      <w:r w:rsidRPr="66DA9EA8" w:rsidR="065095CC">
        <w:rPr>
          <w:i/>
          <w:iCs/>
        </w:rPr>
        <w:t>Spectrum Frontiers First Report and Order</w:t>
      </w:r>
      <w:r>
        <w:rPr>
          <w:rStyle w:val="FootnoteReference"/>
          <w:i/>
          <w:iCs/>
        </w:rPr>
        <w:footnoteReference w:id="4"/>
      </w:r>
      <w:r w:rsidRPr="00DB47A2" w:rsidR="5BA98EB7">
        <w:t xml:space="preserve"> to specify conditions </w:t>
      </w:r>
      <w:r w:rsidRPr="00DB47A2" w:rsidR="1853605F">
        <w:t xml:space="preserve">under which </w:t>
      </w:r>
      <w:r w:rsidRPr="00DB47A2" w:rsidR="5BA98EB7">
        <w:t>FSS earth stations can coexist</w:t>
      </w:r>
      <w:r w:rsidR="00AA3C59">
        <w:t xml:space="preserve"> </w:t>
      </w:r>
      <w:r w:rsidRPr="00DB47A2" w:rsidR="5BA98EB7">
        <w:t xml:space="preserve">with UMFUS operations in the </w:t>
      </w:r>
      <w:r w:rsidRPr="093AB727" w:rsidR="474C9457">
        <w:rPr>
          <w:snapToGrid/>
          <w:kern w:val="0"/>
        </w:rPr>
        <w:t>27.5-28.35 GHz and 37.5-40.0 GHz</w:t>
      </w:r>
      <w:r w:rsidR="44FAC5F8">
        <w:t xml:space="preserve"> frequency bands</w:t>
      </w:r>
      <w:r w:rsidR="3A4157AD">
        <w:rPr>
          <w:snapToGrid/>
          <w:kern w:val="0"/>
          <w:szCs w:val="22"/>
        </w:rPr>
        <w:t>.</w:t>
      </w:r>
      <w:r w:rsidR="37860379">
        <w:rPr>
          <w:snapToGrid/>
          <w:kern w:val="0"/>
          <w:szCs w:val="22"/>
        </w:rPr>
        <w:t xml:space="preserve">  </w:t>
      </w:r>
      <w:r w:rsidRPr="00DB47A2" w:rsidR="5B33B70B">
        <w:t>Section</w:t>
      </w:r>
      <w:r w:rsidRPr="00DB47A2" w:rsidR="5EBC92E3">
        <w:t xml:space="preserve"> </w:t>
      </w:r>
      <w:r w:rsidRPr="00DB47A2" w:rsidR="5BA98EB7">
        <w:t xml:space="preserve">25.136 requires FSS earth station applicants to provide </w:t>
      </w:r>
      <w:r w:rsidR="346E4384">
        <w:t xml:space="preserve">several </w:t>
      </w:r>
      <w:r w:rsidR="45DF114D">
        <w:t xml:space="preserve">demonstrations, </w:t>
      </w:r>
      <w:r w:rsidR="346E4384">
        <w:t xml:space="preserve">including </w:t>
      </w:r>
      <w:r w:rsidRPr="00DB47A2" w:rsidR="5BA98EB7">
        <w:t xml:space="preserve">an analysis showing the </w:t>
      </w:r>
      <w:r w:rsidR="67BD082F">
        <w:t>PFD</w:t>
      </w:r>
      <w:r w:rsidRPr="00DB47A2" w:rsidR="5DC965E1">
        <w:t xml:space="preserve"> </w:t>
      </w:r>
      <w:r w:rsidRPr="00DB47A2" w:rsidR="5BA98EB7">
        <w:t xml:space="preserve">contour </w:t>
      </w:r>
      <w:r w:rsidRPr="00DB47A2" w:rsidR="06EE11E9">
        <w:t xml:space="preserve">at 10 meters </w:t>
      </w:r>
      <w:r w:rsidRPr="00DB47A2" w:rsidR="06EE11E9">
        <w:t xml:space="preserve">above </w:t>
      </w:r>
      <w:r w:rsidRPr="00DB47A2" w:rsidR="297F01C3">
        <w:t xml:space="preserve">ground level </w:t>
      </w:r>
      <w:r w:rsidRPr="00DB47A2" w:rsidR="5BA98EB7">
        <w:t xml:space="preserve">around their station </w:t>
      </w:r>
      <w:r w:rsidRPr="00DB47A2" w:rsidR="68C3F0C8">
        <w:t>does not exceed</w:t>
      </w:r>
      <w:r w:rsidRPr="00DB47A2" w:rsidR="147E5882">
        <w:t xml:space="preserve"> -</w:t>
      </w:r>
      <w:r w:rsidRPr="00DB47A2" w:rsidR="5BA98EB7">
        <w:t>77.</w:t>
      </w:r>
      <w:r w:rsidRPr="00DB47A2" w:rsidR="5D595D4B">
        <w:t>6</w:t>
      </w:r>
      <w:r w:rsidRPr="00DB47A2" w:rsidR="31CEC14B">
        <w:t xml:space="preserve"> </w:t>
      </w:r>
      <w:r w:rsidRPr="00DB47A2" w:rsidR="5D595D4B">
        <w:t>dBm/</w:t>
      </w:r>
      <w:r w:rsidRPr="00DB47A2" w:rsidR="161A054F">
        <w:t>m</w:t>
      </w:r>
      <w:r w:rsidRPr="00D65BFD" w:rsidR="5D595D4B">
        <w:rPr>
          <w:vertAlign w:val="superscript"/>
        </w:rPr>
        <w:t>2</w:t>
      </w:r>
      <w:r w:rsidRPr="00DB47A2" w:rsidR="5BA98EB7">
        <w:t>/MHz.</w:t>
      </w:r>
      <w:r>
        <w:rPr>
          <w:rStyle w:val="FootnoteReference"/>
        </w:rPr>
        <w:footnoteReference w:id="5"/>
      </w:r>
      <w:r w:rsidRPr="00DB47A2" w:rsidR="5BA98EB7">
        <w:t xml:space="preserve"> </w:t>
      </w:r>
      <w:r w:rsidR="5A54808A">
        <w:t xml:space="preserve"> In addition, </w:t>
      </w:r>
      <w:r w:rsidR="00AA3C59">
        <w:t>there are limits on the number of earth stations that may operate in a given county,</w:t>
      </w:r>
      <w:r>
        <w:rPr>
          <w:rStyle w:val="FootnoteReference"/>
        </w:rPr>
        <w:footnoteReference w:id="6"/>
      </w:r>
      <w:r w:rsidR="00AA3C59">
        <w:t xml:space="preserve"> and</w:t>
      </w:r>
      <w:r w:rsidRPr="00DB47A2" w:rsidR="5BA98EB7">
        <w:t xml:space="preserve"> </w:t>
      </w:r>
      <w:r w:rsidR="0BA9ED0C">
        <w:t xml:space="preserve">the aggregate population within all </w:t>
      </w:r>
      <w:r w:rsidR="2FE534E7">
        <w:t xml:space="preserve">earth </w:t>
      </w:r>
      <w:r w:rsidR="28ED1F3A">
        <w:t>s</w:t>
      </w:r>
      <w:r w:rsidRPr="00DB47A2" w:rsidR="26DE7960">
        <w:t>tati</w:t>
      </w:r>
      <w:r w:rsidRPr="00DB47A2" w:rsidR="1A38D536">
        <w:t>o</w:t>
      </w:r>
      <w:r w:rsidRPr="00DB47A2" w:rsidR="26DE7960">
        <w:t>n</w:t>
      </w:r>
      <w:r w:rsidRPr="00DB47A2" w:rsidR="5BA98EB7">
        <w:t xml:space="preserve"> contour</w:t>
      </w:r>
      <w:r w:rsidR="0BA9ED0C">
        <w:t>s</w:t>
      </w:r>
      <w:r w:rsidR="1A69BF15">
        <w:t xml:space="preserve"> </w:t>
      </w:r>
      <w:r w:rsidR="0BA9ED0C">
        <w:t xml:space="preserve">within a market </w:t>
      </w:r>
      <w:r w:rsidR="1A69BF15">
        <w:t>may</w:t>
      </w:r>
      <w:r w:rsidRPr="00DB47A2" w:rsidR="5BA98EB7">
        <w:t xml:space="preserve"> not exceed </w:t>
      </w:r>
      <w:r w:rsidRPr="00DB47A2" w:rsidR="4FB43381">
        <w:t>a certain level</w:t>
      </w:r>
      <w:r w:rsidRPr="00DB47A2" w:rsidR="5BA98EB7">
        <w:t xml:space="preserve"> </w:t>
      </w:r>
      <w:r w:rsidRPr="00DB47A2" w:rsidR="4FB43381">
        <w:t xml:space="preserve">based </w:t>
      </w:r>
      <w:r w:rsidRPr="00DB47A2" w:rsidR="5BA98EB7">
        <w:t>on the size of the market where the earth station</w:t>
      </w:r>
      <w:r w:rsidR="0BA9ED0C">
        <w:t xml:space="preserve">(s) are </w:t>
      </w:r>
      <w:r w:rsidRPr="00DB47A2" w:rsidR="5BA98EB7">
        <w:t>located</w:t>
      </w:r>
      <w:r w:rsidRPr="00DB47A2" w:rsidR="090F40A0">
        <w:t>.</w:t>
      </w:r>
      <w:r>
        <w:rPr>
          <w:rStyle w:val="FootnoteReference"/>
        </w:rPr>
        <w:footnoteReference w:id="7"/>
      </w:r>
      <w:r w:rsidR="0384B703">
        <w:t xml:space="preserve"> </w:t>
      </w:r>
      <w:r w:rsidRPr="00DB47A2" w:rsidR="1F60AC02">
        <w:t xml:space="preserve"> </w:t>
      </w:r>
      <w:r w:rsidRPr="00DB47A2" w:rsidR="090F40A0">
        <w:t xml:space="preserve">Further, </w:t>
      </w:r>
      <w:r w:rsidRPr="00DB47A2" w:rsidR="5BA98EB7">
        <w:t>contours</w:t>
      </w:r>
      <w:r w:rsidRPr="00DB47A2" w:rsidR="090F40A0">
        <w:t xml:space="preserve"> must</w:t>
      </w:r>
      <w:r w:rsidRPr="00DB47A2" w:rsidR="5BA98EB7">
        <w:t xml:space="preserve"> avoid </w:t>
      </w:r>
      <w:r w:rsidRPr="00DB47A2" w:rsidR="3CAB61A2">
        <w:t>crossing</w:t>
      </w:r>
      <w:r w:rsidRPr="00DB47A2" w:rsidR="5BA98EB7">
        <w:t xml:space="preserve"> major roadways, venues,</w:t>
      </w:r>
      <w:r w:rsidR="7B36F147">
        <w:t xml:space="preserve"> </w:t>
      </w:r>
      <w:r w:rsidRPr="00DB47A2" w:rsidR="5BA98EB7">
        <w:t>passenger railroad lines, etc</w:t>
      </w:r>
      <w:r w:rsidRPr="00DB47A2" w:rsidR="3CAB61A2">
        <w:t>.</w:t>
      </w:r>
      <w:r w:rsidRPr="00DB47A2" w:rsidR="5BA98EB7">
        <w:t>, to minimize the potential impact on UMFUS.</w:t>
      </w:r>
      <w:r>
        <w:rPr>
          <w:rStyle w:val="FootnoteReference"/>
        </w:rPr>
        <w:footnoteReference w:id="8"/>
      </w:r>
      <w:r w:rsidRPr="00DB47A2" w:rsidR="5BA98EB7">
        <w:t xml:space="preserve"> </w:t>
      </w:r>
    </w:p>
    <w:p w:rsidR="0040379B" w:rsidRPr="00DB47A2" w:rsidP="003B7ED7" w14:paraId="66FAF80B" w14:textId="4B4EE497">
      <w:pPr>
        <w:pStyle w:val="ParaNum"/>
        <w:tabs>
          <w:tab w:val="clear" w:pos="1080"/>
          <w:tab w:val="num" w:pos="1440"/>
        </w:tabs>
      </w:pPr>
      <w:r w:rsidRPr="00DB47A2">
        <w:t>T</w:t>
      </w:r>
      <w:r w:rsidRPr="00DB47A2" w:rsidR="07978953">
        <w:t xml:space="preserve">he </w:t>
      </w:r>
      <w:r w:rsidR="2D02B319">
        <w:t>I</w:t>
      </w:r>
      <w:r w:rsidRPr="00DB47A2" w:rsidR="07978953">
        <w:t>nternational Bureau</w:t>
      </w:r>
      <w:r w:rsidR="4C100614">
        <w:t xml:space="preserve"> (Bureau)</w:t>
      </w:r>
      <w:r>
        <w:rPr>
          <w:rStyle w:val="FootnoteReference"/>
        </w:rPr>
        <w:footnoteReference w:id="9"/>
      </w:r>
      <w:r w:rsidRPr="00DB47A2" w:rsidR="7B8570BC">
        <w:t xml:space="preserve"> </w:t>
      </w:r>
      <w:r w:rsidRPr="00DB47A2" w:rsidR="7D90AC17">
        <w:t>sought “</w:t>
      </w:r>
      <w:r w:rsidRPr="00DB47A2">
        <w:t>comment on the methodology for determining interference or protection zones”</w:t>
      </w:r>
      <w:r w:rsidRPr="00DB47A2" w:rsidR="7314A82C">
        <w:t xml:space="preserve"> </w:t>
      </w:r>
      <w:r w:rsidRPr="00DB47A2" w:rsidR="70B61DAE">
        <w:t>when it</w:t>
      </w:r>
      <w:r w:rsidRPr="00DB47A2">
        <w:t xml:space="preserve"> </w:t>
      </w:r>
      <w:r w:rsidRPr="00DB47A2" w:rsidR="07978953">
        <w:t xml:space="preserve">released a Public Notice </w:t>
      </w:r>
      <w:r w:rsidR="00596A62">
        <w:t>on</w:t>
      </w:r>
      <w:r w:rsidRPr="00DB47A2" w:rsidR="07978953">
        <w:t xml:space="preserve"> June 21, 2017</w:t>
      </w:r>
      <w:r w:rsidRPr="00DB47A2" w:rsidR="70B61DAE">
        <w:t>.</w:t>
      </w:r>
      <w:r>
        <w:rPr>
          <w:rStyle w:val="FootnoteReference"/>
        </w:rPr>
        <w:footnoteReference w:id="10"/>
      </w:r>
      <w:r w:rsidRPr="00DB47A2" w:rsidR="07978953">
        <w:t xml:space="preserve"> </w:t>
      </w:r>
      <w:r w:rsidR="35F80D12">
        <w:t xml:space="preserve"> </w:t>
      </w:r>
      <w:r w:rsidRPr="00DB47A2" w:rsidR="70B61DAE">
        <w:t>O</w:t>
      </w:r>
      <w:r w:rsidRPr="00DB47A2" w:rsidR="07978953">
        <w:t>n June 16, 2020, the Bureau released the Guidance Public No</w:t>
      </w:r>
      <w:r w:rsidR="0183199C">
        <w:t>tice (2020 Guidance PN)</w:t>
      </w:r>
      <w:r w:rsidR="00CE686B">
        <w:t xml:space="preserve">, which sought to </w:t>
      </w:r>
      <w:r w:rsidR="0000077B">
        <w:t>provide applicants with a better understanding of the Bureau’s expectations</w:t>
      </w:r>
      <w:r w:rsidR="006E0042">
        <w:t xml:space="preserve"> regarding earth station applications subject to section 25.136 while allowing applicants flexibility </w:t>
      </w:r>
      <w:r w:rsidR="00957360">
        <w:t>in how they demonstrate compliance with this rule</w:t>
      </w:r>
      <w:r w:rsidRPr="00DB47A2" w:rsidR="07978953">
        <w:t>.</w:t>
      </w:r>
      <w:r>
        <w:rPr>
          <w:rStyle w:val="FootnoteReference"/>
        </w:rPr>
        <w:footnoteReference w:id="11"/>
      </w:r>
      <w:r w:rsidRPr="00DB47A2" w:rsidR="6C51DB40">
        <w:t xml:space="preserve"> </w:t>
      </w:r>
      <w:r w:rsidR="00386559">
        <w:t xml:space="preserve"> </w:t>
      </w:r>
      <w:r w:rsidRPr="00DB47A2" w:rsidR="46AD27DF">
        <w:t xml:space="preserve">Regarding </w:t>
      </w:r>
      <w:r w:rsidRPr="00DB47A2" w:rsidR="1D3D44DB">
        <w:t>applicants</w:t>
      </w:r>
      <w:r w:rsidRPr="00DB47A2" w:rsidR="6004C3D9">
        <w:t>’</w:t>
      </w:r>
      <w:r w:rsidRPr="00DB47A2" w:rsidR="1D3D44DB">
        <w:t xml:space="preserve"> </w:t>
      </w:r>
      <w:r w:rsidRPr="00DB47A2" w:rsidR="6004C3D9">
        <w:t xml:space="preserve">use </w:t>
      </w:r>
      <w:r w:rsidRPr="00DB47A2" w:rsidR="3D9E469E">
        <w:t xml:space="preserve">of </w:t>
      </w:r>
      <w:r w:rsidRPr="00DB47A2" w:rsidR="09F4ED2D">
        <w:t xml:space="preserve">modelled </w:t>
      </w:r>
      <w:r w:rsidR="68E5981F">
        <w:t>PFD</w:t>
      </w:r>
      <w:r w:rsidRPr="00DB47A2" w:rsidR="09F4ED2D">
        <w:t xml:space="preserve"> contours to demonstrate compliance with </w:t>
      </w:r>
      <w:r w:rsidRPr="00DB47A2" w:rsidR="50A4CE66">
        <w:t xml:space="preserve">section </w:t>
      </w:r>
      <w:r w:rsidRPr="00DB47A2" w:rsidR="09F4ED2D">
        <w:t>25.136</w:t>
      </w:r>
      <w:r w:rsidRPr="00DB47A2" w:rsidR="6004C3D9">
        <w:t>, the 2020 Guidance P</w:t>
      </w:r>
      <w:r w:rsidR="7764B6D2">
        <w:t>N</w:t>
      </w:r>
      <w:r w:rsidRPr="00DB47A2" w:rsidR="086F9972">
        <w:t xml:space="preserve"> </w:t>
      </w:r>
      <w:r w:rsidR="00FA0F43">
        <w:t xml:space="preserve">encouraged </w:t>
      </w:r>
      <w:r w:rsidRPr="00DB47A2" w:rsidR="086F9972">
        <w:t xml:space="preserve">the use of “widely accepted” and “publicly available” models such as </w:t>
      </w:r>
      <w:r w:rsidRPr="00DB47A2" w:rsidR="08241F94">
        <w:t>ITU Recommendations</w:t>
      </w:r>
      <w:r>
        <w:rPr>
          <w:rStyle w:val="FootnoteReference"/>
        </w:rPr>
        <w:footnoteReference w:id="12"/>
      </w:r>
      <w:r w:rsidRPr="00DB47A2" w:rsidR="3FC1EE1B">
        <w:t xml:space="preserve"> </w:t>
      </w:r>
      <w:r w:rsidR="002F6278">
        <w:t>that are</w:t>
      </w:r>
      <w:r w:rsidRPr="00DB47A2" w:rsidR="3FC1EE1B">
        <w:t xml:space="preserve"> appropriate </w:t>
      </w:r>
      <w:r w:rsidRPr="00DB47A2" w:rsidR="63C7B78A">
        <w:t>for</w:t>
      </w:r>
      <w:r w:rsidR="00952540">
        <w:t xml:space="preserve"> the distance over which the PFD contours are being measured, the environment in which the earth station is located, and </w:t>
      </w:r>
      <w:r w:rsidR="00952540">
        <w:t>the frequency band.</w:t>
      </w:r>
      <w:r>
        <w:rPr>
          <w:rStyle w:val="FootnoteReference"/>
        </w:rPr>
        <w:footnoteReference w:id="13"/>
      </w:r>
      <w:r w:rsidRPr="00DB47A2" w:rsidR="330A5198">
        <w:t xml:space="preserve"> </w:t>
      </w:r>
      <w:r w:rsidR="002A1EC1">
        <w:t xml:space="preserve"> </w:t>
      </w:r>
      <w:r w:rsidRPr="00DB47A2" w:rsidR="2902E4A9">
        <w:t>T</w:t>
      </w:r>
      <w:r w:rsidRPr="00DB47A2" w:rsidR="330A5198">
        <w:t>he 2020 Guidance P</w:t>
      </w:r>
      <w:r w:rsidR="7764B6D2">
        <w:t>N</w:t>
      </w:r>
      <w:r w:rsidRPr="00DB47A2" w:rsidR="330A5198">
        <w:t xml:space="preserve"> </w:t>
      </w:r>
      <w:r w:rsidRPr="00DB47A2" w:rsidR="2902E4A9">
        <w:t xml:space="preserve">also </w:t>
      </w:r>
      <w:r w:rsidRPr="00DB47A2" w:rsidR="3B1B23EE">
        <w:t xml:space="preserve">stressed the importance of </w:t>
      </w:r>
      <w:r w:rsidRPr="00DB47A2" w:rsidR="4FDADBF2">
        <w:t xml:space="preserve">applicants </w:t>
      </w:r>
      <w:r w:rsidRPr="00DB47A2" w:rsidR="3F65DA21">
        <w:t>“</w:t>
      </w:r>
      <w:r w:rsidRPr="00DB47A2" w:rsidR="4FDADBF2">
        <w:t>explain</w:t>
      </w:r>
      <w:r w:rsidRPr="00DB47A2" w:rsidR="3F65DA21">
        <w:t>[</w:t>
      </w:r>
      <w:r w:rsidRPr="00DB47A2" w:rsidR="4FDADBF2">
        <w:t>ing</w:t>
      </w:r>
      <w:r w:rsidRPr="00DB47A2" w:rsidR="3F65DA21">
        <w:t>]</w:t>
      </w:r>
      <w:r w:rsidRPr="00DB47A2" w:rsidR="4FDADBF2">
        <w:t xml:space="preserve"> </w:t>
      </w:r>
      <w:r w:rsidRPr="00DB47A2" w:rsidR="3F65DA21">
        <w:t>which models they rely on for their analysis and why the chosen models are appropriate.”</w:t>
      </w:r>
      <w:r>
        <w:rPr>
          <w:rStyle w:val="FootnoteReference"/>
        </w:rPr>
        <w:footnoteReference w:id="14"/>
      </w:r>
      <w:r w:rsidRPr="00DB47A2" w:rsidR="56F7CCE3">
        <w:t xml:space="preserve"> </w:t>
      </w:r>
      <w:r w:rsidR="2FDA0DF5">
        <w:t xml:space="preserve"> </w:t>
      </w:r>
      <w:r w:rsidRPr="00DB47A2" w:rsidR="39C4A306">
        <w:t xml:space="preserve">Finally, </w:t>
      </w:r>
      <w:r w:rsidRPr="00DB47A2" w:rsidR="6D86BCD5">
        <w:t>the 2020 Guidance P</w:t>
      </w:r>
      <w:r w:rsidR="7764B6D2">
        <w:t>N</w:t>
      </w:r>
      <w:r w:rsidRPr="00DB47A2" w:rsidR="6D86BCD5">
        <w:t xml:space="preserve"> specifi</w:t>
      </w:r>
      <w:r w:rsidRPr="00DB47A2" w:rsidR="37F389BF">
        <w:t xml:space="preserve">ed that the Commission will </w:t>
      </w:r>
      <w:r w:rsidRPr="00DB47A2" w:rsidR="1032D280">
        <w:t>assess</w:t>
      </w:r>
      <w:r w:rsidRPr="00DB47A2" w:rsidR="37F389BF">
        <w:t xml:space="preserve"> all </w:t>
      </w:r>
      <w:r w:rsidRPr="00DB47A2" w:rsidR="54C0EBA9">
        <w:t xml:space="preserve">section </w:t>
      </w:r>
      <w:r w:rsidRPr="00DB47A2" w:rsidR="37F389BF">
        <w:t xml:space="preserve">25.136 </w:t>
      </w:r>
      <w:r w:rsidRPr="00DB47A2" w:rsidR="54C0EBA9">
        <w:t>application</w:t>
      </w:r>
      <w:r w:rsidRPr="00DB47A2" w:rsidR="1D5E8520">
        <w:t>s</w:t>
      </w:r>
      <w:r w:rsidRPr="00DB47A2" w:rsidR="54C0EBA9">
        <w:t xml:space="preserve"> “on a case-</w:t>
      </w:r>
      <w:r w:rsidRPr="00DB47A2" w:rsidR="1032D280">
        <w:t>by-case</w:t>
      </w:r>
      <w:r w:rsidRPr="00DB47A2" w:rsidR="54C0EBA9">
        <w:t xml:space="preserve"> basis.”</w:t>
      </w:r>
      <w:r>
        <w:rPr>
          <w:rStyle w:val="FootnoteReference"/>
        </w:rPr>
        <w:footnoteReference w:id="15"/>
      </w:r>
      <w:r w:rsidRPr="00DB47A2" w:rsidR="46C5A263">
        <w:t xml:space="preserve"> </w:t>
      </w:r>
    </w:p>
    <w:p w:rsidR="003C4BCE" w:rsidRPr="00DB47A2" w:rsidP="00330854" w14:paraId="7952D281" w14:textId="5A0F5DE7">
      <w:pPr>
        <w:pStyle w:val="Heading2"/>
        <w:numPr>
          <w:ilvl w:val="1"/>
          <w:numId w:val="8"/>
        </w:numPr>
      </w:pPr>
      <w:r w:rsidRPr="00DB47A2">
        <w:t>Viasat Application and Responsive Petition</w:t>
      </w:r>
    </w:p>
    <w:p w:rsidR="00AE7F45" w:rsidRPr="00DB47A2" w:rsidP="003B7ED7" w14:paraId="4AD02E44" w14:textId="02C6E028">
      <w:pPr>
        <w:pStyle w:val="ParaNum"/>
        <w:tabs>
          <w:tab w:val="clear" w:pos="1080"/>
          <w:tab w:val="num" w:pos="1440"/>
        </w:tabs>
        <w:rPr>
          <w:szCs w:val="22"/>
        </w:rPr>
      </w:pPr>
      <w:r w:rsidRPr="6C67E43B">
        <w:t xml:space="preserve">Between </w:t>
      </w:r>
      <w:r w:rsidRPr="6C67E43B" w:rsidR="062A1C32">
        <w:t>March</w:t>
      </w:r>
      <w:r w:rsidRPr="6C67E43B">
        <w:t xml:space="preserve"> and August</w:t>
      </w:r>
      <w:r w:rsidR="44FA3B7D">
        <w:rPr>
          <w:szCs w:val="22"/>
        </w:rPr>
        <w:t xml:space="preserve"> </w:t>
      </w:r>
      <w:r w:rsidRPr="6C67E43B" w:rsidR="5079DEBA">
        <w:t xml:space="preserve">2021, Viasat filed </w:t>
      </w:r>
      <w:r w:rsidRPr="6C67E43B" w:rsidR="6245AB88">
        <w:t>more than</w:t>
      </w:r>
      <w:r w:rsidRPr="6C67E43B" w:rsidR="5079DEBA">
        <w:t xml:space="preserve"> 300 satellite earth station license applications</w:t>
      </w:r>
      <w:r w:rsidR="000E758B">
        <w:t>—</w:t>
      </w:r>
      <w:r w:rsidRPr="6C67E43B" w:rsidR="6245AB88">
        <w:t>including the instant application</w:t>
      </w:r>
      <w:r w:rsidR="000E758B">
        <w:t>—</w:t>
      </w:r>
      <w:r w:rsidRPr="6C67E43B" w:rsidR="5079DEBA">
        <w:t>for new</w:t>
      </w:r>
      <w:r w:rsidR="00617539">
        <w:t xml:space="preserve"> Ka-band</w:t>
      </w:r>
      <w:r w:rsidRPr="6C67E43B" w:rsidR="5079DEBA">
        <w:t xml:space="preserve"> gateways to support Viasat 3, its newest high throughput satellite</w:t>
      </w:r>
      <w:r w:rsidRPr="6C67E43B" w:rsidR="1C773FB9">
        <w:t xml:space="preserve">, which </w:t>
      </w:r>
      <w:r w:rsidRPr="6C67E43B" w:rsidR="5079DEBA">
        <w:t>launch</w:t>
      </w:r>
      <w:r w:rsidRPr="6C67E43B" w:rsidR="1C773FB9">
        <w:t>ed</w:t>
      </w:r>
      <w:r w:rsidRPr="00DB47A2" w:rsidR="5079DEBA">
        <w:rPr>
          <w:szCs w:val="22"/>
        </w:rPr>
        <w:t xml:space="preserve"> </w:t>
      </w:r>
      <w:r w:rsidRPr="6C67E43B" w:rsidR="1C773FB9">
        <w:t>in</w:t>
      </w:r>
      <w:r w:rsidRPr="00DB47A2" w:rsidR="5079DEBA">
        <w:rPr>
          <w:szCs w:val="22"/>
        </w:rPr>
        <w:t xml:space="preserve"> </w:t>
      </w:r>
      <w:r w:rsidRPr="6C67E43B" w:rsidR="1C773FB9">
        <w:t>May</w:t>
      </w:r>
      <w:r w:rsidRPr="6C67E43B" w:rsidR="5079DEBA">
        <w:t xml:space="preserve"> 2023.</w:t>
      </w:r>
      <w:r>
        <w:rPr>
          <w:rStyle w:val="FootnoteReference"/>
          <w:sz w:val="22"/>
          <w:szCs w:val="22"/>
        </w:rPr>
        <w:footnoteReference w:id="16"/>
      </w:r>
      <w:r w:rsidRPr="00DB47A2" w:rsidR="5079DEBA">
        <w:rPr>
          <w:szCs w:val="22"/>
        </w:rPr>
        <w:t xml:space="preserve"> </w:t>
      </w:r>
      <w:r w:rsidR="308B48F5">
        <w:rPr>
          <w:szCs w:val="22"/>
        </w:rPr>
        <w:t xml:space="preserve"> </w:t>
      </w:r>
      <w:r w:rsidR="00D114D8">
        <w:rPr>
          <w:szCs w:val="22"/>
        </w:rPr>
        <w:t xml:space="preserve">In each of these applications, </w:t>
      </w:r>
      <w:r w:rsidRPr="6C67E43B" w:rsidR="648E2F22">
        <w:t>Viasat s</w:t>
      </w:r>
      <w:r w:rsidRPr="6C67E43B" w:rsidR="44FA3B7D">
        <w:t>eeks</w:t>
      </w:r>
      <w:r w:rsidRPr="6C67E43B" w:rsidR="648E2F22">
        <w:t xml:space="preserve"> co-primary status</w:t>
      </w:r>
      <w:r w:rsidRPr="6C67E43B" w:rsidR="158804C9">
        <w:t xml:space="preserve"> with UMFUS</w:t>
      </w:r>
      <w:r w:rsidRPr="6C67E43B" w:rsidR="648E2F22">
        <w:t xml:space="preserve"> in the </w:t>
      </w:r>
      <w:r w:rsidRPr="6C67E43B" w:rsidR="5730A311">
        <w:t>27.5-28.35</w:t>
      </w:r>
      <w:r w:rsidRPr="6C67E43B" w:rsidR="648E2F22">
        <w:t xml:space="preserve"> GHz band under earth station siting criteria </w:t>
      </w:r>
      <w:r w:rsidRPr="6C67E43B" w:rsidR="7126EC6C">
        <w:t xml:space="preserve">in section </w:t>
      </w:r>
      <w:r w:rsidRPr="6C67E43B" w:rsidR="6CC6696A">
        <w:t>25.136</w:t>
      </w:r>
      <w:r w:rsidRPr="00DB47A2" w:rsidR="648E2F22">
        <w:rPr>
          <w:szCs w:val="22"/>
        </w:rPr>
        <w:t>.</w:t>
      </w:r>
      <w:r>
        <w:rPr>
          <w:rStyle w:val="FootnoteReference"/>
        </w:rPr>
        <w:footnoteReference w:id="17"/>
      </w:r>
      <w:r w:rsidR="308B48F5">
        <w:rPr>
          <w:szCs w:val="22"/>
        </w:rPr>
        <w:t xml:space="preserve">  </w:t>
      </w:r>
    </w:p>
    <w:p w:rsidR="00861362" w:rsidRPr="00DB47A2" w:rsidP="003B7ED7" w14:paraId="67308682" w14:textId="2AAE97DD">
      <w:pPr>
        <w:pStyle w:val="ParaNum"/>
        <w:tabs>
          <w:tab w:val="clear" w:pos="1080"/>
          <w:tab w:val="num" w:pos="1440"/>
        </w:tabs>
      </w:pPr>
      <w:r w:rsidRPr="00DB47A2">
        <w:t xml:space="preserve">On </w:t>
      </w:r>
      <w:r w:rsidR="062A1C32">
        <w:t>March 17</w:t>
      </w:r>
      <w:r w:rsidRPr="00DB47A2">
        <w:t>, 20</w:t>
      </w:r>
      <w:r w:rsidRPr="00DB47A2" w:rsidR="1B552A99">
        <w:t>2</w:t>
      </w:r>
      <w:r w:rsidRPr="00DB47A2">
        <w:t xml:space="preserve">1, </w:t>
      </w:r>
      <w:r w:rsidRPr="00DB47A2" w:rsidR="575A19C5">
        <w:t xml:space="preserve">Viasat filed </w:t>
      </w:r>
      <w:r w:rsidR="388D4566">
        <w:t xml:space="preserve">the instant </w:t>
      </w:r>
      <w:r w:rsidRPr="00DB47A2" w:rsidR="1CCB175C">
        <w:t>application for a</w:t>
      </w:r>
      <w:r w:rsidRPr="00DB47A2" w:rsidR="744A83C7">
        <w:t xml:space="preserve"> license</w:t>
      </w:r>
      <w:r w:rsidRPr="00DB47A2" w:rsidR="791CB6D6">
        <w:t xml:space="preserve"> to operate a</w:t>
      </w:r>
      <w:r w:rsidRPr="00DB47A2" w:rsidR="1CCB175C">
        <w:t xml:space="preserve"> 2.4 m transmit/receive earth station in the </w:t>
      </w:r>
      <w:r w:rsidRPr="00DB47A2" w:rsidR="401EFDA0">
        <w:t>2</w:t>
      </w:r>
      <w:r w:rsidRPr="00DB47A2" w:rsidR="0D0D6BF8">
        <w:t>7.5-28.35</w:t>
      </w:r>
      <w:r w:rsidRPr="00DB47A2" w:rsidR="1CCB175C">
        <w:t xml:space="preserve"> GHz</w:t>
      </w:r>
      <w:r w:rsidRPr="00DB47A2" w:rsidR="3FDDEC8B">
        <w:t xml:space="preserve"> a</w:t>
      </w:r>
      <w:r w:rsidRPr="00DB47A2" w:rsidR="1CCB175C">
        <w:t xml:space="preserve">nd </w:t>
      </w:r>
      <w:r w:rsidRPr="00DB47A2" w:rsidR="3FDDEC8B">
        <w:t xml:space="preserve">the </w:t>
      </w:r>
      <w:r w:rsidRPr="00DB47A2" w:rsidR="1CCB175C">
        <w:t xml:space="preserve">17.7-18.3 GHz </w:t>
      </w:r>
      <w:r w:rsidRPr="00DB47A2" w:rsidR="3FDDEC8B">
        <w:t>band</w:t>
      </w:r>
      <w:r w:rsidRPr="00DB47A2" w:rsidR="113F4891">
        <w:t>s</w:t>
      </w:r>
      <w:r w:rsidRPr="00DB47A2" w:rsidR="2F36DD70">
        <w:t xml:space="preserve"> </w:t>
      </w:r>
      <w:r w:rsidRPr="00DB47A2" w:rsidR="2B026D37">
        <w:t>(</w:t>
      </w:r>
      <w:r w:rsidRPr="00DB47A2" w:rsidR="2F36DD70">
        <w:t xml:space="preserve">the </w:t>
      </w:r>
      <w:r w:rsidRPr="00DB47A2" w:rsidR="0D0D6BF8">
        <w:t xml:space="preserve">use of the </w:t>
      </w:r>
      <w:r w:rsidRPr="00DB47A2" w:rsidR="2F36DD70">
        <w:t>latter</w:t>
      </w:r>
      <w:r w:rsidRPr="00DB47A2" w:rsidR="2130868C">
        <w:t xml:space="preserve"> band</w:t>
      </w:r>
      <w:r w:rsidRPr="00DB47A2" w:rsidR="2F36DD70">
        <w:t xml:space="preserve"> is </w:t>
      </w:r>
      <w:r w:rsidRPr="00DB47A2" w:rsidR="0D0D6BF8">
        <w:t>unopposed</w:t>
      </w:r>
      <w:r w:rsidRPr="00DB47A2" w:rsidR="3FDDEC8B">
        <w:t>)</w:t>
      </w:r>
      <w:r w:rsidRPr="00DB47A2" w:rsidR="791CB6D6">
        <w:t>.</w:t>
      </w:r>
      <w:r>
        <w:rPr>
          <w:rStyle w:val="FootnoteReference"/>
          <w:sz w:val="22"/>
          <w:szCs w:val="22"/>
        </w:rPr>
        <w:footnoteReference w:id="18"/>
      </w:r>
      <w:r w:rsidRPr="00DB47A2" w:rsidR="0AC88DA2">
        <w:t xml:space="preserve"> </w:t>
      </w:r>
      <w:r w:rsidR="0AFC154E">
        <w:t xml:space="preserve"> </w:t>
      </w:r>
      <w:r w:rsidRPr="00DB47A2" w:rsidR="0AC88DA2">
        <w:t xml:space="preserve">The </w:t>
      </w:r>
      <w:r w:rsidRPr="00DB47A2" w:rsidR="2BD17B79">
        <w:t xml:space="preserve">application </w:t>
      </w:r>
      <w:r w:rsidRPr="00DB47A2" w:rsidR="280030BB">
        <w:t xml:space="preserve">was </w:t>
      </w:r>
      <w:r w:rsidRPr="00DB47A2" w:rsidR="640B4B5D">
        <w:t>accepted for filing</w:t>
      </w:r>
      <w:r w:rsidRPr="00DB47A2" w:rsidR="23CCC941">
        <w:t xml:space="preserve"> </w:t>
      </w:r>
      <w:r w:rsidRPr="00DB47A2" w:rsidR="280030BB">
        <w:t xml:space="preserve">on </w:t>
      </w:r>
      <w:r w:rsidR="67B7C7F1">
        <w:t>August</w:t>
      </w:r>
      <w:r w:rsidRPr="00DB47A2" w:rsidR="1A93D59A">
        <w:t xml:space="preserve"> </w:t>
      </w:r>
      <w:r w:rsidR="67B7C7F1">
        <w:t>4</w:t>
      </w:r>
      <w:r w:rsidRPr="00DB47A2" w:rsidR="1A93D59A">
        <w:t>, 202</w:t>
      </w:r>
      <w:r w:rsidR="67B7C7F1">
        <w:t>1</w:t>
      </w:r>
      <w:r w:rsidRPr="00DB47A2" w:rsidR="1D1D0FDC">
        <w:t>.</w:t>
      </w:r>
      <w:r>
        <w:rPr>
          <w:rStyle w:val="FootnoteReference"/>
          <w:sz w:val="22"/>
          <w:szCs w:val="22"/>
        </w:rPr>
        <w:footnoteReference w:id="19"/>
      </w:r>
      <w:r w:rsidRPr="00DB47A2" w:rsidR="1D1D0FDC">
        <w:t xml:space="preserve"> </w:t>
      </w:r>
      <w:r w:rsidR="0AFC154E">
        <w:t xml:space="preserve"> </w:t>
      </w:r>
      <w:r w:rsidRPr="00DB47A2" w:rsidR="1D1D0FDC">
        <w:t xml:space="preserve">On </w:t>
      </w:r>
      <w:r w:rsidR="19250329">
        <w:t>September 3</w:t>
      </w:r>
      <w:r w:rsidRPr="00DB47A2" w:rsidR="7D45B864">
        <w:t xml:space="preserve">, 2022, Verizon </w:t>
      </w:r>
      <w:r w:rsidRPr="00DB47A2" w:rsidR="2E7C19EE">
        <w:t xml:space="preserve">filed a Petition </w:t>
      </w:r>
      <w:r w:rsidR="780B026B">
        <w:t xml:space="preserve">asserting that </w:t>
      </w:r>
      <w:r w:rsidRPr="00DB47A2" w:rsidR="26AAFE19">
        <w:t>Viasat’s use of the ITM model to generate its contours is not appropriate, and the Bureau should defer</w:t>
      </w:r>
      <w:r w:rsidRPr="00DB47A2" w:rsidR="565E687B">
        <w:t xml:space="preserve"> </w:t>
      </w:r>
      <w:r w:rsidRPr="00DB47A2" w:rsidR="26AAFE19">
        <w:t>Viasat</w:t>
      </w:r>
      <w:r w:rsidRPr="00DB47A2" w:rsidR="4BE831FE">
        <w:t>’s</w:t>
      </w:r>
      <w:r w:rsidRPr="00DB47A2" w:rsidR="6A002D50">
        <w:t xml:space="preserve"> </w:t>
      </w:r>
      <w:r w:rsidRPr="00DB47A2" w:rsidR="565E687B">
        <w:t>A</w:t>
      </w:r>
      <w:r w:rsidRPr="00DB47A2" w:rsidR="26AAFE19">
        <w:t>pplication until more accurate dat</w:t>
      </w:r>
      <w:r w:rsidRPr="00DB47A2" w:rsidR="579D6A82">
        <w:t>a</w:t>
      </w:r>
      <w:r w:rsidRPr="00DB47A2" w:rsidR="26AAFE19">
        <w:t xml:space="preserve"> is used</w:t>
      </w:r>
      <w:r w:rsidRPr="00DB47A2" w:rsidR="2F4E5C31">
        <w:t xml:space="preserve"> to</w:t>
      </w:r>
      <w:r w:rsidRPr="00DB47A2" w:rsidR="78483E06">
        <w:t xml:space="preserve"> measure</w:t>
      </w:r>
      <w:r w:rsidRPr="00DB47A2" w:rsidR="486E5F7B">
        <w:t xml:space="preserve"> the</w:t>
      </w:r>
      <w:r w:rsidRPr="00DB47A2" w:rsidR="78483E06">
        <w:t xml:space="preserve"> contour</w:t>
      </w:r>
      <w:r w:rsidRPr="00DB47A2" w:rsidR="2703C977">
        <w:t xml:space="preserve"> around </w:t>
      </w:r>
      <w:r w:rsidRPr="00DB47A2" w:rsidR="579D6A82">
        <w:t>Viasat’s</w:t>
      </w:r>
      <w:r w:rsidRPr="00DB47A2" w:rsidR="65DA3003">
        <w:t xml:space="preserve"> </w:t>
      </w:r>
      <w:r w:rsidRPr="00DB47A2" w:rsidR="2703C977">
        <w:t>earth stations</w:t>
      </w:r>
      <w:r w:rsidRPr="00DB47A2" w:rsidR="78483E06">
        <w:t>.</w:t>
      </w:r>
      <w:r>
        <w:rPr>
          <w:rStyle w:val="FootnoteReference"/>
          <w:sz w:val="22"/>
          <w:szCs w:val="22"/>
        </w:rPr>
        <w:footnoteReference w:id="20"/>
      </w:r>
      <w:r w:rsidRPr="00DB47A2" w:rsidR="3B644B85">
        <w:t xml:space="preserve"> </w:t>
      </w:r>
    </w:p>
    <w:p w:rsidR="008F79DD" w:rsidRPr="00DB47A2" w:rsidP="003B7ED7" w14:paraId="296C8F3C" w14:textId="22922125">
      <w:pPr>
        <w:pStyle w:val="ParaNum"/>
        <w:tabs>
          <w:tab w:val="clear" w:pos="1080"/>
        </w:tabs>
      </w:pPr>
      <w:r w:rsidRPr="00DB47A2">
        <w:t xml:space="preserve">On </w:t>
      </w:r>
      <w:r w:rsidR="19250329">
        <w:t>September</w:t>
      </w:r>
      <w:r w:rsidRPr="00DB47A2" w:rsidR="13D71B00">
        <w:t xml:space="preserve"> 1</w:t>
      </w:r>
      <w:r w:rsidR="55E2EC1B">
        <w:t>6</w:t>
      </w:r>
      <w:r w:rsidRPr="00DB47A2" w:rsidR="13D71B00">
        <w:t xml:space="preserve">, 2022, Viasat </w:t>
      </w:r>
      <w:r w:rsidRPr="00DB47A2" w:rsidR="10D47FD7">
        <w:t>filed an Opposition</w:t>
      </w:r>
      <w:r w:rsidR="780B026B">
        <w:t xml:space="preserve"> to Verizon’s Petition</w:t>
      </w:r>
      <w:r w:rsidR="0AFC154E">
        <w:t>,</w:t>
      </w:r>
      <w:r>
        <w:rPr>
          <w:rStyle w:val="FootnoteReference"/>
        </w:rPr>
        <w:footnoteReference w:id="21"/>
      </w:r>
      <w:r w:rsidRPr="00DB47A2" w:rsidR="15C35E0D">
        <w:t xml:space="preserve"> </w:t>
      </w:r>
      <w:r w:rsidRPr="00DB47A2" w:rsidR="25777183">
        <w:t xml:space="preserve">to </w:t>
      </w:r>
      <w:r w:rsidRPr="00DB47A2" w:rsidR="15C35E0D">
        <w:t xml:space="preserve">which </w:t>
      </w:r>
      <w:r w:rsidRPr="00DB47A2" w:rsidR="411524FC">
        <w:t>Verizon</w:t>
      </w:r>
      <w:r w:rsidRPr="00DB47A2" w:rsidR="25777183">
        <w:t xml:space="preserve"> filed a </w:t>
      </w:r>
      <w:r w:rsidRPr="00DB47A2" w:rsidR="25C2BB53">
        <w:t>reply</w:t>
      </w:r>
      <w:r w:rsidRPr="00DB47A2" w:rsidR="0300E938">
        <w:t>.</w:t>
      </w:r>
      <w:r>
        <w:rPr>
          <w:rStyle w:val="FootnoteReference"/>
          <w:sz w:val="22"/>
          <w:szCs w:val="22"/>
        </w:rPr>
        <w:footnoteReference w:id="22"/>
      </w:r>
      <w:r w:rsidRPr="00DB47A2" w:rsidR="0300E938">
        <w:t xml:space="preserve"> </w:t>
      </w:r>
      <w:r w:rsidRPr="00DB47A2" w:rsidR="599219D4">
        <w:t xml:space="preserve"> </w:t>
      </w:r>
      <w:r w:rsidRPr="00DB47A2" w:rsidR="69B6894F">
        <w:t>Viasat</w:t>
      </w:r>
      <w:r w:rsidRPr="00DB47A2" w:rsidR="2F307256">
        <w:t xml:space="preserve"> argued that </w:t>
      </w:r>
      <w:r w:rsidR="00FC7A2C">
        <w:t>it</w:t>
      </w:r>
      <w:r w:rsidRPr="6C67E43B" w:rsidR="00FC7A2C">
        <w:t xml:space="preserve">s </w:t>
      </w:r>
      <w:r w:rsidRPr="6C67E43B" w:rsidR="2F307256">
        <w:t>applications include</w:t>
      </w:r>
      <w:r w:rsidRPr="6C67E43B" w:rsidR="0D1BA10F">
        <w:t>d</w:t>
      </w:r>
      <w:r w:rsidRPr="00DB47A2" w:rsidR="2F307256">
        <w:rPr>
          <w:szCs w:val="22"/>
        </w:rPr>
        <w:t xml:space="preserve"> </w:t>
      </w:r>
      <w:r w:rsidRPr="6C67E43B" w:rsidR="48F9A029">
        <w:t xml:space="preserve">the </w:t>
      </w:r>
      <w:r w:rsidRPr="6C67E43B" w:rsidR="2F307256">
        <w:t>technical information</w:t>
      </w:r>
      <w:r w:rsidRPr="6C67E43B" w:rsidR="6EBC36A2">
        <w:t xml:space="preserve"> required under section 25.136</w:t>
      </w:r>
      <w:r w:rsidRPr="00DB47A2" w:rsidR="00C154FF">
        <w:rPr>
          <w:szCs w:val="22"/>
        </w:rPr>
        <w:t>,</w:t>
      </w:r>
      <w:r w:rsidRPr="6C67E43B" w:rsidR="2F307256">
        <w:t xml:space="preserve"> and </w:t>
      </w:r>
      <w:r w:rsidRPr="6C67E43B" w:rsidR="48F9A029">
        <w:t xml:space="preserve">that </w:t>
      </w:r>
      <w:r w:rsidRPr="00DB47A2" w:rsidR="3A3D09E9">
        <w:rPr>
          <w:szCs w:val="22"/>
        </w:rPr>
        <w:t>“</w:t>
      </w:r>
      <w:r w:rsidRPr="6C67E43B" w:rsidR="2F307256">
        <w:t>Viasat’s proposed earth station operations have been fully coordinated with all potentially affected UMFUS licensees</w:t>
      </w:r>
      <w:r w:rsidRPr="00DB47A2" w:rsidR="3A3D09E9">
        <w:t>.”</w:t>
      </w:r>
      <w:r>
        <w:rPr>
          <w:rStyle w:val="FootnoteReference"/>
        </w:rPr>
        <w:footnoteReference w:id="23"/>
      </w:r>
      <w:r w:rsidRPr="00DB47A2" w:rsidR="45F1A1A6">
        <w:t xml:space="preserve"> </w:t>
      </w:r>
      <w:r w:rsidR="0AFC154E">
        <w:t xml:space="preserve"> </w:t>
      </w:r>
      <w:r w:rsidRPr="00DB47A2" w:rsidR="45F1A1A6">
        <w:t>Verizon</w:t>
      </w:r>
      <w:r w:rsidR="03A61433">
        <w:t xml:space="preserve"> </w:t>
      </w:r>
      <w:r w:rsidR="7704CB62">
        <w:t xml:space="preserve">asserts </w:t>
      </w:r>
      <w:r w:rsidRPr="00DB47A2" w:rsidR="4AA09CE8">
        <w:t xml:space="preserve">that Viasat’s use of </w:t>
      </w:r>
      <w:r w:rsidRPr="00DB47A2" w:rsidR="4813FB34">
        <w:t>the ITM</w:t>
      </w:r>
      <w:r w:rsidRPr="00DB47A2" w:rsidR="4AA09CE8">
        <w:t xml:space="preserve"> to calculate the </w:t>
      </w:r>
      <w:r w:rsidRPr="00DB47A2" w:rsidR="4813FB34">
        <w:t>c</w:t>
      </w:r>
      <w:r w:rsidRPr="00DB47A2" w:rsidR="4AA09CE8">
        <w:t xml:space="preserve">ontours of its earth stations </w:t>
      </w:r>
      <w:r w:rsidRPr="00DB47A2" w:rsidR="66626DDE">
        <w:t>does</w:t>
      </w:r>
      <w:r w:rsidR="03A61433">
        <w:t xml:space="preserve"> not</w:t>
      </w:r>
      <w:r w:rsidRPr="00DB47A2" w:rsidR="66626DDE">
        <w:t xml:space="preserve"> satisfy </w:t>
      </w:r>
      <w:r w:rsidRPr="00DB47A2" w:rsidR="4813FB34">
        <w:t xml:space="preserve">the </w:t>
      </w:r>
      <w:r w:rsidRPr="00DB47A2" w:rsidR="4AA09CE8">
        <w:t>Bureau’s guidance</w:t>
      </w:r>
      <w:r w:rsidRPr="00DB47A2" w:rsidR="4813FB34">
        <w:t xml:space="preserve">, </w:t>
      </w:r>
      <w:r w:rsidRPr="00DB47A2" w:rsidR="697F840F">
        <w:t xml:space="preserve">and </w:t>
      </w:r>
      <w:r w:rsidRPr="00DB47A2" w:rsidR="45571692">
        <w:t xml:space="preserve">the Commission should defer </w:t>
      </w:r>
      <w:r w:rsidRPr="00DB47A2" w:rsidR="4536B01F">
        <w:t xml:space="preserve">Viasat’s application until </w:t>
      </w:r>
      <w:r w:rsidRPr="00DB47A2" w:rsidR="697F840F">
        <w:t>Viasat uses a</w:t>
      </w:r>
      <w:r w:rsidRPr="00DB47A2" w:rsidR="536502B4">
        <w:t xml:space="preserve"> </w:t>
      </w:r>
      <w:r w:rsidRPr="00DB47A2" w:rsidR="4536B01F">
        <w:t xml:space="preserve">more </w:t>
      </w:r>
      <w:r w:rsidRPr="00DB47A2" w:rsidR="536502B4">
        <w:t>“</w:t>
      </w:r>
      <w:r w:rsidRPr="00DB47A2" w:rsidR="4536B01F">
        <w:t>widely</w:t>
      </w:r>
      <w:r w:rsidRPr="00DB47A2" w:rsidR="536502B4">
        <w:t xml:space="preserve"> accepted” and “publicly available” </w:t>
      </w:r>
      <w:r w:rsidRPr="00DB47A2" w:rsidR="697F840F">
        <w:t>model to measure contours.</w:t>
      </w:r>
      <w:r>
        <w:rPr>
          <w:rStyle w:val="FootnoteReference"/>
        </w:rPr>
        <w:footnoteReference w:id="24"/>
      </w:r>
      <w:r w:rsidRPr="00DB47A2" w:rsidR="71E22A5A">
        <w:t xml:space="preserve"> </w:t>
      </w:r>
      <w:r w:rsidR="0AFC154E">
        <w:t xml:space="preserve"> </w:t>
      </w:r>
      <w:r w:rsidRPr="00DB47A2" w:rsidR="212E187A">
        <w:t>Further</w:t>
      </w:r>
      <w:r w:rsidRPr="00DB47A2" w:rsidR="71E22A5A">
        <w:t>,</w:t>
      </w:r>
      <w:r w:rsidRPr="00DB47A2" w:rsidR="212E187A">
        <w:t xml:space="preserve"> Verizon asks the Commission to </w:t>
      </w:r>
      <w:r w:rsidRPr="00DB47A2" w:rsidR="425A2E26">
        <w:t xml:space="preserve">require Viasat to operate non-compliant earth stations </w:t>
      </w:r>
      <w:r w:rsidRPr="00DB47A2" w:rsidR="63F84BD6">
        <w:t xml:space="preserve">on </w:t>
      </w:r>
      <w:r w:rsidRPr="00DB47A2" w:rsidR="45F74B75">
        <w:t>“</w:t>
      </w:r>
      <w:r w:rsidRPr="00DB47A2" w:rsidR="63F84BD6">
        <w:t>a secondary</w:t>
      </w:r>
      <w:r w:rsidRPr="00DB47A2" w:rsidR="6C9BE535">
        <w:t>, non-interference</w:t>
      </w:r>
      <w:r w:rsidRPr="00DB47A2" w:rsidR="63F84BD6">
        <w:t xml:space="preserve"> basis.</w:t>
      </w:r>
      <w:r w:rsidRPr="00DB47A2" w:rsidR="01D766B1">
        <w:t>”</w:t>
      </w:r>
      <w:r>
        <w:rPr>
          <w:rStyle w:val="FootnoteReference"/>
        </w:rPr>
        <w:footnoteReference w:id="25"/>
      </w:r>
      <w:r w:rsidRPr="00DB47A2" w:rsidR="71E22A5A">
        <w:t xml:space="preserve"> </w:t>
      </w:r>
    </w:p>
    <w:p w:rsidR="00633104" w:rsidRPr="00DB47A2" w:rsidP="003B7ED7" w14:paraId="3671080C" w14:textId="237AF477">
      <w:pPr>
        <w:pStyle w:val="ParaNum"/>
        <w:tabs>
          <w:tab w:val="clear" w:pos="1080"/>
          <w:tab w:val="num" w:pos="1440"/>
        </w:tabs>
        <w:rPr>
          <w:szCs w:val="22"/>
        </w:rPr>
      </w:pPr>
      <w:r w:rsidRPr="6C67E43B">
        <w:t>On May 13, 2022, the Commission requested that Viasat respond to specific questions regarding its use of ITM</w:t>
      </w:r>
      <w:r w:rsidRPr="00DB47A2" w:rsidR="0FF5AE41">
        <w:rPr>
          <w:szCs w:val="22"/>
        </w:rPr>
        <w:t xml:space="preserve"> </w:t>
      </w:r>
      <w:r w:rsidRPr="6C67E43B">
        <w:t>in connection with</w:t>
      </w:r>
      <w:r w:rsidRPr="00DB47A2" w:rsidR="11D4DBD6">
        <w:rPr>
          <w:szCs w:val="22"/>
        </w:rPr>
        <w:t xml:space="preserve"> </w:t>
      </w:r>
      <w:r w:rsidRPr="6C67E43B" w:rsidR="09BF55C3">
        <w:t>the applications at issue</w:t>
      </w:r>
      <w:r w:rsidRPr="6C67E43B" w:rsidR="28323C3B">
        <w:t xml:space="preserve"> and </w:t>
      </w:r>
      <w:r w:rsidRPr="6C67E43B" w:rsidR="5CD845B2">
        <w:t>o</w:t>
      </w:r>
      <w:r w:rsidRPr="6C67E43B" w:rsidR="73AD91A5">
        <w:t xml:space="preserve">n June 27, 2022, </w:t>
      </w:r>
      <w:r w:rsidRPr="6C67E43B" w:rsidR="0FF5AE41">
        <w:t>Viasat filed a</w:t>
      </w:r>
      <w:r w:rsidRPr="6C67E43B" w:rsidR="3C309368">
        <w:t>n</w:t>
      </w:r>
      <w:r w:rsidRPr="00DB47A2" w:rsidR="0FF5AE41">
        <w:rPr>
          <w:szCs w:val="22"/>
        </w:rPr>
        <w:t xml:space="preserve"> </w:t>
      </w:r>
      <w:r w:rsidRPr="66DA9EA8" w:rsidR="0AFC154E">
        <w:rPr>
          <w:i/>
          <w:iCs/>
        </w:rPr>
        <w:t>e</w:t>
      </w:r>
      <w:r w:rsidRPr="66DA9EA8" w:rsidR="0FF5AE41">
        <w:rPr>
          <w:i/>
          <w:iCs/>
        </w:rPr>
        <w:t xml:space="preserve">x </w:t>
      </w:r>
      <w:r w:rsidRPr="66DA9EA8" w:rsidR="0AFC154E">
        <w:rPr>
          <w:i/>
          <w:iCs/>
        </w:rPr>
        <w:t>p</w:t>
      </w:r>
      <w:r w:rsidRPr="66DA9EA8" w:rsidR="0FF5AE41">
        <w:rPr>
          <w:i/>
          <w:iCs/>
        </w:rPr>
        <w:t>arte</w:t>
      </w:r>
      <w:r w:rsidRPr="00DB47A2" w:rsidR="0FF5AE41">
        <w:rPr>
          <w:szCs w:val="22"/>
        </w:rPr>
        <w:t xml:space="preserve"> </w:t>
      </w:r>
      <w:r w:rsidRPr="6C67E43B" w:rsidR="0AFC154E">
        <w:t>r</w:t>
      </w:r>
      <w:r w:rsidRPr="6C67E43B" w:rsidR="0FF5AE41">
        <w:t>esponse</w:t>
      </w:r>
      <w:r w:rsidRPr="00DB47A2" w:rsidR="3C309368">
        <w:rPr>
          <w:szCs w:val="22"/>
        </w:rPr>
        <w:t>.</w:t>
      </w:r>
      <w:r>
        <w:rPr>
          <w:rStyle w:val="FootnoteReference"/>
        </w:rPr>
        <w:footnoteReference w:id="26"/>
      </w:r>
      <w:r w:rsidRPr="00DB47A2" w:rsidR="52484718">
        <w:rPr>
          <w:szCs w:val="22"/>
        </w:rPr>
        <w:t xml:space="preserve"> </w:t>
      </w:r>
      <w:r w:rsidR="00E408DA">
        <w:rPr>
          <w:szCs w:val="22"/>
        </w:rPr>
        <w:t xml:space="preserve"> </w:t>
      </w:r>
      <w:r w:rsidR="0AFC154E">
        <w:rPr>
          <w:szCs w:val="22"/>
        </w:rPr>
        <w:t xml:space="preserve"> </w:t>
      </w:r>
      <w:r w:rsidRPr="6C67E43B" w:rsidR="4D18E444">
        <w:t xml:space="preserve">On July 21, 2022, </w:t>
      </w:r>
      <w:r w:rsidRPr="6C67E43B" w:rsidR="6CA7DF2B">
        <w:t>Verizon</w:t>
      </w:r>
      <w:r w:rsidRPr="00DB47A2" w:rsidR="1CB7BFA8">
        <w:rPr>
          <w:szCs w:val="22"/>
        </w:rPr>
        <w:t xml:space="preserve"> </w:t>
      </w:r>
      <w:r w:rsidRPr="6C67E43B" w:rsidR="5CE48C41">
        <w:t xml:space="preserve">filed an </w:t>
      </w:r>
      <w:r w:rsidRPr="66DA9EA8" w:rsidR="5CE48C41">
        <w:rPr>
          <w:i/>
          <w:iCs/>
        </w:rPr>
        <w:t>ex parte</w:t>
      </w:r>
      <w:r w:rsidRPr="6C67E43B" w:rsidR="5CE48C41">
        <w:t xml:space="preserve"> presentation </w:t>
      </w:r>
      <w:r w:rsidRPr="6C67E43B" w:rsidR="0EA3CA59">
        <w:t>explaining why</w:t>
      </w:r>
      <w:r w:rsidRPr="00DB47A2" w:rsidR="4092258E">
        <w:rPr>
          <w:szCs w:val="22"/>
        </w:rPr>
        <w:t xml:space="preserve"> </w:t>
      </w:r>
      <w:r w:rsidRPr="6C67E43B" w:rsidR="5CE48C41">
        <w:t xml:space="preserve">it believes that </w:t>
      </w:r>
      <w:r w:rsidRPr="6C67E43B" w:rsidR="7786E907">
        <w:t xml:space="preserve">the ITM </w:t>
      </w:r>
      <w:r w:rsidRPr="6C67E43B" w:rsidR="0E315592">
        <w:t>is</w:t>
      </w:r>
      <w:r w:rsidRPr="6C67E43B" w:rsidR="4092258E">
        <w:t xml:space="preserve"> an inappropriate </w:t>
      </w:r>
      <w:r w:rsidRPr="6C67E43B" w:rsidR="611227D0">
        <w:t xml:space="preserve">model for analyzing interference effects in the </w:t>
      </w:r>
      <w:r w:rsidRPr="6C67E43B" w:rsidR="62341BD0">
        <w:t>27.5-28.35</w:t>
      </w:r>
      <w:r w:rsidRPr="6C67E43B" w:rsidR="611227D0">
        <w:t xml:space="preserve"> GHz band.</w:t>
      </w:r>
      <w:r>
        <w:rPr>
          <w:rStyle w:val="FootnoteReference"/>
          <w:sz w:val="22"/>
          <w:szCs w:val="22"/>
        </w:rPr>
        <w:footnoteReference w:id="27"/>
      </w:r>
      <w:r w:rsidRPr="00DB47A2" w:rsidR="445F8022">
        <w:rPr>
          <w:szCs w:val="22"/>
        </w:rPr>
        <w:t xml:space="preserve"> </w:t>
      </w:r>
    </w:p>
    <w:p w:rsidR="00460ED6" w:rsidRPr="00DB47A2" w:rsidP="00460ED6" w14:paraId="74F029CC" w14:textId="11FAAAB4">
      <w:pPr>
        <w:pStyle w:val="Heading1"/>
        <w:rPr>
          <w:rFonts w:ascii="Times New Roman" w:hAnsi="Times New Roman"/>
          <w:szCs w:val="22"/>
        </w:rPr>
      </w:pPr>
      <w:r w:rsidRPr="00DB47A2">
        <w:rPr>
          <w:rFonts w:ascii="Times New Roman" w:hAnsi="Times New Roman"/>
          <w:szCs w:val="22"/>
        </w:rPr>
        <w:t>DISCUSSION</w:t>
      </w:r>
    </w:p>
    <w:p w:rsidR="002F04E5" w:rsidP="008D7C4C" w14:paraId="65A6B20D" w14:textId="3F044FEC">
      <w:pPr>
        <w:pStyle w:val="ParaNum"/>
        <w:tabs>
          <w:tab w:val="clear" w:pos="1080"/>
          <w:tab w:val="num" w:pos="1440"/>
        </w:tabs>
      </w:pPr>
      <w:r>
        <w:t>We accept Viasat, Inc.’s use of the ITM as an acceptable propagation model in compliance with the section 25.136 requirement that FSS earth station applicants operating within the 27.5-28.35 GHz band</w:t>
      </w:r>
      <w:r w:rsidR="5EC3BC30">
        <w:t xml:space="preserve"> </w:t>
      </w:r>
      <w:r>
        <w:t xml:space="preserve">provide an analysis showing the contour around their earth stations. </w:t>
      </w:r>
      <w:r w:rsidR="084E420A">
        <w:t xml:space="preserve"> </w:t>
      </w:r>
      <w:r w:rsidR="00E408DA">
        <w:t xml:space="preserve"> </w:t>
      </w:r>
      <w:r>
        <w:t xml:space="preserve">We </w:t>
      </w:r>
      <w:r w:rsidR="3AF0FF0C">
        <w:t xml:space="preserve">address each of Verizon’s objections below, and </w:t>
      </w:r>
      <w:r>
        <w:t xml:space="preserve">find that Viasat has adequately explained </w:t>
      </w:r>
      <w:r w:rsidR="00F5293B">
        <w:t xml:space="preserve">how its implementation of the </w:t>
      </w:r>
      <w:r>
        <w:t xml:space="preserve">ITM </w:t>
      </w:r>
      <w:r w:rsidR="00385F42">
        <w:t xml:space="preserve">predicts a contour that </w:t>
      </w:r>
      <w:r w:rsidR="00F87776">
        <w:t xml:space="preserve">demonstrates </w:t>
      </w:r>
      <w:r w:rsidR="00385F42">
        <w:t>compli</w:t>
      </w:r>
      <w:r w:rsidR="00F87776">
        <w:t>ance</w:t>
      </w:r>
      <w:r w:rsidR="00385F42">
        <w:t xml:space="preserve"> with the siting criteria in </w:t>
      </w:r>
      <w:r w:rsidR="007A5928">
        <w:t>s</w:t>
      </w:r>
      <w:r w:rsidR="00385F42">
        <w:t xml:space="preserve">ection 25.136 of the </w:t>
      </w:r>
      <w:r w:rsidR="00020ADA">
        <w:t>Commission’s</w:t>
      </w:r>
      <w:r w:rsidR="00385F42">
        <w:t xml:space="preserve"> rules.</w:t>
      </w:r>
    </w:p>
    <w:p w:rsidR="00464638" w:rsidRPr="008511B2" w:rsidP="003B7ED7" w14:paraId="3AE308C3" w14:textId="2E68E6E5">
      <w:pPr>
        <w:pStyle w:val="ParaNum"/>
        <w:tabs>
          <w:tab w:val="clear" w:pos="1080"/>
          <w:tab w:val="num" w:pos="1440"/>
        </w:tabs>
      </w:pPr>
      <w:r>
        <w:t xml:space="preserve">First, </w:t>
      </w:r>
      <w:r w:rsidRPr="008511B2" w:rsidR="3FEF3690">
        <w:t>Verizon argues that</w:t>
      </w:r>
      <w:r w:rsidR="3AF0FF0C">
        <w:t>,</w:t>
      </w:r>
      <w:r w:rsidRPr="008511B2" w:rsidR="3FEF3690">
        <w:t xml:space="preserve"> </w:t>
      </w:r>
      <w:r w:rsidRPr="008511B2" w:rsidR="6D0E3892">
        <w:t xml:space="preserve">according to the </w:t>
      </w:r>
      <w:r w:rsidRPr="008511B2" w:rsidR="0A5DC1DC">
        <w:t xml:space="preserve">2020 </w:t>
      </w:r>
      <w:r w:rsidRPr="008511B2" w:rsidR="6D0E3892">
        <w:t>Guidance P</w:t>
      </w:r>
      <w:r w:rsidR="1D63A13C">
        <w:t>N</w:t>
      </w:r>
      <w:r w:rsidR="3AF0FF0C">
        <w:t>,</w:t>
      </w:r>
      <w:r w:rsidRPr="008511B2" w:rsidR="6D0E3892">
        <w:t xml:space="preserve"> </w:t>
      </w:r>
      <w:r w:rsidRPr="008511B2" w:rsidR="3FEF3690">
        <w:t>any model used to demonstrate section 25.136 compliance should be</w:t>
      </w:r>
      <w:r w:rsidRPr="008511B2" w:rsidR="143460EC">
        <w:t xml:space="preserve"> </w:t>
      </w:r>
      <w:r w:rsidRPr="008511B2" w:rsidR="7B5B87C2">
        <w:t>a “widely accepted and publicly available</w:t>
      </w:r>
      <w:r w:rsidRPr="008511B2" w:rsidR="3F666CCB">
        <w:t>” propagation model</w:t>
      </w:r>
      <w:r w:rsidR="71CB3359">
        <w:t>.</w:t>
      </w:r>
      <w:r w:rsidR="6EA43664">
        <w:t xml:space="preserve">  </w:t>
      </w:r>
      <w:r w:rsidRPr="008511B2" w:rsidR="15A94F72">
        <w:t xml:space="preserve">Verizon </w:t>
      </w:r>
      <w:r w:rsidR="15A94F72">
        <w:t xml:space="preserve">further </w:t>
      </w:r>
      <w:r w:rsidRPr="008511B2" w:rsidR="15A94F72">
        <w:t>argues that the 2020 Guidance P</w:t>
      </w:r>
      <w:r w:rsidR="15A94F72">
        <w:t>N</w:t>
      </w:r>
      <w:r w:rsidRPr="008511B2" w:rsidR="15A94F72">
        <w:t xml:space="preserve"> recommends “[a]pplicants should not use statistical models to estimate clutter loss” such as the ITM “when there are more accurate means of estimating clutter loss” such as ITU-R Rec. P. 452.</w:t>
      </w:r>
      <w:r>
        <w:rPr>
          <w:rStyle w:val="FootnoteReference"/>
        </w:rPr>
        <w:footnoteReference w:id="28"/>
      </w:r>
      <w:r w:rsidRPr="008511B2" w:rsidR="15A94F72">
        <w:t xml:space="preserve"> </w:t>
      </w:r>
      <w:r w:rsidR="60BD201A">
        <w:t xml:space="preserve"> </w:t>
      </w:r>
      <w:r w:rsidR="15A94F72">
        <w:t xml:space="preserve">In response </w:t>
      </w:r>
      <w:r w:rsidRPr="008511B2" w:rsidR="6EA43664">
        <w:t xml:space="preserve">Viasat argues that the ITM is “widely accepted and publicly available” </w:t>
      </w:r>
      <w:r w:rsidRPr="008511B2" w:rsidR="1D946DF2">
        <w:t>and</w:t>
      </w:r>
      <w:r w:rsidRPr="008511B2" w:rsidR="6EA43664">
        <w:t xml:space="preserve"> “is an accepted [FCC] model</w:t>
      </w:r>
      <w:r w:rsidR="58EDCFFC">
        <w:t>”</w:t>
      </w:r>
      <w:r w:rsidR="78F7DEA4">
        <w:t xml:space="preserve"> </w:t>
      </w:r>
      <w:r w:rsidR="04611F68">
        <w:t xml:space="preserve">that Viasat has </w:t>
      </w:r>
      <w:r w:rsidR="5886BE80">
        <w:t xml:space="preserve">validated </w:t>
      </w:r>
      <w:r w:rsidR="38E30694">
        <w:t xml:space="preserve">the accuracy of in other </w:t>
      </w:r>
      <w:r w:rsidR="78F7DEA4">
        <w:t>contexts</w:t>
      </w:r>
      <w:r w:rsidR="00FC7A2C">
        <w:t>.</w:t>
      </w:r>
      <w:r>
        <w:rPr>
          <w:rStyle w:val="FootnoteReference"/>
        </w:rPr>
        <w:footnoteReference w:id="29"/>
      </w:r>
      <w:r w:rsidR="00E408DA">
        <w:t xml:space="preserve"> </w:t>
      </w:r>
      <w:r w:rsidR="53A4889E">
        <w:t xml:space="preserve"> </w:t>
      </w:r>
      <w:r w:rsidR="00FC7A2C">
        <w:t xml:space="preserve">Viasat also argues that ITM </w:t>
      </w:r>
      <w:r w:rsidR="60BD201A">
        <w:t>has been</w:t>
      </w:r>
      <w:r w:rsidRPr="008511B2" w:rsidR="53A4889E">
        <w:t xml:space="preserve"> </w:t>
      </w:r>
      <w:r w:rsidRPr="008511B2" w:rsidR="18E3B5C6">
        <w:t>used</w:t>
      </w:r>
      <w:r w:rsidRPr="008511B2" w:rsidR="53A4889E">
        <w:t xml:space="preserve"> to </w:t>
      </w:r>
      <w:r w:rsidR="352DC240">
        <w:t>“</w:t>
      </w:r>
      <w:r w:rsidRPr="008511B2" w:rsidR="53A4889E">
        <w:t>produce conservative results (low path loss) for propagation paths for the site-specific geometries analyzed.”</w:t>
      </w:r>
      <w:r>
        <w:rPr>
          <w:rStyle w:val="FootnoteReference"/>
        </w:rPr>
        <w:footnoteReference w:id="30"/>
      </w:r>
      <w:r w:rsidRPr="008511B2" w:rsidR="5A4E1F91">
        <w:t xml:space="preserve"> </w:t>
      </w:r>
    </w:p>
    <w:p w:rsidR="00B42E69" w:rsidRPr="00666131" w:rsidP="00ED665D" w14:paraId="366341A2" w14:textId="78611234">
      <w:pPr>
        <w:pStyle w:val="ParaNum"/>
        <w:tabs>
          <w:tab w:val="clear" w:pos="1080"/>
          <w:tab w:val="num" w:pos="1440"/>
        </w:tabs>
      </w:pPr>
      <w:r w:rsidRPr="00DB47A2">
        <w:t>We agree with Via</w:t>
      </w:r>
      <w:r w:rsidRPr="00DB47A2" w:rsidR="0004D6FC">
        <w:t xml:space="preserve">sat </w:t>
      </w:r>
      <w:r w:rsidRPr="00DB47A2" w:rsidR="7C9C207B">
        <w:t>that the ITM</w:t>
      </w:r>
      <w:r w:rsidRPr="00DB47A2" w:rsidR="49A087AE">
        <w:t xml:space="preserve"> is a</w:t>
      </w:r>
      <w:r w:rsidR="3D82C3FF">
        <w:t xml:space="preserve"> wi</w:t>
      </w:r>
      <w:r w:rsidR="665EBB8E">
        <w:t>dely accepted and publicly available model</w:t>
      </w:r>
      <w:r w:rsidR="00632C4B">
        <w:t xml:space="preserve"> and is appropriate for purposes of predicting a contour to demonstrate compliance with the siting criteria in </w:t>
      </w:r>
      <w:r w:rsidR="002D08F9">
        <w:t>s</w:t>
      </w:r>
      <w:r w:rsidR="00632C4B">
        <w:t>ection 25.136</w:t>
      </w:r>
      <w:r w:rsidR="11B0C607">
        <w:t>.</w:t>
      </w:r>
      <w:r w:rsidR="6F9A547B">
        <w:t xml:space="preserve">  </w:t>
      </w:r>
      <w:r w:rsidR="00F8032E">
        <w:t xml:space="preserve">Indeed, </w:t>
      </w:r>
      <w:r w:rsidR="00650A97">
        <w:t>t</w:t>
      </w:r>
      <w:r w:rsidR="00B77B98">
        <w:t xml:space="preserve">he ITM is an </w:t>
      </w:r>
      <w:r w:rsidRPr="00CC1D9B" w:rsidR="00B77B98">
        <w:t>accepted</w:t>
      </w:r>
      <w:r w:rsidR="00B77B98">
        <w:t xml:space="preserve"> </w:t>
      </w:r>
      <w:r w:rsidRPr="00CC1D9B" w:rsidR="00B77B98">
        <w:t>model</w:t>
      </w:r>
      <w:r w:rsidR="00B77B98">
        <w:t xml:space="preserve"> used by the Commission in other contexts.</w:t>
      </w:r>
      <w:r>
        <w:rPr>
          <w:rStyle w:val="FootnoteReference"/>
        </w:rPr>
        <w:footnoteReference w:id="31"/>
      </w:r>
      <w:r w:rsidR="00B77B98">
        <w:t xml:space="preserve">  In addition</w:t>
      </w:r>
      <w:r w:rsidR="6F9A547B">
        <w:t>, the model</w:t>
      </w:r>
      <w:r w:rsidR="1419F163">
        <w:t>’s source code base</w:t>
      </w:r>
      <w:r w:rsidR="6F9A547B">
        <w:t xml:space="preserve"> is </w:t>
      </w:r>
      <w:r w:rsidR="00CF6F8B">
        <w:t xml:space="preserve">publicly </w:t>
      </w:r>
      <w:r w:rsidR="6F9A547B">
        <w:t xml:space="preserve">available on </w:t>
      </w:r>
      <w:r w:rsidR="36DA2AC3">
        <w:t>the National Telecommunications and Information Administration’s (</w:t>
      </w:r>
      <w:r w:rsidR="6F9A547B">
        <w:t>NTIA</w:t>
      </w:r>
      <w:r w:rsidR="36DA2AC3">
        <w:t>)</w:t>
      </w:r>
      <w:r w:rsidR="6F9A547B">
        <w:t xml:space="preserve"> website.</w:t>
      </w:r>
      <w:r>
        <w:rPr>
          <w:rStyle w:val="FootnoteReference"/>
        </w:rPr>
        <w:footnoteReference w:id="32"/>
      </w:r>
      <w:r w:rsidR="6E31B0D4">
        <w:t xml:space="preserve">  </w:t>
      </w:r>
      <w:r w:rsidR="00B77B98">
        <w:t>W</w:t>
      </w:r>
      <w:r w:rsidR="7EBEA44B">
        <w:t xml:space="preserve">e disagree with Verizon’s characterization </w:t>
      </w:r>
      <w:r w:rsidR="60BD2C5B">
        <w:t xml:space="preserve">that the ITM model </w:t>
      </w:r>
      <w:r w:rsidR="500A531A">
        <w:t xml:space="preserve">as implemented by </w:t>
      </w:r>
      <w:r w:rsidR="53C52931">
        <w:t>Viasat</w:t>
      </w:r>
      <w:r w:rsidR="500A531A">
        <w:t xml:space="preserve"> uses only statistical approximations (such as average terrain variation).</w:t>
      </w:r>
      <w:r>
        <w:rPr>
          <w:rStyle w:val="FootnoteReference"/>
        </w:rPr>
        <w:footnoteReference w:id="33"/>
      </w:r>
      <w:r w:rsidR="00E408DA">
        <w:t xml:space="preserve"> </w:t>
      </w:r>
      <w:r w:rsidR="500A531A">
        <w:t xml:space="preserve"> </w:t>
      </w:r>
      <w:r w:rsidR="2444AA1F">
        <w:t xml:space="preserve">The </w:t>
      </w:r>
      <w:r w:rsidR="4D5661C6">
        <w:t>ITM model does</w:t>
      </w:r>
      <w:r w:rsidR="3B77CBC7">
        <w:t xml:space="preserve"> have an “area mode” which </w:t>
      </w:r>
      <w:r w:rsidR="3EA88BC1">
        <w:t>es</w:t>
      </w:r>
      <w:r w:rsidR="201488F6">
        <w:t xml:space="preserve">timates a number of parameters using empirical formulas in which </w:t>
      </w:r>
      <w:r w:rsidR="00132FE2">
        <w:t xml:space="preserve">average </w:t>
      </w:r>
      <w:r w:rsidR="004150C7">
        <w:t>terra</w:t>
      </w:r>
      <w:r w:rsidR="00EB45F5">
        <w:t>in variation</w:t>
      </w:r>
      <w:r w:rsidR="201488F6">
        <w:t xml:space="preserve"> plays an important role</w:t>
      </w:r>
      <w:r w:rsidR="005D6419">
        <w:t>.</w:t>
      </w:r>
      <w:r>
        <w:rPr>
          <w:rStyle w:val="FootnoteReference"/>
        </w:rPr>
        <w:footnoteReference w:id="34"/>
      </w:r>
      <w:r w:rsidR="201488F6">
        <w:t xml:space="preserve"> </w:t>
      </w:r>
      <w:r w:rsidR="00E408DA">
        <w:t xml:space="preserve"> </w:t>
      </w:r>
      <w:r w:rsidR="53C52931">
        <w:t xml:space="preserve"> </w:t>
      </w:r>
      <w:r w:rsidR="00132FE2">
        <w:t xml:space="preserve">However, it </w:t>
      </w:r>
      <w:r w:rsidR="512A05AF">
        <w:t>also has a “point-to-point</w:t>
      </w:r>
      <w:r w:rsidR="53C52931">
        <w:t>”</w:t>
      </w:r>
      <w:r w:rsidR="512A05AF">
        <w:t xml:space="preserve"> mode</w:t>
      </w:r>
      <w:r w:rsidR="2673CED2">
        <w:t xml:space="preserve"> </w:t>
      </w:r>
      <w:r w:rsidR="35F57037">
        <w:t xml:space="preserve">which </w:t>
      </w:r>
      <w:r w:rsidR="00D34155">
        <w:t>derives</w:t>
      </w:r>
      <w:r w:rsidR="0F93E708">
        <w:t xml:space="preserve"> inputs </w:t>
      </w:r>
      <w:r w:rsidR="3F4642C0">
        <w:t xml:space="preserve">for these same </w:t>
      </w:r>
      <w:r w:rsidR="391F88A1">
        <w:t>p</w:t>
      </w:r>
      <w:r w:rsidR="3F4642C0">
        <w:t>aramet</w:t>
      </w:r>
      <w:r w:rsidR="391F88A1">
        <w:t>e</w:t>
      </w:r>
      <w:r w:rsidR="3F4642C0">
        <w:t>r</w:t>
      </w:r>
      <w:r w:rsidR="391F88A1">
        <w:t>s</w:t>
      </w:r>
      <w:r w:rsidR="3F4642C0">
        <w:t xml:space="preserve"> </w:t>
      </w:r>
      <w:r w:rsidR="0F93E708">
        <w:t xml:space="preserve">from a terrain profile </w:t>
      </w:r>
      <w:r w:rsidR="4E6B51CE">
        <w:t xml:space="preserve">of actual </w:t>
      </w:r>
      <w:r w:rsidR="4E6B51CE">
        <w:t>terrain data</w:t>
      </w:r>
      <w:r w:rsidR="31024DFA">
        <w:t xml:space="preserve"> between two known points</w:t>
      </w:r>
      <w:r w:rsidR="2673CED2">
        <w:t>.</w:t>
      </w:r>
      <w:r>
        <w:rPr>
          <w:rStyle w:val="FootnoteReference"/>
        </w:rPr>
        <w:footnoteReference w:id="35"/>
      </w:r>
      <w:r w:rsidR="4E6B51CE">
        <w:t xml:space="preserve"> </w:t>
      </w:r>
      <w:r w:rsidR="2673CED2">
        <w:t xml:space="preserve"> Vi</w:t>
      </w:r>
      <w:r w:rsidR="53C52931">
        <w:t>as</w:t>
      </w:r>
      <w:r w:rsidR="2673CED2">
        <w:t xml:space="preserve">at used the ITM model </w:t>
      </w:r>
      <w:r w:rsidR="50C1597E">
        <w:t>in point</w:t>
      </w:r>
      <w:r w:rsidR="2E0923EC">
        <w:t>-</w:t>
      </w:r>
      <w:r w:rsidR="50C1597E">
        <w:t>to</w:t>
      </w:r>
      <w:r w:rsidR="0EAF6F7F">
        <w:t>-</w:t>
      </w:r>
      <w:r w:rsidR="50C1597E">
        <w:t xml:space="preserve">point mode </w:t>
      </w:r>
      <w:r w:rsidR="0101FE32">
        <w:t>and used</w:t>
      </w:r>
      <w:r w:rsidR="4E6B51CE">
        <w:t xml:space="preserve"> </w:t>
      </w:r>
      <w:r w:rsidR="5984687A">
        <w:t>terra</w:t>
      </w:r>
      <w:r w:rsidR="119999CC">
        <w:t xml:space="preserve">in and </w:t>
      </w:r>
      <w:r w:rsidR="4E6B51CE">
        <w:t>clutter height data</w:t>
      </w:r>
      <w:r w:rsidR="6FE3A94A">
        <w:t xml:space="preserve"> from </w:t>
      </w:r>
      <w:r w:rsidR="7637BC05">
        <w:t>N</w:t>
      </w:r>
      <w:r w:rsidR="002D3A6B">
        <w:t>EXT</w:t>
      </w:r>
      <w:r w:rsidR="6FE3A94A">
        <w:t>map Data</w:t>
      </w:r>
      <w:r w:rsidR="39385763">
        <w:t>.</w:t>
      </w:r>
      <w:r>
        <w:rPr>
          <w:rStyle w:val="FootnoteReference"/>
        </w:rPr>
        <w:footnoteReference w:id="36"/>
      </w:r>
      <w:r w:rsidR="39385763">
        <w:t xml:space="preserve"> </w:t>
      </w:r>
      <w:r w:rsidR="4E6B51CE">
        <w:t xml:space="preserve"> </w:t>
      </w:r>
      <w:r w:rsidR="7585CA38">
        <w:t>The ITM model, when used in point-to-point mode</w:t>
      </w:r>
      <w:r w:rsidR="1FBAC2C5">
        <w:t>,</w:t>
      </w:r>
      <w:r w:rsidR="2E0091CB">
        <w:t xml:space="preserve"> </w:t>
      </w:r>
      <w:r w:rsidR="7C2D444A">
        <w:t>removes the location variability.</w:t>
      </w:r>
      <w:r>
        <w:rPr>
          <w:rStyle w:val="FootnoteReference"/>
        </w:rPr>
        <w:footnoteReference w:id="37"/>
      </w:r>
      <w:r w:rsidR="7C2D444A">
        <w:t xml:space="preserve"> </w:t>
      </w:r>
      <w:r w:rsidR="001E4D12">
        <w:t xml:space="preserve"> </w:t>
      </w:r>
      <w:r w:rsidR="00E852FD">
        <w:t>Accordingly</w:t>
      </w:r>
      <w:r w:rsidR="001E4D12">
        <w:t>, Viasat did not use a “statistical model[] to estimate clutter loss</w:t>
      </w:r>
      <w:r w:rsidR="00E852FD">
        <w:t>,” despite Verizon’s claim to the contrary</w:t>
      </w:r>
      <w:r w:rsidR="001E4D12">
        <w:t>.</w:t>
      </w:r>
      <w:r>
        <w:rPr>
          <w:rStyle w:val="FootnoteReference"/>
        </w:rPr>
        <w:footnoteReference w:id="38"/>
      </w:r>
      <w:r w:rsidR="001E4D12">
        <w:t xml:space="preserve">  </w:t>
      </w:r>
      <w:r w:rsidRPr="00DB47A2" w:rsidR="73ADF2B4">
        <w:t xml:space="preserve">The 2020 </w:t>
      </w:r>
      <w:r w:rsidRPr="00DB47A2" w:rsidR="2A411454">
        <w:t>Guidance P</w:t>
      </w:r>
      <w:r w:rsidR="1670CB10">
        <w:t>N</w:t>
      </w:r>
      <w:r w:rsidRPr="00DB47A2" w:rsidR="2A411454">
        <w:t xml:space="preserve"> emphasize</w:t>
      </w:r>
      <w:r w:rsidRPr="00DB47A2" w:rsidR="5FF04E05">
        <w:t>s</w:t>
      </w:r>
      <w:r w:rsidRPr="00DB47A2" w:rsidR="2A411454">
        <w:t xml:space="preserve"> the importance </w:t>
      </w:r>
      <w:r w:rsidRPr="00DB47A2" w:rsidR="57BFFD92">
        <w:t>of flexibility for</w:t>
      </w:r>
      <w:r w:rsidRPr="00DB47A2" w:rsidR="44D5AE84">
        <w:t xml:space="preserve"> </w:t>
      </w:r>
      <w:r w:rsidRPr="00DB47A2" w:rsidR="57BFFD92">
        <w:t>applicant</w:t>
      </w:r>
      <w:r w:rsidRPr="00DB47A2" w:rsidR="44D5AE84">
        <w:t>s</w:t>
      </w:r>
      <w:r w:rsidRPr="00DB47A2" w:rsidR="57BFFD92">
        <w:t xml:space="preserve"> </w:t>
      </w:r>
      <w:r w:rsidRPr="00DB47A2" w:rsidR="57911989">
        <w:t>to demonstrate compliance with</w:t>
      </w:r>
      <w:r w:rsidRPr="00DB47A2" w:rsidR="19D02265">
        <w:t xml:space="preserve"> section 25.136, and efficiency for the </w:t>
      </w:r>
      <w:r w:rsidRPr="00DB47A2" w:rsidR="4086C057">
        <w:t>Bureau</w:t>
      </w:r>
      <w:r w:rsidRPr="00DB47A2" w:rsidR="492685A9">
        <w:t xml:space="preserve"> to determine compliance with </w:t>
      </w:r>
      <w:r w:rsidRPr="00DB47A2" w:rsidR="5E24812B">
        <w:t>section 25.136.</w:t>
      </w:r>
      <w:r>
        <w:rPr>
          <w:rStyle w:val="FootnoteReference"/>
        </w:rPr>
        <w:footnoteReference w:id="39"/>
      </w:r>
      <w:r w:rsidRPr="00DB47A2" w:rsidR="5E24812B">
        <w:t xml:space="preserve"> </w:t>
      </w:r>
      <w:r w:rsidR="45FF8C62">
        <w:t xml:space="preserve"> </w:t>
      </w:r>
      <w:r w:rsidRPr="00DB47A2" w:rsidR="4086C057">
        <w:t>Earth station operators</w:t>
      </w:r>
      <w:r w:rsidRPr="00DB47A2" w:rsidR="2EEB6E14">
        <w:t xml:space="preserve"> </w:t>
      </w:r>
      <w:r w:rsidRPr="00DB47A2" w:rsidR="4086C057">
        <w:t>are</w:t>
      </w:r>
      <w:r w:rsidRPr="00DB47A2" w:rsidR="7FAF87E8">
        <w:t xml:space="preserve"> therefore</w:t>
      </w:r>
      <w:r w:rsidRPr="00DB47A2" w:rsidR="2EEB6E14">
        <w:t xml:space="preserve"> given latitude to</w:t>
      </w:r>
      <w:r w:rsidRPr="00DB47A2" w:rsidR="7FAF87E8">
        <w:t xml:space="preserve"> </w:t>
      </w:r>
      <w:r w:rsidRPr="00DB47A2" w:rsidR="3053527D">
        <w:t>use a</w:t>
      </w:r>
      <w:r w:rsidRPr="00DB47A2" w:rsidR="2FBADE61">
        <w:t xml:space="preserve"> </w:t>
      </w:r>
      <w:r w:rsidRPr="00DB47A2" w:rsidR="3053527D">
        <w:t>non-ITU</w:t>
      </w:r>
      <w:r w:rsidRPr="00DB47A2" w:rsidR="3EE2CED7">
        <w:t xml:space="preserve"> </w:t>
      </w:r>
      <w:r w:rsidRPr="00DB47A2" w:rsidR="3053527D">
        <w:t xml:space="preserve">model </w:t>
      </w:r>
      <w:r w:rsidRPr="00DB47A2" w:rsidR="0303CFB3">
        <w:t>like the ITM</w:t>
      </w:r>
      <w:r w:rsidR="3E5C065D">
        <w:t>,</w:t>
      </w:r>
      <w:r w:rsidRPr="00DB47A2" w:rsidR="0303CFB3">
        <w:t xml:space="preserve"> </w:t>
      </w:r>
      <w:r w:rsidR="15953AA0">
        <w:t xml:space="preserve">provided </w:t>
      </w:r>
      <w:r w:rsidRPr="00DB47A2" w:rsidR="4C546394">
        <w:t>the</w:t>
      </w:r>
      <w:r w:rsidRPr="00DB47A2" w:rsidR="4086C057">
        <w:t>y</w:t>
      </w:r>
      <w:r w:rsidR="00F5293B">
        <w:t xml:space="preserve"> explain why the model is appropriat</w:t>
      </w:r>
      <w:r w:rsidR="006D653D">
        <w:t>e</w:t>
      </w:r>
      <w:r w:rsidRPr="00666131" w:rsidR="61F3634C">
        <w:t xml:space="preserve">, </w:t>
      </w:r>
      <w:r w:rsidRPr="00666131" w:rsidR="00F5293B">
        <w:t xml:space="preserve">which </w:t>
      </w:r>
      <w:r w:rsidRPr="00666131" w:rsidR="005E04A4">
        <w:t xml:space="preserve">Viasat </w:t>
      </w:r>
      <w:r w:rsidRPr="00666131" w:rsidR="61F3634C">
        <w:t xml:space="preserve">has done </w:t>
      </w:r>
      <w:r w:rsidRPr="00666131" w:rsidR="005E04A4">
        <w:t>in this case</w:t>
      </w:r>
      <w:r w:rsidRPr="00666131" w:rsidR="61F3634C">
        <w:t>.</w:t>
      </w:r>
      <w:r>
        <w:rPr>
          <w:rStyle w:val="FootnoteReference"/>
        </w:rPr>
        <w:footnoteReference w:id="40"/>
      </w:r>
    </w:p>
    <w:p w:rsidR="0054228E" w:rsidP="003B7ED7" w14:paraId="74B4C54D" w14:textId="7A789364">
      <w:pPr>
        <w:pStyle w:val="ParaNum"/>
        <w:tabs>
          <w:tab w:val="clear" w:pos="1080"/>
        </w:tabs>
      </w:pPr>
      <w:r>
        <w:t>Second,</w:t>
      </w:r>
      <w:r w:rsidRPr="00DB47A2" w:rsidR="3CD6EC28">
        <w:t xml:space="preserve"> </w:t>
      </w:r>
      <w:r w:rsidR="4C929F0A">
        <w:t>Verizon argues that Viasat uses “propriet</w:t>
      </w:r>
      <w:r w:rsidR="1B0156DC">
        <w:t>ar</w:t>
      </w:r>
      <w:r w:rsidR="4C929F0A">
        <w:t>y formulas and add-ons”</w:t>
      </w:r>
      <w:r>
        <w:rPr>
          <w:rStyle w:val="FootnoteReference"/>
        </w:rPr>
        <w:footnoteReference w:id="41"/>
      </w:r>
      <w:r w:rsidR="4C929F0A">
        <w:t xml:space="preserve"> and that Viasat fails to “provide a list of input parameters and formulas used to calculate the PFD contours or protection zones to allow for independent verification of . . . the PFD contours.</w:t>
      </w:r>
      <w:r w:rsidR="646A4327">
        <w:t>”</w:t>
      </w:r>
      <w:r>
        <w:rPr>
          <w:rStyle w:val="FootnoteReference"/>
        </w:rPr>
        <w:footnoteReference w:id="42"/>
      </w:r>
      <w:r w:rsidR="4C929F0A">
        <w:t xml:space="preserve">  Verizon further claims Viasat failed to provide statistical parameter inputs needed to verify the ITM.</w:t>
      </w:r>
      <w:r>
        <w:rPr>
          <w:rStyle w:val="FootnoteReference"/>
        </w:rPr>
        <w:footnoteReference w:id="43"/>
      </w:r>
      <w:r w:rsidR="4C929F0A">
        <w:t xml:space="preserve">  Because of Viasat’s alleged failures, Verizon argues</w:t>
      </w:r>
      <w:r w:rsidR="7C487B82">
        <w:t>,</w:t>
      </w:r>
      <w:r w:rsidR="4C929F0A">
        <w:t xml:space="preserve"> </w:t>
      </w:r>
      <w:r w:rsidR="7C487B82">
        <w:t xml:space="preserve">it </w:t>
      </w:r>
      <w:r w:rsidR="4C929F0A">
        <w:t>cannot independently verify Viasat’s PFD contours.</w:t>
      </w:r>
      <w:r>
        <w:rPr>
          <w:rStyle w:val="FootnoteReference"/>
        </w:rPr>
        <w:footnoteReference w:id="44"/>
      </w:r>
      <w:r w:rsidR="4C929F0A">
        <w:t xml:space="preserve">  </w:t>
      </w:r>
      <w:r w:rsidRPr="00DB47A2" w:rsidR="7C487B82">
        <w:t xml:space="preserve">Verizon also </w:t>
      </w:r>
      <w:r w:rsidR="7C487B82">
        <w:t xml:space="preserve">notes </w:t>
      </w:r>
      <w:r w:rsidRPr="00DB47A2" w:rsidR="7C487B82">
        <w:t xml:space="preserve">that when </w:t>
      </w:r>
      <w:r w:rsidR="7C487B82">
        <w:t>it</w:t>
      </w:r>
      <w:r w:rsidRPr="00DB47A2" w:rsidR="7C487B82">
        <w:t xml:space="preserve"> attempted to recreate Viasat’s earth stations’ contours on N</w:t>
      </w:r>
      <w:r w:rsidR="082C8B91">
        <w:t>TI</w:t>
      </w:r>
      <w:r w:rsidRPr="00DB47A2" w:rsidR="7C487B82">
        <w:t>A</w:t>
      </w:r>
      <w:r w:rsidR="082C8B91">
        <w:t>’s</w:t>
      </w:r>
      <w:r w:rsidRPr="00DB47A2" w:rsidR="7C487B82">
        <w:t xml:space="preserve"> website, the model failed to run for frequencies over 20 GHz and produced an error message.</w:t>
      </w:r>
      <w:r>
        <w:rPr>
          <w:rStyle w:val="FootnoteReference"/>
        </w:rPr>
        <w:footnoteReference w:id="45"/>
      </w:r>
      <w:r w:rsidRPr="00DB47A2" w:rsidR="7C487B82">
        <w:t xml:space="preserve">   </w:t>
      </w:r>
    </w:p>
    <w:p w:rsidR="0030734C" w:rsidP="003B7ED7" w14:paraId="0C51F9C8" w14:textId="2903D5BF">
      <w:pPr>
        <w:pStyle w:val="ParaNum"/>
        <w:tabs>
          <w:tab w:val="clear" w:pos="1080"/>
          <w:tab w:val="num" w:pos="1440"/>
        </w:tabs>
      </w:pPr>
      <w:r>
        <w:t>Viasat a</w:t>
      </w:r>
      <w:r w:rsidR="60CE74FD">
        <w:t>sserts</w:t>
      </w:r>
      <w:r>
        <w:t xml:space="preserve"> that </w:t>
      </w:r>
      <w:r w:rsidR="2917CD8E">
        <w:t>its</w:t>
      </w:r>
      <w:r>
        <w:t xml:space="preserve"> application, along with an exhibit that describes Viasat’s methodology, includes all information necessary to independently verify necessary input parameters, calculations, and PFD contour analysis.</w:t>
      </w:r>
      <w:r>
        <w:rPr>
          <w:rStyle w:val="FootnoteReference"/>
        </w:rPr>
        <w:footnoteReference w:id="46"/>
      </w:r>
      <w:r>
        <w:t xml:space="preserve">  Viasat further argues that Verizon’s failure to independently verify the ITM’s PFD contour analysis is merely the result of Verizon’s failure to use “an executable version of the [ITM]” on N</w:t>
      </w:r>
      <w:r w:rsidR="49A85FF8">
        <w:t>T</w:t>
      </w:r>
      <w:r>
        <w:t>IA’s website.</w:t>
      </w:r>
      <w:r>
        <w:rPr>
          <w:rStyle w:val="FootnoteReference"/>
        </w:rPr>
        <w:footnoteReference w:id="47"/>
      </w:r>
      <w:r>
        <w:t xml:space="preserve">  In addition, Viasat </w:t>
      </w:r>
      <w:r w:rsidR="60CE74FD">
        <w:t>notes</w:t>
      </w:r>
      <w:r>
        <w:t xml:space="preserve"> that Verizon is not guaranteed access to specific software tools nor is access to NTIA’s tools guaranteed by the Commission</w:t>
      </w:r>
      <w:r w:rsidR="002F6AB5">
        <w:t>’s rules</w:t>
      </w:r>
      <w:r>
        <w:t xml:space="preserve"> or the 2020 Guidance PN and asserts that Verizon has the available tools to successfully replicate Viasat’s PFD contour analysis.</w:t>
      </w:r>
      <w:r>
        <w:rPr>
          <w:rStyle w:val="FootnoteReference"/>
        </w:rPr>
        <w:footnoteReference w:id="48"/>
      </w:r>
    </w:p>
    <w:p w:rsidR="006A3149" w:rsidP="003B7ED7" w14:paraId="08C6D793" w14:textId="38883C06">
      <w:pPr>
        <w:pStyle w:val="ParaNum"/>
        <w:tabs>
          <w:tab w:val="clear" w:pos="1080"/>
        </w:tabs>
      </w:pPr>
      <w:r>
        <w:t xml:space="preserve">We find that </w:t>
      </w:r>
      <w:r w:rsidR="79045DFA">
        <w:t xml:space="preserve">Viasat has provided sufficient data </w:t>
      </w:r>
      <w:r w:rsidR="13F2BB99">
        <w:t>and background in</w:t>
      </w:r>
      <w:r w:rsidR="660BAA13">
        <w:t xml:space="preserve"> its filings in</w:t>
      </w:r>
      <w:r w:rsidR="13F2BB99">
        <w:t xml:space="preserve"> order to </w:t>
      </w:r>
      <w:r w:rsidR="660BAA13">
        <w:t>verify its modelling.</w:t>
      </w:r>
      <w:r w:rsidR="7691BFCB">
        <w:t xml:space="preserve">  </w:t>
      </w:r>
      <w:r w:rsidR="4CA12637">
        <w:t xml:space="preserve">We agree with Viasat that </w:t>
      </w:r>
      <w:r w:rsidR="2A2A457F">
        <w:t>its</w:t>
      </w:r>
      <w:r w:rsidR="4CA12637">
        <w:t xml:space="preserve"> application and exhibits provide sufficient explanation and data for others, such as Verizon, to independently </w:t>
      </w:r>
      <w:r w:rsidR="00414E64">
        <w:t xml:space="preserve">verify the results of </w:t>
      </w:r>
      <w:r w:rsidR="4CA12637">
        <w:t xml:space="preserve">the ITM. </w:t>
      </w:r>
      <w:r w:rsidR="002A1EC1">
        <w:t xml:space="preserve"> </w:t>
      </w:r>
      <w:r w:rsidR="4CA12637">
        <w:t>The ITM</w:t>
      </w:r>
      <w:r w:rsidR="0455C2C1">
        <w:t xml:space="preserve"> </w:t>
      </w:r>
      <w:r w:rsidRPr="00CC1D9B" w:rsidR="4CA12637">
        <w:t>was</w:t>
      </w:r>
      <w:r w:rsidR="4CA12637">
        <w:t xml:space="preserve"> </w:t>
      </w:r>
      <w:r w:rsidRPr="00CC1D9B" w:rsidR="4CA12637">
        <w:t xml:space="preserve">selected by Viasat and its engineering firm, </w:t>
      </w:r>
      <w:r w:rsidR="34011AE7">
        <w:t>RK</w:t>
      </w:r>
      <w:r w:rsidR="006F1191">
        <w:t>F</w:t>
      </w:r>
      <w:r w:rsidR="34011AE7">
        <w:t xml:space="preserve">, </w:t>
      </w:r>
      <w:r w:rsidRPr="00CC1D9B" w:rsidR="4CA12637">
        <w:t xml:space="preserve">because </w:t>
      </w:r>
      <w:r w:rsidR="4CA12637">
        <w:t xml:space="preserve">the ITM is an </w:t>
      </w:r>
      <w:r w:rsidRPr="00CC1D9B" w:rsidR="4CA12637">
        <w:t>accepted</w:t>
      </w:r>
      <w:r w:rsidR="4CA12637">
        <w:t xml:space="preserve"> </w:t>
      </w:r>
      <w:r w:rsidRPr="00CC1D9B" w:rsidR="4CA12637">
        <w:t>model</w:t>
      </w:r>
      <w:r w:rsidR="4CA12637">
        <w:t xml:space="preserve"> used by the </w:t>
      </w:r>
      <w:r w:rsidR="4CA12637">
        <w:t>Commission in other contexts.</w:t>
      </w:r>
      <w:r>
        <w:rPr>
          <w:rStyle w:val="FootnoteReference"/>
        </w:rPr>
        <w:footnoteReference w:id="49"/>
      </w:r>
      <w:r w:rsidR="4CA12637">
        <w:t xml:space="preserve">  Viasat has adequately explained i</w:t>
      </w:r>
      <w:r w:rsidRPr="00DF5C80" w:rsidR="4CA12637">
        <w:t>n its</w:t>
      </w:r>
      <w:r w:rsidR="4CA12637">
        <w:t xml:space="preserve"> initial applications (including an exhibit explaining the ITM’s methodology),</w:t>
      </w:r>
      <w:r>
        <w:rPr>
          <w:rStyle w:val="FootnoteReference"/>
        </w:rPr>
        <w:footnoteReference w:id="50"/>
      </w:r>
      <w:r w:rsidR="4CA12637">
        <w:t xml:space="preserve"> and in an</w:t>
      </w:r>
      <w:r w:rsidRPr="00DF5C80" w:rsidR="4CA12637">
        <w:t xml:space="preserve"> </w:t>
      </w:r>
      <w:r w:rsidRPr="66DA9EA8" w:rsidR="4CA12637">
        <w:rPr>
          <w:i/>
          <w:iCs/>
        </w:rPr>
        <w:t>ex parte</w:t>
      </w:r>
      <w:r w:rsidRPr="00DF5C80" w:rsidR="4CA12637">
        <w:t xml:space="preserve"> response to the </w:t>
      </w:r>
      <w:r w:rsidR="4CA12637">
        <w:t>Bureau</w:t>
      </w:r>
      <w:r w:rsidRPr="00DF5C80" w:rsidR="4CA12637">
        <w:t>’s questions</w:t>
      </w:r>
      <w:r w:rsidR="4CA12637">
        <w:t xml:space="preserve"> why the ITM is an acceptable model </w:t>
      </w:r>
      <w:r w:rsidRPr="6C67E43B" w:rsidR="4CA12637">
        <w:t>to demonstrate its earth stations compliance with section 25.136</w:t>
      </w:r>
      <w:r w:rsidR="4CA12637">
        <w:t xml:space="preserve">. </w:t>
      </w:r>
    </w:p>
    <w:p w:rsidR="00EF4BF2" w:rsidP="003B7ED7" w14:paraId="3B55B0FC" w14:textId="350863BA">
      <w:pPr>
        <w:pStyle w:val="ParaNum"/>
        <w:tabs>
          <w:tab w:val="clear" w:pos="1080"/>
          <w:tab w:val="num" w:pos="1440"/>
        </w:tabs>
      </w:pPr>
      <w:r>
        <w:t xml:space="preserve">Third, </w:t>
      </w:r>
      <w:r w:rsidRPr="00DB47A2" w:rsidR="179347C4">
        <w:t>Verizon argues that the ITM does not apply or is inaccurate when applied in frequency bands beyond the 20 GHz band</w:t>
      </w:r>
      <w:r w:rsidRPr="00DB47A2" w:rsidR="146C814F">
        <w:t xml:space="preserve"> because </w:t>
      </w:r>
      <w:r w:rsidRPr="00DB47A2" w:rsidR="768E5350">
        <w:t xml:space="preserve">the </w:t>
      </w:r>
      <w:r w:rsidRPr="00DB47A2" w:rsidR="387841C1">
        <w:t>article</w:t>
      </w:r>
      <w:r w:rsidRPr="00DB47A2" w:rsidR="768E5350">
        <w:t xml:space="preserve"> Viasat references </w:t>
      </w:r>
      <w:r w:rsidRPr="00DB47A2" w:rsidR="5188B815">
        <w:t xml:space="preserve">to verify use of the ITM </w:t>
      </w:r>
      <w:r w:rsidR="1E2FD688">
        <w:t xml:space="preserve">for 27.5-28.35 </w:t>
      </w:r>
      <w:r w:rsidRPr="00DB47A2" w:rsidR="5188B815">
        <w:t>GHz is invalid</w:t>
      </w:r>
      <w:r w:rsidR="503DBBCA">
        <w:t>.</w:t>
      </w:r>
      <w:r>
        <w:rPr>
          <w:rStyle w:val="FootnoteReference"/>
        </w:rPr>
        <w:footnoteReference w:id="51"/>
      </w:r>
      <w:r w:rsidRPr="00DB47A2" w:rsidR="5188B815">
        <w:t xml:space="preserve"> </w:t>
      </w:r>
      <w:r w:rsidR="503DBBCA">
        <w:t>It also states V</w:t>
      </w:r>
      <w:r w:rsidRPr="00DB47A2" w:rsidR="146C814F">
        <w:t>iasat has</w:t>
      </w:r>
      <w:r w:rsidR="0F095BA5">
        <w:t xml:space="preserve"> not</w:t>
      </w:r>
      <w:r w:rsidRPr="00DB47A2" w:rsidR="773D63E7">
        <w:t xml:space="preserve"> named an </w:t>
      </w:r>
      <w:r w:rsidRPr="00DB47A2" w:rsidR="67C651CE">
        <w:t xml:space="preserve">analogous circumstance </w:t>
      </w:r>
      <w:r w:rsidRPr="00DB47A2" w:rsidR="3FA00553">
        <w:t xml:space="preserve">when </w:t>
      </w:r>
      <w:r w:rsidRPr="00DB47A2" w:rsidR="67C651CE">
        <w:t>the ITM had bee</w:t>
      </w:r>
      <w:r w:rsidRPr="00DB47A2" w:rsidR="2E7477D4">
        <w:t xml:space="preserve">n used </w:t>
      </w:r>
      <w:r w:rsidRPr="00DB47A2" w:rsidR="7BA70B21">
        <w:t>at 2</w:t>
      </w:r>
      <w:r w:rsidR="1E2FD688">
        <w:t>7.5-28.35</w:t>
      </w:r>
      <w:r w:rsidRPr="00DB47A2" w:rsidR="7BA70B21">
        <w:t xml:space="preserve"> GHz</w:t>
      </w:r>
      <w:r w:rsidRPr="00DB47A2" w:rsidR="2F29D816">
        <w:t>.</w:t>
      </w:r>
      <w:r>
        <w:rPr>
          <w:rStyle w:val="FootnoteReference"/>
        </w:rPr>
        <w:footnoteReference w:id="52"/>
      </w:r>
      <w:r w:rsidRPr="00DB47A2" w:rsidR="069640AD">
        <w:t xml:space="preserve"> </w:t>
      </w:r>
    </w:p>
    <w:p w:rsidR="00786FF3" w:rsidRPr="00DB47A2" w:rsidP="003B7ED7" w14:paraId="71B0D122" w14:textId="616548D2">
      <w:pPr>
        <w:pStyle w:val="ParaNum"/>
        <w:tabs>
          <w:tab w:val="clear" w:pos="1080"/>
          <w:tab w:val="num" w:pos="1440"/>
        </w:tabs>
      </w:pPr>
      <w:r>
        <w:t xml:space="preserve">In response, </w:t>
      </w:r>
      <w:r w:rsidRPr="00DB47A2" w:rsidR="5CAAA227">
        <w:t>Viasat a</w:t>
      </w:r>
      <w:r w:rsidR="27C23578">
        <w:t>sserts</w:t>
      </w:r>
      <w:r w:rsidRPr="00DB47A2" w:rsidR="5CAAA227">
        <w:t xml:space="preserve"> that </w:t>
      </w:r>
      <w:r w:rsidRPr="00DB47A2" w:rsidR="38BCB679">
        <w:t xml:space="preserve">while the </w:t>
      </w:r>
      <w:r w:rsidRPr="00DB47A2" w:rsidR="5A137351">
        <w:t xml:space="preserve">article </w:t>
      </w:r>
      <w:r w:rsidR="7EBBFC41">
        <w:t>it</w:t>
      </w:r>
      <w:r w:rsidRPr="00DB47A2" w:rsidR="5A137351">
        <w:t xml:space="preserve"> reference</w:t>
      </w:r>
      <w:r w:rsidR="7EBBFC41">
        <w:t>s</w:t>
      </w:r>
      <w:r w:rsidRPr="00DB47A2" w:rsidR="5A137351">
        <w:t xml:space="preserve"> to </w:t>
      </w:r>
      <w:r w:rsidRPr="00DB47A2" w:rsidR="44004D8C">
        <w:t xml:space="preserve">support </w:t>
      </w:r>
      <w:r w:rsidR="7EBBFC41">
        <w:t>its</w:t>
      </w:r>
      <w:r w:rsidR="474BF4DC">
        <w:t xml:space="preserve"> </w:t>
      </w:r>
      <w:r w:rsidRPr="00DB47A2" w:rsidR="44004D8C">
        <w:t xml:space="preserve">use of the ITM at </w:t>
      </w:r>
      <w:r w:rsidRPr="6C67E43B" w:rsidR="44004D8C">
        <w:t>27.5-28.35</w:t>
      </w:r>
      <w:r w:rsidRPr="00DB47A2" w:rsidR="44004D8C">
        <w:t xml:space="preserve"> GHz </w:t>
      </w:r>
      <w:r w:rsidRPr="00DB47A2" w:rsidR="5CFF0704">
        <w:t>modified the ITM’s upper limit to 20 GH</w:t>
      </w:r>
      <w:r w:rsidR="2B027076">
        <w:t>z</w:t>
      </w:r>
      <w:r w:rsidRPr="00DB47A2" w:rsidR="5CFF0704">
        <w:t xml:space="preserve"> in later documentation, </w:t>
      </w:r>
      <w:r w:rsidR="0EB119E8">
        <w:t xml:space="preserve">use of the model in </w:t>
      </w:r>
      <w:r w:rsidRPr="6C67E43B" w:rsidR="66119B87">
        <w:t>27.5-28.35</w:t>
      </w:r>
      <w:r w:rsidRPr="00DB47A2" w:rsidR="66119B87">
        <w:t xml:space="preserve"> GHz nonetheless conform</w:t>
      </w:r>
      <w:r w:rsidR="0EB119E8">
        <w:t>s</w:t>
      </w:r>
      <w:r w:rsidRPr="00DB47A2" w:rsidR="0E52EAED">
        <w:t xml:space="preserve"> within these topologies</w:t>
      </w:r>
      <w:r w:rsidRPr="00D87026" w:rsidR="0E52EAED">
        <w:t>.</w:t>
      </w:r>
      <w:r>
        <w:rPr>
          <w:rStyle w:val="FootnoteReference"/>
        </w:rPr>
        <w:footnoteReference w:id="53"/>
      </w:r>
      <w:r w:rsidRPr="00D87026" w:rsidR="0E52EAED">
        <w:t xml:space="preserve"> </w:t>
      </w:r>
      <w:r w:rsidRPr="00D87026" w:rsidR="248D6C7C">
        <w:t xml:space="preserve"> </w:t>
      </w:r>
      <w:r w:rsidRPr="00D87026" w:rsidR="3D35011A">
        <w:t>Finally, Viasat argues t</w:t>
      </w:r>
      <w:r w:rsidRPr="00D87026" w:rsidR="5548174D">
        <w:t>hat</w:t>
      </w:r>
      <w:r w:rsidRPr="00D87026" w:rsidR="6FC2507A">
        <w:t xml:space="preserve"> </w:t>
      </w:r>
      <w:r w:rsidRPr="006D653D" w:rsidR="0049033E">
        <w:t xml:space="preserve">error messages generated by the Github version of </w:t>
      </w:r>
      <w:r w:rsidRPr="00D87026" w:rsidR="62FC73F6">
        <w:t xml:space="preserve">the ITM at frequencies above 20 GHz in no way </w:t>
      </w:r>
      <w:r w:rsidRPr="00D87026" w:rsidR="4EE57402">
        <w:t>impacts the validity of Viasat’s use of the ITM</w:t>
      </w:r>
      <w:r w:rsidRPr="00DB47A2" w:rsidR="4EE57402">
        <w:t xml:space="preserve"> </w:t>
      </w:r>
      <w:r w:rsidRPr="00DB47A2" w:rsidR="007D055A">
        <w:t>because the</w:t>
      </w:r>
      <w:r w:rsidRPr="00DB47A2" w:rsidR="37B0E7A7">
        <w:t xml:space="preserve"> </w:t>
      </w:r>
      <w:r w:rsidRPr="00DB47A2" w:rsidR="1F2FB146">
        <w:t>original source for the ITM makes clear that it is valid up to 40 GHz</w:t>
      </w:r>
      <w:r w:rsidRPr="00DB47A2" w:rsidR="415EAFC7">
        <w:t>.</w:t>
      </w:r>
      <w:r>
        <w:rPr>
          <w:rStyle w:val="FootnoteReference"/>
        </w:rPr>
        <w:footnoteReference w:id="54"/>
      </w:r>
    </w:p>
    <w:p w:rsidR="00935A4C" w:rsidP="003B7ED7" w14:paraId="3706C2B9" w14:textId="677FB656">
      <w:pPr>
        <w:pStyle w:val="ParaNum"/>
        <w:tabs>
          <w:tab w:val="clear" w:pos="1080"/>
          <w:tab w:val="num" w:pos="1440"/>
        </w:tabs>
      </w:pPr>
      <w:r w:rsidRPr="00DB47A2">
        <w:t>We disagree with Verizon that</w:t>
      </w:r>
      <w:r w:rsidRPr="00DB47A2" w:rsidR="761A15DB">
        <w:t xml:space="preserve"> the use</w:t>
      </w:r>
      <w:r w:rsidR="7EDCE726">
        <w:t xml:space="preserve"> of the ITM</w:t>
      </w:r>
      <w:r w:rsidRPr="00DB47A2" w:rsidR="761A15DB">
        <w:t xml:space="preserve"> as a </w:t>
      </w:r>
      <w:r w:rsidRPr="00DB47A2" w:rsidR="02736308">
        <w:t>propagation</w:t>
      </w:r>
      <w:r w:rsidRPr="00DB47A2" w:rsidR="761A15DB">
        <w:t xml:space="preserve"> model is </w:t>
      </w:r>
      <w:r w:rsidR="4862A16B">
        <w:t xml:space="preserve">necessarily </w:t>
      </w:r>
      <w:r w:rsidRPr="00DB47A2" w:rsidR="761A15DB">
        <w:t>limited to</w:t>
      </w:r>
      <w:r w:rsidRPr="00DB47A2" w:rsidR="7D051A7F">
        <w:t xml:space="preserve"> frequencies between 20 MHz and 20 GHz</w:t>
      </w:r>
      <w:r w:rsidRPr="00DB47A2" w:rsidR="761A15DB">
        <w:t>.</w:t>
      </w:r>
      <w:r>
        <w:rPr>
          <w:rStyle w:val="FootnoteReference"/>
        </w:rPr>
        <w:footnoteReference w:id="55"/>
      </w:r>
      <w:r w:rsidRPr="00DB47A2" w:rsidR="179347C4">
        <w:t xml:space="preserve">  The model was developed before use in the frequency bands above 20 GHz was </w:t>
      </w:r>
      <w:r w:rsidR="4423FF58">
        <w:t>viable</w:t>
      </w:r>
      <w:r w:rsidR="01765E5C">
        <w:t>,</w:t>
      </w:r>
      <w:r w:rsidR="4423FF58">
        <w:t xml:space="preserve"> </w:t>
      </w:r>
      <w:r w:rsidRPr="00DB47A2" w:rsidR="179347C4">
        <w:t xml:space="preserve">but its </w:t>
      </w:r>
      <w:r w:rsidR="01765E5C">
        <w:t>methodology</w:t>
      </w:r>
      <w:r w:rsidRPr="00DB47A2" w:rsidR="179347C4">
        <w:t xml:space="preserve"> </w:t>
      </w:r>
      <w:r w:rsidR="01765E5C">
        <w:t>is</w:t>
      </w:r>
      <w:r w:rsidRPr="00DB47A2" w:rsidR="179347C4">
        <w:t xml:space="preserve"> still applicable. </w:t>
      </w:r>
      <w:r w:rsidRPr="00DB47A2" w:rsidR="761A15DB">
        <w:t xml:space="preserve"> </w:t>
      </w:r>
      <w:r w:rsidRPr="00DB47A2" w:rsidR="5A383450">
        <w:t>We find persuasive Viasat’s argument that</w:t>
      </w:r>
      <w:r w:rsidRPr="00DB47A2" w:rsidR="3AA23951">
        <w:t xml:space="preserve"> </w:t>
      </w:r>
      <w:r w:rsidRPr="00DB47A2" w:rsidR="0F42A264">
        <w:t>the ITM</w:t>
      </w:r>
      <w:r w:rsidRPr="00DB47A2" w:rsidR="3AF803EA">
        <w:t xml:space="preserve"> model</w:t>
      </w:r>
      <w:r w:rsidRPr="00DB47A2" w:rsidR="626E5134">
        <w:t xml:space="preserve"> </w:t>
      </w:r>
      <w:r w:rsidRPr="00DB47A2" w:rsidR="09CAC63C">
        <w:t xml:space="preserve">is suitable for use </w:t>
      </w:r>
      <w:r w:rsidRPr="00DB47A2" w:rsidR="3CF8ACB2">
        <w:t xml:space="preserve">with </w:t>
      </w:r>
      <w:r w:rsidRPr="6C67E43B" w:rsidR="5730A311">
        <w:t>27.5-28.35</w:t>
      </w:r>
      <w:r w:rsidRPr="00DB47A2" w:rsidR="3CF8ACB2">
        <w:t xml:space="preserve"> GHz frequencies </w:t>
      </w:r>
      <w:r w:rsidRPr="00DB47A2" w:rsidR="5EF081CB">
        <w:t xml:space="preserve">because </w:t>
      </w:r>
      <w:r w:rsidR="07BF7CA3">
        <w:t xml:space="preserve">the </w:t>
      </w:r>
      <w:r w:rsidR="376D7A4A">
        <w:t xml:space="preserve">ITM model </w:t>
      </w:r>
      <w:r w:rsidR="009D5D0A">
        <w:t>meth</w:t>
      </w:r>
      <w:r w:rsidR="00793648">
        <w:t>odology (using double knife edge and irregular terrain diffraction</w:t>
      </w:r>
      <w:r>
        <w:rPr>
          <w:rStyle w:val="FootnoteReference"/>
        </w:rPr>
        <w:footnoteReference w:id="56"/>
      </w:r>
      <w:r w:rsidR="00793648">
        <w:t xml:space="preserve">) </w:t>
      </w:r>
      <w:r w:rsidR="376D7A4A">
        <w:t>can be applied in frequency bands ranging from 20 MHz to 40 GHz</w:t>
      </w:r>
      <w:r w:rsidR="4B8BE2DA">
        <w:t>.</w:t>
      </w:r>
      <w:r>
        <w:rPr>
          <w:rStyle w:val="FootnoteReference"/>
        </w:rPr>
        <w:footnoteReference w:id="57"/>
      </w:r>
      <w:r w:rsidR="4B8BE2DA">
        <w:t xml:space="preserve">  In addition,</w:t>
      </w:r>
      <w:r w:rsidR="6B771C8D">
        <w:t xml:space="preserve"> </w:t>
      </w:r>
      <w:r w:rsidRPr="00DB47A2" w:rsidR="0FDCEB9B">
        <w:t>NTIA</w:t>
      </w:r>
      <w:r w:rsidRPr="00DB47A2" w:rsidR="2BB04F4E">
        <w:t xml:space="preserve"> documentation</w:t>
      </w:r>
      <w:r w:rsidRPr="00DB47A2" w:rsidR="51D45A8A">
        <w:t xml:space="preserve"> </w:t>
      </w:r>
      <w:r w:rsidR="21F54C9A">
        <w:t xml:space="preserve">validates </w:t>
      </w:r>
      <w:r w:rsidR="4B8BE2DA">
        <w:t>this conclusion.</w:t>
      </w:r>
      <w:r>
        <w:rPr>
          <w:rStyle w:val="FootnoteReference"/>
        </w:rPr>
        <w:footnoteReference w:id="58"/>
      </w:r>
    </w:p>
    <w:p w:rsidR="00916636" w:rsidRPr="00DB47A2" w:rsidP="003B7ED7" w14:paraId="6788EFC3" w14:textId="339EBB33">
      <w:pPr>
        <w:pStyle w:val="ParaNum"/>
        <w:tabs>
          <w:tab w:val="clear" w:pos="1080"/>
        </w:tabs>
      </w:pPr>
      <w:r w:rsidRPr="00DB47A2">
        <w:t xml:space="preserve">Viasat has </w:t>
      </w:r>
      <w:r w:rsidR="5D58546A">
        <w:t>also</w:t>
      </w:r>
      <w:r w:rsidR="26CC275E">
        <w:t xml:space="preserve"> </w:t>
      </w:r>
      <w:r w:rsidRPr="00DB47A2">
        <w:t>perform</w:t>
      </w:r>
      <w:r w:rsidRPr="00DB47A2" w:rsidR="7C6A3B55">
        <w:t>ed</w:t>
      </w:r>
      <w:r w:rsidRPr="00DB47A2">
        <w:t xml:space="preserve"> </w:t>
      </w:r>
      <w:r w:rsidR="6BA4AB3B">
        <w:t>testing</w:t>
      </w:r>
      <w:r w:rsidRPr="00DB47A2">
        <w:t xml:space="preserve"> of similar ITM modeling with measurements of radio frequency levels operating in the Ka</w:t>
      </w:r>
      <w:r w:rsidR="5679A29A">
        <w:t>-</w:t>
      </w:r>
      <w:r w:rsidRPr="00DB47A2">
        <w:t>band.</w:t>
      </w:r>
      <w:r>
        <w:rPr>
          <w:rStyle w:val="FootnoteReference"/>
        </w:rPr>
        <w:footnoteReference w:id="59"/>
      </w:r>
      <w:r w:rsidRPr="00DB47A2">
        <w:t xml:space="preserve">  The tests were conducted at </w:t>
      </w:r>
      <w:r w:rsidRPr="6C67E43B" w:rsidR="2DD3B2DD">
        <w:t xml:space="preserve">27.5-28.35 </w:t>
      </w:r>
      <w:r w:rsidRPr="00DB47A2">
        <w:t xml:space="preserve">GHz and </w:t>
      </w:r>
      <w:r w:rsidRPr="00DB47A2">
        <w:t xml:space="preserve">measurements were taken at both </w:t>
      </w:r>
      <w:r w:rsidR="6806857D">
        <w:t>two</w:t>
      </w:r>
      <w:r w:rsidRPr="00DB47A2">
        <w:t xml:space="preserve"> and </w:t>
      </w:r>
      <w:r w:rsidR="61A71341">
        <w:t>ten</w:t>
      </w:r>
      <w:r w:rsidR="0A084FB7">
        <w:t xml:space="preserve"> </w:t>
      </w:r>
      <w:r w:rsidRPr="00DB47A2">
        <w:t>m</w:t>
      </w:r>
      <w:r w:rsidR="6806857D">
        <w:t>eter</w:t>
      </w:r>
      <w:r w:rsidRPr="00DB47A2">
        <w:t xml:space="preserve"> heights above ground level at locations around the earth station location.</w:t>
      </w:r>
      <w:r>
        <w:rPr>
          <w:rStyle w:val="FootnoteReference"/>
        </w:rPr>
        <w:footnoteReference w:id="60"/>
      </w:r>
      <w:r w:rsidRPr="00DB47A2">
        <w:t xml:space="preserve"> </w:t>
      </w:r>
      <w:r w:rsidR="00AB7AFB">
        <w:t xml:space="preserve"> </w:t>
      </w:r>
      <w:r w:rsidRPr="00DB47A2">
        <w:t>Those test results demonstrated the measured signal levels were significantly less than those predicted by free space path loss values.</w:t>
      </w:r>
      <w:r>
        <w:rPr>
          <w:rStyle w:val="FootnoteReference"/>
        </w:rPr>
        <w:footnoteReference w:id="61"/>
      </w:r>
      <w:r w:rsidRPr="00DB47A2">
        <w:t xml:space="preserve"> </w:t>
      </w:r>
      <w:r w:rsidR="00AB7AFB">
        <w:t xml:space="preserve"> </w:t>
      </w:r>
      <w:r w:rsidRPr="00DB47A2">
        <w:t>Thus, the actual path loss was larger than free space path loss</w:t>
      </w:r>
      <w:r w:rsidRPr="00DB47A2" w:rsidR="325ED446">
        <w:t>, demonstrating that the potential for interference in real world conditions is less</w:t>
      </w:r>
      <w:r w:rsidRPr="00DB47A2">
        <w:t xml:space="preserve">. </w:t>
      </w:r>
      <w:r w:rsidR="00793648">
        <w:t xml:space="preserve"> </w:t>
      </w:r>
      <w:r w:rsidR="38DA4042">
        <w:t>U</w:t>
      </w:r>
      <w:r w:rsidRPr="00DB47A2">
        <w:t xml:space="preserve">sing </w:t>
      </w:r>
      <w:r w:rsidR="69D48EF9">
        <w:t xml:space="preserve">the </w:t>
      </w:r>
      <w:r w:rsidRPr="00DB47A2">
        <w:t xml:space="preserve">natural terrain feature Digital Surface Model </w:t>
      </w:r>
      <w:r w:rsidRPr="00DB47A2" w:rsidR="735E7761">
        <w:t>and</w:t>
      </w:r>
      <w:r w:rsidRPr="00DB47A2">
        <w:t xml:space="preserve"> a bare earth Digital Terrain Model</w:t>
      </w:r>
      <w:r w:rsidR="78BF0F1A">
        <w:t xml:space="preserve">, </w:t>
      </w:r>
      <w:r w:rsidR="46A134F5">
        <w:t>the NEXTMap provides terrain elevation data</w:t>
      </w:r>
      <w:r w:rsidRPr="00DB47A2">
        <w:t xml:space="preserve"> represent</w:t>
      </w:r>
      <w:r w:rsidR="26BEFDB1">
        <w:t>ing</w:t>
      </w:r>
      <w:r w:rsidRPr="00DB47A2">
        <w:t xml:space="preserve"> reasonable adjustments to </w:t>
      </w:r>
      <w:r w:rsidRPr="00DB47A2" w:rsidR="04B8661F">
        <w:t xml:space="preserve">propagation </w:t>
      </w:r>
      <w:r w:rsidRPr="00DB47A2">
        <w:t xml:space="preserve">modeling criteria </w:t>
      </w:r>
      <w:r w:rsidR="754B5935">
        <w:t xml:space="preserve">and </w:t>
      </w:r>
      <w:r w:rsidRPr="00DB47A2">
        <w:t>re</w:t>
      </w:r>
      <w:r w:rsidR="34DE7DC6">
        <w:t xml:space="preserve">flecting </w:t>
      </w:r>
      <w:r w:rsidRPr="00DB47A2">
        <w:t>actual terminal terrain conditions with the selected clutter data.</w:t>
      </w:r>
      <w:r w:rsidRPr="00DB47A2" w:rsidR="7FE086B9">
        <w:t xml:space="preserve"> </w:t>
      </w:r>
      <w:r w:rsidR="00793648">
        <w:t xml:space="preserve"> </w:t>
      </w:r>
      <w:r w:rsidR="6DBC258A">
        <w:t>T</w:t>
      </w:r>
      <w:r w:rsidR="631EC33E">
        <w:t>he ITM is not disqualified t</w:t>
      </w:r>
      <w:r w:rsidR="6DBC258A">
        <w:t>o the exten</w:t>
      </w:r>
      <w:r w:rsidR="2BC80891">
        <w:t xml:space="preserve">t that the </w:t>
      </w:r>
      <w:r w:rsidRPr="00DB47A2" w:rsidR="7FE086B9">
        <w:t xml:space="preserve">ITM’s </w:t>
      </w:r>
      <w:r w:rsidR="2BC80891">
        <w:t xml:space="preserve">predictions are </w:t>
      </w:r>
      <w:r w:rsidR="1244D9D6">
        <w:t>conservative</w:t>
      </w:r>
      <w:r w:rsidR="7AFD0533">
        <w:t xml:space="preserve"> </w:t>
      </w:r>
      <w:r w:rsidRPr="00DB47A2" w:rsidR="7FE086B9">
        <w:t>as Verizon has argued</w:t>
      </w:r>
      <w:r w:rsidR="49DCC204">
        <w:t>.</w:t>
      </w:r>
      <w:r>
        <w:rPr>
          <w:rStyle w:val="FootnoteReference"/>
        </w:rPr>
        <w:footnoteReference w:id="62"/>
      </w:r>
      <w:r w:rsidR="49DCC204">
        <w:t xml:space="preserve">  The </w:t>
      </w:r>
      <w:r w:rsidR="7113DB41">
        <w:t xml:space="preserve">rules </w:t>
      </w:r>
      <w:r w:rsidR="6AB3564E">
        <w:t xml:space="preserve">establish the </w:t>
      </w:r>
      <w:r w:rsidR="71ABB178">
        <w:t>limits necessary to minimize the impact on UMFUS</w:t>
      </w:r>
      <w:r w:rsidR="4E4CB53E">
        <w:t xml:space="preserve"> and</w:t>
      </w:r>
      <w:r w:rsidR="0ACC2678">
        <w:t xml:space="preserve"> </w:t>
      </w:r>
      <w:r w:rsidR="398DD477">
        <w:t xml:space="preserve">applications are evaluated on whether or not they meet </w:t>
      </w:r>
      <w:r w:rsidR="007D055A">
        <w:t>that criteria</w:t>
      </w:r>
      <w:r w:rsidR="398DD477">
        <w:t xml:space="preserve">.  If an applicant chooses to </w:t>
      </w:r>
      <w:r w:rsidR="227616D9">
        <w:t>demonstrat</w:t>
      </w:r>
      <w:r w:rsidR="4230F79E">
        <w:t>e</w:t>
      </w:r>
      <w:r w:rsidR="227616D9">
        <w:t xml:space="preserve"> compliance with the siting criteria </w:t>
      </w:r>
      <w:r w:rsidR="1871FC77">
        <w:t>using a more conservative model and/or assumptions</w:t>
      </w:r>
      <w:r w:rsidR="0886DC8D">
        <w:t>, and can successfully demonstrate compliance,</w:t>
      </w:r>
      <w:r w:rsidR="1871FC77">
        <w:t xml:space="preserve"> </w:t>
      </w:r>
      <w:r w:rsidR="70A127ED">
        <w:t xml:space="preserve">that </w:t>
      </w:r>
      <w:r w:rsidR="00FE147C">
        <w:t xml:space="preserve">demonstration </w:t>
      </w:r>
      <w:r w:rsidR="70A127ED">
        <w:t xml:space="preserve">simply </w:t>
      </w:r>
      <w:r w:rsidR="456665FC">
        <w:t>provide</w:t>
      </w:r>
      <w:r w:rsidR="70A127ED">
        <w:t>s</w:t>
      </w:r>
      <w:r w:rsidR="456665FC">
        <w:t xml:space="preserve"> more confidence that the siting criteria </w:t>
      </w:r>
      <w:r w:rsidR="4BEA0EE2">
        <w:t>would also be</w:t>
      </w:r>
      <w:r w:rsidR="034CEF59">
        <w:t xml:space="preserve"> met </w:t>
      </w:r>
      <w:r w:rsidR="7659B077">
        <w:t xml:space="preserve">by the actual deployment. </w:t>
      </w:r>
      <w:r w:rsidR="0886DC8D">
        <w:t xml:space="preserve"> The rules do not require that the licensee use less conservative modeling to minimize the size of the contour </w:t>
      </w:r>
      <w:r w:rsidR="00CA4163">
        <w:t>in addition to meeting</w:t>
      </w:r>
      <w:r w:rsidR="0886DC8D">
        <w:t xml:space="preserve"> and compl</w:t>
      </w:r>
      <w:r w:rsidR="00D15A78">
        <w:t>y</w:t>
      </w:r>
      <w:r w:rsidR="0886DC8D">
        <w:t>i</w:t>
      </w:r>
      <w:r w:rsidR="00CA4163">
        <w:t>ng</w:t>
      </w:r>
      <w:r w:rsidR="0886DC8D">
        <w:t xml:space="preserve"> with the siting criteria. </w:t>
      </w:r>
    </w:p>
    <w:p w:rsidR="00E82726" w:rsidP="003B7ED7" w14:paraId="0917696B" w14:textId="79EA6285">
      <w:pPr>
        <w:pStyle w:val="ParaNum"/>
        <w:tabs>
          <w:tab w:val="clear" w:pos="1080"/>
        </w:tabs>
      </w:pPr>
      <w:r>
        <w:t>Fourth</w:t>
      </w:r>
      <w:r w:rsidR="619340B3">
        <w:t xml:space="preserve">, Verizon argues that </w:t>
      </w:r>
      <w:r w:rsidR="30DD7594">
        <w:t xml:space="preserve">the ITM is a statistical model that </w:t>
      </w:r>
      <w:r w:rsidR="2641AE5A">
        <w:t xml:space="preserve">fails to account for </w:t>
      </w:r>
      <w:r w:rsidR="402FFDD2">
        <w:t>shorter ranges within the first k</w:t>
      </w:r>
      <w:r w:rsidR="40BB5774">
        <w:t>ilometer</w:t>
      </w:r>
      <w:r w:rsidR="1F528377">
        <w:t xml:space="preserve"> because the ITM </w:t>
      </w:r>
      <w:r w:rsidR="33FC3B13">
        <w:t xml:space="preserve">was originally </w:t>
      </w:r>
      <w:r w:rsidR="1F528377">
        <w:t xml:space="preserve">designed to </w:t>
      </w:r>
      <w:r w:rsidR="30DD7594">
        <w:t>account for</w:t>
      </w:r>
      <w:r w:rsidR="344944D2">
        <w:t xml:space="preserve"> long-range terrain </w:t>
      </w:r>
      <w:r w:rsidR="33FC3B13">
        <w:t>effects</w:t>
      </w:r>
      <w:r w:rsidR="5385D2DE">
        <w:t xml:space="preserve"> over </w:t>
      </w:r>
      <w:r w:rsidR="27E8E44F">
        <w:t>one</w:t>
      </w:r>
      <w:r w:rsidR="5385D2DE">
        <w:t xml:space="preserve"> </w:t>
      </w:r>
      <w:r w:rsidR="27E8E44F">
        <w:t>kilometer</w:t>
      </w:r>
      <w:r w:rsidR="1F528377">
        <w:t xml:space="preserve"> and </w:t>
      </w:r>
      <w:r w:rsidR="27980204">
        <w:t>frequencies below 100</w:t>
      </w:r>
      <w:r w:rsidR="33FC3B13">
        <w:t>0</w:t>
      </w:r>
      <w:r w:rsidR="27980204">
        <w:t xml:space="preserve"> MHz</w:t>
      </w:r>
      <w:r w:rsidR="0E247165">
        <w:t>.</w:t>
      </w:r>
      <w:r>
        <w:rPr>
          <w:rStyle w:val="FootnoteReference"/>
        </w:rPr>
        <w:footnoteReference w:id="63"/>
      </w:r>
      <w:r w:rsidR="5791C47E">
        <w:t xml:space="preserve"> </w:t>
      </w:r>
      <w:r w:rsidR="00E7575B">
        <w:t xml:space="preserve"> </w:t>
      </w:r>
      <w:r w:rsidR="5791C47E">
        <w:t>Further, Verizon argues that</w:t>
      </w:r>
      <w:r w:rsidR="790AEB18">
        <w:t xml:space="preserve"> </w:t>
      </w:r>
      <w:r w:rsidR="24FB1E08">
        <w:t>the ITM does</w:t>
      </w:r>
      <w:r w:rsidR="70F5B098">
        <w:t xml:space="preserve"> not</w:t>
      </w:r>
      <w:r w:rsidR="24FB1E08">
        <w:t xml:space="preserve"> “use localized terrain and clutter data based on 2D or 3D mapping” </w:t>
      </w:r>
      <w:r w:rsidR="790AEB18">
        <w:t xml:space="preserve">and that </w:t>
      </w:r>
      <w:r w:rsidR="25A84A29">
        <w:t xml:space="preserve">Viasat </w:t>
      </w:r>
      <w:r w:rsidR="790AEB18">
        <w:t xml:space="preserve">should </w:t>
      </w:r>
      <w:r w:rsidR="5CD1425E">
        <w:t xml:space="preserve">have used a </w:t>
      </w:r>
      <w:r w:rsidR="10462234">
        <w:t xml:space="preserve">“widely acceptable and </w:t>
      </w:r>
      <w:r w:rsidR="35D619F8">
        <w:t>publicly available”</w:t>
      </w:r>
      <w:r>
        <w:rPr>
          <w:rStyle w:val="FootnoteReference"/>
        </w:rPr>
        <w:footnoteReference w:id="64"/>
      </w:r>
      <w:r w:rsidR="35D619F8">
        <w:t xml:space="preserve"> model like the ITU-R Rec. P. 452</w:t>
      </w:r>
      <w:r w:rsidR="3566B2AB">
        <w:t xml:space="preserve"> </w:t>
      </w:r>
      <w:r w:rsidR="35D619F8">
        <w:t xml:space="preserve">that </w:t>
      </w:r>
      <w:r w:rsidR="3DE39917">
        <w:t>account</w:t>
      </w:r>
      <w:r w:rsidR="07FC80FB">
        <w:t>s</w:t>
      </w:r>
      <w:r w:rsidR="3DE39917">
        <w:t xml:space="preserve"> for</w:t>
      </w:r>
      <w:r w:rsidR="5FE2DDAA">
        <w:t xml:space="preserve"> localized terrain and clutter</w:t>
      </w:r>
      <w:r w:rsidR="0441CF43">
        <w:t xml:space="preserve"> without </w:t>
      </w:r>
      <w:r w:rsidR="1CD3CF9C">
        <w:t>the use of NEXTMap data</w:t>
      </w:r>
      <w:r w:rsidR="5FE2DDAA">
        <w:t>.</w:t>
      </w:r>
      <w:r>
        <w:rPr>
          <w:rStyle w:val="FootnoteReference"/>
        </w:rPr>
        <w:footnoteReference w:id="65"/>
      </w:r>
      <w:r w:rsidR="005D10A4">
        <w:t xml:space="preserve"> </w:t>
      </w:r>
      <w:r w:rsidR="00E7575B">
        <w:t xml:space="preserve"> </w:t>
      </w:r>
      <w:r w:rsidR="0ECDB2AB">
        <w:t xml:space="preserve">In response, </w:t>
      </w:r>
      <w:r w:rsidR="19065347">
        <w:t xml:space="preserve">Viasat argues </w:t>
      </w:r>
      <w:r w:rsidR="28A882B8">
        <w:t xml:space="preserve">that </w:t>
      </w:r>
      <w:r w:rsidR="2AF50CE9">
        <w:t>it</w:t>
      </w:r>
      <w:r w:rsidR="3BE1E361">
        <w:t xml:space="preserve"> accounts for </w:t>
      </w:r>
      <w:r w:rsidR="43D54605">
        <w:t>loss within the first k</w:t>
      </w:r>
      <w:r w:rsidR="74213302">
        <w:t>ilometer</w:t>
      </w:r>
      <w:r w:rsidR="5418B6C6">
        <w:t xml:space="preserve"> </w:t>
      </w:r>
      <w:r w:rsidR="2AF50CE9">
        <w:t xml:space="preserve">by </w:t>
      </w:r>
      <w:r w:rsidR="36940EBA">
        <w:t xml:space="preserve">using the ITM model’s formulas in association with the NEXTMap </w:t>
      </w:r>
      <w:r w:rsidR="38F9ED8E">
        <w:t xml:space="preserve">terrain and clutter data </w:t>
      </w:r>
      <w:r w:rsidR="5ABABE6A">
        <w:t xml:space="preserve">starting at </w:t>
      </w:r>
      <w:r w:rsidR="38F9ED8E">
        <w:t>100</w:t>
      </w:r>
      <w:r w:rsidR="6F764984">
        <w:t xml:space="preserve"> meters</w:t>
      </w:r>
      <w:r w:rsidR="38F9ED8E">
        <w:t xml:space="preserve"> from the</w:t>
      </w:r>
      <w:r w:rsidR="6F764984">
        <w:t xml:space="preserve"> earth station </w:t>
      </w:r>
      <w:r w:rsidR="38F9ED8E">
        <w:t>sites.”</w:t>
      </w:r>
      <w:r>
        <w:rPr>
          <w:rStyle w:val="FootnoteReference"/>
        </w:rPr>
        <w:footnoteReference w:id="66"/>
      </w:r>
      <w:r w:rsidR="4879B105">
        <w:t xml:space="preserve"> </w:t>
      </w:r>
      <w:r w:rsidR="084E420A">
        <w:t xml:space="preserve"> </w:t>
      </w:r>
      <w:r w:rsidR="6C65EDDF">
        <w:t xml:space="preserve">Viasat also defends the </w:t>
      </w:r>
      <w:r w:rsidR="6C49FDD2">
        <w:t xml:space="preserve">use of the ITM at distance as low as 200 meters </w:t>
      </w:r>
      <w:r w:rsidR="7C8792D2">
        <w:t>by citing a doctoral thesi</w:t>
      </w:r>
      <w:r w:rsidR="5428E73D">
        <w:t>s</w:t>
      </w:r>
      <w:r w:rsidR="0DB2EE10">
        <w:t xml:space="preserve"> to support this point</w:t>
      </w:r>
      <w:r w:rsidR="002F6AB5">
        <w:t>.</w:t>
      </w:r>
      <w:r>
        <w:rPr>
          <w:rStyle w:val="FootnoteReference"/>
        </w:rPr>
        <w:footnoteReference w:id="67"/>
      </w:r>
    </w:p>
    <w:p w:rsidR="00B36ACE" w:rsidP="003B7ED7" w14:paraId="2493EA31" w14:textId="0A8C8262">
      <w:pPr>
        <w:pStyle w:val="ParaNum"/>
        <w:tabs>
          <w:tab w:val="clear" w:pos="1080"/>
          <w:tab w:val="num" w:pos="1440"/>
        </w:tabs>
      </w:pPr>
      <w:r>
        <w:t>We disagree with Verizon</w:t>
      </w:r>
      <w:r w:rsidR="1CEC20A2">
        <w:t>’s</w:t>
      </w:r>
      <w:r w:rsidR="4127F1FD">
        <w:t xml:space="preserve"> assertion</w:t>
      </w:r>
      <w:r w:rsidR="60E8A008">
        <w:t xml:space="preserve"> that </w:t>
      </w:r>
      <w:r w:rsidR="184CE9AA">
        <w:t xml:space="preserve">Viasat’s </w:t>
      </w:r>
      <w:r w:rsidR="17297FDE">
        <w:t>ITM does</w:t>
      </w:r>
      <w:r w:rsidR="770A0515">
        <w:t xml:space="preserve"> not</w:t>
      </w:r>
      <w:r w:rsidR="0139FEC6">
        <w:t xml:space="preserve"> </w:t>
      </w:r>
      <w:r w:rsidR="17297FDE">
        <w:t>account</w:t>
      </w:r>
      <w:r w:rsidR="0139FEC6">
        <w:t xml:space="preserve"> for sh</w:t>
      </w:r>
      <w:r w:rsidR="7BF82732">
        <w:t xml:space="preserve">orter ranges </w:t>
      </w:r>
      <w:r w:rsidR="1364F541">
        <w:t xml:space="preserve">within the first </w:t>
      </w:r>
      <w:r w:rsidR="21CF0F42">
        <w:t>kilometer</w:t>
      </w:r>
      <w:r w:rsidR="3C789943">
        <w:t>.</w:t>
      </w:r>
      <w:r>
        <w:rPr>
          <w:rStyle w:val="FootnoteReference"/>
        </w:rPr>
        <w:footnoteReference w:id="68"/>
      </w:r>
      <w:r w:rsidR="184CE9AA">
        <w:t xml:space="preserve"> </w:t>
      </w:r>
      <w:r w:rsidR="75BE9689">
        <w:t xml:space="preserve"> </w:t>
      </w:r>
      <w:r w:rsidR="3C789943">
        <w:t xml:space="preserve">We </w:t>
      </w:r>
      <w:r w:rsidR="1BDE724F">
        <w:t xml:space="preserve">find persuasive </w:t>
      </w:r>
      <w:r w:rsidR="1CEC20A2">
        <w:t>Viasat’s</w:t>
      </w:r>
      <w:r w:rsidR="5A8D8115">
        <w:t xml:space="preserve"> </w:t>
      </w:r>
      <w:r w:rsidR="54B4BF00">
        <w:t>use</w:t>
      </w:r>
      <w:r w:rsidR="3C789943">
        <w:t xml:space="preserve"> of</w:t>
      </w:r>
      <w:r w:rsidR="54B4BF00">
        <w:t xml:space="preserve"> </w:t>
      </w:r>
      <w:r w:rsidR="6F76DFB8">
        <w:t xml:space="preserve">NEXTMap </w:t>
      </w:r>
      <w:r w:rsidR="0F5A6B37">
        <w:t>data</w:t>
      </w:r>
      <w:r w:rsidR="703260DB">
        <w:t xml:space="preserve">, which provides elevation </w:t>
      </w:r>
      <w:r w:rsidR="7034EC01">
        <w:t>information</w:t>
      </w:r>
      <w:r w:rsidR="703260DB">
        <w:t xml:space="preserve">, </w:t>
      </w:r>
      <w:r w:rsidR="0F5A6B37">
        <w:t xml:space="preserve">in conjunction </w:t>
      </w:r>
      <w:r w:rsidR="138260A0">
        <w:t>with the ITM to account for shorter ranges.</w:t>
      </w:r>
      <w:r>
        <w:rPr>
          <w:rStyle w:val="FootnoteReference"/>
        </w:rPr>
        <w:footnoteReference w:id="69"/>
      </w:r>
      <w:r w:rsidR="6193C08D">
        <w:t xml:space="preserve"> </w:t>
      </w:r>
      <w:r w:rsidR="75BE9689">
        <w:t xml:space="preserve"> </w:t>
      </w:r>
      <w:r w:rsidR="2288AF0D">
        <w:t>V</w:t>
      </w:r>
      <w:r w:rsidRPr="008D5C03" w:rsidR="464EF153">
        <w:t>iasat has provided data to support knife edge</w:t>
      </w:r>
      <w:r w:rsidR="775FC6EE">
        <w:t xml:space="preserve"> modeling which </w:t>
      </w:r>
      <w:r w:rsidRPr="008D5C03" w:rsidR="464EF153">
        <w:t>takes the effect of the actual environment into account by using 3D vector building data</w:t>
      </w:r>
      <w:r w:rsidR="20184B08">
        <w:t xml:space="preserve"> </w:t>
      </w:r>
      <w:r w:rsidRPr="008D5C03" w:rsidR="464EF153">
        <w:t>plus terrain profile</w:t>
      </w:r>
      <w:r w:rsidR="3AAB9332">
        <w:t xml:space="preserve"> </w:t>
      </w:r>
      <w:r w:rsidRPr="002E7FF2" w:rsidR="464EF153">
        <w:t xml:space="preserve">diffraction loss to the ITM predicted loss (ITM path loss minus free space loss) for paths equal to or less than </w:t>
      </w:r>
      <w:r w:rsidR="5ECE0FC9">
        <w:t>one</w:t>
      </w:r>
      <w:r w:rsidRPr="002E7FF2" w:rsidR="464EF153">
        <w:t xml:space="preserve"> k</w:t>
      </w:r>
      <w:r w:rsidR="541FFA54">
        <w:t>ilometer</w:t>
      </w:r>
      <w:r w:rsidRPr="002E7FF2" w:rsidR="464EF153">
        <w:t>.</w:t>
      </w:r>
      <w:r>
        <w:rPr>
          <w:rStyle w:val="FootnoteReference"/>
        </w:rPr>
        <w:footnoteReference w:id="70"/>
      </w:r>
      <w:r w:rsidR="00706E53">
        <w:t xml:space="preserve"> </w:t>
      </w:r>
      <w:r w:rsidRPr="002E7FF2" w:rsidR="464EF153">
        <w:t xml:space="preserve"> In all but one case shown, the ITM model significantly underestimates the loss compared to the knife edge prediction.</w:t>
      </w:r>
      <w:r>
        <w:rPr>
          <w:rStyle w:val="FootnoteReference"/>
        </w:rPr>
        <w:footnoteReference w:id="71"/>
      </w:r>
      <w:r w:rsidRPr="002E7FF2" w:rsidR="464EF153">
        <w:t xml:space="preserve"> </w:t>
      </w:r>
      <w:r w:rsidR="75BE9689">
        <w:t xml:space="preserve"> </w:t>
      </w:r>
      <w:r w:rsidR="00D4378F">
        <w:t xml:space="preserve">Nothing in the Commission’s rule requires </w:t>
      </w:r>
      <w:r w:rsidR="5ECE0FC9">
        <w:t xml:space="preserve">that </w:t>
      </w:r>
      <w:r w:rsidR="7280D457">
        <w:t xml:space="preserve">applicants </w:t>
      </w:r>
      <w:r w:rsidR="00706E53">
        <w:t xml:space="preserve">use models </w:t>
      </w:r>
      <w:r w:rsidR="005D6419">
        <w:t xml:space="preserve">without </w:t>
      </w:r>
      <w:r w:rsidR="6E9440E6">
        <w:t xml:space="preserve">the aid of other resources like NEXTMap </w:t>
      </w:r>
      <w:r w:rsidR="6E9440E6">
        <w:t xml:space="preserve">to </w:t>
      </w:r>
      <w:r w:rsidR="259DBC93">
        <w:t>account for</w:t>
      </w:r>
      <w:r w:rsidR="10C39D6C">
        <w:t xml:space="preserve"> loss within the first </w:t>
      </w:r>
      <w:r w:rsidR="541FFA54">
        <w:t>kilometer</w:t>
      </w:r>
      <w:r w:rsidR="10C39D6C">
        <w:t>.</w:t>
      </w:r>
      <w:r w:rsidR="259DBC93">
        <w:t xml:space="preserve"> </w:t>
      </w:r>
    </w:p>
    <w:p w:rsidR="008415A9" w:rsidRPr="00954952" w:rsidP="003B7ED7" w14:paraId="298DDD5C" w14:textId="147BACF2">
      <w:pPr>
        <w:pStyle w:val="ParaNum"/>
        <w:tabs>
          <w:tab w:val="clear" w:pos="1080"/>
          <w:tab w:val="num" w:pos="1440"/>
        </w:tabs>
        <w:rPr>
          <w:rStyle w:val="normaltextrun"/>
        </w:rPr>
      </w:pPr>
      <w:r>
        <w:t>Based on our review of Viasat’s showing, we conclude that its proposed earth station complies with the criteria in section 25.136(a)(4) of the rules</w:t>
      </w:r>
      <w:r w:rsidR="00B736C4">
        <w:t>.  First, there are no other earth stations licensed in the 28 GHz band in Douglas County, Georgia, where Viasat’s proposed earth station</w:t>
      </w:r>
      <w:r w:rsidR="00C9724C">
        <w:t xml:space="preserve"> will be located</w:t>
      </w:r>
      <w:r w:rsidR="00B736C4">
        <w:t xml:space="preserve">.  Second, Viasat’s proposed </w:t>
      </w:r>
      <w:r w:rsidRPr="3FF2A4A7" w:rsidR="005F7BA3">
        <w:rPr>
          <w:rStyle w:val="normaltextrun"/>
          <w:color w:val="000000" w:themeColor="text1"/>
        </w:rPr>
        <w:t>-77.6 dBm/m</w:t>
      </w:r>
      <w:r w:rsidRPr="00D65BFD" w:rsidR="005F7BA3">
        <w:rPr>
          <w:rStyle w:val="normaltextrun"/>
          <w:color w:val="000000" w:themeColor="text1"/>
          <w:vertAlign w:val="superscript"/>
        </w:rPr>
        <w:t>2</w:t>
      </w:r>
      <w:r w:rsidRPr="3FF2A4A7" w:rsidR="005F7BA3">
        <w:rPr>
          <w:rStyle w:val="normaltextrun"/>
          <w:color w:val="000000" w:themeColor="text1"/>
        </w:rPr>
        <w:t xml:space="preserve">/MHz </w:t>
      </w:r>
      <w:r w:rsidR="005F7BA3">
        <w:rPr>
          <w:rStyle w:val="normaltextrun"/>
          <w:color w:val="000000" w:themeColor="text1"/>
        </w:rPr>
        <w:t>contour covers a population of only one person, which is well below the limit of 450 people.</w:t>
      </w:r>
      <w:r>
        <w:rPr>
          <w:rStyle w:val="FootnoteReference"/>
        </w:rPr>
        <w:footnoteReference w:id="72"/>
      </w:r>
      <w:r w:rsidR="005F7BA3">
        <w:rPr>
          <w:rStyle w:val="normaltextrun"/>
          <w:color w:val="000000" w:themeColor="text1"/>
        </w:rPr>
        <w:t xml:space="preserve">  Third, the area within </w:t>
      </w:r>
      <w:r w:rsidR="005F7BA3">
        <w:t xml:space="preserve">Viasat’s proposed </w:t>
      </w:r>
      <w:r w:rsidRPr="3FF2A4A7" w:rsidR="005F7BA3">
        <w:rPr>
          <w:rStyle w:val="normaltextrun"/>
          <w:color w:val="000000" w:themeColor="text1"/>
        </w:rPr>
        <w:t>-77.6 dBm/m</w:t>
      </w:r>
      <w:r w:rsidRPr="00D65BFD" w:rsidR="005F7BA3">
        <w:rPr>
          <w:rStyle w:val="normaltextrun"/>
          <w:color w:val="000000" w:themeColor="text1"/>
          <w:vertAlign w:val="superscript"/>
        </w:rPr>
        <w:t>2</w:t>
      </w:r>
      <w:r w:rsidRPr="3FF2A4A7" w:rsidR="005F7BA3">
        <w:rPr>
          <w:rStyle w:val="normaltextrun"/>
          <w:color w:val="000000" w:themeColor="text1"/>
        </w:rPr>
        <w:t xml:space="preserve">/MHz </w:t>
      </w:r>
      <w:r w:rsidR="005F7BA3">
        <w:rPr>
          <w:rStyle w:val="normaltextrun"/>
          <w:color w:val="000000" w:themeColor="text1"/>
        </w:rPr>
        <w:t xml:space="preserve">contour does not contain a </w:t>
      </w:r>
      <w:r w:rsidR="005F7BA3">
        <w:t>major event venue, urban mass transit route, passenger railroad, or cruise ship port, nor does it cross any of the types of roads listed in the rule.</w:t>
      </w:r>
      <w:r>
        <w:rPr>
          <w:rStyle w:val="FootnoteReference"/>
        </w:rPr>
        <w:footnoteReference w:id="73"/>
      </w:r>
      <w:r w:rsidR="00DC4955">
        <w:t xml:space="preserve">  Finally, Viasat has coordinated with the relevant UMFUS licensees.</w:t>
      </w:r>
      <w:r>
        <w:rPr>
          <w:rStyle w:val="FootnoteReference"/>
        </w:rPr>
        <w:footnoteReference w:id="74"/>
      </w:r>
      <w:r w:rsidR="00F44E30">
        <w:t xml:space="preserve">  Accordingly, Viasat will be authorized to operate without providing interference protection to UMFUS </w:t>
      </w:r>
      <w:hyperlink r:id="rId5" w:history="1">
        <w:r w:rsidRPr="00F826E2" w:rsidR="00F44E30">
          <w:rPr>
            <w:rStyle w:val="Hyperlink"/>
            <w:color w:val="auto"/>
            <w:u w:val="none"/>
          </w:rPr>
          <w:t>stations</w:t>
        </w:r>
      </w:hyperlink>
      <w:r w:rsidRPr="00F826E2" w:rsidR="00F44E30">
        <w:t xml:space="preserve"> </w:t>
      </w:r>
      <w:r w:rsidR="00F44E30">
        <w:t xml:space="preserve">within Viasat’s </w:t>
      </w:r>
      <w:r w:rsidRPr="3FF2A4A7" w:rsidR="00F44E30">
        <w:rPr>
          <w:rStyle w:val="normaltextrun"/>
          <w:color w:val="000000" w:themeColor="text1"/>
        </w:rPr>
        <w:t>-77.6 dBm/m</w:t>
      </w:r>
      <w:r w:rsidRPr="00D65BFD" w:rsidR="00F44E30">
        <w:rPr>
          <w:rStyle w:val="normaltextrun"/>
          <w:color w:val="000000" w:themeColor="text1"/>
          <w:vertAlign w:val="superscript"/>
        </w:rPr>
        <w:t>2</w:t>
      </w:r>
      <w:r w:rsidRPr="3FF2A4A7" w:rsidR="00F44E30">
        <w:rPr>
          <w:rStyle w:val="normaltextrun"/>
          <w:color w:val="000000" w:themeColor="text1"/>
        </w:rPr>
        <w:t xml:space="preserve">/MHz </w:t>
      </w:r>
      <w:r w:rsidR="00F44E30">
        <w:rPr>
          <w:rStyle w:val="normaltextrun"/>
          <w:color w:val="000000" w:themeColor="text1"/>
        </w:rPr>
        <w:t>contour.</w:t>
      </w:r>
    </w:p>
    <w:p w:rsidR="00B17C4B" w:rsidRPr="00F44220" w:rsidP="007C2EBD" w14:paraId="0E3D38FB" w14:textId="5ADE026A">
      <w:pPr>
        <w:pStyle w:val="ParaNum"/>
        <w:tabs>
          <w:tab w:val="clear" w:pos="1080"/>
          <w:tab w:val="num" w:pos="1440"/>
        </w:tabs>
        <w:rPr>
          <w:b/>
        </w:rPr>
      </w:pPr>
      <w:r>
        <w:t xml:space="preserve">Finally, </w:t>
      </w:r>
      <w:r w:rsidRPr="2A618142">
        <w:t>Viasat</w:t>
      </w:r>
      <w:r>
        <w:t xml:space="preserve"> has </w:t>
      </w:r>
      <w:r w:rsidRPr="2A618142">
        <w:t>request</w:t>
      </w:r>
      <w:r>
        <w:t>ed</w:t>
      </w:r>
      <w:r w:rsidRPr="2A618142">
        <w:t xml:space="preserve"> a waiver of section 2.106 of the U.S. Table of Frequency Allocations</w:t>
      </w:r>
      <w:r w:rsidR="00267FF3">
        <w:t xml:space="preserve"> (U.S. Table)</w:t>
      </w:r>
      <w:r w:rsidRPr="2A618142">
        <w:t>, 47 CFR</w:t>
      </w:r>
      <w:r w:rsidR="008743B6">
        <w:t xml:space="preserve"> §</w:t>
      </w:r>
      <w:r w:rsidRPr="2A618142">
        <w:t xml:space="preserve"> 2.106, to permit </w:t>
      </w:r>
      <w:r w:rsidR="0025727C">
        <w:t xml:space="preserve">space-to-earth </w:t>
      </w:r>
      <w:r w:rsidRPr="2A618142">
        <w:t xml:space="preserve">operations in the 17.7-17.8 GHz band. </w:t>
      </w:r>
      <w:r>
        <w:t xml:space="preserve"> Viasat notes that the Commission granted a similar waiver in authorizing Via</w:t>
      </w:r>
      <w:r w:rsidR="008A31AC">
        <w:t>s</w:t>
      </w:r>
      <w:r>
        <w:t>at-3 after Viasat demonstrated that the ViaSat-3 downlinks at 17.7-17.8 GHz would not cause harmful interference into primary fixed service operations or neighboring B</w:t>
      </w:r>
      <w:r w:rsidR="00A63E33">
        <w:t xml:space="preserve">roadcast </w:t>
      </w:r>
      <w:r>
        <w:t>S</w:t>
      </w:r>
      <w:r w:rsidR="00A63E33">
        <w:t xml:space="preserve">atellite </w:t>
      </w:r>
      <w:r>
        <w:t>S</w:t>
      </w:r>
      <w:r w:rsidR="00A63E33">
        <w:t>ervice</w:t>
      </w:r>
      <w:r>
        <w:t xml:space="preserve"> spacecraft. </w:t>
      </w:r>
      <w:r w:rsidR="00EF1A70">
        <w:t xml:space="preserve"> </w:t>
      </w:r>
      <w:r w:rsidR="00A66ABB">
        <w:t>Viasat asserts that t</w:t>
      </w:r>
      <w:r>
        <w:t xml:space="preserve">here is good cause for a corresponding waiver to allow the earth station at issue here to receive those same downlinks, as such waiver would have no impact on the authorized </w:t>
      </w:r>
      <w:r w:rsidR="00A66ABB">
        <w:t>radiofrequency</w:t>
      </w:r>
      <w:r>
        <w:t xml:space="preserve"> environment and otherwise would be consistent with the Commission’s prior decision.</w:t>
      </w:r>
      <w:r>
        <w:rPr>
          <w:rStyle w:val="FootnoteReference"/>
        </w:rPr>
        <w:footnoteReference w:id="75"/>
      </w:r>
      <w:r>
        <w:t xml:space="preserve"> </w:t>
      </w:r>
    </w:p>
    <w:p w:rsidR="00954952" w:rsidRPr="00A30EE7" w:rsidP="00A30EE7" w14:paraId="426A6D18" w14:textId="6B805563">
      <w:pPr>
        <w:pStyle w:val="ParaNum"/>
        <w:tabs>
          <w:tab w:val="clear" w:pos="1080"/>
          <w:tab w:val="num" w:pos="1440"/>
        </w:tabs>
        <w:rPr>
          <w:szCs w:val="22"/>
        </w:rPr>
      </w:pPr>
      <w:r>
        <w:rPr>
          <w:szCs w:val="22"/>
        </w:rPr>
        <w:t xml:space="preserve">The Commission recently </w:t>
      </w:r>
      <w:r w:rsidR="001A1578">
        <w:rPr>
          <w:szCs w:val="22"/>
        </w:rPr>
        <w:t>adopted a Report and Order that</w:t>
      </w:r>
      <w:r w:rsidR="003178CB">
        <w:rPr>
          <w:szCs w:val="22"/>
        </w:rPr>
        <w:t>,</w:t>
      </w:r>
      <w:r w:rsidR="001A1578">
        <w:rPr>
          <w:szCs w:val="22"/>
        </w:rPr>
        <w:t xml:space="preserve"> among </w:t>
      </w:r>
      <w:r w:rsidR="003178CB">
        <w:rPr>
          <w:szCs w:val="22"/>
        </w:rPr>
        <w:t xml:space="preserve">other </w:t>
      </w:r>
      <w:r w:rsidR="001A1578">
        <w:rPr>
          <w:szCs w:val="22"/>
        </w:rPr>
        <w:t>things</w:t>
      </w:r>
      <w:r w:rsidR="0002549E">
        <w:rPr>
          <w:szCs w:val="22"/>
        </w:rPr>
        <w:t>,</w:t>
      </w:r>
      <w:r w:rsidR="00D81C47">
        <w:rPr>
          <w:szCs w:val="22"/>
        </w:rPr>
        <w:t xml:space="preserve"> made</w:t>
      </w:r>
      <w:r w:rsidR="0002549E">
        <w:rPr>
          <w:szCs w:val="22"/>
        </w:rPr>
        <w:t xml:space="preserve"> </w:t>
      </w:r>
      <w:r w:rsidR="001A7798">
        <w:rPr>
          <w:szCs w:val="22"/>
        </w:rPr>
        <w:t>changes to the U.S. Table</w:t>
      </w:r>
      <w:r w:rsidR="009B1883">
        <w:rPr>
          <w:szCs w:val="22"/>
        </w:rPr>
        <w:t xml:space="preserve"> </w:t>
      </w:r>
      <w:r w:rsidR="001A7798">
        <w:rPr>
          <w:szCs w:val="22"/>
        </w:rPr>
        <w:t xml:space="preserve">to </w:t>
      </w:r>
      <w:r w:rsidR="00B37DEF">
        <w:rPr>
          <w:szCs w:val="22"/>
        </w:rPr>
        <w:t>add a co-primary allocation for FSS</w:t>
      </w:r>
      <w:r w:rsidR="00232D95">
        <w:rPr>
          <w:szCs w:val="22"/>
        </w:rPr>
        <w:t xml:space="preserve"> in the </w:t>
      </w:r>
      <w:r w:rsidR="00957C62">
        <w:rPr>
          <w:szCs w:val="22"/>
        </w:rPr>
        <w:t xml:space="preserve">space-to-Earth </w:t>
      </w:r>
      <w:r w:rsidR="00232D95">
        <w:rPr>
          <w:szCs w:val="22"/>
        </w:rPr>
        <w:t xml:space="preserve">direction to </w:t>
      </w:r>
      <w:r w:rsidR="003545B4">
        <w:rPr>
          <w:szCs w:val="22"/>
        </w:rPr>
        <w:t xml:space="preserve">allow limited GSO FSS </w:t>
      </w:r>
      <w:r w:rsidR="0092226A">
        <w:rPr>
          <w:szCs w:val="22"/>
        </w:rPr>
        <w:t>downlink use</w:t>
      </w:r>
      <w:r w:rsidR="00232D95">
        <w:rPr>
          <w:szCs w:val="22"/>
        </w:rPr>
        <w:t>.</w:t>
      </w:r>
      <w:r>
        <w:rPr>
          <w:rStyle w:val="FootnoteReference"/>
          <w:szCs w:val="22"/>
        </w:rPr>
        <w:footnoteReference w:id="76"/>
      </w:r>
      <w:r w:rsidR="009B1883">
        <w:rPr>
          <w:szCs w:val="22"/>
        </w:rPr>
        <w:t xml:space="preserve">  </w:t>
      </w:r>
      <w:r w:rsidR="00C20B7C">
        <w:rPr>
          <w:szCs w:val="22"/>
        </w:rPr>
        <w:t>Th</w:t>
      </w:r>
      <w:r w:rsidR="00C91F7E">
        <w:rPr>
          <w:szCs w:val="22"/>
        </w:rPr>
        <w:t>ese rule changes are not yet in effect</w:t>
      </w:r>
      <w:r w:rsidR="00A6451C">
        <w:rPr>
          <w:szCs w:val="22"/>
        </w:rPr>
        <w:t xml:space="preserve">, </w:t>
      </w:r>
      <w:r w:rsidR="00D967CA">
        <w:rPr>
          <w:szCs w:val="22"/>
        </w:rPr>
        <w:t xml:space="preserve">so </w:t>
      </w:r>
      <w:r w:rsidR="008A1F61">
        <w:rPr>
          <w:szCs w:val="22"/>
        </w:rPr>
        <w:t xml:space="preserve">we </w:t>
      </w:r>
      <w:r w:rsidR="003178CB">
        <w:rPr>
          <w:szCs w:val="22"/>
        </w:rPr>
        <w:t xml:space="preserve">address below </w:t>
      </w:r>
      <w:r w:rsidR="004E620E">
        <w:rPr>
          <w:szCs w:val="22"/>
        </w:rPr>
        <w:t xml:space="preserve">Viasat’s </w:t>
      </w:r>
      <w:r w:rsidR="00267FF3">
        <w:rPr>
          <w:szCs w:val="22"/>
        </w:rPr>
        <w:t xml:space="preserve">request for </w:t>
      </w:r>
      <w:r w:rsidR="004E620E">
        <w:rPr>
          <w:szCs w:val="22"/>
        </w:rPr>
        <w:t>waiver</w:t>
      </w:r>
      <w:r w:rsidR="00267FF3">
        <w:rPr>
          <w:szCs w:val="22"/>
        </w:rPr>
        <w:t xml:space="preserve"> of the U.S. Table</w:t>
      </w:r>
      <w:r w:rsidR="00B61E4B">
        <w:rPr>
          <w:szCs w:val="22"/>
        </w:rPr>
        <w:t xml:space="preserve">.  </w:t>
      </w:r>
      <w:r w:rsidRPr="00304723" w:rsidR="002401D4">
        <w:rPr>
          <w:szCs w:val="22"/>
        </w:rPr>
        <w:t>A waiver is appropriate if both (1) special circumstances warrant a deviation from the general rule, and (2) such deviation better serves the public interest.</w:t>
      </w:r>
      <w:r>
        <w:rPr>
          <w:rStyle w:val="FootnoteReference"/>
          <w:szCs w:val="22"/>
        </w:rPr>
        <w:footnoteReference w:id="77"/>
      </w:r>
      <w:r w:rsidRPr="00304723" w:rsidR="002401D4">
        <w:rPr>
          <w:szCs w:val="22"/>
        </w:rPr>
        <w:t xml:space="preserve">  Generally, the Commission may waive any rule if there is good cause to do so</w:t>
      </w:r>
      <w:r>
        <w:rPr>
          <w:rStyle w:val="FootnoteReference"/>
          <w:szCs w:val="22"/>
        </w:rPr>
        <w:footnoteReference w:id="78"/>
      </w:r>
      <w:r w:rsidRPr="00304723" w:rsidR="002401D4">
        <w:rPr>
          <w:szCs w:val="22"/>
        </w:rPr>
        <w:t xml:space="preserve"> and, in making this determination, may take into account considerations such as hardship, equity, or more effective implementation of overall policy on an individual basis.</w:t>
      </w:r>
      <w:r>
        <w:rPr>
          <w:rStyle w:val="FootnoteReference"/>
          <w:szCs w:val="22"/>
        </w:rPr>
        <w:footnoteReference w:id="79"/>
      </w:r>
      <w:r w:rsidRPr="00304723" w:rsidR="002401D4">
        <w:rPr>
          <w:szCs w:val="22"/>
        </w:rPr>
        <w:t xml:space="preserve"> </w:t>
      </w:r>
      <w:r w:rsidR="002401D4">
        <w:rPr>
          <w:szCs w:val="22"/>
        </w:rPr>
        <w:t xml:space="preserve"> </w:t>
      </w:r>
      <w:r w:rsidRPr="009218DF" w:rsidR="00812178">
        <w:rPr>
          <w:szCs w:val="22"/>
        </w:rPr>
        <w:t xml:space="preserve">We find that there are special circumstances that warrant grant of </w:t>
      </w:r>
      <w:r w:rsidR="00812178">
        <w:rPr>
          <w:szCs w:val="22"/>
        </w:rPr>
        <w:t>Viasat’s</w:t>
      </w:r>
      <w:r w:rsidRPr="009218DF" w:rsidR="00812178">
        <w:rPr>
          <w:szCs w:val="22"/>
        </w:rPr>
        <w:t xml:space="preserve"> </w:t>
      </w:r>
      <w:r w:rsidRPr="009218DF" w:rsidR="00812178">
        <w:rPr>
          <w:szCs w:val="22"/>
        </w:rPr>
        <w:t xml:space="preserve">waiver request to receive signals in the </w:t>
      </w:r>
      <w:r w:rsidR="00812178">
        <w:t>17.7-17.8</w:t>
      </w:r>
      <w:r w:rsidRPr="009218DF" w:rsidR="00812178">
        <w:rPr>
          <w:szCs w:val="22"/>
        </w:rPr>
        <w:t xml:space="preserve"> GHz band, and that deviation from the Table of Allocations better serves the public interest in this case.  </w:t>
      </w:r>
      <w:r w:rsidR="00BA7533">
        <w:rPr>
          <w:szCs w:val="22"/>
        </w:rPr>
        <w:t>Consistent with</w:t>
      </w:r>
      <w:r w:rsidR="008A31AC">
        <w:rPr>
          <w:szCs w:val="22"/>
        </w:rPr>
        <w:t xml:space="preserve"> our finding that </w:t>
      </w:r>
      <w:r w:rsidR="00477665">
        <w:rPr>
          <w:szCs w:val="22"/>
        </w:rPr>
        <w:t xml:space="preserve">Viasat has demonstrated that </w:t>
      </w:r>
      <w:r w:rsidR="008A31AC">
        <w:rPr>
          <w:szCs w:val="22"/>
        </w:rPr>
        <w:t>Viasat-3</w:t>
      </w:r>
      <w:r w:rsidR="00477665">
        <w:rPr>
          <w:szCs w:val="22"/>
        </w:rPr>
        <w:t xml:space="preserve"> would not cause harmful interference into</w:t>
      </w:r>
      <w:r w:rsidR="00BA7533">
        <w:rPr>
          <w:szCs w:val="22"/>
        </w:rPr>
        <w:t xml:space="preserve"> the band, we permit </w:t>
      </w:r>
      <w:r w:rsidR="00EC5FDB">
        <w:rPr>
          <w:szCs w:val="22"/>
        </w:rPr>
        <w:t>this earth station to receive those same downlinks</w:t>
      </w:r>
      <w:r w:rsidR="001B2407">
        <w:rPr>
          <w:szCs w:val="22"/>
        </w:rPr>
        <w:t>, and</w:t>
      </w:r>
      <w:r w:rsidR="006C34D7">
        <w:rPr>
          <w:szCs w:val="22"/>
        </w:rPr>
        <w:t xml:space="preserve"> consistent with</w:t>
      </w:r>
      <w:r w:rsidR="001B2407">
        <w:rPr>
          <w:szCs w:val="22"/>
        </w:rPr>
        <w:t xml:space="preserve"> the Commission’s recent decision in the </w:t>
      </w:r>
      <w:r w:rsidRPr="00666131" w:rsidR="001B2407">
        <w:rPr>
          <w:i/>
          <w:iCs/>
          <w:szCs w:val="22"/>
        </w:rPr>
        <w:t>17 GHz Proceeding</w:t>
      </w:r>
      <w:r w:rsidR="00EC5FDB">
        <w:rPr>
          <w:szCs w:val="22"/>
        </w:rPr>
        <w:t>.</w:t>
      </w:r>
      <w:r w:rsidR="008A31AC">
        <w:rPr>
          <w:szCs w:val="22"/>
        </w:rPr>
        <w:t xml:space="preserve">  </w:t>
      </w:r>
      <w:r w:rsidRPr="2A618142">
        <w:t>Operations in this band are on an unprotected, non-harmful interference basis, that is, they must not cause harmful interference to any authorized users, nor can they claim protection from harmful interference caused by any authorized users</w:t>
      </w:r>
      <w:r w:rsidR="00BA7533">
        <w:t>.</w:t>
      </w:r>
    </w:p>
    <w:p w:rsidR="00460ED6" w:rsidRPr="00590654" w:rsidP="00865596" w14:paraId="047FDC69" w14:textId="121F49E6">
      <w:pPr>
        <w:pStyle w:val="Heading1"/>
      </w:pPr>
      <w:r>
        <w:rPr>
          <w:rFonts w:cstheme="minorHAnsi"/>
        </w:rPr>
        <w:t>C</w:t>
      </w:r>
      <w:r w:rsidRPr="00590654">
        <w:t>ONCLUSION</w:t>
      </w:r>
    </w:p>
    <w:p w:rsidR="001F37C1" w:rsidP="003B7ED7" w14:paraId="6DD113D5" w14:textId="43CAE82E">
      <w:pPr>
        <w:pStyle w:val="ParaNum"/>
        <w:tabs>
          <w:tab w:val="clear" w:pos="1080"/>
          <w:tab w:val="num" w:pos="1440"/>
        </w:tabs>
      </w:pPr>
      <w:bookmarkStart w:id="2" w:name="_Hlk101376643"/>
      <w:r>
        <w:t xml:space="preserve">We </w:t>
      </w:r>
      <w:r w:rsidR="66FBA0E4">
        <w:t>conclude</w:t>
      </w:r>
      <w:r>
        <w:t xml:space="preserve"> that Viasat’s use of the ITM </w:t>
      </w:r>
      <w:r w:rsidR="2A23E6C7">
        <w:t xml:space="preserve">to model its PFD contour </w:t>
      </w:r>
      <w:r w:rsidR="41DB76F8">
        <w:t xml:space="preserve">complies </w:t>
      </w:r>
      <w:r>
        <w:t>with section 25.136</w:t>
      </w:r>
      <w:r w:rsidR="122E1B91">
        <w:t>.</w:t>
      </w:r>
      <w:r w:rsidR="009F1967">
        <w:t xml:space="preserve">  Accordingly, we grant </w:t>
      </w:r>
      <w:r w:rsidR="009F1967">
        <w:t>the</w:t>
      </w:r>
      <w:r w:rsidR="009F1967">
        <w:t xml:space="preserve"> </w:t>
      </w:r>
      <w:r w:rsidRPr="093AB727" w:rsidR="009F1967">
        <w:t xml:space="preserve">FSS </w:t>
      </w:r>
      <w:r w:rsidR="009F1967">
        <w:t>earth station license application</w:t>
      </w:r>
      <w:r w:rsidR="009F1967">
        <w:t xml:space="preserve"> of</w:t>
      </w:r>
      <w:r w:rsidR="009F1967">
        <w:t xml:space="preserve"> Viasat to operate an earth station in Douglasville, Georgia to communicate with its Viasat 3 system.  We also grant Viasat’s request</w:t>
      </w:r>
      <w:r w:rsidRPr="093AB727" w:rsidR="009F1967">
        <w:t xml:space="preserve"> to operate</w:t>
      </w:r>
      <w:r w:rsidR="009F1967">
        <w:t xml:space="preserve"> this</w:t>
      </w:r>
      <w:r w:rsidRPr="093AB727" w:rsidR="009F1967">
        <w:t xml:space="preserve"> earth station in the 27.5-28.35 GHz </w:t>
      </w:r>
      <w:r w:rsidR="009F1967">
        <w:t xml:space="preserve">frequency </w:t>
      </w:r>
      <w:r w:rsidRPr="093AB727" w:rsidR="009F1967">
        <w:t>band on a co-primary basis</w:t>
      </w:r>
      <w:r w:rsidR="009F1967">
        <w:t xml:space="preserve"> with terrestrial UMFUS operations, and deny Verizon’s Petition in opposition.</w:t>
      </w:r>
      <w:r w:rsidR="122E1B91">
        <w:t xml:space="preserve"> </w:t>
      </w:r>
      <w:r w:rsidR="006830C0">
        <w:t xml:space="preserve"> Finally, we grant Viasat’s request for a waiver </w:t>
      </w:r>
      <w:r w:rsidRPr="2A618142" w:rsidR="006830C0">
        <w:t>of section 2.106 of the U.S. Table of Frequency Allocations, 47 CFR</w:t>
      </w:r>
      <w:r w:rsidR="008743B6">
        <w:t xml:space="preserve"> § </w:t>
      </w:r>
      <w:r w:rsidRPr="2A618142" w:rsidR="006830C0">
        <w:t>2.106, to permit operations in the 17.7-17.8 GHz band</w:t>
      </w:r>
      <w:r w:rsidR="006830C0">
        <w:t xml:space="preserve"> </w:t>
      </w:r>
      <w:r w:rsidRPr="2A618142" w:rsidR="006830C0">
        <w:t>unprotected, non-harmful interference basis</w:t>
      </w:r>
      <w:r w:rsidR="006830C0">
        <w:t>.</w:t>
      </w:r>
    </w:p>
    <w:p w:rsidR="00096C34" w:rsidRPr="001B7603" w:rsidP="00EE51CE" w14:paraId="024C2069" w14:textId="43D6FE94">
      <w:pPr>
        <w:pStyle w:val="Heading1"/>
        <w:rPr>
          <w:b w:val="0"/>
          <w:bCs/>
          <w:szCs w:val="22"/>
        </w:rPr>
      </w:pPr>
      <w:r w:rsidRPr="001B7603">
        <w:rPr>
          <w:bCs/>
        </w:rPr>
        <w:t>ORDERING CLAUSES</w:t>
      </w:r>
    </w:p>
    <w:p w:rsidR="00F67809" w:rsidP="00FC68BB" w14:paraId="34F475C5" w14:textId="0C4D61A5">
      <w:pPr>
        <w:pStyle w:val="ParaNum"/>
        <w:tabs>
          <w:tab w:val="clear" w:pos="1080"/>
          <w:tab w:val="num" w:pos="1440"/>
        </w:tabs>
      </w:pPr>
      <w:r>
        <w:t>Accordingly, IT IS ORDERED that, pursuant to the authority contained in</w:t>
      </w:r>
      <w:r w:rsidR="1EEDCE18">
        <w:t xml:space="preserve"> sections 0.51 and 0.261 of the Commission's rules, 47 CFR §§ 0.51 and 0.261, and </w:t>
      </w:r>
      <w:r w:rsidR="002D08F9">
        <w:t>s</w:t>
      </w:r>
      <w:r w:rsidR="1EEDCE18">
        <w:t>ections 4(i), 301, 303(r), 308, and 310 of the Communications Act, as amended, 47 U.S.C. §§ 154(i), 301, 303(r), 308, 309, and 310, subject to the requirements and conditions set forth below,</w:t>
      </w:r>
      <w:r w:rsidR="73413DF2">
        <w:t xml:space="preserve"> the </w:t>
      </w:r>
      <w:r w:rsidR="1B4B018D">
        <w:t>Application filed by Viasat, Inc. is GRANTED.</w:t>
      </w:r>
    </w:p>
    <w:p w:rsidR="00F35581" w:rsidP="00FC68BB" w14:paraId="23AA650A" w14:textId="1534B826">
      <w:pPr>
        <w:pStyle w:val="ParaNum"/>
        <w:tabs>
          <w:tab w:val="clear" w:pos="1080"/>
          <w:tab w:val="num" w:pos="1440"/>
        </w:tabs>
      </w:pPr>
      <w:r>
        <w:t xml:space="preserve">IT IS FURTHER ORDERED that the Petition filed by Verizon </w:t>
      </w:r>
      <w:r w:rsidR="00666131">
        <w:t>is</w:t>
      </w:r>
      <w:r>
        <w:t xml:space="preserve"> DENIED.</w:t>
      </w:r>
    </w:p>
    <w:p w:rsidR="00F67809" w:rsidP="00A510A0" w14:paraId="47C7691D" w14:textId="26E7A407">
      <w:pPr>
        <w:pStyle w:val="ParaNum"/>
        <w:tabs>
          <w:tab w:val="clear" w:pos="1080"/>
          <w:tab w:val="num" w:pos="1440"/>
        </w:tabs>
      </w:pPr>
      <w:r>
        <w:t>IT IS FURTHER ORDERED that Viasat’s authorization is subject to the following requirements and conditions:</w:t>
      </w:r>
    </w:p>
    <w:p w:rsidR="001F0C70" w:rsidRPr="001F0C70" w:rsidP="02223A43" w14:paraId="452D7045" w14:textId="3558AA35">
      <w:pPr>
        <w:pStyle w:val="Heading4"/>
        <w:numPr>
          <w:ilvl w:val="0"/>
          <w:numId w:val="22"/>
        </w:numPr>
        <w:ind w:left="1800"/>
        <w:rPr>
          <w:rStyle w:val="eop"/>
          <w:b w:val="0"/>
        </w:rPr>
      </w:pPr>
      <w:r w:rsidRPr="02223A43">
        <w:rPr>
          <w:rStyle w:val="normaltextrun"/>
          <w:b w:val="0"/>
          <w:color w:val="000000" w:themeColor="text1"/>
        </w:rPr>
        <w:t xml:space="preserve">Licensee must ensure that a current listing of the name, title, mailing address, email address, and telephone number of the responsible point of contact are on file at the FCC. Any changes must be filed electronically in the International </w:t>
      </w:r>
      <w:r w:rsidRPr="02223A43" w:rsidR="5ED3C7F3">
        <w:rPr>
          <w:rStyle w:val="normaltextrun"/>
          <w:b w:val="0"/>
          <w:color w:val="000000" w:themeColor="text1"/>
        </w:rPr>
        <w:t xml:space="preserve">Communications </w:t>
      </w:r>
      <w:r w:rsidRPr="02223A43" w:rsidR="6369F069">
        <w:rPr>
          <w:rStyle w:val="normaltextrun"/>
          <w:b w:val="0"/>
          <w:color w:val="000000" w:themeColor="text1"/>
        </w:rPr>
        <w:t>F</w:t>
      </w:r>
      <w:r w:rsidRPr="02223A43">
        <w:rPr>
          <w:rStyle w:val="normaltextrun"/>
          <w:b w:val="0"/>
          <w:color w:val="000000" w:themeColor="text1"/>
        </w:rPr>
        <w:t>iling System using the "Pleadings and Comments" link on the </w:t>
      </w:r>
      <w:r w:rsidRPr="02223A43">
        <w:rPr>
          <w:rStyle w:val="spellingerror"/>
          <w:b w:val="0"/>
          <w:color w:val="000000" w:themeColor="text1"/>
        </w:rPr>
        <w:t>MyI</w:t>
      </w:r>
      <w:r w:rsidRPr="02223A43" w:rsidR="7D622D1C">
        <w:rPr>
          <w:rStyle w:val="spellingerror"/>
          <w:b w:val="0"/>
          <w:color w:val="000000" w:themeColor="text1"/>
        </w:rPr>
        <w:t>C</w:t>
      </w:r>
      <w:r w:rsidRPr="02223A43">
        <w:rPr>
          <w:rStyle w:val="spellingerror"/>
          <w:b w:val="0"/>
          <w:color w:val="000000" w:themeColor="text1"/>
        </w:rPr>
        <w:t>FS</w:t>
      </w:r>
      <w:r w:rsidRPr="02223A43">
        <w:rPr>
          <w:rStyle w:val="normaltextrun"/>
          <w:b w:val="0"/>
          <w:color w:val="000000" w:themeColor="text1"/>
        </w:rPr>
        <w:t> homepage within 10 days of the change. </w:t>
      </w:r>
      <w:r w:rsidRPr="02223A43">
        <w:rPr>
          <w:rStyle w:val="eop"/>
          <w:b w:val="0"/>
          <w:color w:val="000000" w:themeColor="text1"/>
        </w:rPr>
        <w:t> </w:t>
      </w:r>
    </w:p>
    <w:p w:rsidR="00A510A0" w:rsidRPr="001F0C70" w:rsidP="001F0C70" w14:paraId="34340998" w14:textId="18CB2A96">
      <w:pPr>
        <w:pStyle w:val="Heading4"/>
        <w:numPr>
          <w:ilvl w:val="0"/>
          <w:numId w:val="22"/>
        </w:numPr>
        <w:ind w:left="1800"/>
        <w:rPr>
          <w:b w:val="0"/>
          <w:bCs/>
        </w:rPr>
      </w:pPr>
      <w:r w:rsidRPr="001F0C70">
        <w:rPr>
          <w:rStyle w:val="normaltextrun"/>
          <w:b w:val="0"/>
          <w:bCs/>
          <w:color w:val="000000"/>
          <w:szCs w:val="22"/>
        </w:rPr>
        <w:t>Licensee must comply with the license modification and notification requirements of 47 CFR § 25.118 to change the coordinates of its authorized earth station. </w:t>
      </w:r>
      <w:r w:rsidRPr="001F0C70">
        <w:rPr>
          <w:rStyle w:val="eop"/>
          <w:b w:val="0"/>
          <w:bCs/>
          <w:color w:val="000000"/>
          <w:szCs w:val="22"/>
        </w:rPr>
        <w:t> </w:t>
      </w:r>
    </w:p>
    <w:p w:rsidR="00A510A0" w:rsidRPr="00DC5433" w:rsidP="001F0C70" w14:paraId="09E207DA" w14:textId="77777777">
      <w:pPr>
        <w:pStyle w:val="Heading4"/>
        <w:numPr>
          <w:ilvl w:val="0"/>
          <w:numId w:val="22"/>
        </w:numPr>
        <w:ind w:left="1800"/>
        <w:rPr>
          <w:b w:val="0"/>
          <w:bCs/>
        </w:rPr>
      </w:pPr>
      <w:r w:rsidRPr="001F0C70">
        <w:rPr>
          <w:rStyle w:val="normaltextrun"/>
          <w:b w:val="0"/>
          <w:bCs/>
          <w:color w:val="000000"/>
          <w:szCs w:val="22"/>
        </w:rPr>
        <w:t>Licensee must notify the Commission when all earth stations operating under this authorization are no longer operational or when they have not been used to</w:t>
      </w:r>
      <w:r w:rsidRPr="000D5429">
        <w:rPr>
          <w:rStyle w:val="normaltextrun"/>
          <w:color w:val="000000"/>
          <w:szCs w:val="22"/>
        </w:rPr>
        <w:t xml:space="preserve"> </w:t>
      </w:r>
      <w:r w:rsidRPr="009A236F">
        <w:rPr>
          <w:rStyle w:val="normaltextrun"/>
          <w:b w:val="0"/>
          <w:bCs/>
          <w:color w:val="000000"/>
          <w:szCs w:val="22"/>
        </w:rPr>
        <w:t xml:space="preserve">provide </w:t>
      </w:r>
      <w:r w:rsidRPr="00DC5433">
        <w:rPr>
          <w:rStyle w:val="normaltextrun"/>
          <w:b w:val="0"/>
          <w:bCs/>
          <w:color w:val="000000"/>
          <w:szCs w:val="22"/>
        </w:rPr>
        <w:t>any service during any 6-month operation. </w:t>
      </w:r>
      <w:r w:rsidRPr="00DC5433">
        <w:rPr>
          <w:rStyle w:val="eop"/>
          <w:b w:val="0"/>
          <w:bCs/>
          <w:color w:val="000000"/>
          <w:szCs w:val="22"/>
        </w:rPr>
        <w:t> </w:t>
      </w:r>
    </w:p>
    <w:p w:rsidR="00DC5433" w:rsidRPr="00DC5433" w:rsidP="15CCA4CC" w14:paraId="510B201F" w14:textId="6AD79C5D">
      <w:pPr>
        <w:pStyle w:val="Heading4"/>
        <w:numPr>
          <w:ilvl w:val="0"/>
          <w:numId w:val="22"/>
        </w:numPr>
        <w:ind w:left="1800"/>
        <w:rPr>
          <w:rStyle w:val="eop"/>
          <w:b w:val="0"/>
        </w:rPr>
      </w:pPr>
      <w:r w:rsidRPr="15CCA4CC">
        <w:rPr>
          <w:rStyle w:val="normaltextrun"/>
          <w:b w:val="0"/>
          <w:color w:val="000000" w:themeColor="text1"/>
        </w:rPr>
        <w:t>The 17.</w:t>
      </w:r>
      <w:r w:rsidR="00CE510F">
        <w:rPr>
          <w:rStyle w:val="normaltextrun"/>
          <w:b w:val="0"/>
          <w:color w:val="000000" w:themeColor="text1"/>
        </w:rPr>
        <w:t>8</w:t>
      </w:r>
      <w:r w:rsidRPr="15CCA4CC">
        <w:rPr>
          <w:rStyle w:val="normaltextrun"/>
          <w:b w:val="0"/>
          <w:color w:val="000000" w:themeColor="text1"/>
        </w:rPr>
        <w:t>-20.2 GHz band is shared with U.S. Government space stations and associated earth stations in the </w:t>
      </w:r>
      <w:r w:rsidRPr="3FF2A4A7" w:rsidR="0653E86E">
        <w:rPr>
          <w:rStyle w:val="normaltextrun"/>
          <w:b w:val="0"/>
          <w:color w:val="000000" w:themeColor="text1"/>
        </w:rPr>
        <w:t>F</w:t>
      </w:r>
      <w:r w:rsidRPr="3FF2A4A7" w:rsidR="0F222F12">
        <w:rPr>
          <w:rStyle w:val="normaltextrun"/>
          <w:b w:val="0"/>
          <w:color w:val="000000" w:themeColor="text1"/>
        </w:rPr>
        <w:t>ixed</w:t>
      </w:r>
      <w:r w:rsidRPr="15CCA4CC">
        <w:rPr>
          <w:rStyle w:val="normaltextrun"/>
          <w:b w:val="0"/>
          <w:color w:val="000000" w:themeColor="text1"/>
        </w:rPr>
        <w:t xml:space="preserve">-Satellite Services. </w:t>
      </w:r>
      <w:r w:rsidR="00666131">
        <w:rPr>
          <w:rStyle w:val="normaltextrun"/>
          <w:b w:val="0"/>
          <w:color w:val="000000" w:themeColor="text1"/>
        </w:rPr>
        <w:t xml:space="preserve"> </w:t>
      </w:r>
      <w:r w:rsidRPr="15CCA4CC">
        <w:rPr>
          <w:rStyle w:val="normaltextrun"/>
          <w:b w:val="0"/>
          <w:color w:val="000000" w:themeColor="text1"/>
        </w:rPr>
        <w:t xml:space="preserve">Services within the United States over the satellite network of which this is a cooperating earth station are subject to coordination under US334 and operation of the earth station(s) authorized herein will be subject to any technical constraints resulting from this coordination. </w:t>
      </w:r>
      <w:r w:rsidRPr="00D65BFD">
        <w:rPr>
          <w:rStyle w:val="normaltextrun"/>
          <w:b w:val="0"/>
          <w:i/>
          <w:iCs/>
          <w:color w:val="000000" w:themeColor="text1"/>
        </w:rPr>
        <w:t>See</w:t>
      </w:r>
      <w:r w:rsidRPr="15CCA4CC">
        <w:rPr>
          <w:rStyle w:val="normaltextrun"/>
          <w:b w:val="0"/>
          <w:color w:val="000000" w:themeColor="text1"/>
        </w:rPr>
        <w:t xml:space="preserve"> 47 CFR </w:t>
      </w:r>
      <w:r w:rsidRPr="15CCA4CC" w:rsidR="00B46E2C">
        <w:rPr>
          <w:rStyle w:val="normaltextrun"/>
          <w:b w:val="0"/>
          <w:color w:val="000000" w:themeColor="text1"/>
        </w:rPr>
        <w:t>§</w:t>
      </w:r>
      <w:r w:rsidRPr="15CCA4CC">
        <w:rPr>
          <w:rStyle w:val="normaltextrun"/>
          <w:b w:val="0"/>
          <w:color w:val="000000" w:themeColor="text1"/>
        </w:rPr>
        <w:t xml:space="preserve"> 2.106, Footnote US334. </w:t>
      </w:r>
      <w:r w:rsidRPr="15CCA4CC">
        <w:rPr>
          <w:rStyle w:val="eop"/>
          <w:b w:val="0"/>
          <w:color w:val="000000" w:themeColor="text1"/>
        </w:rPr>
        <w:t> </w:t>
      </w:r>
    </w:p>
    <w:p w:rsidR="00DC5433" w:rsidRPr="00DC5433" w:rsidP="00DC5433" w14:paraId="658FDC6F" w14:textId="6AB8BDB2">
      <w:pPr>
        <w:pStyle w:val="Heading4"/>
        <w:numPr>
          <w:ilvl w:val="0"/>
          <w:numId w:val="22"/>
        </w:numPr>
        <w:ind w:left="1800"/>
        <w:rPr>
          <w:rStyle w:val="eop"/>
          <w:b w:val="0"/>
          <w:bCs/>
        </w:rPr>
      </w:pPr>
      <w:r w:rsidRPr="00DC5433">
        <w:rPr>
          <w:rStyle w:val="normaltextrun"/>
          <w:b w:val="0"/>
          <w:bCs/>
          <w:color w:val="000000"/>
          <w:szCs w:val="22"/>
        </w:rPr>
        <w:t>Changes to previously authorized transmitting facilities, operations and devices regulated by the Commission that may have significant environmental impact, and are not excluded by §1.1306, require the preparation of an Environmental Assessment (EA) by the licensee. (</w:t>
      </w:r>
      <w:r w:rsidRPr="00D65BFD">
        <w:rPr>
          <w:rStyle w:val="normaltextrun"/>
          <w:b w:val="0"/>
          <w:bCs/>
          <w:i/>
          <w:iCs/>
          <w:color w:val="000000"/>
          <w:szCs w:val="22"/>
        </w:rPr>
        <w:t>See</w:t>
      </w:r>
      <w:r w:rsidRPr="00DC5433">
        <w:rPr>
          <w:rStyle w:val="normaltextrun"/>
          <w:b w:val="0"/>
          <w:bCs/>
          <w:color w:val="000000"/>
          <w:szCs w:val="22"/>
        </w:rPr>
        <w:t xml:space="preserve"> 47 CFR §§</w:t>
      </w:r>
      <w:r w:rsidR="000343F9">
        <w:rPr>
          <w:rStyle w:val="normaltextrun"/>
          <w:b w:val="0"/>
          <w:bCs/>
          <w:color w:val="000000"/>
          <w:szCs w:val="22"/>
        </w:rPr>
        <w:t xml:space="preserve"> </w:t>
      </w:r>
      <w:r w:rsidRPr="00DC5433">
        <w:rPr>
          <w:rStyle w:val="normaltextrun"/>
          <w:b w:val="0"/>
          <w:bCs/>
          <w:color w:val="000000"/>
          <w:szCs w:val="22"/>
        </w:rPr>
        <w:t>1.1307, 1.1308</w:t>
      </w:r>
      <w:r w:rsidR="0055640B">
        <w:rPr>
          <w:rStyle w:val="normaltextrun"/>
          <w:b w:val="0"/>
          <w:bCs/>
          <w:color w:val="000000"/>
          <w:szCs w:val="22"/>
        </w:rPr>
        <w:t>,</w:t>
      </w:r>
      <w:r w:rsidRPr="00DC5433">
        <w:rPr>
          <w:rStyle w:val="normaltextrun"/>
          <w:b w:val="0"/>
          <w:bCs/>
          <w:color w:val="000000"/>
          <w:szCs w:val="22"/>
        </w:rPr>
        <w:t xml:space="preserve"> and 1.1311). </w:t>
      </w:r>
      <w:r w:rsidRPr="00DC5433">
        <w:rPr>
          <w:rStyle w:val="eop"/>
          <w:b w:val="0"/>
          <w:bCs/>
          <w:color w:val="000000"/>
          <w:szCs w:val="22"/>
        </w:rPr>
        <w:t> </w:t>
      </w:r>
    </w:p>
    <w:p w:rsidR="00DC5433" w:rsidRPr="00DC5433" w:rsidP="00DC5433" w14:paraId="44E18F75" w14:textId="09E2F437">
      <w:pPr>
        <w:pStyle w:val="Heading4"/>
        <w:numPr>
          <w:ilvl w:val="0"/>
          <w:numId w:val="22"/>
        </w:numPr>
        <w:ind w:left="1800"/>
        <w:rPr>
          <w:rStyle w:val="eop"/>
          <w:b w:val="0"/>
          <w:bCs/>
        </w:rPr>
      </w:pPr>
      <w:r w:rsidRPr="00DC5433">
        <w:rPr>
          <w:rStyle w:val="normaltextrun"/>
          <w:b w:val="0"/>
          <w:bCs/>
          <w:color w:val="000000"/>
          <w:szCs w:val="22"/>
        </w:rPr>
        <w:t>The licensee shall, </w:t>
      </w:r>
      <w:r w:rsidRPr="00DC5433">
        <w:rPr>
          <w:rStyle w:val="advancedproofingissue"/>
          <w:b w:val="0"/>
          <w:bCs/>
          <w:color w:val="000000"/>
          <w:szCs w:val="22"/>
        </w:rPr>
        <w:t>at all times</w:t>
      </w:r>
      <w:r w:rsidRPr="00DC5433">
        <w:rPr>
          <w:rStyle w:val="normaltextrun"/>
          <w:b w:val="0"/>
          <w:bCs/>
          <w:color w:val="000000"/>
          <w:szCs w:val="22"/>
        </w:rPr>
        <w:t xml:space="preserve">, take all necessary measures to ensure that operation of this authorized earth station does not create potential exposure of humans to radiofrequency radiation in excess of the FCC exposure limits defined in 47 CFR §§ 1.1307(b) and 1.1310. </w:t>
      </w:r>
      <w:r w:rsidR="00811FB8">
        <w:rPr>
          <w:rStyle w:val="normaltextrun"/>
          <w:b w:val="0"/>
          <w:bCs/>
          <w:color w:val="000000"/>
          <w:szCs w:val="22"/>
        </w:rPr>
        <w:t xml:space="preserve"> </w:t>
      </w:r>
      <w:r w:rsidRPr="00DC5433">
        <w:rPr>
          <w:rStyle w:val="normaltextrun"/>
          <w:b w:val="0"/>
          <w:bCs/>
          <w:color w:val="000000"/>
          <w:szCs w:val="22"/>
        </w:rPr>
        <w:t xml:space="preserve">Physical measures must be taken to ensure compliance with </w:t>
      </w:r>
      <w:r w:rsidRPr="00DC5433">
        <w:rPr>
          <w:rStyle w:val="normaltextrun"/>
          <w:b w:val="0"/>
          <w:bCs/>
          <w:color w:val="000000"/>
          <w:szCs w:val="22"/>
        </w:rPr>
        <w:t xml:space="preserve">limits for both occupational/controlled exposure and for general population/uncontrolled exposure, as defined in these rule sections. Compliance can be accomplished in most cases by appropriate restrictions, such as fencing. Requirements for restrictions can be determined by predictions based on calculations, modeling, or by field measurements. </w:t>
      </w:r>
      <w:r w:rsidR="00811FB8">
        <w:rPr>
          <w:rStyle w:val="normaltextrun"/>
          <w:b w:val="0"/>
          <w:bCs/>
          <w:color w:val="000000"/>
          <w:szCs w:val="22"/>
        </w:rPr>
        <w:t xml:space="preserve"> </w:t>
      </w:r>
      <w:r w:rsidRPr="00DC5433">
        <w:rPr>
          <w:rStyle w:val="normaltextrun"/>
          <w:b w:val="0"/>
          <w:bCs/>
          <w:color w:val="000000"/>
          <w:szCs w:val="22"/>
        </w:rPr>
        <w:t>The FCC's OET Bulletin 65 (available on-line at </w:t>
      </w:r>
      <w:hyperlink r:id="rId6" w:tgtFrame="_blank" w:history="1">
        <w:r w:rsidRPr="00DC5433">
          <w:rPr>
            <w:rStyle w:val="normaltextrun"/>
            <w:b w:val="0"/>
            <w:bCs/>
            <w:color w:val="0000FF"/>
            <w:szCs w:val="22"/>
            <w:u w:val="single"/>
          </w:rPr>
          <w:t>www.fcc.gov/oet/rfsafety</w:t>
        </w:r>
      </w:hyperlink>
      <w:r w:rsidRPr="00DC5433">
        <w:rPr>
          <w:rStyle w:val="normaltextrun"/>
          <w:b w:val="0"/>
          <w:bCs/>
          <w:color w:val="000000"/>
          <w:szCs w:val="22"/>
        </w:rPr>
        <w:t xml:space="preserve">) </w:t>
      </w:r>
      <w:r w:rsidRPr="00DC5433">
        <w:rPr>
          <w:rStyle w:val="contextualspellingandgrammarerror"/>
          <w:b w:val="0"/>
          <w:bCs/>
          <w:color w:val="000000"/>
          <w:szCs w:val="22"/>
        </w:rPr>
        <w:t>provides</w:t>
      </w:r>
      <w:r w:rsidRPr="00DC5433">
        <w:rPr>
          <w:rStyle w:val="normaltextrun"/>
          <w:b w:val="0"/>
          <w:bCs/>
          <w:color w:val="000000"/>
          <w:szCs w:val="22"/>
        </w:rPr>
        <w:t xml:space="preserve"> information on predicting exposure levels and on methods for ensuring compliance, including the use of warning and alerting signs and protective equipment for workers. </w:t>
      </w:r>
      <w:r w:rsidRPr="00DC5433">
        <w:rPr>
          <w:rStyle w:val="eop"/>
          <w:b w:val="0"/>
          <w:bCs/>
          <w:color w:val="000000"/>
          <w:szCs w:val="22"/>
        </w:rPr>
        <w:t> </w:t>
      </w:r>
    </w:p>
    <w:p w:rsidR="00DC5433" w:rsidRPr="00DC5433" w:rsidP="00DC5433" w14:paraId="6DFC45EC" w14:textId="323C4D4B">
      <w:pPr>
        <w:pStyle w:val="Heading4"/>
        <w:numPr>
          <w:ilvl w:val="0"/>
          <w:numId w:val="22"/>
        </w:numPr>
        <w:ind w:left="1800"/>
        <w:rPr>
          <w:rStyle w:val="eop"/>
          <w:b w:val="0"/>
          <w:bCs/>
        </w:rPr>
      </w:pPr>
      <w:r w:rsidRPr="00DC5433">
        <w:rPr>
          <w:rStyle w:val="normaltextrun"/>
          <w:b w:val="0"/>
          <w:bCs/>
          <w:color w:val="000000"/>
          <w:szCs w:val="22"/>
        </w:rPr>
        <w:t xml:space="preserve">Operations in the 27.5-28.35 GHz (Earth-to-space) frequency band are authorized based on a demonstration of compliance with 47 CFR § 25.136(a)(4). </w:t>
      </w:r>
      <w:r w:rsidR="002A1EC1">
        <w:rPr>
          <w:rStyle w:val="normaltextrun"/>
          <w:b w:val="0"/>
          <w:bCs/>
          <w:color w:val="000000"/>
          <w:szCs w:val="22"/>
        </w:rPr>
        <w:t xml:space="preserve"> </w:t>
      </w:r>
      <w:r w:rsidRPr="00DC5433">
        <w:rPr>
          <w:rStyle w:val="normaltextrun"/>
          <w:b w:val="0"/>
          <w:bCs/>
          <w:color w:val="000000"/>
          <w:szCs w:val="22"/>
        </w:rPr>
        <w:t>Consequently, this earth station may operate without providing any additional interference protection to stations in the Upper Microwave Flexible Use Service in the 27.5-28.35 GHz frequency band. </w:t>
      </w:r>
      <w:r w:rsidRPr="00DC5433">
        <w:rPr>
          <w:rStyle w:val="eop"/>
          <w:b w:val="0"/>
          <w:bCs/>
          <w:color w:val="000000"/>
          <w:szCs w:val="22"/>
        </w:rPr>
        <w:t> </w:t>
      </w:r>
    </w:p>
    <w:p w:rsidR="00DC5433" w:rsidRPr="00DC5433" w:rsidP="00DC5433" w14:paraId="1DDDBFC9" w14:textId="2EBC2E63">
      <w:pPr>
        <w:pStyle w:val="Heading4"/>
        <w:numPr>
          <w:ilvl w:val="0"/>
          <w:numId w:val="22"/>
        </w:numPr>
        <w:ind w:left="1800"/>
        <w:rPr>
          <w:rStyle w:val="normaltextrun"/>
          <w:b w:val="0"/>
          <w:bCs/>
        </w:rPr>
      </w:pPr>
      <w:r w:rsidRPr="3FF2A4A7">
        <w:rPr>
          <w:rStyle w:val="normaltextrun"/>
          <w:b w:val="0"/>
          <w:color w:val="000000" w:themeColor="text1"/>
        </w:rPr>
        <w:t xml:space="preserve">The earth station licensee is required to take corrective action to mitigate interference in the 27.5-28.35 </w:t>
      </w:r>
      <w:r w:rsidRPr="3FF2A4A7" w:rsidR="1ECB5CF5">
        <w:rPr>
          <w:rStyle w:val="normaltextrun"/>
          <w:b w:val="0"/>
          <w:color w:val="000000" w:themeColor="text1"/>
        </w:rPr>
        <w:t>GHz frequency</w:t>
      </w:r>
      <w:r w:rsidRPr="3FF2A4A7">
        <w:rPr>
          <w:rStyle w:val="normaltextrun"/>
          <w:b w:val="0"/>
          <w:color w:val="000000" w:themeColor="text1"/>
        </w:rPr>
        <w:t xml:space="preserve"> band if the actual PFD, at ten meters above ground level, exceeds -77.6 dBm/m</w:t>
      </w:r>
      <w:r w:rsidRPr="00D65BFD">
        <w:rPr>
          <w:rStyle w:val="normaltextrun"/>
          <w:b w:val="0"/>
          <w:color w:val="000000" w:themeColor="text1"/>
          <w:vertAlign w:val="superscript"/>
        </w:rPr>
        <w:t>2</w:t>
      </w:r>
      <w:r w:rsidRPr="3FF2A4A7">
        <w:rPr>
          <w:rStyle w:val="normaltextrun"/>
          <w:b w:val="0"/>
          <w:color w:val="000000" w:themeColor="text1"/>
        </w:rPr>
        <w:t>/MHz anywhere outside the contour specified in the application.</w:t>
      </w:r>
    </w:p>
    <w:p w:rsidR="0CD75668" w:rsidP="00D65BFD" w14:paraId="0C2CCB89" w14:textId="03B1AC0D">
      <w:pPr>
        <w:pStyle w:val="Heading4"/>
        <w:numPr>
          <w:ilvl w:val="0"/>
          <w:numId w:val="22"/>
        </w:numPr>
        <w:ind w:left="1800"/>
        <w:rPr>
          <w:rStyle w:val="eop"/>
          <w:b w:val="0"/>
          <w:color w:val="000000" w:themeColor="text1"/>
        </w:rPr>
      </w:pPr>
      <w:r w:rsidRPr="2A618142">
        <w:rPr>
          <w:rStyle w:val="normaltextrun"/>
          <w:b w:val="0"/>
          <w:color w:val="000000" w:themeColor="text1"/>
        </w:rPr>
        <w:t xml:space="preserve">To the extent that the actual gain pattern of the antenna ultimately deployed by the licensee exceeds the antenna mask used in the calculation of the PFD contour, the contour resulting from the actual antenna pattern must continue to meet </w:t>
      </w:r>
      <w:r w:rsidRPr="2A618142">
        <w:rPr>
          <w:rStyle w:val="advancedproofingissue"/>
          <w:b w:val="0"/>
          <w:color w:val="000000" w:themeColor="text1"/>
        </w:rPr>
        <w:t>all of</w:t>
      </w:r>
      <w:r w:rsidRPr="2A618142">
        <w:rPr>
          <w:rStyle w:val="normaltextrun"/>
          <w:b w:val="0"/>
          <w:color w:val="000000" w:themeColor="text1"/>
        </w:rPr>
        <w:t xml:space="preserve"> the criteria specified in 47 CFR § 25.136(a)(4)(</w:t>
      </w:r>
      <w:r w:rsidRPr="2A618142">
        <w:rPr>
          <w:rStyle w:val="spellingerror"/>
          <w:b w:val="0"/>
          <w:color w:val="000000" w:themeColor="text1"/>
        </w:rPr>
        <w:t>i</w:t>
      </w:r>
      <w:r w:rsidRPr="2A618142">
        <w:rPr>
          <w:rStyle w:val="normaltextrun"/>
          <w:b w:val="0"/>
          <w:color w:val="000000" w:themeColor="text1"/>
        </w:rPr>
        <w:t>-iv)</w:t>
      </w:r>
      <w:r w:rsidRPr="2A618142">
        <w:rPr>
          <w:rStyle w:val="normaltextrun"/>
          <w:color w:val="000000" w:themeColor="text1"/>
        </w:rPr>
        <w:t>. </w:t>
      </w:r>
      <w:r w:rsidRPr="2A618142">
        <w:rPr>
          <w:rStyle w:val="eop"/>
          <w:color w:val="000000" w:themeColor="text1"/>
        </w:rPr>
        <w:t> </w:t>
      </w:r>
    </w:p>
    <w:p w:rsidR="0CD75668" w:rsidP="2A618142" w14:paraId="10429A09" w14:textId="304B4BF2">
      <w:pPr>
        <w:pStyle w:val="Heading4"/>
        <w:numPr>
          <w:ilvl w:val="0"/>
          <w:numId w:val="22"/>
        </w:numPr>
        <w:ind w:left="1800"/>
        <w:rPr>
          <w:b w:val="0"/>
        </w:rPr>
      </w:pPr>
      <w:r w:rsidRPr="2A618142">
        <w:rPr>
          <w:b w:val="0"/>
        </w:rPr>
        <w:t>Viasat’s request for a waiver of section 2.106 of the U.S. Table of Frequency Allocations, 47 CFR 2.106, to permit operations in the</w:t>
      </w:r>
      <w:r w:rsidRPr="2A618142" w:rsidR="00958C20">
        <w:rPr>
          <w:b w:val="0"/>
        </w:rPr>
        <w:t xml:space="preserve"> 17.7-17.8 GHz band is GRANTED.  Operations in this band are o</w:t>
      </w:r>
      <w:r w:rsidRPr="2A618142" w:rsidR="1E08B1C8">
        <w:rPr>
          <w:b w:val="0"/>
        </w:rPr>
        <w:t>n an unprotected, non-harmful interference basis, that is, they must not cause harmful interference to any authorized users, nor can they claim protection from ha</w:t>
      </w:r>
      <w:r w:rsidRPr="2A618142" w:rsidR="41E26DD4">
        <w:rPr>
          <w:b w:val="0"/>
        </w:rPr>
        <w:t>rmful interference caused by any authorized users</w:t>
      </w:r>
    </w:p>
    <w:p w:rsidR="00DC5433" w:rsidRPr="00DC5433" w:rsidP="00DC5433" w14:paraId="1001F77A" w14:textId="77777777">
      <w:pPr>
        <w:pStyle w:val="Heading4"/>
        <w:numPr>
          <w:ilvl w:val="0"/>
          <w:numId w:val="22"/>
        </w:numPr>
        <w:ind w:left="1800"/>
        <w:rPr>
          <w:rStyle w:val="eop"/>
          <w:b w:val="0"/>
          <w:bCs/>
        </w:rPr>
      </w:pPr>
      <w:r w:rsidRPr="2A618142">
        <w:rPr>
          <w:rStyle w:val="normaltextrun"/>
          <w:b w:val="0"/>
          <w:color w:val="000000" w:themeColor="text1"/>
        </w:rPr>
        <w:t>Operations in the 17</w:t>
      </w:r>
      <w:r w:rsidRPr="2A618142">
        <w:rPr>
          <w:rStyle w:val="normaltextrun"/>
          <w:b w:val="0"/>
        </w:rPr>
        <w:t>.8</w:t>
      </w:r>
      <w:r w:rsidRPr="2A618142">
        <w:rPr>
          <w:rStyle w:val="normaltextrun"/>
          <w:b w:val="0"/>
          <w:color w:val="000000" w:themeColor="text1"/>
        </w:rPr>
        <w:t xml:space="preserve">-18.3 GHz frequency band are on a secondary basis to the Fixed Service (FS). </w:t>
      </w:r>
      <w:r w:rsidRPr="2A618142" w:rsidR="1064283A">
        <w:rPr>
          <w:rStyle w:val="normaltextrun"/>
          <w:b w:val="0"/>
          <w:color w:val="000000" w:themeColor="text1"/>
        </w:rPr>
        <w:t xml:space="preserve"> </w:t>
      </w:r>
      <w:r w:rsidRPr="2A618142">
        <w:rPr>
          <w:rStyle w:val="normaltextrun"/>
          <w:b w:val="0"/>
          <w:color w:val="000000" w:themeColor="text1"/>
        </w:rPr>
        <w:t>Licensee must accept any interference from existing and future FS transmissions in the 17.8-18.3 GHz frequency band.</w:t>
      </w:r>
      <w:r w:rsidRPr="2A618142">
        <w:rPr>
          <w:rStyle w:val="eop"/>
          <w:b w:val="0"/>
          <w:color w:val="000000" w:themeColor="text1"/>
        </w:rPr>
        <w:t> </w:t>
      </w:r>
    </w:p>
    <w:p w:rsidR="00DC5433" w:rsidRPr="00DC5433" w:rsidP="00DC5433" w14:paraId="2C955E5E" w14:textId="77777777">
      <w:pPr>
        <w:pStyle w:val="Heading4"/>
        <w:numPr>
          <w:ilvl w:val="0"/>
          <w:numId w:val="22"/>
        </w:numPr>
        <w:ind w:left="1800"/>
        <w:rPr>
          <w:rStyle w:val="eop"/>
          <w:b w:val="0"/>
          <w:bCs/>
        </w:rPr>
      </w:pPr>
      <w:r w:rsidRPr="2A618142">
        <w:rPr>
          <w:rStyle w:val="normaltextrun"/>
          <w:b w:val="0"/>
          <w:color w:val="000000" w:themeColor="text1"/>
        </w:rPr>
        <w:t xml:space="preserve">Grant of this application is subject to operations consistent </w:t>
      </w:r>
      <w:r w:rsidRPr="2A618142">
        <w:rPr>
          <w:rStyle w:val="normaltextrun"/>
          <w:b w:val="0"/>
        </w:rPr>
        <w:t>with</w:t>
      </w:r>
      <w:r w:rsidRPr="2A618142">
        <w:rPr>
          <w:rStyle w:val="normaltextrun"/>
          <w:b w:val="0"/>
          <w:color w:val="000000" w:themeColor="text1"/>
        </w:rPr>
        <w:t xml:space="preserve"> the associated space station authorization(s) or grant(s) of U.S. market access, including all conditions, waivers, and findings therein.</w:t>
      </w:r>
      <w:r w:rsidRPr="2A618142">
        <w:rPr>
          <w:rStyle w:val="eop"/>
          <w:b w:val="0"/>
          <w:color w:val="000000" w:themeColor="text1"/>
        </w:rPr>
        <w:t> </w:t>
      </w:r>
    </w:p>
    <w:p w:rsidR="00A510A0" w:rsidRPr="00DC5433" w:rsidP="441107D1" w14:paraId="48F931F6" w14:textId="74993984">
      <w:pPr>
        <w:pStyle w:val="Heading4"/>
        <w:numPr>
          <w:ilvl w:val="0"/>
          <w:numId w:val="22"/>
        </w:numPr>
        <w:ind w:left="1800"/>
        <w:rPr>
          <w:b w:val="0"/>
        </w:rPr>
      </w:pPr>
      <w:r w:rsidRPr="2A618142">
        <w:rPr>
          <w:rStyle w:val="normaltextrun"/>
          <w:b w:val="0"/>
        </w:rPr>
        <w:t>Grant of operations in the 27.5-28.35 GHz frequency band is based on the applicant’s calculation of the aggregate population affected by all earth stations in the county, under 47 CFR §</w:t>
      </w:r>
      <w:r w:rsidRPr="2A618142" w:rsidR="0DA565E8">
        <w:rPr>
          <w:rStyle w:val="normaltextrun"/>
          <w:b w:val="0"/>
        </w:rPr>
        <w:t xml:space="preserve"> </w:t>
      </w:r>
      <w:r w:rsidRPr="2A618142">
        <w:rPr>
          <w:rStyle w:val="normaltextrun"/>
          <w:b w:val="0"/>
        </w:rPr>
        <w:t>25.136(a)(4)(ii), using the “actual area method.”  For Douglas County, in the State of Georgia, the estimated population affected by this earth station was determined to be 1 person, out of a maximum of 450 people allowed to be affected in this County, based on the decennial 2020 U.S. Census Population information. </w:t>
      </w:r>
      <w:r w:rsidRPr="2A618142">
        <w:rPr>
          <w:rStyle w:val="eop"/>
          <w:b w:val="0"/>
        </w:rPr>
        <w:t> </w:t>
      </w:r>
    </w:p>
    <w:p w:rsidR="00293A0A" w14:paraId="11506F0B" w14:textId="77777777">
      <w:pPr>
        <w:widowControl/>
        <w:spacing w:after="160" w:line="259" w:lineRule="auto"/>
      </w:pPr>
      <w:r>
        <w:br w:type="page"/>
      </w:r>
    </w:p>
    <w:p w:rsidR="0079542A" w:rsidP="00706E53" w14:paraId="2A8B7AC1" w14:textId="4A85FD3A">
      <w:pPr>
        <w:pStyle w:val="ParaNum"/>
        <w:tabs>
          <w:tab w:val="clear" w:pos="1080"/>
          <w:tab w:val="num" w:pos="1440"/>
        </w:tabs>
      </w:pPr>
      <w:r>
        <w:t xml:space="preserve">This action is taken by the Chief of the </w:t>
      </w:r>
      <w:r w:rsidR="182F92CD">
        <w:t>Space</w:t>
      </w:r>
      <w:r>
        <w:t xml:space="preserve"> Bureau under delegated authority pursuant to sections 0.</w:t>
      </w:r>
      <w:r w:rsidR="693ABAD6">
        <w:t>5</w:t>
      </w:r>
      <w:r>
        <w:t>1</w:t>
      </w:r>
      <w:r w:rsidR="693ABAD6">
        <w:t xml:space="preserve"> and</w:t>
      </w:r>
      <w:r>
        <w:t xml:space="preserve"> 0.2</w:t>
      </w:r>
      <w:r w:rsidR="4480E4A6">
        <w:t>6</w:t>
      </w:r>
      <w:r>
        <w:t>1 of the Commission’s rules, 47 CFR §§ 0.</w:t>
      </w:r>
      <w:r w:rsidR="693ABAD6">
        <w:t>5</w:t>
      </w:r>
      <w:r>
        <w:t>1</w:t>
      </w:r>
      <w:r w:rsidR="693ABAD6">
        <w:t xml:space="preserve"> and</w:t>
      </w:r>
      <w:r>
        <w:t xml:space="preserve"> 0.2</w:t>
      </w:r>
      <w:r w:rsidR="4480E4A6">
        <w:t>61</w:t>
      </w:r>
      <w:r>
        <w:t>.</w:t>
      </w:r>
    </w:p>
    <w:p w:rsidR="6C67E43B" w:rsidP="6C67E43B" w14:paraId="078EE73E" w14:textId="085A9056">
      <w:pPr>
        <w:pStyle w:val="ParaNum"/>
        <w:numPr>
          <w:ilvl w:val="0"/>
          <w:numId w:val="0"/>
        </w:numPr>
      </w:pPr>
    </w:p>
    <w:p w:rsidR="00460ED6" w:rsidRPr="00590654" w:rsidP="00460ED6" w14:paraId="398831CC" w14:textId="77777777">
      <w:pPr>
        <w:ind w:left="2880" w:firstLine="720"/>
        <w:outlineLvl w:val="0"/>
        <w:rPr>
          <w:szCs w:val="22"/>
        </w:rPr>
      </w:pPr>
      <w:r w:rsidRPr="00590654">
        <w:rPr>
          <w:szCs w:val="22"/>
        </w:rPr>
        <w:t>FEDERAL COMMUNICATIONS COMMISSION</w:t>
      </w:r>
    </w:p>
    <w:p w:rsidR="00460ED6" w:rsidRPr="00590654" w:rsidP="00460ED6" w14:paraId="38EB4071" w14:textId="77777777">
      <w:pPr>
        <w:ind w:left="2880" w:firstLine="720"/>
        <w:outlineLvl w:val="0"/>
        <w:rPr>
          <w:szCs w:val="22"/>
        </w:rPr>
      </w:pPr>
    </w:p>
    <w:p w:rsidR="00460ED6" w:rsidRPr="00590654" w:rsidP="00460ED6" w14:paraId="34140705" w14:textId="77777777">
      <w:pPr>
        <w:ind w:left="2880" w:firstLine="720"/>
        <w:outlineLvl w:val="0"/>
        <w:rPr>
          <w:szCs w:val="22"/>
        </w:rPr>
      </w:pPr>
    </w:p>
    <w:p w:rsidR="00460ED6" w:rsidRPr="00590654" w:rsidP="00460ED6" w14:paraId="7F5E07BB" w14:textId="77777777">
      <w:pPr>
        <w:ind w:left="2880" w:firstLine="720"/>
        <w:outlineLvl w:val="0"/>
        <w:rPr>
          <w:szCs w:val="22"/>
        </w:rPr>
      </w:pPr>
    </w:p>
    <w:p w:rsidR="00460ED6" w:rsidRPr="00590654" w:rsidP="00460ED6" w14:paraId="555B849F" w14:textId="77777777">
      <w:pPr>
        <w:ind w:left="2880" w:firstLine="720"/>
        <w:outlineLvl w:val="0"/>
        <w:rPr>
          <w:szCs w:val="22"/>
        </w:rPr>
      </w:pPr>
    </w:p>
    <w:p w:rsidR="00460ED6" w:rsidRPr="00590654" w:rsidP="00460ED6" w14:paraId="32FBB2FC" w14:textId="7E13CA14">
      <w:pPr>
        <w:pStyle w:val="ParaNum"/>
        <w:numPr>
          <w:ilvl w:val="0"/>
          <w:numId w:val="0"/>
        </w:numPr>
        <w:tabs>
          <w:tab w:val="left" w:pos="720"/>
        </w:tabs>
        <w:spacing w:after="0"/>
        <w:ind w:left="3594" w:firstLine="6"/>
        <w:rPr>
          <w:szCs w:val="22"/>
        </w:rPr>
      </w:pPr>
      <w:r>
        <w:rPr>
          <w:szCs w:val="22"/>
        </w:rPr>
        <w:t xml:space="preserve">Julie </w:t>
      </w:r>
      <w:r w:rsidR="00814528">
        <w:rPr>
          <w:szCs w:val="22"/>
        </w:rPr>
        <w:t xml:space="preserve">M. </w:t>
      </w:r>
      <w:r>
        <w:rPr>
          <w:szCs w:val="22"/>
        </w:rPr>
        <w:t>Kearney</w:t>
      </w:r>
    </w:p>
    <w:p w:rsidR="00460ED6" w:rsidRPr="00590654" w:rsidP="00460ED6" w14:paraId="7D0E449C" w14:textId="2B52E668">
      <w:pPr>
        <w:pStyle w:val="ParaNum"/>
        <w:numPr>
          <w:ilvl w:val="0"/>
          <w:numId w:val="0"/>
        </w:numPr>
        <w:tabs>
          <w:tab w:val="left" w:pos="720"/>
        </w:tabs>
        <w:spacing w:after="0"/>
        <w:ind w:left="2874" w:firstLine="720"/>
      </w:pPr>
      <w:r w:rsidRPr="504C313F">
        <w:t>Chief</w:t>
      </w:r>
    </w:p>
    <w:p w:rsidR="00460ED6" w:rsidRPr="00590654" w:rsidP="00460ED6" w14:paraId="276B176C" w14:textId="583C65F6">
      <w:pPr>
        <w:pStyle w:val="ParaNum"/>
        <w:numPr>
          <w:ilvl w:val="0"/>
          <w:numId w:val="0"/>
        </w:numPr>
        <w:tabs>
          <w:tab w:val="left" w:pos="720"/>
        </w:tabs>
        <w:spacing w:after="0"/>
        <w:ind w:left="2874" w:firstLine="720"/>
      </w:pPr>
      <w:r>
        <w:t>Space</w:t>
      </w:r>
      <w:r w:rsidRPr="3C0BD24E">
        <w:t xml:space="preserve"> Bureau</w:t>
      </w:r>
      <w:bookmarkEnd w:id="2"/>
      <w:r w:rsidRPr="00590654">
        <w:rPr>
          <w:szCs w:val="22"/>
        </w:rPr>
        <w:t xml:space="preserve"> </w:t>
      </w:r>
    </w:p>
    <w:p w:rsidR="00F22B36" w14:paraId="64C83640" w14:textId="541BD5EF">
      <w:pPr>
        <w:widowControl/>
        <w:spacing w:after="160" w:line="259" w:lineRule="auto"/>
      </w:pPr>
    </w:p>
    <w:sectPr w:rsidSect="001D3C11">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3C11" w:rsidP="001D3C11" w14:paraId="03BECA71" w14:textId="77777777">
    <w:pPr>
      <w:pStyle w:val="Footer"/>
      <w:framePr w:wrap="around" w:vAnchor="text" w:hAnchor="margin" w:xAlign="center" w:y="1"/>
    </w:pPr>
    <w:r>
      <w:fldChar w:fldCharType="begin"/>
    </w:r>
    <w:r>
      <w:instrText xml:space="preserve">PAGE  </w:instrText>
    </w:r>
    <w:r>
      <w:fldChar w:fldCharType="separate"/>
    </w:r>
    <w:r>
      <w:fldChar w:fldCharType="end"/>
    </w:r>
  </w:p>
  <w:p w:rsidR="001D3C11" w14:paraId="4968F21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3C11" w:rsidP="001D3C11" w14:paraId="0DB004C5" w14:textId="77777777">
    <w:pPr>
      <w:pStyle w:val="Footer"/>
      <w:framePr w:wrap="around" w:vAnchor="text" w:hAnchor="margin" w:xAlign="center" w:y="1"/>
    </w:pPr>
    <w:r>
      <w:fldChar w:fldCharType="begin"/>
    </w:r>
    <w:r>
      <w:instrText xml:space="preserve">PAGE  </w:instrText>
    </w:r>
    <w:r>
      <w:fldChar w:fldCharType="separate"/>
    </w:r>
    <w:r>
      <w:rPr>
        <w:noProof/>
      </w:rPr>
      <w:t>4</w:t>
    </w:r>
    <w:r>
      <w:fldChar w:fldCharType="end"/>
    </w:r>
  </w:p>
  <w:p w:rsidR="001D3C11" w:rsidP="001D3C11" w14:paraId="34B3B85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3C11" w14:paraId="09630A6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917ED" w:rsidP="00460ED6" w14:paraId="16F0C872" w14:textId="77777777">
      <w:r>
        <w:separator/>
      </w:r>
    </w:p>
  </w:footnote>
  <w:footnote w:type="continuationSeparator" w:id="1">
    <w:p w:rsidR="007917ED" w:rsidP="00460ED6" w14:paraId="639E7BDF" w14:textId="77777777">
      <w:r>
        <w:continuationSeparator/>
      </w:r>
    </w:p>
  </w:footnote>
  <w:footnote w:type="continuationNotice" w:id="2">
    <w:p w:rsidR="007917ED" w14:paraId="59C15C4B" w14:textId="77777777"/>
  </w:footnote>
  <w:footnote w:id="3">
    <w:p w:rsidR="00706E53" w:rsidP="0082384E" w14:paraId="5226B877" w14:textId="62830DE2">
      <w:pPr>
        <w:tabs>
          <w:tab w:val="center" w:pos="4680"/>
        </w:tabs>
        <w:suppressAutoHyphens/>
        <w:rPr>
          <w:sz w:val="20"/>
        </w:rPr>
      </w:pPr>
      <w:r>
        <w:rPr>
          <w:rStyle w:val="FootnoteReference"/>
        </w:rPr>
        <w:footnoteRef/>
      </w:r>
      <w:r w:rsidR="20A4209D">
        <w:t xml:space="preserve"> </w:t>
      </w:r>
      <w:r w:rsidRPr="003C4BDE" w:rsidR="20A4209D">
        <w:rPr>
          <w:sz w:val="20"/>
        </w:rPr>
        <w:t>Petition of Verizon</w:t>
      </w:r>
      <w:r w:rsidRPr="003C4BDE" w:rsidR="0082384E">
        <w:rPr>
          <w:sz w:val="20"/>
        </w:rPr>
        <w:t xml:space="preserve">, </w:t>
      </w:r>
      <w:r w:rsidRPr="003C4BDE" w:rsidR="0082384E">
        <w:rPr>
          <w:spacing w:val="-2"/>
          <w:sz w:val="20"/>
        </w:rPr>
        <w:t>I</w:t>
      </w:r>
      <w:r w:rsidRPr="003C4BDE" w:rsidR="003C4BDE">
        <w:rPr>
          <w:spacing w:val="-2"/>
          <w:sz w:val="20"/>
        </w:rPr>
        <w:t>BFS</w:t>
      </w:r>
      <w:r w:rsidRPr="003C4BDE" w:rsidR="0082384E">
        <w:rPr>
          <w:spacing w:val="-2"/>
          <w:sz w:val="20"/>
        </w:rPr>
        <w:t xml:space="preserve"> File No. SES-LIC-20210323-00559 </w:t>
      </w:r>
      <w:r w:rsidRPr="003C4BDE" w:rsidR="20A4209D">
        <w:rPr>
          <w:sz w:val="20"/>
        </w:rPr>
        <w:t>(filed Sept. 3, 2021).</w:t>
      </w:r>
    </w:p>
    <w:p w:rsidR="009C0F7E" w:rsidRPr="003C4BDE" w:rsidP="0082384E" w14:paraId="780402FB" w14:textId="77777777">
      <w:pPr>
        <w:tabs>
          <w:tab w:val="center" w:pos="4680"/>
        </w:tabs>
        <w:suppressAutoHyphens/>
        <w:rPr>
          <w:sz w:val="20"/>
        </w:rPr>
      </w:pPr>
    </w:p>
  </w:footnote>
  <w:footnote w:id="4">
    <w:p w:rsidR="00A3275A" w:rsidP="00A3275A" w14:paraId="33BEEDC3" w14:textId="17879D88">
      <w:pPr>
        <w:pStyle w:val="FootnoteText"/>
        <w:spacing w:after="0"/>
      </w:pPr>
      <w:r>
        <w:rPr>
          <w:rStyle w:val="FootnoteReference"/>
        </w:rPr>
        <w:footnoteRef/>
      </w:r>
      <w:r>
        <w:t xml:space="preserve"> </w:t>
      </w:r>
      <w:r w:rsidRPr="00B743E3">
        <w:rPr>
          <w:i/>
          <w:iCs/>
        </w:rPr>
        <w:t>Use of the Spectrum Bands Above 24 GHz for Mobile Radio Services</w:t>
      </w:r>
      <w:r>
        <w:t>, Report and Order and Further Notice of</w:t>
      </w:r>
    </w:p>
    <w:p w:rsidR="00A3275A" w:rsidP="00D11120" w14:paraId="582884DE" w14:textId="31A02F59">
      <w:pPr>
        <w:pStyle w:val="FootnoteText"/>
      </w:pPr>
      <w:r>
        <w:t>Proposed Rulemaking, 31 FCC Rcd 8014 (2016) (</w:t>
      </w:r>
      <w:r w:rsidRPr="00E3184B">
        <w:rPr>
          <w:i/>
          <w:iCs/>
        </w:rPr>
        <w:t xml:space="preserve">Spectrum Frontiers </w:t>
      </w:r>
      <w:r w:rsidR="008F5229">
        <w:rPr>
          <w:i/>
          <w:iCs/>
        </w:rPr>
        <w:t xml:space="preserve">First </w:t>
      </w:r>
      <w:r w:rsidRPr="00E3184B">
        <w:rPr>
          <w:i/>
          <w:iCs/>
        </w:rPr>
        <w:t>Report and Order</w:t>
      </w:r>
      <w:r>
        <w:t>).</w:t>
      </w:r>
      <w:r w:rsidR="00095B2A">
        <w:t xml:space="preserve">  </w:t>
      </w:r>
      <w:r w:rsidR="00BB6694">
        <w:rPr>
          <w:szCs w:val="22"/>
        </w:rPr>
        <w:t xml:space="preserve">The Commission subsequently released additional orders in the Spectrum Frontiers proceeding </w:t>
      </w:r>
      <w:r w:rsidR="003E30F5">
        <w:rPr>
          <w:szCs w:val="22"/>
        </w:rPr>
        <w:t xml:space="preserve">making </w:t>
      </w:r>
      <w:r w:rsidR="00BB6694">
        <w:rPr>
          <w:szCs w:val="22"/>
        </w:rPr>
        <w:t xml:space="preserve">changes to </w:t>
      </w:r>
      <w:r w:rsidR="00B066CB">
        <w:rPr>
          <w:szCs w:val="22"/>
        </w:rPr>
        <w:t>s</w:t>
      </w:r>
      <w:r w:rsidR="00BB6694">
        <w:rPr>
          <w:szCs w:val="22"/>
        </w:rPr>
        <w:t xml:space="preserve">ection 25.136, including adding additional frequency bands.  </w:t>
      </w:r>
      <w:r w:rsidR="00BB6694">
        <w:rPr>
          <w:i/>
          <w:iCs/>
          <w:szCs w:val="22"/>
        </w:rPr>
        <w:t xml:space="preserve">See </w:t>
      </w:r>
      <w:r w:rsidRPr="005C598F" w:rsidR="00067FC3">
        <w:rPr>
          <w:i/>
          <w:iCs/>
        </w:rPr>
        <w:t>Use of Spectrum Bands Above 24 GHz for Mobile Radio Services</w:t>
      </w:r>
      <w:r w:rsidRPr="005C598F" w:rsidR="00067FC3">
        <w:t xml:space="preserve">, Second Report and Order, Second Further Notice of Proposed Rulemaking, Order on Reconsideration, and Memorandum Opinion and Order, </w:t>
      </w:r>
      <w:hyperlink r:id="rId1" w:anchor="co_pp_sp_4493_11011" w:history="1">
        <w:r w:rsidRPr="005C598F" w:rsidR="00067FC3">
          <w:t>32 FCC Rcd 10988 (2017)</w:t>
        </w:r>
      </w:hyperlink>
      <w:r w:rsidRPr="005C598F" w:rsidR="00067FC3">
        <w:t xml:space="preserve"> (</w:t>
      </w:r>
      <w:r w:rsidRPr="005C598F" w:rsidR="00067FC3">
        <w:rPr>
          <w:i/>
          <w:iCs/>
        </w:rPr>
        <w:t>Spectrum Frontiers Second Report and Order</w:t>
      </w:r>
      <w:r w:rsidRPr="005C598F" w:rsidR="00067FC3">
        <w:t>)</w:t>
      </w:r>
      <w:r w:rsidR="00067FC3">
        <w:t xml:space="preserve">; </w:t>
      </w:r>
      <w:r w:rsidR="00067FC3">
        <w:rPr>
          <w:i/>
        </w:rPr>
        <w:t>Use of Spectrum Bands Above 24 GHz for Mobile Radio Services et. al.</w:t>
      </w:r>
      <w:r w:rsidR="00067FC3">
        <w:t>, Third Report and Order, Third Further Notice of Proposed Rulemaking, and Memorandum Opinion and Order, 33 FCC Rcd 5576 (2018)</w:t>
      </w:r>
      <w:r w:rsidRPr="0095292A" w:rsidR="00067FC3">
        <w:t>;</w:t>
      </w:r>
      <w:r w:rsidR="00D47908">
        <w:t xml:space="preserve"> </w:t>
      </w:r>
      <w:r w:rsidR="00067FC3">
        <w:rPr>
          <w:i/>
        </w:rPr>
        <w:t>Use of Spectrum Bands Above 24 GHz for Mobile Radio Services</w:t>
      </w:r>
      <w:r w:rsidR="00067FC3">
        <w:t>, Fifth Report and Order, 34 FCC Rcd 2556 (2019)</w:t>
      </w:r>
      <w:r w:rsidR="00BB6694">
        <w:t>.</w:t>
      </w:r>
    </w:p>
  </w:footnote>
  <w:footnote w:id="5">
    <w:p w:rsidR="00F27743" w:rsidRPr="00B8583A" w14:paraId="61551BE7" w14:textId="257DCC01">
      <w:pPr>
        <w:pStyle w:val="FootnoteText"/>
        <w:rPr>
          <w:lang w:val="pt-BR"/>
        </w:rPr>
      </w:pPr>
      <w:r>
        <w:rPr>
          <w:rStyle w:val="FootnoteReference"/>
        </w:rPr>
        <w:footnoteRef/>
      </w:r>
      <w:r w:rsidRPr="00B8583A">
        <w:rPr>
          <w:lang w:val="pt-BR"/>
        </w:rPr>
        <w:t xml:space="preserve"> </w:t>
      </w:r>
      <w:r w:rsidRPr="00B8583A" w:rsidR="00D11120">
        <w:rPr>
          <w:lang w:val="pt-BR"/>
        </w:rPr>
        <w:t>47 CFR § 25.136 (e)(1).</w:t>
      </w:r>
    </w:p>
  </w:footnote>
  <w:footnote w:id="6">
    <w:p w:rsidR="00AA3C59" w:rsidRPr="007C4034" w14:paraId="2C77CE08" w14:textId="62702ACB">
      <w:pPr>
        <w:pStyle w:val="FootnoteText"/>
        <w:rPr>
          <w:lang w:val="pt-BR"/>
        </w:rPr>
      </w:pPr>
      <w:r>
        <w:rPr>
          <w:rStyle w:val="FootnoteReference"/>
        </w:rPr>
        <w:footnoteRef/>
      </w:r>
      <w:r w:rsidRPr="007C4034">
        <w:rPr>
          <w:lang w:val="pt-BR"/>
        </w:rPr>
        <w:t xml:space="preserve"> 47 </w:t>
      </w:r>
      <w:r w:rsidRPr="007C4034">
        <w:rPr>
          <w:lang w:val="pt-BR"/>
        </w:rPr>
        <w:t>CFR § 25.136(a)(4)(i).</w:t>
      </w:r>
    </w:p>
  </w:footnote>
  <w:footnote w:id="7">
    <w:p w:rsidR="00AA3C59" w:rsidRPr="007C4034" w14:paraId="12F92EF5" w14:textId="39A42061">
      <w:pPr>
        <w:pStyle w:val="FootnoteText"/>
        <w:rPr>
          <w:lang w:val="pt-BR"/>
        </w:rPr>
      </w:pPr>
      <w:r>
        <w:rPr>
          <w:rStyle w:val="FootnoteReference"/>
        </w:rPr>
        <w:footnoteRef/>
      </w:r>
      <w:r w:rsidRPr="007C4034">
        <w:rPr>
          <w:lang w:val="pt-BR"/>
        </w:rPr>
        <w:t xml:space="preserve"> </w:t>
      </w:r>
      <w:r w:rsidRPr="00B8583A">
        <w:rPr>
          <w:lang w:val="pt-BR"/>
        </w:rPr>
        <w:t xml:space="preserve">47 </w:t>
      </w:r>
      <w:r w:rsidRPr="00B8583A">
        <w:rPr>
          <w:lang w:val="pt-BR"/>
        </w:rPr>
        <w:t>CFR § 25.136 (a)(4)(ii).</w:t>
      </w:r>
    </w:p>
  </w:footnote>
  <w:footnote w:id="8">
    <w:p w:rsidR="00D21E50" w:rsidRPr="007C4034" w14:paraId="4099B244" w14:textId="62D592A4">
      <w:pPr>
        <w:pStyle w:val="FootnoteText"/>
      </w:pPr>
      <w:r>
        <w:rPr>
          <w:rStyle w:val="FootnoteReference"/>
        </w:rPr>
        <w:footnoteRef/>
      </w:r>
      <w:r w:rsidRPr="007C4034">
        <w:t xml:space="preserve"> </w:t>
      </w:r>
      <w:r w:rsidRPr="007C4034" w:rsidR="00CA14EE">
        <w:t>47 CFR § 25.136 (a)(4)(iii).</w:t>
      </w:r>
    </w:p>
  </w:footnote>
  <w:footnote w:id="9">
    <w:p w:rsidR="007C2D8D" w14:paraId="0C3E48C7" w14:textId="2EED15A2">
      <w:pPr>
        <w:pStyle w:val="FootnoteText"/>
      </w:pPr>
      <w:r>
        <w:rPr>
          <w:rStyle w:val="FootnoteReference"/>
        </w:rPr>
        <w:footnoteRef/>
      </w:r>
      <w:r>
        <w:t xml:space="preserve"> On January 4, 2023, the Commission adopted an Order that established the Space Bureau to handle the policy and licensing matters related to satellite communications and other in-space activities formerly handled by the International Bureau, which the Order eliminated. </w:t>
      </w:r>
      <w:r w:rsidR="00DD1A86">
        <w:t xml:space="preserve"> </w:t>
      </w:r>
      <w:r w:rsidRPr="00DD1A86">
        <w:rPr>
          <w:i/>
          <w:iCs/>
        </w:rPr>
        <w:t>See</w:t>
      </w:r>
      <w:r>
        <w:t xml:space="preserve"> </w:t>
      </w:r>
      <w:r w:rsidRPr="00D65BFD">
        <w:rPr>
          <w:i/>
          <w:iCs/>
        </w:rPr>
        <w:t>Establishment of the Space Bureau and the Office of International Affairs and Reorganization of the Consumer and Governmental Affairs Bureau and the Office of the Managing Director</w:t>
      </w:r>
      <w:r>
        <w:t xml:space="preserve">, MD Docket No. 23-12, Order, FCC 23-1, paras. 1-2 (adopted Jan. 4, 2023). </w:t>
      </w:r>
      <w:r w:rsidR="00DD1A86">
        <w:t xml:space="preserve"> </w:t>
      </w:r>
      <w:r>
        <w:t xml:space="preserve">The Space Bureau officially launched on April 11, 2023. </w:t>
      </w:r>
      <w:r w:rsidR="00DD1A86">
        <w:t xml:space="preserve"> </w:t>
      </w:r>
      <w:r>
        <w:t>See Press Release, FCC,</w:t>
      </w:r>
      <w:r w:rsidR="00D87BB2">
        <w:t xml:space="preserve"> FCC</w:t>
      </w:r>
      <w:r>
        <w:t xml:space="preserve"> Space Bureau &amp; Office of International Affairs to Launch Next Week (April 7, 2023), https://docs.fcc.gov/public/attachments/DOC-392418A1.pdf. </w:t>
      </w:r>
      <w:r w:rsidR="00DD1A86">
        <w:t xml:space="preserve"> </w:t>
      </w:r>
      <w:r>
        <w:t>All references in this document to the International Bureau refer to filings made with, or actions taken by, the International Bureau prior to the establishment of the Space Bureau.</w:t>
      </w:r>
    </w:p>
  </w:footnote>
  <w:footnote w:id="10">
    <w:p w:rsidR="004641D5" w:rsidP="004641D5" w14:paraId="5DF1A4F0" w14:textId="55582246">
      <w:pPr>
        <w:pStyle w:val="FootnoteText"/>
        <w:spacing w:after="0"/>
      </w:pPr>
      <w:r>
        <w:rPr>
          <w:rStyle w:val="FootnoteReference"/>
        </w:rPr>
        <w:footnoteRef/>
      </w:r>
      <w:r>
        <w:t xml:space="preserve"> </w:t>
      </w:r>
      <w:r w:rsidRPr="00BD0DDF">
        <w:rPr>
          <w:i/>
          <w:iCs/>
        </w:rPr>
        <w:t>International Bureau Seeks Comment on Implementing Earth Station Siting Methodologies</w:t>
      </w:r>
      <w:r>
        <w:t>, Public Notice, DA</w:t>
      </w:r>
      <w:r w:rsidR="009C1ED8">
        <w:t xml:space="preserve"> </w:t>
      </w:r>
      <w:r>
        <w:t>17-606 (June 21, 2017) (</w:t>
      </w:r>
      <w:r w:rsidR="005802CA">
        <w:t xml:space="preserve">2017 </w:t>
      </w:r>
      <w:r>
        <w:t>Public Notice); and comments filed by EchoStar Satellite Operating Corp. and</w:t>
      </w:r>
    </w:p>
    <w:p w:rsidR="004641D5" w:rsidP="004641D5" w14:paraId="1A518061" w14:textId="77777777">
      <w:pPr>
        <w:pStyle w:val="FootnoteText"/>
        <w:spacing w:after="0"/>
      </w:pPr>
      <w:r>
        <w:t>Hughes Network Systems, LLC (filed July 21, 2017); AT&amp;T Services, Inc. (filed July 21, 2017); Viasat, Inc. (filed</w:t>
      </w:r>
    </w:p>
    <w:p w:rsidR="004641D5" w:rsidP="004641D5" w14:paraId="43B6C003" w14:textId="77777777">
      <w:pPr>
        <w:pStyle w:val="FootnoteText"/>
        <w:spacing w:after="0"/>
      </w:pPr>
      <w:r>
        <w:t>July 21, 2017); WorldVu Satellites Limited (filed July 21, 2017); The Boeing Company (filed July 21, 2017); Joint</w:t>
      </w:r>
    </w:p>
    <w:p w:rsidR="004641D5" w:rsidP="004641D5" w14:paraId="54F10476" w14:textId="77777777">
      <w:pPr>
        <w:pStyle w:val="FootnoteText"/>
        <w:spacing w:after="0"/>
      </w:pPr>
      <w:r>
        <w:t>Comments of SES Americom, Inc., O3b Limited, Inmarsat, Inc., and Telesat Canada (filed July 17, 2017); CTIA</w:t>
      </w:r>
    </w:p>
    <w:p w:rsidR="004641D5" w:rsidP="004641D5" w14:paraId="3D4506BF" w14:textId="77777777">
      <w:pPr>
        <w:pStyle w:val="FootnoteText"/>
        <w:spacing w:after="0"/>
      </w:pPr>
      <w:r>
        <w:t>(filed Aug. 7, 2017); Joint Reply Comments of SES Americom, Inc., O3b Limited, Inmarsat, Inc., Telesat Canada</w:t>
      </w:r>
    </w:p>
    <w:p w:rsidR="004641D5" w:rsidP="004641D5" w14:paraId="1C20AC19" w14:textId="77777777">
      <w:pPr>
        <w:pStyle w:val="FootnoteText"/>
        <w:spacing w:after="0"/>
      </w:pPr>
      <w:r>
        <w:t>and WorldVu Satellite Ltd. (filed Aug. 7, 2017); AT&amp;T Services, Inc. (filed Aug. 7, 2017); Viasat, Inc. (filed Aug.</w:t>
      </w:r>
    </w:p>
    <w:p w:rsidR="004641D5" w:rsidP="004641D5" w14:paraId="2C770556" w14:textId="77777777">
      <w:pPr>
        <w:pStyle w:val="FootnoteText"/>
        <w:spacing w:after="0"/>
      </w:pPr>
      <w:r>
        <w:t>7, 2017); Notice of Ex Parte of Hughes Network Systems, LLC and Inmarsat, Inc. (filed Aug. 25, 2017); Notice of</w:t>
      </w:r>
    </w:p>
    <w:p w:rsidR="004641D5" w:rsidP="004641D5" w14:paraId="6D148E4E" w14:textId="77777777">
      <w:pPr>
        <w:pStyle w:val="FootnoteText"/>
        <w:spacing w:after="0"/>
      </w:pPr>
      <w:r>
        <w:t>Ex Parte of Hughes Network Systems, LLC, Inmarsat, Inc., SES Americom, Inc., O3b Limited, WorldVu Satellites</w:t>
      </w:r>
    </w:p>
    <w:p w:rsidR="004641D5" w:rsidP="004641D5" w14:paraId="48A42CEA" w14:textId="77777777">
      <w:pPr>
        <w:pStyle w:val="FootnoteText"/>
        <w:spacing w:after="0"/>
      </w:pPr>
      <w:r>
        <w:t>Ltd, and Telesat Canada (filed Sept. 14, 2017); Space Exploration Technologies Corp. (filed Feb. 20, 2020),</w:t>
      </w:r>
    </w:p>
    <w:p w:rsidR="002616ED" w:rsidP="009B28B9" w14:paraId="28F84E47" w14:textId="5C9AFBFE">
      <w:pPr>
        <w:pStyle w:val="FootnoteText"/>
      </w:pPr>
      <w:r>
        <w:t>Hughes Network Systems, LLC (Apr</w:t>
      </w:r>
      <w:r w:rsidR="007114A1">
        <w:t>.</w:t>
      </w:r>
      <w:r>
        <w:t xml:space="preserve"> 9, 2020), CTIA (filed May 21, 2020), Verizon (</w:t>
      </w:r>
      <w:r w:rsidR="009B28B9">
        <w:t xml:space="preserve">filed </w:t>
      </w:r>
      <w:r>
        <w:t>June 5, 2020) and Hughes</w:t>
      </w:r>
      <w:r w:rsidR="009B28B9">
        <w:t xml:space="preserve"> </w:t>
      </w:r>
      <w:r>
        <w:t>Network Systems (filed June 9, 2020)</w:t>
      </w:r>
      <w:r w:rsidR="00CC41B3">
        <w:t>.</w:t>
      </w:r>
    </w:p>
  </w:footnote>
  <w:footnote w:id="11">
    <w:p w:rsidR="00D965DC" w:rsidRPr="00146346" w14:paraId="0B34ECBF" w14:textId="7C36A4D4">
      <w:pPr>
        <w:pStyle w:val="FootnoteText"/>
      </w:pPr>
      <w:r>
        <w:rPr>
          <w:rStyle w:val="FootnoteReference"/>
        </w:rPr>
        <w:footnoteRef/>
      </w:r>
      <w:r>
        <w:t xml:space="preserve"> </w:t>
      </w:r>
      <w:r w:rsidRPr="00BD0DDF" w:rsidR="0098386E">
        <w:rPr>
          <w:i/>
          <w:iCs/>
        </w:rPr>
        <w:t xml:space="preserve">International Bureau Issues Guidance On Siting Methodologies For Earth Station Seeking To Operate In The 24.75-25.25 GHz, 27.5–28.35 GHz, 37.5–40 GHz, 47.2-48.2 GHZ, </w:t>
      </w:r>
      <w:r w:rsidR="00894D48">
        <w:rPr>
          <w:i/>
          <w:iCs/>
        </w:rPr>
        <w:t>and</w:t>
      </w:r>
      <w:r w:rsidRPr="00BD0DDF" w:rsidR="0098386E">
        <w:rPr>
          <w:i/>
          <w:iCs/>
        </w:rPr>
        <w:t xml:space="preserve"> 50.4-51.4 GHz Frequency Bands To Demonstrate Compliance With Section 25.136</w:t>
      </w:r>
      <w:r w:rsidR="00EA71B1">
        <w:t xml:space="preserve">, </w:t>
      </w:r>
      <w:r w:rsidR="009B5440">
        <w:t>Public Notice</w:t>
      </w:r>
      <w:r w:rsidR="00BD0DDF">
        <w:t xml:space="preserve"> Guidance</w:t>
      </w:r>
      <w:r w:rsidR="009B5440">
        <w:t xml:space="preserve">, </w:t>
      </w:r>
      <w:r w:rsidRPr="0004246A" w:rsidR="0004246A">
        <w:t>DA-20-631</w:t>
      </w:r>
      <w:r w:rsidR="00957360">
        <w:t>, at 2</w:t>
      </w:r>
      <w:r w:rsidR="009B5440">
        <w:t xml:space="preserve"> (June</w:t>
      </w:r>
      <w:r w:rsidR="006F4810">
        <w:t xml:space="preserve"> 16, 2020) (</w:t>
      </w:r>
      <w:r w:rsidR="005802CA">
        <w:t xml:space="preserve">2020 Guidance </w:t>
      </w:r>
      <w:r w:rsidR="00D12D23">
        <w:t>Public Notice)</w:t>
      </w:r>
      <w:r w:rsidR="00894D48">
        <w:t xml:space="preserve">.  SIA subsequently filed a Petition for Reconsideration of this Public Notice Guidance, to which IB </w:t>
      </w:r>
      <w:r w:rsidR="007C4ADB">
        <w:t>requested</w:t>
      </w:r>
      <w:r w:rsidR="00894D48">
        <w:t xml:space="preserve"> comment.  </w:t>
      </w:r>
      <w:r w:rsidR="00575341">
        <w:t xml:space="preserve">The Petition for Reconsideration is pending.  </w:t>
      </w:r>
      <w:r w:rsidRPr="00B8583A" w:rsidR="00894D48">
        <w:rPr>
          <w:i/>
          <w:iCs/>
        </w:rPr>
        <w:t>See</w:t>
      </w:r>
      <w:r w:rsidR="00894D48">
        <w:t xml:space="preserve"> </w:t>
      </w:r>
      <w:r w:rsidR="007C4ADB">
        <w:t xml:space="preserve">Satellite Industry Association, Petition for Reconsideration of International Public Notice on Siting Methodologies for Earth Stations Seeking to Operate in the 24.75-25.25 GHz, 27.5-28.35 GHz, 37.5-40 GHz, 47.2-48.2 GHz, and 50.4-51.4 GHz Frequency Bands to Demonstrate Compliance with Section 25.136 (filed July 16, 2020) </w:t>
      </w:r>
      <w:r w:rsidR="00894D48">
        <w:t xml:space="preserve">and </w:t>
      </w:r>
      <w:r w:rsidRPr="009D1690" w:rsidR="00894D48">
        <w:rPr>
          <w:i/>
          <w:iCs/>
        </w:rPr>
        <w:t>Public Notice</w:t>
      </w:r>
      <w:r w:rsidR="00894D48">
        <w:t xml:space="preserve">, International Bureau Seeks Comments on Satellite Industry Association Petition for Reconsideration of Public Notice Issuing Guidance on Siting Methodologies for Earth Stations Subject to Section 25.136, DA 20-779 (July 22, 2020). </w:t>
      </w:r>
    </w:p>
  </w:footnote>
  <w:footnote w:id="12">
    <w:p w:rsidR="0079709B" w:rsidRPr="00AC5AD4" w14:paraId="38BAC69E" w14:textId="24AE8048">
      <w:pPr>
        <w:pStyle w:val="FootnoteText"/>
      </w:pPr>
      <w:r>
        <w:rPr>
          <w:rStyle w:val="FootnoteReference"/>
        </w:rPr>
        <w:footnoteRef/>
      </w:r>
      <w:r>
        <w:t xml:space="preserve"> </w:t>
      </w:r>
      <w:r w:rsidRPr="00AC5AD4" w:rsidR="00AC5AD4">
        <w:t xml:space="preserve">ITU Recommendation R-REC-P.452, available at </w:t>
      </w:r>
      <w:hyperlink r:id="rId2" w:history="1">
        <w:r w:rsidRPr="00930EE2" w:rsidR="00101E5C">
          <w:rPr>
            <w:rStyle w:val="Hyperlink"/>
          </w:rPr>
          <w:t>https://extranet.itu.int/brdocsearch/R-REC/Forms</w:t>
        </w:r>
      </w:hyperlink>
      <w:r w:rsidR="00101E5C">
        <w:t>.</w:t>
      </w:r>
    </w:p>
  </w:footnote>
  <w:footnote w:id="13">
    <w:p w:rsidR="00DD52D1" w:rsidRPr="00E600AC" w14:paraId="19B4363E" w14:textId="074CCDB3">
      <w:pPr>
        <w:pStyle w:val="FootnoteText"/>
        <w:rPr>
          <w:highlight w:val="cyan"/>
        </w:rPr>
      </w:pPr>
      <w:r>
        <w:rPr>
          <w:rStyle w:val="FootnoteReference"/>
        </w:rPr>
        <w:footnoteRef/>
      </w:r>
      <w:r>
        <w:t xml:space="preserve"> </w:t>
      </w:r>
      <w:r w:rsidRPr="009A4CB1" w:rsidR="00C614C1">
        <w:t xml:space="preserve">2020 Guidance </w:t>
      </w:r>
      <w:r w:rsidR="00F5632F">
        <w:t>PN</w:t>
      </w:r>
      <w:r w:rsidRPr="009A4CB1" w:rsidR="00C614C1">
        <w:t xml:space="preserve"> at </w:t>
      </w:r>
      <w:r w:rsidRPr="009A4CB1" w:rsidR="006D487A">
        <w:t>3</w:t>
      </w:r>
      <w:r w:rsidRPr="009A4CB1" w:rsidR="00355E0E">
        <w:t>.</w:t>
      </w:r>
    </w:p>
  </w:footnote>
  <w:footnote w:id="14">
    <w:p w:rsidR="00B7277D" w:rsidRPr="009A4CB1" w14:paraId="56D6B2E0" w14:textId="5923B105">
      <w:pPr>
        <w:pStyle w:val="FootnoteText"/>
      </w:pPr>
      <w:r w:rsidRPr="009A4CB1">
        <w:rPr>
          <w:rStyle w:val="FootnoteReference"/>
        </w:rPr>
        <w:footnoteRef/>
      </w:r>
      <w:r w:rsidRPr="009A4CB1">
        <w:t xml:space="preserve"> </w:t>
      </w:r>
      <w:r w:rsidRPr="009A4CB1" w:rsidR="00072116">
        <w:rPr>
          <w:i/>
          <w:iCs/>
        </w:rPr>
        <w:t xml:space="preserve">Id. </w:t>
      </w:r>
      <w:r w:rsidRPr="009A4CB1" w:rsidR="00072116">
        <w:t xml:space="preserve">at </w:t>
      </w:r>
      <w:r w:rsidRPr="009A4CB1" w:rsidR="006D487A">
        <w:t>4</w:t>
      </w:r>
      <w:r w:rsidRPr="009A4CB1" w:rsidR="00072116">
        <w:t>.</w:t>
      </w:r>
    </w:p>
  </w:footnote>
  <w:footnote w:id="15">
    <w:p w:rsidR="005432F2" w14:paraId="57302549" w14:textId="365AAC8D">
      <w:pPr>
        <w:pStyle w:val="FootnoteText"/>
      </w:pPr>
      <w:r w:rsidRPr="009A4CB1">
        <w:rPr>
          <w:rStyle w:val="FootnoteReference"/>
        </w:rPr>
        <w:footnoteRef/>
      </w:r>
      <w:r w:rsidRPr="009A4CB1">
        <w:t xml:space="preserve"> </w:t>
      </w:r>
      <w:r w:rsidRPr="009A4CB1" w:rsidR="00C0751A">
        <w:rPr>
          <w:i/>
          <w:iCs/>
        </w:rPr>
        <w:t xml:space="preserve">Id. </w:t>
      </w:r>
      <w:r w:rsidRPr="009A4CB1" w:rsidR="00C0751A">
        <w:t xml:space="preserve">at </w:t>
      </w:r>
      <w:r w:rsidRPr="009A4CB1" w:rsidR="009A4CB1">
        <w:t>2</w:t>
      </w:r>
      <w:r w:rsidRPr="009A4CB1" w:rsidR="00C0751A">
        <w:t>.</w:t>
      </w:r>
    </w:p>
  </w:footnote>
  <w:footnote w:id="16">
    <w:p w:rsidR="00AE7F45" w:rsidP="00AE7F45" w14:paraId="1DFF1656" w14:textId="470C564C">
      <w:pPr>
        <w:pStyle w:val="FootnoteText"/>
      </w:pPr>
      <w:r>
        <w:rPr>
          <w:rStyle w:val="FootnoteReference"/>
        </w:rPr>
        <w:footnoteRef/>
      </w:r>
      <w:r>
        <w:t xml:space="preserve"> </w:t>
      </w:r>
      <w:r w:rsidR="00320DE1">
        <w:rPr>
          <w:i/>
          <w:iCs/>
        </w:rPr>
        <w:t xml:space="preserve">See </w:t>
      </w:r>
      <w:r w:rsidR="00320DE1">
        <w:t xml:space="preserve">Letter from Jarrett S. Taubman, VP &amp; Deputy Chief Government Affairs and Regulatory Officer, Viasat, Inc., to Marlene H. Dortch, Secretary, FCC, IBFS File No. </w:t>
      </w:r>
      <w:r w:rsidRPr="002C4F26" w:rsidR="007C53D0">
        <w:rPr>
          <w:spacing w:val="-2"/>
          <w:szCs w:val="22"/>
        </w:rPr>
        <w:t>SES-LIC-20210</w:t>
      </w:r>
      <w:r w:rsidR="007C53D0">
        <w:rPr>
          <w:spacing w:val="-2"/>
          <w:szCs w:val="22"/>
        </w:rPr>
        <w:t>323</w:t>
      </w:r>
      <w:r w:rsidRPr="002C4F26" w:rsidR="007C53D0">
        <w:rPr>
          <w:spacing w:val="-2"/>
          <w:szCs w:val="22"/>
        </w:rPr>
        <w:t>-0</w:t>
      </w:r>
      <w:r w:rsidR="007C53D0">
        <w:rPr>
          <w:spacing w:val="-2"/>
          <w:szCs w:val="22"/>
        </w:rPr>
        <w:t>0559</w:t>
      </w:r>
      <w:r w:rsidR="003C4BDE">
        <w:rPr>
          <w:spacing w:val="-2"/>
          <w:szCs w:val="22"/>
        </w:rPr>
        <w:t xml:space="preserve"> </w:t>
      </w:r>
      <w:r w:rsidR="007C53D0">
        <w:rPr>
          <w:spacing w:val="-2"/>
          <w:szCs w:val="22"/>
        </w:rPr>
        <w:t xml:space="preserve">(filed June </w:t>
      </w:r>
      <w:r w:rsidR="00F95900">
        <w:rPr>
          <w:spacing w:val="-2"/>
          <w:szCs w:val="22"/>
        </w:rPr>
        <w:t>27</w:t>
      </w:r>
      <w:r w:rsidR="00F95900">
        <w:t>, 2022)</w:t>
      </w:r>
      <w:r w:rsidR="00706E53">
        <w:t xml:space="preserve"> (Viasat June 27, 2022 Letter).</w:t>
      </w:r>
    </w:p>
  </w:footnote>
  <w:footnote w:id="17">
    <w:p w:rsidR="00E86DF6" w14:paraId="3D4857FE" w14:textId="61DEF541">
      <w:pPr>
        <w:pStyle w:val="FootnoteText"/>
      </w:pPr>
      <w:r>
        <w:rPr>
          <w:rStyle w:val="FootnoteReference"/>
        </w:rPr>
        <w:footnoteRef/>
      </w:r>
      <w:r>
        <w:t xml:space="preserve"> </w:t>
      </w:r>
      <w:r w:rsidR="007A6040">
        <w:t>47 CFR § 25.136.</w:t>
      </w:r>
    </w:p>
  </w:footnote>
  <w:footnote w:id="18">
    <w:p w:rsidR="00D311B4" w14:paraId="4678C208" w14:textId="11C7876A">
      <w:pPr>
        <w:pStyle w:val="FootnoteText"/>
      </w:pPr>
      <w:r>
        <w:rPr>
          <w:rStyle w:val="FootnoteReference"/>
        </w:rPr>
        <w:footnoteRef/>
      </w:r>
      <w:r>
        <w:t xml:space="preserve"> </w:t>
      </w:r>
      <w:r w:rsidR="00245596">
        <w:t>Viasat</w:t>
      </w:r>
      <w:r w:rsidR="00EF1307">
        <w:t>, Inc.,</w:t>
      </w:r>
      <w:r w:rsidR="00245596">
        <w:t xml:space="preserve"> Application for Earth Station Authorization</w:t>
      </w:r>
      <w:r w:rsidR="008D485D">
        <w:t xml:space="preserve">, </w:t>
      </w:r>
      <w:r w:rsidR="004347F9">
        <w:t>IBFS File No.</w:t>
      </w:r>
      <w:r w:rsidR="00FA1995">
        <w:t xml:space="preserve"> </w:t>
      </w:r>
      <w:r w:rsidRPr="002C4F26" w:rsidR="00A30029">
        <w:rPr>
          <w:spacing w:val="-2"/>
          <w:szCs w:val="22"/>
        </w:rPr>
        <w:t>SES-LIC-20210</w:t>
      </w:r>
      <w:r w:rsidR="00A30029">
        <w:rPr>
          <w:spacing w:val="-2"/>
          <w:szCs w:val="22"/>
        </w:rPr>
        <w:t>323</w:t>
      </w:r>
      <w:r w:rsidRPr="002C4F26" w:rsidR="00A30029">
        <w:rPr>
          <w:spacing w:val="-2"/>
          <w:szCs w:val="22"/>
        </w:rPr>
        <w:t>-0</w:t>
      </w:r>
      <w:r w:rsidR="00A30029">
        <w:rPr>
          <w:spacing w:val="-2"/>
          <w:szCs w:val="22"/>
        </w:rPr>
        <w:t>0559</w:t>
      </w:r>
      <w:r w:rsidR="00F35885">
        <w:t xml:space="preserve"> (</w:t>
      </w:r>
      <w:r w:rsidR="009C38C6">
        <w:t xml:space="preserve">filed March 17, 2021).  </w:t>
      </w:r>
    </w:p>
  </w:footnote>
  <w:footnote w:id="19">
    <w:p w:rsidR="00633104" w:rsidRPr="00D01C38" w14:paraId="1411113D" w14:textId="38F73EAC">
      <w:pPr>
        <w:pStyle w:val="FootnoteText"/>
      </w:pPr>
      <w:r>
        <w:rPr>
          <w:rStyle w:val="FootnoteReference"/>
        </w:rPr>
        <w:footnoteRef/>
      </w:r>
      <w:r>
        <w:t xml:space="preserve"> </w:t>
      </w:r>
      <w:r w:rsidR="007847D6">
        <w:t xml:space="preserve">Public Notice, </w:t>
      </w:r>
      <w:r w:rsidR="00C52F8A">
        <w:t xml:space="preserve">Satellite Radio Applications Accepted for Filing, </w:t>
      </w:r>
      <w:r w:rsidR="007847D6">
        <w:t>Report No. SES-</w:t>
      </w:r>
      <w:r w:rsidR="002345B1">
        <w:t>02387 (</w:t>
      </w:r>
      <w:r w:rsidR="00C52F8A">
        <w:t xml:space="preserve">Aug. 4, 2021). </w:t>
      </w:r>
    </w:p>
  </w:footnote>
  <w:footnote w:id="20">
    <w:p w:rsidR="00633104" w:rsidRPr="004E7AD5" w:rsidP="000B3CC0" w14:paraId="3D0E03E4" w14:textId="36F81FDD">
      <w:pPr>
        <w:pStyle w:val="FootnoteText"/>
      </w:pPr>
      <w:r>
        <w:rPr>
          <w:rStyle w:val="FootnoteReference"/>
        </w:rPr>
        <w:footnoteRef/>
      </w:r>
      <w:r>
        <w:t xml:space="preserve"> </w:t>
      </w:r>
      <w:r w:rsidR="004E7AD5">
        <w:t>Verizon Petition.</w:t>
      </w:r>
    </w:p>
  </w:footnote>
  <w:footnote w:id="21">
    <w:p w:rsidR="0020312F" w:rsidP="00C653DE" w14:paraId="73D4E7F8" w14:textId="2EA2ADF3">
      <w:pPr>
        <w:pStyle w:val="FootnoteText"/>
      </w:pPr>
      <w:r>
        <w:rPr>
          <w:rStyle w:val="FootnoteReference"/>
        </w:rPr>
        <w:footnoteRef/>
      </w:r>
      <w:r>
        <w:t xml:space="preserve"> </w:t>
      </w:r>
      <w:r w:rsidR="00C653DE">
        <w:t xml:space="preserve">Opposition of Viasat, Inc., IBFS File No. </w:t>
      </w:r>
      <w:r w:rsidRPr="002C4F26" w:rsidR="00FA4C0C">
        <w:rPr>
          <w:spacing w:val="-2"/>
          <w:szCs w:val="22"/>
        </w:rPr>
        <w:t>SES-LIC-20210</w:t>
      </w:r>
      <w:r w:rsidR="00FA4C0C">
        <w:rPr>
          <w:spacing w:val="-2"/>
          <w:szCs w:val="22"/>
        </w:rPr>
        <w:t>323</w:t>
      </w:r>
      <w:r w:rsidRPr="002C4F26" w:rsidR="00FA4C0C">
        <w:rPr>
          <w:spacing w:val="-2"/>
          <w:szCs w:val="22"/>
        </w:rPr>
        <w:t>-0</w:t>
      </w:r>
      <w:r w:rsidR="00FA4C0C">
        <w:rPr>
          <w:spacing w:val="-2"/>
          <w:szCs w:val="22"/>
        </w:rPr>
        <w:t>0559</w:t>
      </w:r>
      <w:r w:rsidR="00FA4C0C">
        <w:t xml:space="preserve"> </w:t>
      </w:r>
      <w:r w:rsidR="00C653DE">
        <w:t>(</w:t>
      </w:r>
      <w:r w:rsidR="00CD3C8E">
        <w:t xml:space="preserve">filed </w:t>
      </w:r>
      <w:r w:rsidR="00FA4C0C">
        <w:t>Sept</w:t>
      </w:r>
      <w:r w:rsidR="00C653DE">
        <w:t>. 1</w:t>
      </w:r>
      <w:r w:rsidR="00FA4C0C">
        <w:t>6</w:t>
      </w:r>
      <w:r w:rsidR="00C653DE">
        <w:t>, 2022) (Viasat Opposition)</w:t>
      </w:r>
      <w:r w:rsidR="00BC43D0">
        <w:t>.</w:t>
      </w:r>
    </w:p>
  </w:footnote>
  <w:footnote w:id="22">
    <w:p w:rsidR="00633104" w:rsidRPr="003F5F9E" w14:paraId="32C4E478" w14:textId="31F7FED9">
      <w:pPr>
        <w:pStyle w:val="FootnoteText"/>
      </w:pPr>
      <w:r>
        <w:rPr>
          <w:rStyle w:val="FootnoteReference"/>
        </w:rPr>
        <w:footnoteRef/>
      </w:r>
      <w:r>
        <w:t xml:space="preserve"> </w:t>
      </w:r>
      <w:r w:rsidR="005B266C">
        <w:t xml:space="preserve">Verizon’s Reply </w:t>
      </w:r>
      <w:r w:rsidR="004731DC">
        <w:t xml:space="preserve">in Support of its Petition, </w:t>
      </w:r>
      <w:r w:rsidRPr="003F5F9E" w:rsidR="003F5F9E">
        <w:t xml:space="preserve">IBFS File No. </w:t>
      </w:r>
      <w:r w:rsidRPr="002C4F26" w:rsidR="00FA4C0C">
        <w:rPr>
          <w:spacing w:val="-2"/>
          <w:szCs w:val="22"/>
        </w:rPr>
        <w:t>SES-LIC-20210</w:t>
      </w:r>
      <w:r w:rsidR="00FA4C0C">
        <w:rPr>
          <w:spacing w:val="-2"/>
          <w:szCs w:val="22"/>
        </w:rPr>
        <w:t>323</w:t>
      </w:r>
      <w:r w:rsidRPr="002C4F26" w:rsidR="00FA4C0C">
        <w:rPr>
          <w:spacing w:val="-2"/>
          <w:szCs w:val="22"/>
        </w:rPr>
        <w:t>-0</w:t>
      </w:r>
      <w:r w:rsidR="00FA4C0C">
        <w:rPr>
          <w:spacing w:val="-2"/>
          <w:szCs w:val="22"/>
        </w:rPr>
        <w:t>0559</w:t>
      </w:r>
      <w:r w:rsidR="003F5F9E">
        <w:rPr>
          <w:i/>
          <w:iCs/>
        </w:rPr>
        <w:t xml:space="preserve"> </w:t>
      </w:r>
      <w:r w:rsidR="003F5F9E">
        <w:t>(</w:t>
      </w:r>
      <w:r w:rsidR="00CD3C8E">
        <w:t>filed Apr. 26, 2022)</w:t>
      </w:r>
      <w:r w:rsidR="00AC41AD">
        <w:t xml:space="preserve"> (Verizon Reply)</w:t>
      </w:r>
      <w:r w:rsidR="00CD3C8E">
        <w:t>.</w:t>
      </w:r>
    </w:p>
  </w:footnote>
  <w:footnote w:id="23">
    <w:p w:rsidR="00206632" w14:paraId="5DFF614B" w14:textId="6E81E001">
      <w:pPr>
        <w:pStyle w:val="FootnoteText"/>
      </w:pPr>
      <w:r>
        <w:rPr>
          <w:rStyle w:val="FootnoteReference"/>
        </w:rPr>
        <w:footnoteRef/>
      </w:r>
      <w:r>
        <w:t xml:space="preserve"> </w:t>
      </w:r>
      <w:r w:rsidRPr="00BC43D0" w:rsidR="00BC43D0">
        <w:t>Viasat Opposition</w:t>
      </w:r>
      <w:r w:rsidR="00BC43D0">
        <w:t xml:space="preserve"> at 1.</w:t>
      </w:r>
    </w:p>
  </w:footnote>
  <w:footnote w:id="24">
    <w:p w:rsidR="00D109EE" w14:paraId="474BE5FF" w14:textId="0586D587">
      <w:pPr>
        <w:pStyle w:val="FootnoteText"/>
      </w:pPr>
      <w:r>
        <w:rPr>
          <w:rStyle w:val="FootnoteReference"/>
        </w:rPr>
        <w:footnoteRef/>
      </w:r>
      <w:r>
        <w:t xml:space="preserve"> </w:t>
      </w:r>
      <w:r w:rsidR="009C77C8">
        <w:t>Verizon Reply at 1.</w:t>
      </w:r>
    </w:p>
  </w:footnote>
  <w:footnote w:id="25">
    <w:p w:rsidR="00017667" w:rsidRPr="002C4F26" w14:paraId="18D073EA" w14:textId="62AFD203">
      <w:pPr>
        <w:pStyle w:val="FootnoteText"/>
        <w:rPr>
          <w:i/>
          <w:iCs/>
        </w:rPr>
      </w:pPr>
      <w:r>
        <w:rPr>
          <w:rStyle w:val="FootnoteReference"/>
        </w:rPr>
        <w:footnoteRef/>
      </w:r>
      <w:r w:rsidRPr="002C4F26">
        <w:t xml:space="preserve"> </w:t>
      </w:r>
      <w:r w:rsidRPr="002C4F26" w:rsidR="00D13AEC">
        <w:rPr>
          <w:i/>
          <w:iCs/>
        </w:rPr>
        <w:t>Id.</w:t>
      </w:r>
    </w:p>
  </w:footnote>
  <w:footnote w:id="26">
    <w:p w:rsidR="00536A47" w:rsidRPr="002C4F26" w14:paraId="781C56E4" w14:textId="19B1A1FA">
      <w:pPr>
        <w:pStyle w:val="FootnoteText"/>
      </w:pPr>
      <w:r>
        <w:rPr>
          <w:rStyle w:val="FootnoteReference"/>
        </w:rPr>
        <w:footnoteRef/>
      </w:r>
      <w:r w:rsidRPr="002C4F26">
        <w:t xml:space="preserve"> </w:t>
      </w:r>
      <w:r w:rsidRPr="002C4F26" w:rsidR="00123817">
        <w:t xml:space="preserve">Viasat </w:t>
      </w:r>
      <w:r w:rsidR="00706E53">
        <w:t>June 27, 2022 Letter.</w:t>
      </w:r>
    </w:p>
  </w:footnote>
  <w:footnote w:id="27">
    <w:p w:rsidR="00633104" w14:paraId="78EB8416" w14:textId="6CE1D09B">
      <w:pPr>
        <w:pStyle w:val="FootnoteText"/>
      </w:pPr>
      <w:r>
        <w:rPr>
          <w:rStyle w:val="FootnoteReference"/>
        </w:rPr>
        <w:footnoteRef/>
      </w:r>
      <w:r w:rsidRPr="002C4F26">
        <w:t xml:space="preserve"> </w:t>
      </w:r>
      <w:r w:rsidRPr="002C4F26" w:rsidR="007F5C9B">
        <w:t>Letter from Daudeline Meme, Vice President &amp; As</w:t>
      </w:r>
      <w:r w:rsidR="007F5C9B">
        <w:t>sociate General Counse</w:t>
      </w:r>
      <w:r w:rsidR="00D16D5A">
        <w:t>l</w:t>
      </w:r>
      <w:r w:rsidR="007F5C9B">
        <w:t xml:space="preserve">, </w:t>
      </w:r>
      <w:r w:rsidRPr="002C4F26" w:rsidR="00435B1C">
        <w:t>Verizon</w:t>
      </w:r>
      <w:r w:rsidR="007F5C9B">
        <w:t xml:space="preserve">, to Marlene H. Dortch, Secretary, FCC, </w:t>
      </w:r>
      <w:r w:rsidRPr="002C4F26" w:rsidR="00913119">
        <w:t xml:space="preserve">IBFS File No. </w:t>
      </w:r>
      <w:r w:rsidRPr="00913119" w:rsidR="00913119">
        <w:t>SES-LIC-20210719-01091</w:t>
      </w:r>
      <w:r w:rsidR="00456803">
        <w:t xml:space="preserve"> </w:t>
      </w:r>
      <w:r w:rsidRPr="00913119" w:rsidR="00913119">
        <w:t>(filed Ju</w:t>
      </w:r>
      <w:r w:rsidR="00950E21">
        <w:t>ly</w:t>
      </w:r>
      <w:r w:rsidRPr="00913119" w:rsidR="00913119">
        <w:t xml:space="preserve"> 2</w:t>
      </w:r>
      <w:r w:rsidR="00950E21">
        <w:t>5</w:t>
      </w:r>
      <w:r w:rsidRPr="00913119" w:rsidR="00913119">
        <w:t>, 2022)</w:t>
      </w:r>
      <w:r w:rsidR="007F5C9B">
        <w:t xml:space="preserve"> </w:t>
      </w:r>
      <w:r w:rsidR="00456803">
        <w:t>(</w:t>
      </w:r>
      <w:r w:rsidR="007F5C9B">
        <w:t>Verizon</w:t>
      </w:r>
      <w:r w:rsidRPr="0055013D" w:rsidR="007F5C9B">
        <w:t xml:space="preserve"> </w:t>
      </w:r>
      <w:r w:rsidRPr="005E04A4" w:rsidR="007F5C9B">
        <w:rPr>
          <w:i/>
          <w:iCs/>
        </w:rPr>
        <w:t>Ex Parte</w:t>
      </w:r>
      <w:r w:rsidRPr="0055013D" w:rsidR="007F5C9B">
        <w:t xml:space="preserve"> Presentation</w:t>
      </w:r>
      <w:r w:rsidR="00456803">
        <w:t>)</w:t>
      </w:r>
      <w:r w:rsidRPr="00913119" w:rsidR="00913119">
        <w:t>.</w:t>
      </w:r>
    </w:p>
  </w:footnote>
  <w:footnote w:id="28">
    <w:p w:rsidR="00B70938" w:rsidP="00B70938" w14:paraId="1B135FB4" w14:textId="06C37904">
      <w:pPr>
        <w:pStyle w:val="FootnoteText"/>
      </w:pPr>
      <w:r>
        <w:rPr>
          <w:rStyle w:val="FootnoteReference"/>
        </w:rPr>
        <w:footnoteRef/>
      </w:r>
      <w:r>
        <w:t xml:space="preserve"> Verizon Petition at 2-3; </w:t>
      </w:r>
      <w:r w:rsidRPr="002518A5">
        <w:t xml:space="preserve">2020 Guidance </w:t>
      </w:r>
      <w:r w:rsidR="00D85F3B">
        <w:t>PN</w:t>
      </w:r>
      <w:r w:rsidRPr="002518A5">
        <w:t xml:space="preserve"> at 3.</w:t>
      </w:r>
    </w:p>
  </w:footnote>
  <w:footnote w:id="29">
    <w:p w:rsidR="003042AE" w:rsidRPr="00893281" w14:paraId="694AA6BB" w14:textId="698A1B20">
      <w:pPr>
        <w:pStyle w:val="FootnoteText"/>
      </w:pPr>
      <w:r>
        <w:rPr>
          <w:rStyle w:val="FootnoteReference"/>
        </w:rPr>
        <w:footnoteRef/>
      </w:r>
      <w:r>
        <w:t xml:space="preserve"> </w:t>
      </w:r>
      <w:r w:rsidR="00CB4768">
        <w:t xml:space="preserve">Viasat </w:t>
      </w:r>
      <w:r w:rsidRPr="00456803" w:rsidR="00CB4768">
        <w:rPr>
          <w:i/>
          <w:iCs/>
        </w:rPr>
        <w:t>Ex Parte</w:t>
      </w:r>
      <w:r w:rsidR="00CB4768">
        <w:t xml:space="preserve"> Response at </w:t>
      </w:r>
      <w:r w:rsidR="0041716C">
        <w:t>6</w:t>
      </w:r>
      <w:r w:rsidR="00053EC6">
        <w:t>, Attachment 3 (</w:t>
      </w:r>
      <w:r w:rsidRPr="00456803" w:rsidR="00053EC6">
        <w:rPr>
          <w:i/>
          <w:iCs/>
        </w:rPr>
        <w:t>citing</w:t>
      </w:r>
      <w:r w:rsidR="00053EC6">
        <w:t xml:space="preserve"> Letter from Viasat to FCC, GN Docket No. 14-177 et al. (filed Apr. 20, 2017)</w:t>
      </w:r>
      <w:r w:rsidR="00FC1B2F">
        <w:t>)</w:t>
      </w:r>
      <w:r w:rsidR="00053EC6">
        <w:t>.</w:t>
      </w:r>
      <w:r w:rsidR="0041716C">
        <w:t xml:space="preserve"> Viasat state</w:t>
      </w:r>
      <w:r w:rsidR="002D6014">
        <w:t>s</w:t>
      </w:r>
      <w:r w:rsidR="0041716C">
        <w:t xml:space="preserve"> that it previously </w:t>
      </w:r>
      <w:r w:rsidR="00D153FA">
        <w:t xml:space="preserve">validated the accuracy of the ITM as part of the Commission’s </w:t>
      </w:r>
      <w:r w:rsidRPr="009D5D6C" w:rsidR="00D153FA">
        <w:rPr>
          <w:i/>
          <w:iCs/>
        </w:rPr>
        <w:t>Spectrum Frontiers</w:t>
      </w:r>
      <w:r w:rsidR="00D153FA">
        <w:t xml:space="preserve"> proceeding</w:t>
      </w:r>
      <w:r w:rsidR="009D5D6C">
        <w:t xml:space="preserve"> in which</w:t>
      </w:r>
      <w:r w:rsidR="00D153FA">
        <w:t xml:space="preserve"> on-site measurements of radio frequency levels around its Carlsbad, C</w:t>
      </w:r>
      <w:r w:rsidR="00F21415">
        <w:t>alifornia</w:t>
      </w:r>
      <w:r w:rsidR="00D153FA">
        <w:t xml:space="preserve"> facility </w:t>
      </w:r>
      <w:r w:rsidR="009D5D6C">
        <w:t xml:space="preserve">were performed </w:t>
      </w:r>
      <w:r w:rsidR="00D153FA">
        <w:t>from a 1.8 m roof-mounted antenna operating in the Ka band.</w:t>
      </w:r>
      <w:r w:rsidR="00893281">
        <w:t xml:space="preserve"> </w:t>
      </w:r>
      <w:r w:rsidR="00456803">
        <w:t xml:space="preserve"> </w:t>
      </w:r>
      <w:r w:rsidR="00893281">
        <w:rPr>
          <w:i/>
          <w:iCs/>
        </w:rPr>
        <w:t xml:space="preserve">Id. </w:t>
      </w:r>
      <w:r w:rsidR="00893281">
        <w:t xml:space="preserve">at 6. </w:t>
      </w:r>
    </w:p>
  </w:footnote>
  <w:footnote w:id="30">
    <w:p w:rsidR="00564D7B" w:rsidP="00564D7B" w14:paraId="6728C9A0" w14:textId="57FDDDC1">
      <w:pPr>
        <w:pStyle w:val="FootnoteText"/>
      </w:pPr>
      <w:r>
        <w:rPr>
          <w:rStyle w:val="FootnoteReference"/>
        </w:rPr>
        <w:footnoteRef/>
      </w:r>
      <w:r>
        <w:t xml:space="preserve"> Viasat Opposition at 6, Explanatory Addendum.</w:t>
      </w:r>
    </w:p>
  </w:footnote>
  <w:footnote w:id="31">
    <w:p w:rsidR="00B77B98" w:rsidRPr="003D154D" w:rsidP="00B77B98" w14:paraId="0CF1395E" w14:textId="4F3EA9F8">
      <w:pPr>
        <w:pStyle w:val="FootnoteText"/>
      </w:pPr>
      <w:r>
        <w:rPr>
          <w:rStyle w:val="FootnoteReference"/>
        </w:rPr>
        <w:footnoteRef/>
      </w:r>
      <w:r>
        <w:t xml:space="preserve"> </w:t>
      </w:r>
      <w:r w:rsidRPr="00D057ED">
        <w:rPr>
          <w:i/>
          <w:iCs/>
        </w:rPr>
        <w:t>See</w:t>
      </w:r>
      <w:r>
        <w:t xml:space="preserve"> NTIA Report 82-100 at 1 (Apr. 1, 1982), available at </w:t>
      </w:r>
      <w:hyperlink r:id="rId3" w:history="1">
        <w:r w:rsidRPr="00930EE2">
          <w:rPr>
            <w:rStyle w:val="Hyperlink"/>
          </w:rPr>
          <w:t>https://www.ntia.doc.gov/files/ntia/publications/ntia_82-100_20121129145031_555510.</w:t>
        </w:r>
        <w:r>
          <w:rPr>
            <w:rStyle w:val="Hyperlink"/>
          </w:rPr>
          <w:t>PFD</w:t>
        </w:r>
      </w:hyperlink>
      <w:r>
        <w:t xml:space="preserve">.  </w:t>
      </w:r>
      <w:r>
        <w:rPr>
          <w:i/>
          <w:iCs/>
        </w:rPr>
        <w:t xml:space="preserve">See also </w:t>
      </w:r>
      <w:r w:rsidRPr="00F1522C">
        <w:t xml:space="preserve">The Commission </w:t>
      </w:r>
      <w:r>
        <w:t xml:space="preserve">Begins </w:t>
      </w:r>
      <w:r w:rsidRPr="00F1522C">
        <w:t xml:space="preserve">the </w:t>
      </w:r>
      <w:r w:rsidRPr="00681C55">
        <w:t xml:space="preserve">Process for Authorizing 6 GHz Band Automated Frequency Coordination systems, </w:t>
      </w:r>
      <w:r w:rsidRPr="00681C55" w:rsidR="00681C55">
        <w:t>36 FCC Rcd 14098, 14100</w:t>
      </w:r>
      <w:r w:rsidRPr="00681C55">
        <w:t>, para 5 (</w:t>
      </w:r>
      <w:r w:rsidRPr="00681C55" w:rsidR="00681C55">
        <w:t>202</w:t>
      </w:r>
      <w:r w:rsidRPr="00681C55">
        <w:t>1)</w:t>
      </w:r>
      <w:r w:rsidRPr="00681C55" w:rsidR="00681C55">
        <w:t xml:space="preserve"> </w:t>
      </w:r>
      <w:r w:rsidRPr="003D154D" w:rsidR="00681C55">
        <w:t>(“</w:t>
      </w:r>
      <w:r w:rsidRPr="003D154D" w:rsidR="00681C55">
        <w:rPr>
          <w:shd w:val="clear" w:color="auto" w:fill="FFFFFF"/>
        </w:rPr>
        <w:t>The ITM has been widely available and accepted since the early 1980s [and] has been used by the Commission for interference prediction in other proceedings</w:t>
      </w:r>
      <w:r w:rsidRPr="003D154D" w:rsidR="00681C55">
        <w:t xml:space="preserve"> . . . .”).</w:t>
      </w:r>
    </w:p>
  </w:footnote>
  <w:footnote w:id="32">
    <w:p w:rsidR="00D26FD3" w14:paraId="716562C3" w14:textId="08FB4007">
      <w:pPr>
        <w:pStyle w:val="FootnoteText"/>
      </w:pPr>
      <w:r>
        <w:rPr>
          <w:rStyle w:val="FootnoteReference"/>
        </w:rPr>
        <w:footnoteRef/>
      </w:r>
      <w:r>
        <w:t xml:space="preserve"> </w:t>
      </w:r>
      <w:r w:rsidRPr="00750326" w:rsidR="00750326">
        <w:rPr>
          <w:i/>
          <w:iCs/>
        </w:rPr>
        <w:t>S</w:t>
      </w:r>
      <w:r w:rsidRPr="00750326" w:rsidR="00192973">
        <w:rPr>
          <w:i/>
          <w:iCs/>
        </w:rPr>
        <w:t>ee</w:t>
      </w:r>
      <w:r w:rsidR="00192973">
        <w:t xml:space="preserve"> Viasat Ex </w:t>
      </w:r>
      <w:r w:rsidR="00750326">
        <w:t xml:space="preserve">Parte Response at 4; </w:t>
      </w:r>
      <w:r w:rsidRPr="00750326" w:rsidR="00750326">
        <w:rPr>
          <w:i/>
          <w:iCs/>
        </w:rPr>
        <w:t>Irregular Terrain Model (ITM) (Longley-Rice) (20 MHz – 20 GHz)</w:t>
      </w:r>
      <w:r w:rsidR="00750326">
        <w:t xml:space="preserve">, </w:t>
      </w:r>
      <w:hyperlink r:id="rId4" w:history="1">
        <w:r w:rsidRPr="007A0539" w:rsidR="00750326">
          <w:rPr>
            <w:rStyle w:val="Hyperlink"/>
          </w:rPr>
          <w:t>https://its.ntia.gov/research-topics/radio-propagation-software/itm/itm.aspx</w:t>
        </w:r>
      </w:hyperlink>
      <w:r w:rsidR="00750326">
        <w:t>. (last visited Mar. 3, 2023).</w:t>
      </w:r>
    </w:p>
  </w:footnote>
  <w:footnote w:id="33">
    <w:p w:rsidR="00AD52F4" w14:paraId="6893353E" w14:textId="119DEED1">
      <w:pPr>
        <w:pStyle w:val="FootnoteText"/>
      </w:pPr>
      <w:r>
        <w:rPr>
          <w:rStyle w:val="FootnoteReference"/>
        </w:rPr>
        <w:footnoteRef/>
      </w:r>
      <w:r>
        <w:t xml:space="preserve"> Verizon Petition at 4</w:t>
      </w:r>
      <w:r w:rsidR="00DC5651">
        <w:t>.</w:t>
      </w:r>
    </w:p>
  </w:footnote>
  <w:footnote w:id="34">
    <w:p w:rsidR="00944A55" w14:paraId="73FD1917" w14:textId="754D5F7F">
      <w:pPr>
        <w:pStyle w:val="FootnoteText"/>
      </w:pPr>
      <w:r>
        <w:rPr>
          <w:rStyle w:val="FootnoteReference"/>
        </w:rPr>
        <w:footnoteRef/>
      </w:r>
      <w:r>
        <w:t xml:space="preserve"> </w:t>
      </w:r>
      <w:hyperlink r:id="rId5" w:history="1">
        <w:r w:rsidRPr="007F6F22" w:rsidR="007F6F22">
          <w:rPr>
            <w:rStyle w:val="Hyperlink"/>
          </w:rPr>
          <w:t>https://its.ntia.gov/media/50676/itm_alg.pdf</w:t>
        </w:r>
        <w:r w:rsidRPr="00CF42F4" w:rsidR="007F6F22">
          <w:rPr>
            <w:rStyle w:val="Hyperlink"/>
          </w:rPr>
          <w:t xml:space="preserve"> at 5</w:t>
        </w:r>
      </w:hyperlink>
      <w:r w:rsidR="007F6F22">
        <w:t>, noting th</w:t>
      </w:r>
      <w:r w:rsidR="003B3ABD">
        <w:t xml:space="preserve">at the </w:t>
      </w:r>
      <w:r w:rsidR="00371F0C">
        <w:t xml:space="preserve">documentation states that </w:t>
      </w:r>
      <w:r w:rsidR="00D37244">
        <w:t>t</w:t>
      </w:r>
      <w:r w:rsidR="00371F0C">
        <w:t>he parameters h</w:t>
      </w:r>
      <w:r w:rsidRPr="00F60892" w:rsidR="00371F0C">
        <w:rPr>
          <w:vertAlign w:val="subscript"/>
        </w:rPr>
        <w:t>ej</w:t>
      </w:r>
      <w:r w:rsidR="00371F0C">
        <w:t xml:space="preserve"> , d</w:t>
      </w:r>
      <w:r w:rsidRPr="00F60892" w:rsidR="00371F0C">
        <w:rPr>
          <w:vertAlign w:val="subscript"/>
        </w:rPr>
        <w:t>Lj</w:t>
      </w:r>
      <w:r w:rsidR="00371F0C">
        <w:t xml:space="preserve"> , </w:t>
      </w:r>
      <w:r w:rsidR="005C27DF">
        <w:t>Ɵ</w:t>
      </w:r>
      <w:r w:rsidRPr="00F60892" w:rsidR="00371F0C">
        <w:rPr>
          <w:vertAlign w:val="subscript"/>
        </w:rPr>
        <w:t>ej</w:t>
      </w:r>
      <w:r w:rsidR="00371F0C">
        <w:t xml:space="preserve"> , j = 1; 2, which are part of the input in the point-to-point mode are, in the area prediction mode, estimated using empirical formulas in which </w:t>
      </w:r>
      <w:r w:rsidR="007617B2">
        <w:t>Δ</w:t>
      </w:r>
      <w:r w:rsidR="00371F0C">
        <w:t xml:space="preserve">h </w:t>
      </w:r>
      <w:r w:rsidR="00EC21AC">
        <w:t xml:space="preserve">(eg average terrain variation) </w:t>
      </w:r>
      <w:r w:rsidR="00371F0C">
        <w:t>plays an important role</w:t>
      </w:r>
      <w:r w:rsidR="00DC5651">
        <w:t>.</w:t>
      </w:r>
    </w:p>
  </w:footnote>
  <w:footnote w:id="35">
    <w:p w:rsidR="00D8706D" w:rsidRPr="007C4034" w14:paraId="742EB9C7" w14:textId="14063DF6">
      <w:pPr>
        <w:pStyle w:val="FootnoteText"/>
        <w:rPr>
          <w:lang w:val="pt-BR"/>
        </w:rPr>
      </w:pPr>
      <w:r>
        <w:rPr>
          <w:rStyle w:val="FootnoteReference"/>
        </w:rPr>
        <w:footnoteRef/>
      </w:r>
      <w:r w:rsidRPr="007C4034" w:rsidR="00DC5651">
        <w:rPr>
          <w:lang w:val="pt-BR"/>
        </w:rPr>
        <w:t xml:space="preserve"> </w:t>
      </w:r>
      <w:r w:rsidRPr="007C4034" w:rsidR="00DC5651">
        <w:rPr>
          <w:i/>
          <w:lang w:val="pt-BR"/>
        </w:rPr>
        <w:t>Id</w:t>
      </w:r>
      <w:r w:rsidRPr="007C4034" w:rsidR="00DC5651">
        <w:rPr>
          <w:lang w:val="pt-BR"/>
        </w:rPr>
        <w:t>.</w:t>
      </w:r>
    </w:p>
  </w:footnote>
  <w:footnote w:id="36">
    <w:p w:rsidR="00A7641B" w:rsidRPr="007C4034" w14:paraId="367F1971" w14:textId="3C0C91FA">
      <w:pPr>
        <w:pStyle w:val="FootnoteText"/>
        <w:rPr>
          <w:lang w:val="pt-BR"/>
        </w:rPr>
      </w:pPr>
      <w:r>
        <w:rPr>
          <w:rStyle w:val="FootnoteReference"/>
        </w:rPr>
        <w:footnoteRef/>
      </w:r>
      <w:r w:rsidRPr="007C4034">
        <w:rPr>
          <w:lang w:val="pt-BR"/>
        </w:rPr>
        <w:t xml:space="preserve"> </w:t>
      </w:r>
      <w:r w:rsidRPr="007C4034" w:rsidR="0000744E">
        <w:rPr>
          <w:color w:val="000000"/>
          <w:lang w:val="pt-BR"/>
        </w:rPr>
        <w:t xml:space="preserve">Viasat Ex Parte Response at </w:t>
      </w:r>
      <w:r w:rsidRPr="007C4034" w:rsidR="00EF72A4">
        <w:rPr>
          <w:color w:val="000000"/>
          <w:lang w:val="pt-BR"/>
        </w:rPr>
        <w:t>2.</w:t>
      </w:r>
    </w:p>
  </w:footnote>
  <w:footnote w:id="37">
    <w:p w:rsidR="0000527F" w14:paraId="54280D83" w14:textId="3A542D77">
      <w:pPr>
        <w:pStyle w:val="FootnoteText"/>
      </w:pPr>
      <w:r>
        <w:rPr>
          <w:rStyle w:val="FootnoteReference"/>
        </w:rPr>
        <w:footnoteRef/>
      </w:r>
      <w:r>
        <w:t xml:space="preserve"> </w:t>
      </w:r>
      <w:hyperlink r:id="rId6" w:history="1">
        <w:r w:rsidRPr="009F624C" w:rsidR="007C2DC9">
          <w:rPr>
            <w:rStyle w:val="Hyperlink"/>
          </w:rPr>
          <w:t>https://its.ntia.gov/media/50676/itm_alg.pdf</w:t>
        </w:r>
      </w:hyperlink>
      <w:r w:rsidR="007C2DC9">
        <w:t xml:space="preserve"> at 4</w:t>
      </w:r>
      <w:r w:rsidR="00DC5651">
        <w:t>.</w:t>
      </w:r>
    </w:p>
  </w:footnote>
  <w:footnote w:id="38">
    <w:p w:rsidR="001E4D12" w:rsidP="001E4D12" w14:paraId="43546834" w14:textId="5F801C9C">
      <w:pPr>
        <w:pStyle w:val="FootnoteText"/>
      </w:pPr>
      <w:r>
        <w:rPr>
          <w:rStyle w:val="FootnoteReference"/>
        </w:rPr>
        <w:footnoteRef/>
      </w:r>
      <w:r w:rsidR="00045083">
        <w:t xml:space="preserve"> Verizon Petition at 3; Verizon Reply at 2-3; </w:t>
      </w:r>
      <w:r w:rsidRPr="002518A5" w:rsidR="00045083">
        <w:t xml:space="preserve">2020 Guidance </w:t>
      </w:r>
      <w:r w:rsidR="00045083">
        <w:t>PN</w:t>
      </w:r>
      <w:r w:rsidRPr="002518A5" w:rsidR="00045083">
        <w:t xml:space="preserve"> at 3</w:t>
      </w:r>
      <w:r w:rsidR="00045083">
        <w:t>.</w:t>
      </w:r>
    </w:p>
  </w:footnote>
  <w:footnote w:id="39">
    <w:p w:rsidR="005306B9" w:rsidRPr="00514403" w14:paraId="59DFAF73" w14:textId="6E2BDA80">
      <w:pPr>
        <w:pStyle w:val="FootnoteText"/>
        <w:rPr>
          <w:i/>
          <w:iCs/>
        </w:rPr>
      </w:pPr>
      <w:r>
        <w:rPr>
          <w:rStyle w:val="FootnoteReference"/>
        </w:rPr>
        <w:footnoteRef/>
      </w:r>
      <w:r>
        <w:t xml:space="preserve"> </w:t>
      </w:r>
      <w:r w:rsidRPr="009A4CB1" w:rsidR="00F11F3D">
        <w:t xml:space="preserve">2020 Guidance </w:t>
      </w:r>
      <w:r w:rsidR="007A1A71">
        <w:t>PN</w:t>
      </w:r>
      <w:r w:rsidRPr="009A4CB1" w:rsidR="00F11F3D">
        <w:t xml:space="preserve"> at </w:t>
      </w:r>
      <w:r w:rsidR="00F11F3D">
        <w:t>2</w:t>
      </w:r>
      <w:r w:rsidR="00DC5651">
        <w:t>.</w:t>
      </w:r>
    </w:p>
  </w:footnote>
  <w:footnote w:id="40">
    <w:p w:rsidR="009F1D5F" w14:paraId="485F8C10" w14:textId="29F40276">
      <w:pPr>
        <w:pStyle w:val="FootnoteText"/>
      </w:pPr>
      <w:r>
        <w:rPr>
          <w:rStyle w:val="FootnoteReference"/>
        </w:rPr>
        <w:footnoteRef/>
      </w:r>
      <w:r>
        <w:t xml:space="preserve"> </w:t>
      </w:r>
      <w:r w:rsidRPr="00706E53" w:rsidR="00706E53">
        <w:rPr>
          <w:i/>
          <w:iCs/>
        </w:rPr>
        <w:t>See</w:t>
      </w:r>
      <w:r w:rsidR="00706E53">
        <w:t xml:space="preserve"> para. 17 </w:t>
      </w:r>
      <w:r w:rsidR="009470C3">
        <w:t>below.</w:t>
      </w:r>
    </w:p>
  </w:footnote>
  <w:footnote w:id="41">
    <w:p w:rsidR="0030734C" w:rsidP="0030734C" w14:paraId="47D18EA2" w14:textId="0BA89BEA">
      <w:pPr>
        <w:pStyle w:val="FootnoteText"/>
      </w:pPr>
      <w:r>
        <w:rPr>
          <w:rStyle w:val="FootnoteReference"/>
        </w:rPr>
        <w:footnoteRef/>
      </w:r>
      <w:r>
        <w:t xml:space="preserve"> Verizon Petition at 5.</w:t>
      </w:r>
    </w:p>
  </w:footnote>
  <w:footnote w:id="42">
    <w:p w:rsidR="0030734C" w:rsidP="0030734C" w14:paraId="4D59B890" w14:textId="13F7273A">
      <w:pPr>
        <w:pStyle w:val="FootnoteText"/>
      </w:pPr>
      <w:r>
        <w:rPr>
          <w:rStyle w:val="FootnoteReference"/>
        </w:rPr>
        <w:footnoteRef/>
      </w:r>
      <w:r>
        <w:t xml:space="preserve"> Verizon Reply at 2.</w:t>
      </w:r>
    </w:p>
  </w:footnote>
  <w:footnote w:id="43">
    <w:p w:rsidR="0030734C" w:rsidRPr="00665541" w:rsidP="0030734C" w14:paraId="060A52BE" w14:textId="77777777">
      <w:pPr>
        <w:pStyle w:val="FootnoteText"/>
        <w:rPr>
          <w:i/>
          <w:iCs/>
        </w:rPr>
      </w:pPr>
      <w:r>
        <w:rPr>
          <w:rStyle w:val="FootnoteReference"/>
        </w:rPr>
        <w:footnoteRef/>
      </w:r>
      <w:r>
        <w:t xml:space="preserve"> </w:t>
      </w:r>
      <w:r>
        <w:rPr>
          <w:i/>
          <w:iCs/>
        </w:rPr>
        <w:t>Id.</w:t>
      </w:r>
    </w:p>
  </w:footnote>
  <w:footnote w:id="44">
    <w:p w:rsidR="0030734C" w:rsidRPr="002B13E2" w:rsidP="0030734C" w14:paraId="5515021D" w14:textId="77777777">
      <w:pPr>
        <w:pStyle w:val="FootnoteText"/>
        <w:rPr>
          <w:i/>
          <w:iCs/>
        </w:rPr>
      </w:pPr>
      <w:r>
        <w:rPr>
          <w:rStyle w:val="FootnoteReference"/>
        </w:rPr>
        <w:footnoteRef/>
      </w:r>
      <w:r>
        <w:t xml:space="preserve"> </w:t>
      </w:r>
      <w:r>
        <w:rPr>
          <w:i/>
          <w:iCs/>
        </w:rPr>
        <w:t>Id.</w:t>
      </w:r>
    </w:p>
  </w:footnote>
  <w:footnote w:id="45">
    <w:p w:rsidR="00C240B9" w:rsidP="00C240B9" w14:paraId="281E17E1" w14:textId="75FF4EF4">
      <w:pPr>
        <w:pStyle w:val="FootnoteText"/>
      </w:pPr>
      <w:r>
        <w:rPr>
          <w:rStyle w:val="FootnoteReference"/>
        </w:rPr>
        <w:footnoteRef/>
      </w:r>
      <w:r>
        <w:t xml:space="preserve"> Verizon Petition at 4</w:t>
      </w:r>
      <w:r w:rsidR="00DC5651">
        <w:t>.</w:t>
      </w:r>
    </w:p>
  </w:footnote>
  <w:footnote w:id="46">
    <w:p w:rsidR="0030734C" w:rsidP="0030734C" w14:paraId="21FEEA21" w14:textId="690F8892">
      <w:pPr>
        <w:pStyle w:val="FootnoteText"/>
      </w:pPr>
      <w:r>
        <w:rPr>
          <w:rStyle w:val="FootnoteReference"/>
        </w:rPr>
        <w:footnoteRef/>
      </w:r>
      <w:r>
        <w:t xml:space="preserve"> Viasat </w:t>
      </w:r>
      <w:r w:rsidRPr="00BC43D0">
        <w:t>Opposition</w:t>
      </w:r>
      <w:r>
        <w:t xml:space="preserve"> at 4.</w:t>
      </w:r>
    </w:p>
  </w:footnote>
  <w:footnote w:id="47">
    <w:p w:rsidR="0030734C" w:rsidP="0030734C" w14:paraId="4B68B46D" w14:textId="318A830F">
      <w:pPr>
        <w:pStyle w:val="FootnoteText"/>
      </w:pPr>
      <w:r>
        <w:rPr>
          <w:rStyle w:val="FootnoteReference"/>
        </w:rPr>
        <w:footnoteRef/>
      </w:r>
      <w:r>
        <w:t xml:space="preserve"> Viasat Opposition at 4. </w:t>
      </w:r>
      <w:r w:rsidR="00F31932">
        <w:t xml:space="preserve"> </w:t>
      </w:r>
      <w:r w:rsidRPr="00045083" w:rsidR="00470F9E">
        <w:t>The C++ implementation from NTIA’s website is “functionally identical to the version of the ITM currently available on Github, but does not generate the same warning or error messages as the Github version in certain cases.”</w:t>
      </w:r>
      <w:r w:rsidR="00F56D50">
        <w:t xml:space="preserve"> </w:t>
      </w:r>
      <w:r w:rsidR="00470F9E">
        <w:t xml:space="preserve"> </w:t>
      </w:r>
      <w:r w:rsidR="00BF002C">
        <w:t xml:space="preserve">Viasat Ex Parte Response at 4.  </w:t>
      </w:r>
      <w:r w:rsidR="00470F9E">
        <w:t xml:space="preserve">However, when Viasat downloaded the C++ code from NTIA’s website and implemented the code for its demonstrations the code “compiles and runs without error for the distances and frequency ranges analyzed by Viasat.” </w:t>
      </w:r>
      <w:r w:rsidR="00F56D50">
        <w:t xml:space="preserve"> </w:t>
      </w:r>
      <w:r w:rsidRPr="00BF002C" w:rsidR="00BF002C">
        <w:rPr>
          <w:i/>
          <w:iCs/>
        </w:rPr>
        <w:t>Id</w:t>
      </w:r>
      <w:r w:rsidR="00BF002C">
        <w:t>.</w:t>
      </w:r>
    </w:p>
  </w:footnote>
  <w:footnote w:id="48">
    <w:p w:rsidR="0030734C" w:rsidRPr="00D7073C" w:rsidP="0030734C" w14:paraId="0ADE9B88" w14:textId="77777777">
      <w:pPr>
        <w:pStyle w:val="FootnoteText"/>
      </w:pPr>
      <w:r>
        <w:rPr>
          <w:rStyle w:val="FootnoteReference"/>
        </w:rPr>
        <w:footnoteRef/>
      </w:r>
      <w:r>
        <w:t xml:space="preserve"> </w:t>
      </w:r>
      <w:r>
        <w:rPr>
          <w:i/>
          <w:iCs/>
        </w:rPr>
        <w:t>Id.</w:t>
      </w:r>
      <w:r>
        <w:t xml:space="preserve"> at 4-5.</w:t>
      </w:r>
    </w:p>
  </w:footnote>
  <w:footnote w:id="49">
    <w:p w:rsidR="0049599D" w:rsidP="0049599D" w14:paraId="2EF6E22B" w14:textId="423072F3">
      <w:pPr>
        <w:pStyle w:val="FootnoteText"/>
      </w:pPr>
      <w:r>
        <w:rPr>
          <w:rStyle w:val="FootnoteReference"/>
        </w:rPr>
        <w:footnoteRef/>
      </w:r>
      <w:r>
        <w:t xml:space="preserve"> </w:t>
      </w:r>
      <w:r w:rsidRPr="00D057ED">
        <w:rPr>
          <w:i/>
          <w:iCs/>
        </w:rPr>
        <w:t>See</w:t>
      </w:r>
      <w:r>
        <w:t xml:space="preserve"> NTIA Report 82-100 at 1 (Apr. 1, 1982), available at </w:t>
      </w:r>
      <w:hyperlink r:id="rId3" w:history="1">
        <w:r w:rsidRPr="00930EE2">
          <w:rPr>
            <w:rStyle w:val="Hyperlink"/>
          </w:rPr>
          <w:t>https://www.ntia.doc.gov/files/ntia/publications/ntia_82-100_20121129145031_555510.</w:t>
        </w:r>
        <w:r>
          <w:rPr>
            <w:rStyle w:val="Hyperlink"/>
          </w:rPr>
          <w:t>PFD</w:t>
        </w:r>
      </w:hyperlink>
      <w:r>
        <w:t xml:space="preserve">. </w:t>
      </w:r>
      <w:r w:rsidR="00F56D50">
        <w:t xml:space="preserve"> </w:t>
      </w:r>
      <w:r>
        <w:rPr>
          <w:i/>
          <w:iCs/>
        </w:rPr>
        <w:t xml:space="preserve">See also </w:t>
      </w:r>
      <w:r w:rsidRPr="00F1522C">
        <w:t xml:space="preserve">The Commission </w:t>
      </w:r>
      <w:r w:rsidR="00456803">
        <w:t>B</w:t>
      </w:r>
      <w:r w:rsidR="001F2B55">
        <w:t xml:space="preserve">egins </w:t>
      </w:r>
      <w:r w:rsidRPr="00F1522C">
        <w:t xml:space="preserve">the Process for Authorizing 6 GHz Band Automated Frequency Coordination systems, </w:t>
      </w:r>
      <w:r w:rsidRPr="00681C55" w:rsidR="00681C55">
        <w:t xml:space="preserve">36 FCC Rcd 14098, 14100, para 5 (2021) </w:t>
      </w:r>
      <w:r w:rsidR="00681C55">
        <w:t>(“</w:t>
      </w:r>
      <w:r w:rsidRPr="00681C55" w:rsidR="00681C55">
        <w:rPr>
          <w:color w:val="3D3D3D"/>
          <w:shd w:val="clear" w:color="auto" w:fill="FFFFFF"/>
        </w:rPr>
        <w:t>The ITM has been widely available and accepted since the early 1980s</w:t>
      </w:r>
      <w:r w:rsidR="00681C55">
        <w:rPr>
          <w:color w:val="3D3D3D"/>
          <w:shd w:val="clear" w:color="auto" w:fill="FFFFFF"/>
        </w:rPr>
        <w:t xml:space="preserve"> [and]</w:t>
      </w:r>
      <w:r w:rsidRPr="00681C55" w:rsidR="00681C55">
        <w:rPr>
          <w:color w:val="3D3D3D"/>
          <w:shd w:val="clear" w:color="auto" w:fill="FFFFFF"/>
        </w:rPr>
        <w:t xml:space="preserve"> has been used by the Commission for interference prediction in other proceedings</w:t>
      </w:r>
      <w:r w:rsidR="00681C55">
        <w:t xml:space="preserve"> . . . .”).</w:t>
      </w:r>
    </w:p>
  </w:footnote>
  <w:footnote w:id="50">
    <w:p w:rsidR="0049599D" w:rsidP="0049599D" w14:paraId="504F62D6" w14:textId="7411C9E4">
      <w:pPr>
        <w:pStyle w:val="FootnoteText"/>
      </w:pPr>
      <w:r>
        <w:rPr>
          <w:rStyle w:val="FootnoteReference"/>
        </w:rPr>
        <w:footnoteRef/>
      </w:r>
      <w:r>
        <w:t xml:space="preserve"> </w:t>
      </w:r>
      <w:r w:rsidRPr="00644E58">
        <w:rPr>
          <w:i/>
          <w:iCs/>
        </w:rPr>
        <w:t>See</w:t>
      </w:r>
      <w:r w:rsidRPr="00644E58">
        <w:t xml:space="preserve"> </w:t>
      </w:r>
      <w:r>
        <w:t xml:space="preserve">Viasat </w:t>
      </w:r>
      <w:r w:rsidRPr="00644E58">
        <w:t>Application, Exhibit A.</w:t>
      </w:r>
    </w:p>
  </w:footnote>
  <w:footnote w:id="51">
    <w:p w:rsidR="00EB19C0" w:rsidRPr="000D5429" w14:paraId="71159225" w14:textId="4FBEFEC2">
      <w:pPr>
        <w:pStyle w:val="FootnoteText"/>
        <w:rPr>
          <w:b/>
          <w:bCs/>
        </w:rPr>
      </w:pPr>
      <w:r>
        <w:rPr>
          <w:rStyle w:val="FootnoteReference"/>
        </w:rPr>
        <w:footnoteRef/>
      </w:r>
      <w:r>
        <w:t xml:space="preserve"> </w:t>
      </w:r>
      <w:r>
        <w:rPr>
          <w:i/>
          <w:iCs/>
        </w:rPr>
        <w:t>See</w:t>
      </w:r>
      <w:r>
        <w:t xml:space="preserve"> “What are the underlying calculations, parameters, and assumptions for the Longley-Rice (ITM) propagation model?” September 24, 2013, RF Engineering Article</w:t>
      </w:r>
      <w:r w:rsidR="00C10C31">
        <w:t>s</w:t>
      </w:r>
      <w:r>
        <w:t>,</w:t>
      </w:r>
      <w:r w:rsidR="008E66E2">
        <w:t xml:space="preserve"> </w:t>
      </w:r>
      <w:r w:rsidRPr="00A01CCB" w:rsidR="00A01CCB">
        <w:t>https://www.softwright.com/support/faq/underlying-calculations-parameters-assumptions-longley-rice-itm-propagation-model/</w:t>
      </w:r>
      <w:r w:rsidR="000441B6">
        <w:rPr>
          <w:b/>
          <w:bCs/>
        </w:rPr>
        <w:t>.</w:t>
      </w:r>
    </w:p>
  </w:footnote>
  <w:footnote w:id="52">
    <w:p w:rsidR="009842C2" w14:paraId="3912C257" w14:textId="6C6F79A7">
      <w:pPr>
        <w:pStyle w:val="FootnoteText"/>
      </w:pPr>
      <w:r>
        <w:rPr>
          <w:rStyle w:val="FootnoteReference"/>
        </w:rPr>
        <w:footnoteRef/>
      </w:r>
      <w:r>
        <w:t xml:space="preserve"> </w:t>
      </w:r>
      <w:r w:rsidRPr="00293A0A" w:rsidR="00293A0A">
        <w:rPr>
          <w:i/>
          <w:iCs/>
        </w:rPr>
        <w:t>See</w:t>
      </w:r>
      <w:r w:rsidR="00293A0A">
        <w:t xml:space="preserve"> </w:t>
      </w:r>
      <w:r w:rsidR="00C52C1F">
        <w:t>Verizon Petition at 3.</w:t>
      </w:r>
    </w:p>
  </w:footnote>
  <w:footnote w:id="53">
    <w:p w:rsidR="001B44EE" w14:paraId="2DECB749" w14:textId="37F3D58F">
      <w:pPr>
        <w:pStyle w:val="FootnoteText"/>
      </w:pPr>
      <w:r>
        <w:rPr>
          <w:rStyle w:val="FootnoteReference"/>
        </w:rPr>
        <w:footnoteRef/>
      </w:r>
      <w:r>
        <w:t xml:space="preserve"> </w:t>
      </w:r>
      <w:r w:rsidRPr="00293A0A" w:rsidR="00293A0A">
        <w:rPr>
          <w:i/>
          <w:iCs/>
        </w:rPr>
        <w:t>See</w:t>
      </w:r>
      <w:r w:rsidR="00293A0A">
        <w:t xml:space="preserve"> </w:t>
      </w:r>
      <w:r w:rsidRPr="00BC43D0" w:rsidR="000862DC">
        <w:t>Viasat Opposition</w:t>
      </w:r>
      <w:r w:rsidR="000862DC">
        <w:t>, Explanatory Addendum.</w:t>
      </w:r>
    </w:p>
  </w:footnote>
  <w:footnote w:id="54">
    <w:p w:rsidR="0044486F" w:rsidRPr="004A21A3" w14:paraId="5F8CCC88" w14:textId="2F0F4002">
      <w:pPr>
        <w:pStyle w:val="FootnoteText"/>
      </w:pPr>
      <w:r>
        <w:rPr>
          <w:rStyle w:val="FootnoteReference"/>
        </w:rPr>
        <w:footnoteRef/>
      </w:r>
      <w:r>
        <w:t xml:space="preserve"> </w:t>
      </w:r>
      <w:r w:rsidRPr="00293A0A" w:rsidR="00293A0A">
        <w:rPr>
          <w:i/>
          <w:iCs/>
        </w:rPr>
        <w:t>See</w:t>
      </w:r>
      <w:r w:rsidR="00293A0A">
        <w:t xml:space="preserve"> </w:t>
      </w:r>
      <w:r w:rsidR="000360A4">
        <w:t xml:space="preserve">Viasat </w:t>
      </w:r>
      <w:r w:rsidRPr="00293A0A" w:rsidR="000360A4">
        <w:rPr>
          <w:i/>
          <w:iCs/>
        </w:rPr>
        <w:t>Ex Parte</w:t>
      </w:r>
      <w:r w:rsidR="000360A4">
        <w:t xml:space="preserve"> Response at 4; </w:t>
      </w:r>
      <w:r w:rsidR="000360A4">
        <w:rPr>
          <w:i/>
          <w:iCs/>
        </w:rPr>
        <w:t>see</w:t>
      </w:r>
      <w:r w:rsidR="00BD5EAA">
        <w:rPr>
          <w:i/>
          <w:iCs/>
        </w:rPr>
        <w:t xml:space="preserve"> also</w:t>
      </w:r>
      <w:r w:rsidR="000360A4">
        <w:rPr>
          <w:i/>
          <w:iCs/>
        </w:rPr>
        <w:t xml:space="preserve"> </w:t>
      </w:r>
      <w:r w:rsidR="004A21A3">
        <w:t>A.G. Longley &amp; P. Rice, Prediction of Tropospheric Radio Transmission Loss Over Irregular Terrain. A Computer Method, ESSA Tech. Rep. ERL 79-ITS 67, U.S. Government Printing Office, at 2 (1968)</w:t>
      </w:r>
      <w:r w:rsidR="002742C9">
        <w:t xml:space="preserve"> (</w:t>
      </w:r>
      <w:r w:rsidR="00DB66DF">
        <w:t>NTIA</w:t>
      </w:r>
      <w:r w:rsidR="00BC7A97">
        <w:t xml:space="preserve"> ITM</w:t>
      </w:r>
      <w:r w:rsidR="00DB66DF">
        <w:t>)</w:t>
      </w:r>
      <w:r w:rsidR="00BC7A97">
        <w:t xml:space="preserve"> </w:t>
      </w:r>
      <w:r w:rsidR="004A21A3">
        <w:t xml:space="preserve">(noting that the model is intended for use in frequencies from “20 to 40,000 MHz,” </w:t>
      </w:r>
      <w:r w:rsidRPr="00E7575B" w:rsidR="004A21A3">
        <w:rPr>
          <w:i/>
          <w:iCs/>
        </w:rPr>
        <w:t>i.e</w:t>
      </w:r>
      <w:r w:rsidR="004A21A3">
        <w:t>., 20 MHz to 40 GHz).</w:t>
      </w:r>
    </w:p>
  </w:footnote>
  <w:footnote w:id="55">
    <w:p w:rsidR="007653D1" w:rsidRPr="0043715E" w14:paraId="7E761DAF" w14:textId="330A83D8">
      <w:pPr>
        <w:pStyle w:val="FootnoteText"/>
      </w:pPr>
      <w:r>
        <w:rPr>
          <w:rStyle w:val="FootnoteReference"/>
        </w:rPr>
        <w:footnoteRef/>
      </w:r>
      <w:r>
        <w:t xml:space="preserve"> </w:t>
      </w:r>
      <w:r w:rsidRPr="00293A0A" w:rsidR="00293A0A">
        <w:rPr>
          <w:i/>
          <w:iCs/>
        </w:rPr>
        <w:t>See</w:t>
      </w:r>
      <w:r w:rsidR="00293A0A">
        <w:t xml:space="preserve"> </w:t>
      </w:r>
      <w:r w:rsidR="0007324E">
        <w:t>Verizon Petition at 3;</w:t>
      </w:r>
      <w:r w:rsidR="0043715E">
        <w:t xml:space="preserve"> </w:t>
      </w:r>
      <w:r w:rsidR="0043715E">
        <w:rPr>
          <w:i/>
          <w:iCs/>
        </w:rPr>
        <w:t xml:space="preserve">see also </w:t>
      </w:r>
      <w:r w:rsidR="00384605">
        <w:t>Verizon Reply at 5</w:t>
      </w:r>
      <w:r w:rsidR="00DE4FBF">
        <w:t>.</w:t>
      </w:r>
    </w:p>
  </w:footnote>
  <w:footnote w:id="56">
    <w:p w:rsidR="00FB1131" w14:paraId="2982E460" w14:textId="20D2F76E">
      <w:pPr>
        <w:pStyle w:val="FootnoteText"/>
      </w:pPr>
      <w:r>
        <w:rPr>
          <w:rStyle w:val="FootnoteReference"/>
        </w:rPr>
        <w:footnoteRef/>
      </w:r>
      <w:r>
        <w:t xml:space="preserve"> </w:t>
      </w:r>
      <w:bookmarkStart w:id="0" w:name="_Hlk138161886"/>
      <w:r>
        <w:t xml:space="preserve">Double Knife Edge and irregular terrain diffraction are specific techniques used for predicting RF propagation.   They are used </w:t>
      </w:r>
      <w:r w:rsidR="009B6CB1">
        <w:t xml:space="preserve">in </w:t>
      </w:r>
      <w:r w:rsidR="00071B29">
        <w:t xml:space="preserve">the ITM model as well as </w:t>
      </w:r>
      <w:r>
        <w:t xml:space="preserve">other propagation models such as the NSMA OHLOSS path calculation, (see </w:t>
      </w:r>
      <w:hyperlink r:id="rId7" w:history="1">
        <w:r w:rsidRPr="005F2A86">
          <w:rPr>
            <w:rStyle w:val="Hyperlink"/>
          </w:rPr>
          <w:t>https://nsma.org/wp-content/uploads/2016/05/WG2-99-052.pdf</w:t>
        </w:r>
      </w:hyperlink>
      <w:r>
        <w:t xml:space="preserve">) and </w:t>
      </w:r>
      <w:r w:rsidR="00071B29">
        <w:t xml:space="preserve">are discussed in the ITU recommendation ITU-R P.526-15 (see </w:t>
      </w:r>
      <w:r w:rsidRPr="00071B29" w:rsidR="00071B29">
        <w:t>https://www.itu.int/dms_pubrec/itu-r/rec/p/R-REC-P.526-15-201910-I!!PDF-E.pdf</w:t>
      </w:r>
      <w:r w:rsidR="00071B29">
        <w:t>).  Notably</w:t>
      </w:r>
      <w:r w:rsidR="00DF7C32">
        <w:t>,</w:t>
      </w:r>
      <w:r w:rsidR="00071B29">
        <w:t xml:space="preserve"> the ITU Recommendation states -  regarding knife edge di</w:t>
      </w:r>
      <w:r w:rsidR="00C1351C">
        <w:t>ffraction</w:t>
      </w:r>
      <w:r w:rsidR="00071B29">
        <w:t xml:space="preserve"> – that the technique applies when the wavelength is fairly small in relation to the size of the obstacles, </w:t>
      </w:r>
      <w:r w:rsidRPr="00504F03" w:rsidR="00071B29">
        <w:rPr>
          <w:i/>
          <w:iCs/>
        </w:rPr>
        <w:t>i.e</w:t>
      </w:r>
      <w:r w:rsidR="00071B29">
        <w:t>.</w:t>
      </w:r>
      <w:r w:rsidR="00504F03">
        <w:t>,</w:t>
      </w:r>
      <w:r w:rsidR="00071B29">
        <w:t xml:space="preserve"> mainly to VHF and shorter waves ( f &gt; 30 MHz)</w:t>
      </w:r>
      <w:r w:rsidR="002A1EC1">
        <w:t>.</w:t>
      </w:r>
      <w:r w:rsidR="00071B29">
        <w:t xml:space="preserve">   </w:t>
      </w:r>
      <w:bookmarkEnd w:id="0"/>
    </w:p>
  </w:footnote>
  <w:footnote w:id="57">
    <w:p w:rsidR="004E61DE" w:rsidRPr="00B8583A" w14:paraId="5DCC8B39" w14:textId="7B56EF54">
      <w:pPr>
        <w:pStyle w:val="FootnoteText"/>
        <w:rPr>
          <w:lang w:val="pt-BR"/>
        </w:rPr>
      </w:pPr>
      <w:r>
        <w:rPr>
          <w:rStyle w:val="FootnoteReference"/>
        </w:rPr>
        <w:footnoteRef/>
      </w:r>
      <w:r w:rsidRPr="00B8583A">
        <w:rPr>
          <w:lang w:val="pt-BR"/>
        </w:rPr>
        <w:t xml:space="preserve"> </w:t>
      </w:r>
      <w:r w:rsidRPr="00B8583A">
        <w:rPr>
          <w:lang w:val="pt-BR"/>
        </w:rPr>
        <w:t xml:space="preserve">Viasat </w:t>
      </w:r>
      <w:r w:rsidRPr="00073D6A">
        <w:rPr>
          <w:lang w:val="pt-BR"/>
        </w:rPr>
        <w:t>Ex Parte</w:t>
      </w:r>
      <w:r w:rsidRPr="00B8583A">
        <w:rPr>
          <w:lang w:val="pt-BR"/>
        </w:rPr>
        <w:t xml:space="preserve"> Response</w:t>
      </w:r>
      <w:r w:rsidR="006B3176">
        <w:rPr>
          <w:lang w:val="pt-BR"/>
        </w:rPr>
        <w:t xml:space="preserve"> at 5</w:t>
      </w:r>
      <w:r w:rsidRPr="00B8583A">
        <w:rPr>
          <w:lang w:val="pt-BR"/>
        </w:rPr>
        <w:t xml:space="preserve">. </w:t>
      </w:r>
    </w:p>
  </w:footnote>
  <w:footnote w:id="58">
    <w:p w:rsidR="004E61DE" w:rsidRPr="002C4F26" w14:paraId="7B25956D" w14:textId="1DF8F29D">
      <w:pPr>
        <w:pStyle w:val="FootnoteText"/>
        <w:rPr>
          <w:lang w:val="pt-BR"/>
        </w:rPr>
      </w:pPr>
      <w:r>
        <w:rPr>
          <w:rStyle w:val="FootnoteReference"/>
        </w:rPr>
        <w:footnoteRef/>
      </w:r>
      <w:r w:rsidRPr="002C4F26">
        <w:rPr>
          <w:lang w:val="pt-BR"/>
        </w:rPr>
        <w:t xml:space="preserve"> </w:t>
      </w:r>
      <w:r w:rsidRPr="002C4F26" w:rsidR="00750326">
        <w:rPr>
          <w:i/>
          <w:iCs/>
          <w:lang w:val="pt-BR"/>
        </w:rPr>
        <w:t xml:space="preserve">See </w:t>
      </w:r>
      <w:r w:rsidRPr="002C4F26" w:rsidR="00750326">
        <w:rPr>
          <w:lang w:val="pt-BR"/>
        </w:rPr>
        <w:t xml:space="preserve">NTIA ITM. </w:t>
      </w:r>
    </w:p>
  </w:footnote>
  <w:footnote w:id="59">
    <w:p w:rsidR="00FA21A9" w:rsidRPr="002C4F26" w14:paraId="71FA61F2" w14:textId="3021745C">
      <w:pPr>
        <w:pStyle w:val="FootnoteText"/>
        <w:rPr>
          <w:lang w:val="pt-BR"/>
        </w:rPr>
      </w:pPr>
      <w:r>
        <w:rPr>
          <w:rStyle w:val="FootnoteReference"/>
        </w:rPr>
        <w:footnoteRef/>
      </w:r>
      <w:r w:rsidRPr="002C4F26">
        <w:rPr>
          <w:lang w:val="pt-BR"/>
        </w:rPr>
        <w:t xml:space="preserve"> </w:t>
      </w:r>
      <w:r w:rsidRPr="00B8583A" w:rsidR="00713D2A">
        <w:rPr>
          <w:lang w:val="pt-BR"/>
        </w:rPr>
        <w:t xml:space="preserve">Viasat </w:t>
      </w:r>
      <w:r w:rsidRPr="00073D6A" w:rsidR="00713D2A">
        <w:rPr>
          <w:lang w:val="pt-BR"/>
        </w:rPr>
        <w:t>Ex Parte</w:t>
      </w:r>
      <w:r w:rsidRPr="00B8583A" w:rsidR="00713D2A">
        <w:rPr>
          <w:lang w:val="pt-BR"/>
        </w:rPr>
        <w:t xml:space="preserve"> Response, Annex 1</w:t>
      </w:r>
      <w:r w:rsidR="00106C68">
        <w:rPr>
          <w:lang w:val="pt-BR"/>
        </w:rPr>
        <w:t>.</w:t>
      </w:r>
    </w:p>
  </w:footnote>
  <w:footnote w:id="60">
    <w:p w:rsidR="00FA21A9" w14:paraId="5D317DDF" w14:textId="34D2A14A">
      <w:pPr>
        <w:pStyle w:val="FootnoteText"/>
      </w:pPr>
      <w:r>
        <w:rPr>
          <w:rStyle w:val="FootnoteReference"/>
        </w:rPr>
        <w:footnoteRef/>
      </w:r>
      <w:r>
        <w:t xml:space="preserve"> </w:t>
      </w:r>
      <w:r w:rsidR="00C144FD">
        <w:rPr>
          <w:i/>
          <w:iCs/>
        </w:rPr>
        <w:t>Id.</w:t>
      </w:r>
    </w:p>
  </w:footnote>
  <w:footnote w:id="61">
    <w:p w:rsidR="00FA21A9" w14:paraId="7C4D2C0C" w14:textId="684639CF">
      <w:pPr>
        <w:pStyle w:val="FootnoteText"/>
      </w:pPr>
      <w:r>
        <w:rPr>
          <w:rStyle w:val="FootnoteReference"/>
        </w:rPr>
        <w:footnoteRef/>
      </w:r>
      <w:r>
        <w:t xml:space="preserve"> </w:t>
      </w:r>
      <w:r w:rsidR="00C144FD">
        <w:rPr>
          <w:i/>
          <w:iCs/>
        </w:rPr>
        <w:t>Id</w:t>
      </w:r>
      <w:r w:rsidR="00C7791A">
        <w:rPr>
          <w:i/>
          <w:iCs/>
        </w:rPr>
        <w:t>.</w:t>
      </w:r>
    </w:p>
  </w:footnote>
  <w:footnote w:id="62">
    <w:p w:rsidR="005F2D3B" w14:paraId="4547DF69" w14:textId="252A95A4">
      <w:pPr>
        <w:pStyle w:val="FootnoteText"/>
      </w:pPr>
      <w:r>
        <w:rPr>
          <w:rStyle w:val="FootnoteReference"/>
        </w:rPr>
        <w:footnoteRef/>
      </w:r>
      <w:r>
        <w:t xml:space="preserve"> Verizon</w:t>
      </w:r>
      <w:r w:rsidRPr="0055013D">
        <w:t xml:space="preserve"> </w:t>
      </w:r>
      <w:r w:rsidRPr="005E04A4">
        <w:rPr>
          <w:i/>
          <w:iCs/>
        </w:rPr>
        <w:t>Ex Parte</w:t>
      </w:r>
      <w:r w:rsidRPr="0055013D">
        <w:t xml:space="preserve"> Presentation</w:t>
      </w:r>
      <w:r>
        <w:t xml:space="preserve"> at </w:t>
      </w:r>
      <w:r w:rsidR="00293A0A">
        <w:t>2.</w:t>
      </w:r>
    </w:p>
  </w:footnote>
  <w:footnote w:id="63">
    <w:p w:rsidR="00E82726" w14:paraId="7CE5DF89" w14:textId="3555C6A3">
      <w:pPr>
        <w:pStyle w:val="FootnoteText"/>
      </w:pPr>
      <w:r>
        <w:rPr>
          <w:rStyle w:val="FootnoteReference"/>
        </w:rPr>
        <w:footnoteRef/>
      </w:r>
      <w:r>
        <w:t xml:space="preserve"> </w:t>
      </w:r>
      <w:r w:rsidR="00D610FD">
        <w:t>Verizon Petition at 4.</w:t>
      </w:r>
    </w:p>
  </w:footnote>
  <w:footnote w:id="64">
    <w:p w:rsidR="00B75481" w:rsidRPr="002A2387" w14:paraId="5E4C1E94" w14:textId="662A9C33">
      <w:pPr>
        <w:pStyle w:val="FootnoteText"/>
        <w:rPr>
          <w:highlight w:val="cyan"/>
        </w:rPr>
      </w:pPr>
      <w:r>
        <w:rPr>
          <w:rStyle w:val="FootnoteReference"/>
        </w:rPr>
        <w:footnoteRef/>
      </w:r>
      <w:r>
        <w:t xml:space="preserve"> </w:t>
      </w:r>
      <w:r w:rsidRPr="009A4CB1" w:rsidR="002A2387">
        <w:t>2020 Guidance Public Notice at 3.</w:t>
      </w:r>
    </w:p>
  </w:footnote>
  <w:footnote w:id="65">
    <w:p w:rsidR="00B75481" w14:paraId="04AB8CBC" w14:textId="5EBDE061">
      <w:pPr>
        <w:pStyle w:val="FootnoteText"/>
      </w:pPr>
      <w:r>
        <w:rPr>
          <w:rStyle w:val="FootnoteReference"/>
        </w:rPr>
        <w:footnoteRef/>
      </w:r>
      <w:r>
        <w:t xml:space="preserve"> </w:t>
      </w:r>
      <w:r w:rsidR="0018106B">
        <w:t>Verizon Petition at 4-5.</w:t>
      </w:r>
    </w:p>
  </w:footnote>
  <w:footnote w:id="66">
    <w:p w:rsidR="005C557C" w14:paraId="260671D8" w14:textId="0649BC03">
      <w:pPr>
        <w:pStyle w:val="FootnoteText"/>
      </w:pPr>
      <w:r>
        <w:rPr>
          <w:rStyle w:val="FootnoteReference"/>
        </w:rPr>
        <w:footnoteRef/>
      </w:r>
      <w:r>
        <w:t xml:space="preserve"> </w:t>
      </w:r>
      <w:r w:rsidR="00255016">
        <w:t xml:space="preserve">Viasat </w:t>
      </w:r>
      <w:r w:rsidRPr="00BC43D0" w:rsidR="00255016">
        <w:t>Opposition</w:t>
      </w:r>
      <w:r w:rsidR="00255016">
        <w:t xml:space="preserve"> at Explanatory Addendum.</w:t>
      </w:r>
    </w:p>
  </w:footnote>
  <w:footnote w:id="67">
    <w:p w:rsidR="004F28C6" w:rsidP="009A67C2" w14:paraId="29D9CDF6" w14:textId="34CF9810">
      <w:pPr>
        <w:pStyle w:val="FootnoteText"/>
      </w:pPr>
      <w:r>
        <w:rPr>
          <w:rStyle w:val="FootnoteReference"/>
        </w:rPr>
        <w:footnoteRef/>
      </w:r>
      <w:r>
        <w:t xml:space="preserve"> Viasat </w:t>
      </w:r>
      <w:r w:rsidRPr="00BC43D0">
        <w:t>Opposition</w:t>
      </w:r>
      <w:r>
        <w:t xml:space="preserve"> at Explanatory Addendum;</w:t>
      </w:r>
      <w:r w:rsidR="00A27FF2">
        <w:t xml:space="preserve"> </w:t>
      </w:r>
      <w:r w:rsidR="00A27FF2">
        <w:rPr>
          <w:i/>
          <w:iCs/>
        </w:rPr>
        <w:t>see also</w:t>
      </w:r>
      <w:r>
        <w:t xml:space="preserve"> </w:t>
      </w:r>
      <w:r w:rsidR="009A67C2">
        <w:t xml:space="preserve">“Modelling and Coverage Improvement of DVB-T Networks,” </w:t>
      </w:r>
      <w:r w:rsidR="00330854">
        <w:t>a</w:t>
      </w:r>
      <w:r w:rsidR="009A67C2">
        <w:t xml:space="preserve"> thesis submitted for the degree of Doctor of Philosophy by Kasampalis Stylianos, March 2018.</w:t>
      </w:r>
    </w:p>
  </w:footnote>
  <w:footnote w:id="68">
    <w:p w:rsidR="00880157" w14:paraId="281E2D82" w14:textId="177E2E2B">
      <w:pPr>
        <w:pStyle w:val="FootnoteText"/>
      </w:pPr>
      <w:r>
        <w:rPr>
          <w:rStyle w:val="FootnoteReference"/>
        </w:rPr>
        <w:footnoteRef/>
      </w:r>
      <w:r>
        <w:t xml:space="preserve"> </w:t>
      </w:r>
      <w:r w:rsidR="007621EF">
        <w:t>Verizon Pe</w:t>
      </w:r>
      <w:r w:rsidR="0018106B">
        <w:t>tition</w:t>
      </w:r>
      <w:r w:rsidR="004E61DE">
        <w:t xml:space="preserve"> </w:t>
      </w:r>
      <w:r w:rsidR="007621EF">
        <w:t>at 4.</w:t>
      </w:r>
    </w:p>
  </w:footnote>
  <w:footnote w:id="69">
    <w:p w:rsidR="00272F6D" w14:paraId="6D375852" w14:textId="42A4A422">
      <w:pPr>
        <w:pStyle w:val="FootnoteText"/>
      </w:pPr>
      <w:r>
        <w:rPr>
          <w:rStyle w:val="FootnoteReference"/>
        </w:rPr>
        <w:footnoteRef/>
      </w:r>
      <w:r>
        <w:t xml:space="preserve"> </w:t>
      </w:r>
      <w:r w:rsidRPr="00644E58" w:rsidR="00B92174">
        <w:rPr>
          <w:i/>
          <w:iCs/>
        </w:rPr>
        <w:t>See</w:t>
      </w:r>
      <w:r w:rsidRPr="00644E58" w:rsidR="00B92174">
        <w:t xml:space="preserve"> </w:t>
      </w:r>
      <w:r w:rsidR="00B92174">
        <w:t xml:space="preserve">Viasat </w:t>
      </w:r>
      <w:r w:rsidRPr="00644E58" w:rsidR="00B92174">
        <w:t>Application, Exhibit A</w:t>
      </w:r>
      <w:r w:rsidR="00B92174">
        <w:t>.</w:t>
      </w:r>
    </w:p>
  </w:footnote>
  <w:footnote w:id="70">
    <w:p w:rsidR="00B36ACE" w:rsidP="00B36ACE" w14:paraId="3BDEE6EF" w14:textId="680B8B94">
      <w:pPr>
        <w:pStyle w:val="FootnoteText"/>
      </w:pPr>
      <w:r>
        <w:rPr>
          <w:rStyle w:val="FootnoteReference"/>
        </w:rPr>
        <w:footnoteRef/>
      </w:r>
      <w:r>
        <w:t xml:space="preserve"> </w:t>
      </w:r>
      <w:r w:rsidRPr="00706E53">
        <w:rPr>
          <w:i/>
          <w:iCs/>
        </w:rPr>
        <w:t>See</w:t>
      </w:r>
      <w:r w:rsidRPr="00836D21">
        <w:t xml:space="preserve"> </w:t>
      </w:r>
      <w:r w:rsidR="00706E53">
        <w:t xml:space="preserve">Viasat </w:t>
      </w:r>
      <w:r w:rsidRPr="00BC43D0" w:rsidR="00706E53">
        <w:t>Opposition</w:t>
      </w:r>
      <w:r w:rsidR="00706E53">
        <w:t xml:space="preserve"> at Explanatory Addendum.</w:t>
      </w:r>
      <w:r w:rsidRPr="00836D21">
        <w:t xml:space="preserve">  </w:t>
      </w:r>
    </w:p>
  </w:footnote>
  <w:footnote w:id="71">
    <w:p w:rsidR="00F26190" w:rsidRPr="007C4034" w14:paraId="283418E8" w14:textId="4BB78802">
      <w:pPr>
        <w:pStyle w:val="FootnoteText"/>
        <w:rPr>
          <w:lang w:val="pt-BR"/>
        </w:rPr>
      </w:pPr>
      <w:r>
        <w:rPr>
          <w:rStyle w:val="FootnoteReference"/>
        </w:rPr>
        <w:footnoteRef/>
      </w:r>
      <w:r w:rsidRPr="007C4034">
        <w:rPr>
          <w:lang w:val="pt-BR"/>
        </w:rPr>
        <w:t xml:space="preserve"> </w:t>
      </w:r>
      <w:r w:rsidRPr="007C4034" w:rsidR="00F70DB6">
        <w:rPr>
          <w:lang w:val="pt-BR"/>
        </w:rPr>
        <w:t>Viasat Ex Parte Response, Attachment 2.</w:t>
      </w:r>
    </w:p>
  </w:footnote>
  <w:footnote w:id="72">
    <w:p w:rsidR="005F7BA3" w14:paraId="2AC29F18" w14:textId="50C9E657">
      <w:pPr>
        <w:pStyle w:val="FootnoteText"/>
      </w:pPr>
      <w:r>
        <w:rPr>
          <w:rStyle w:val="FootnoteReference"/>
        </w:rPr>
        <w:footnoteRef/>
      </w:r>
      <w:r>
        <w:t xml:space="preserve"> Viasat Application, Exhibit A at 2-3.</w:t>
      </w:r>
    </w:p>
  </w:footnote>
  <w:footnote w:id="73">
    <w:p w:rsidR="005F7BA3" w14:paraId="41218B68" w14:textId="2A009982">
      <w:pPr>
        <w:pStyle w:val="FootnoteText"/>
      </w:pPr>
      <w:r>
        <w:rPr>
          <w:rStyle w:val="FootnoteReference"/>
        </w:rPr>
        <w:footnoteRef/>
      </w:r>
      <w:r>
        <w:t xml:space="preserve"> 47 CFR § 25.136(a)(4)(iii).</w:t>
      </w:r>
    </w:p>
  </w:footnote>
  <w:footnote w:id="74">
    <w:p w:rsidR="00DC4955" w14:paraId="12C842C5" w14:textId="70ABEF2F">
      <w:pPr>
        <w:pStyle w:val="FootnoteText"/>
      </w:pPr>
      <w:r>
        <w:rPr>
          <w:rStyle w:val="FootnoteReference"/>
        </w:rPr>
        <w:footnoteRef/>
      </w:r>
      <w:r>
        <w:t xml:space="preserve"> 47 CFR § 25.136(a)(4)(iv), Viasat Application, Exhibit C.</w:t>
      </w:r>
    </w:p>
  </w:footnote>
  <w:footnote w:id="75">
    <w:p w:rsidR="00F44220" w:rsidP="00666131" w14:paraId="451F6F8F" w14:textId="7D72A4C6">
      <w:pPr>
        <w:pStyle w:val="ParaNum"/>
        <w:numPr>
          <w:ilvl w:val="0"/>
          <w:numId w:val="0"/>
        </w:numPr>
      </w:pPr>
      <w:r>
        <w:rPr>
          <w:rStyle w:val="FootnoteReference"/>
        </w:rPr>
        <w:footnoteRef/>
      </w:r>
      <w:r>
        <w:t xml:space="preserve"> </w:t>
      </w:r>
      <w:r w:rsidRPr="00F53DAD" w:rsidR="00F43B1E">
        <w:rPr>
          <w:sz w:val="20"/>
        </w:rPr>
        <w:t>Viasat Application Narrative at 3 (</w:t>
      </w:r>
      <w:r w:rsidRPr="00F53DAD" w:rsidR="00F43B1E">
        <w:rPr>
          <w:i/>
          <w:iCs/>
          <w:sz w:val="20"/>
        </w:rPr>
        <w:t>citing</w:t>
      </w:r>
      <w:r w:rsidRPr="00F53DAD">
        <w:rPr>
          <w:i/>
          <w:iCs/>
          <w:sz w:val="20"/>
        </w:rPr>
        <w:t xml:space="preserve"> </w:t>
      </w:r>
      <w:r w:rsidRPr="00F53DAD">
        <w:rPr>
          <w:sz w:val="20"/>
        </w:rPr>
        <w:t>47 CFR § 1.3; Fugro-Chance, Inc., 10 FCC Rcd 2860, at ¶ 2 (1995) (waiver of U.S. Table appropriate “when there is little potential for interference” into conforming services and “the non-conforming operator accepts any interference from [such] services”)</w:t>
      </w:r>
      <w:r w:rsidR="00F53DAD">
        <w:rPr>
          <w:sz w:val="20"/>
        </w:rPr>
        <w:t>).</w:t>
      </w:r>
    </w:p>
  </w:footnote>
  <w:footnote w:id="76">
    <w:p w:rsidR="00F31473" w:rsidRPr="002A1EC1" w:rsidP="00F31473" w14:paraId="7F6815D9" w14:textId="734926B9">
      <w:pPr>
        <w:tabs>
          <w:tab w:val="center" w:pos="4680"/>
        </w:tabs>
        <w:suppressAutoHyphens/>
        <w:rPr>
          <w:spacing w:val="-2"/>
          <w:sz w:val="20"/>
        </w:rPr>
      </w:pPr>
      <w:r>
        <w:rPr>
          <w:rStyle w:val="FootnoteReference"/>
        </w:rPr>
        <w:footnoteRef/>
      </w:r>
      <w:r>
        <w:t xml:space="preserve"> </w:t>
      </w:r>
      <w:bookmarkStart w:id="1" w:name="_Hlk104451582"/>
      <w:r w:rsidRPr="002A1EC1">
        <w:rPr>
          <w:i/>
          <w:iCs/>
          <w:spacing w:val="-2"/>
          <w:sz w:val="20"/>
        </w:rPr>
        <w:t>Amendment of Parts 2 and 25 of the Commission’s Rules to Enable GSO Fixed-Satellite Service (Space-to-Earth) Operations in the 17.3-17.8 GHz Band,</w:t>
      </w:r>
      <w:bookmarkEnd w:id="1"/>
      <w:r w:rsidRPr="002A1EC1">
        <w:rPr>
          <w:i/>
          <w:iCs/>
          <w:spacing w:val="-2"/>
          <w:sz w:val="20"/>
        </w:rPr>
        <w:t xml:space="preserve"> to Modernize Certain Rules Applicable to 17/24 GHz BSS Space Stations, and to Establish Off-Axis Uplink Power Limits for Extended Ka-Band FSS Operations</w:t>
      </w:r>
      <w:r w:rsidRPr="002A1EC1">
        <w:rPr>
          <w:spacing w:val="-2"/>
          <w:sz w:val="20"/>
        </w:rPr>
        <w:t>, Report and Order</w:t>
      </w:r>
      <w:r w:rsidRPr="002A1EC1">
        <w:rPr>
          <w:i/>
          <w:iCs/>
          <w:spacing w:val="-2"/>
          <w:sz w:val="20"/>
        </w:rPr>
        <w:t xml:space="preserve">, </w:t>
      </w:r>
      <w:r w:rsidRPr="002A1EC1" w:rsidR="004159A7">
        <w:rPr>
          <w:spacing w:val="-2"/>
          <w:sz w:val="20"/>
        </w:rPr>
        <w:t xml:space="preserve">IB Docket No. 20-330, FCC 22-63, at paras. </w:t>
      </w:r>
      <w:r w:rsidRPr="002A1EC1" w:rsidR="0030251D">
        <w:rPr>
          <w:spacing w:val="-2"/>
          <w:sz w:val="20"/>
        </w:rPr>
        <w:t xml:space="preserve">18-19, </w:t>
      </w:r>
      <w:r w:rsidRPr="002A1EC1" w:rsidR="004159A7">
        <w:rPr>
          <w:spacing w:val="-2"/>
          <w:sz w:val="20"/>
        </w:rPr>
        <w:t>(Aug.3, 2023)</w:t>
      </w:r>
      <w:r w:rsidRPr="002A1EC1" w:rsidR="001B2407">
        <w:rPr>
          <w:spacing w:val="-2"/>
          <w:sz w:val="20"/>
        </w:rPr>
        <w:t xml:space="preserve"> (</w:t>
      </w:r>
      <w:r w:rsidRPr="002A1EC1" w:rsidR="001B2407">
        <w:rPr>
          <w:i/>
          <w:iCs/>
          <w:spacing w:val="-2"/>
          <w:sz w:val="20"/>
        </w:rPr>
        <w:t>17 GHz Proceeding</w:t>
      </w:r>
      <w:r w:rsidRPr="002A1EC1" w:rsidR="004159A7">
        <w:rPr>
          <w:spacing w:val="-2"/>
          <w:sz w:val="20"/>
        </w:rPr>
        <w:t>).</w:t>
      </w:r>
    </w:p>
    <w:p w:rsidR="00113555" w:rsidRPr="002A1EC1" w14:paraId="13704FCD" w14:textId="571B2788">
      <w:pPr>
        <w:pStyle w:val="FootnoteText"/>
      </w:pPr>
    </w:p>
  </w:footnote>
  <w:footnote w:id="77">
    <w:p w:rsidR="002401D4" w:rsidRPr="004F2529" w:rsidP="002401D4" w14:paraId="349DA2B3" w14:textId="77777777">
      <w:pPr>
        <w:pStyle w:val="FootnoteText"/>
      </w:pPr>
      <w:r w:rsidRPr="004F2529">
        <w:rPr>
          <w:rStyle w:val="FootnoteReference"/>
        </w:rPr>
        <w:footnoteRef/>
      </w:r>
      <w:r w:rsidRPr="004F2529">
        <w:t xml:space="preserve"> </w:t>
      </w:r>
      <w:r w:rsidRPr="004F2529">
        <w:rPr>
          <w:i/>
        </w:rPr>
        <w:t>NetworkIP, LLC v. FCC</w:t>
      </w:r>
      <w:r w:rsidRPr="004F2529">
        <w:t xml:space="preserve">, 548 F.3d 116, 125-128 (D.C. Cir. 2008) (citing </w:t>
      </w:r>
      <w:r w:rsidRPr="004F2529">
        <w:rPr>
          <w:i/>
        </w:rPr>
        <w:t>Northeast Cellular Telephone Co.</w:t>
      </w:r>
      <w:r w:rsidRPr="004F2529">
        <w:t>, 897 F.2d 1164, 1166 (1990)).</w:t>
      </w:r>
    </w:p>
  </w:footnote>
  <w:footnote w:id="78">
    <w:p w:rsidR="002401D4" w:rsidRPr="00061269" w:rsidP="002401D4" w14:paraId="1E778D16" w14:textId="77777777">
      <w:pPr>
        <w:pStyle w:val="FootnoteText"/>
      </w:pPr>
      <w:r>
        <w:rPr>
          <w:rStyle w:val="FootnoteReference"/>
        </w:rPr>
        <w:footnoteRef/>
      </w:r>
      <w:r>
        <w:t xml:space="preserve"> </w:t>
      </w:r>
      <w:r w:rsidRPr="00061269">
        <w:rPr>
          <w:i/>
          <w:iCs/>
          <w:snapToGrid w:val="0"/>
          <w:kern w:val="28"/>
        </w:rPr>
        <w:t>See</w:t>
      </w:r>
      <w:r w:rsidRPr="00061269">
        <w:rPr>
          <w:snapToGrid w:val="0"/>
          <w:kern w:val="28"/>
        </w:rPr>
        <w:t xml:space="preserve"> </w:t>
      </w:r>
      <w:hyperlink r:id="rId8" w:history="1">
        <w:r w:rsidRPr="00061269">
          <w:rPr>
            <w:snapToGrid w:val="0"/>
            <w:kern w:val="28"/>
          </w:rPr>
          <w:t>47 CFR § 1.3</w:t>
        </w:r>
      </w:hyperlink>
      <w:r w:rsidRPr="00061269">
        <w:rPr>
          <w:snapToGrid w:val="0"/>
          <w:kern w:val="28"/>
        </w:rPr>
        <w:t>.</w:t>
      </w:r>
      <w:r>
        <w:rPr>
          <w:snapToGrid w:val="0"/>
          <w:kern w:val="28"/>
        </w:rPr>
        <w:t xml:space="preserve"> </w:t>
      </w:r>
      <w:r w:rsidRPr="00061269">
        <w:rPr>
          <w:snapToGrid w:val="0"/>
          <w:kern w:val="28"/>
        </w:rPr>
        <w:t xml:space="preserve"> </w:t>
      </w:r>
    </w:p>
  </w:footnote>
  <w:footnote w:id="79">
    <w:p w:rsidR="002401D4" w:rsidP="002401D4" w14:paraId="6B6C5995" w14:textId="77777777">
      <w:pPr>
        <w:pStyle w:val="FootnoteText"/>
      </w:pPr>
      <w:r w:rsidRPr="00056E05">
        <w:rPr>
          <w:rStyle w:val="FootnoteReference"/>
        </w:rPr>
        <w:footnoteRef/>
      </w:r>
      <w:r w:rsidRPr="00CC0DD2">
        <w:t xml:space="preserve"> </w:t>
      </w:r>
      <w:r w:rsidRPr="00CC0DD2">
        <w:rPr>
          <w:i/>
          <w:iCs/>
        </w:rPr>
        <w:t>See Northeast Cellular</w:t>
      </w:r>
      <w:r w:rsidRPr="00CC0DD2">
        <w:t xml:space="preserve">, 897 F.2d </w:t>
      </w:r>
      <w:r>
        <w:t xml:space="preserve">at </w:t>
      </w:r>
      <w:r w:rsidRPr="00CC0DD2">
        <w:t xml:space="preserve">1166 </w:t>
      </w:r>
      <w:r w:rsidRPr="00BB0EE5">
        <w:t>(“</w:t>
      </w:r>
      <w:r w:rsidRPr="00BB0EE5">
        <w:rPr>
          <w:color w:val="000000"/>
          <w:shd w:val="clear" w:color="auto" w:fill="FFFFFF"/>
        </w:rPr>
        <w:t xml:space="preserve">[A] waiver is appropriate only if special circumstances warrant a deviation from the general rule and such deviation will serve the public interest. The agency must explain why deviation better serves the public </w:t>
      </w:r>
      <w:r w:rsidRPr="001A1618">
        <w:rPr>
          <w:snapToGrid w:val="0"/>
          <w:kern w:val="28"/>
        </w:rPr>
        <w:t>interest</w:t>
      </w:r>
      <w:r w:rsidRPr="00BB0EE5">
        <w:rPr>
          <w:color w:val="000000"/>
          <w:shd w:val="clear" w:color="auto" w:fill="FFFFFF"/>
        </w:rPr>
        <w:t xml:space="preserve"> and articulate the nature of the special circumstances to prevent discriminatory application and to put future parties on notice as to its operation</w:t>
      </w:r>
      <w:r>
        <w:rPr>
          <w:color w:val="000000"/>
          <w:shd w:val="clear" w:color="auto" w:fill="FFFFFF"/>
        </w:rPr>
        <w:t>.</w:t>
      </w:r>
      <w:r w:rsidRPr="00BB0EE5">
        <w:rPr>
          <w:color w:val="000000"/>
          <w:shd w:val="clear" w:color="auto" w:fill="FFFFFF"/>
        </w:rPr>
        <w:t>”)</w:t>
      </w:r>
      <w:r w:rsidRPr="00BB0EE5">
        <w:t xml:space="preserve">; </w:t>
      </w:r>
      <w:r w:rsidRPr="00BB0EE5">
        <w:rPr>
          <w:i/>
          <w:iCs/>
        </w:rPr>
        <w:t>WAIT Radio v. FCC</w:t>
      </w:r>
      <w:r w:rsidRPr="00BB0EE5">
        <w:t>, 418 F.2d 1153, 1159 (D.C. Cir. 1969) (“</w:t>
      </w:r>
      <w:r w:rsidRPr="00BB0EE5">
        <w:rPr>
          <w:color w:val="000000"/>
          <w:shd w:val="clear" w:color="auto" w:fill="FFFFFF"/>
        </w:rPr>
        <w:t>The agency</w:t>
      </w:r>
      <w:r>
        <w:rPr>
          <w:color w:val="000000"/>
          <w:shd w:val="clear" w:color="auto" w:fill="FFFFFF"/>
        </w:rPr>
        <w:t>’</w:t>
      </w:r>
      <w:r w:rsidRPr="00BB0EE5">
        <w:rPr>
          <w:color w:val="000000"/>
          <w:shd w:val="clear" w:color="auto" w:fill="FFFFFF"/>
        </w:rPr>
        <w:t>s discretion to proceed in difficult areas through general rules is intimately linked to the existence of a safety valve procedure for consideration of an application for exemption based on special circumstances.”)</w:t>
      </w:r>
      <w:r w:rsidRPr="00BB0EE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3C11" w:rsidP="001D3C11" w14:paraId="7E762468" w14:textId="0CB738E4">
    <w:pPr>
      <w:pStyle w:val="Header"/>
      <w:rPr>
        <w:b w:val="0"/>
      </w:rPr>
    </w:pPr>
    <w:r>
      <w:tab/>
      <w:t>Federal Communications Commission</w:t>
    </w:r>
    <w:r>
      <w:tab/>
      <w:t>DA 2</w:t>
    </w:r>
    <w:r w:rsidR="00E63CD9">
      <w:t>3</w:t>
    </w:r>
    <w:r>
      <w:t>-</w:t>
    </w:r>
    <w:r w:rsidR="009C0F7E">
      <w:t>808</w:t>
    </w:r>
  </w:p>
  <w:p w:rsidR="001D3C11" w14:paraId="155FA531" w14:textId="2BE5A05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14277767" name="Rectangle 21427776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14277767"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1D3C11" w14:paraId="1151029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3C11" w:rsidP="001D3C11" w14:paraId="3B65FF00" w14:textId="0826E76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923295561" name="Rectangle 19232955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92329556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0064565C">
      <w:tab/>
      <w:t>Federal Communications Commission</w:t>
    </w:r>
    <w:r w:rsidR="0064565C">
      <w:tab/>
    </w:r>
    <w:r w:rsidR="0064565C">
      <w:rPr>
        <w:spacing w:val="-2"/>
      </w:rPr>
      <w:t>DA 2</w:t>
    </w:r>
    <w:r w:rsidR="00DC46FE">
      <w:rPr>
        <w:spacing w:val="-2"/>
      </w:rPr>
      <w:t>3</w:t>
    </w:r>
    <w:r w:rsidR="0064565C">
      <w:rPr>
        <w:spacing w:val="-2"/>
      </w:rPr>
      <w:t>-</w:t>
    </w:r>
    <w:r w:rsidR="009C0F7E">
      <w:rPr>
        <w:spacing w:val="-2"/>
      </w:rPr>
      <w:t>808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72F13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E06CBB"/>
    <w:multiLevelType w:val="multilevel"/>
    <w:tmpl w:val="EBACAC7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1."/>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2CE7C37E"/>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3DA0B6C"/>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4AB5E80"/>
    <w:multiLevelType w:val="hybridMultilevel"/>
    <w:tmpl w:val="1D746F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1182925"/>
    <w:multiLevelType w:val="singleLevel"/>
    <w:tmpl w:val="0D720BAC"/>
    <w:lvl w:ilvl="0">
      <w:start w:val="1"/>
      <w:numFmt w:val="decimal"/>
      <w:pStyle w:val="ParaNum"/>
      <w:lvlText w:val="%1."/>
      <w:lvlJc w:val="left"/>
      <w:pPr>
        <w:tabs>
          <w:tab w:val="num" w:pos="1080"/>
        </w:tabs>
        <w:ind w:left="0" w:firstLine="720"/>
      </w:pPr>
      <w:rPr>
        <w:b w:val="0"/>
        <w:bCs/>
      </w:rPr>
    </w:lvl>
  </w:abstractNum>
  <w:abstractNum w:abstractNumId="6">
    <w:nsid w:val="6EBE2B45"/>
    <w:multiLevelType w:val="hybridMultilevel"/>
    <w:tmpl w:val="5562064E"/>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7">
    <w:nsid w:val="73C9375F"/>
    <w:multiLevelType w:val="hybridMultilevel"/>
    <w:tmpl w:val="05F4D480"/>
    <w:lvl w:ilvl="0">
      <w:start w:val="1"/>
      <w:numFmt w:val="lowerLetter"/>
      <w:lvlText w:val="%1."/>
      <w:lvlJc w:val="left"/>
      <w:pPr>
        <w:ind w:left="2160" w:hanging="360"/>
      </w:pPr>
      <w:rPr>
        <w:b w:val="0"/>
        <w:bCs/>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num w:numId="1">
    <w:abstractNumId w:val="0"/>
  </w:num>
  <w:num w:numId="2">
    <w:abstractNumId w:val="3"/>
  </w:num>
  <w:num w:numId="3">
    <w:abstractNumId w:val="2"/>
  </w:num>
  <w:num w:numId="4">
    <w:abstractNumId w:val="5"/>
  </w:num>
  <w:num w:numId="5">
    <w:abstractNumId w:val="1"/>
  </w:num>
  <w:num w:numId="6">
    <w:abstractNumId w:val="4"/>
  </w:num>
  <w:num w:numId="7">
    <w:abstractNumId w:val="5"/>
    <w:lvlOverride w:ilvl="0">
      <w:startOverride w:val="1"/>
    </w:lvlOverride>
  </w:num>
  <w:num w:numId="8">
    <w:abstractNumId w:val="1"/>
  </w:num>
  <w:num w:numId="9">
    <w:abstractNumId w:val="5"/>
  </w:num>
  <w:num w:numId="10">
    <w:abstractNumId w:val="5"/>
    <w:lvlOverride w:ilvl="0">
      <w:startOverride w:val="1"/>
    </w:lvlOverride>
  </w:num>
  <w:num w:numId="11">
    <w:abstractNumId w:val="5"/>
  </w:num>
  <w:num w:numId="12">
    <w:abstractNumId w:val="5"/>
  </w:num>
  <w:num w:numId="13">
    <w:abstractNumId w:val="5"/>
  </w:num>
  <w:num w:numId="14">
    <w:abstractNumId w:val="1"/>
  </w:num>
  <w:num w:numId="15">
    <w:abstractNumId w:val="1"/>
  </w:num>
  <w:num w:numId="16">
    <w:abstractNumId w:val="5"/>
  </w:num>
  <w:num w:numId="17">
    <w:abstractNumId w:val="5"/>
  </w:num>
  <w:num w:numId="18">
    <w:abstractNumId w:val="5"/>
  </w:num>
  <w:num w:numId="19">
    <w:abstractNumId w:val="5"/>
    <w:lvlOverride w:ilvl="0">
      <w:startOverride w:val="1"/>
    </w:lvlOverride>
  </w:num>
  <w:num w:numId="20">
    <w:abstractNumId w:val="5"/>
  </w:num>
  <w:num w:numId="21">
    <w:abstractNumId w:val="6"/>
  </w:num>
  <w:num w:numId="22">
    <w:abstractNumId w:val="7"/>
  </w:num>
  <w:num w:numId="23">
    <w:abstractNumId w:val="1"/>
  </w:num>
  <w:num w:numId="24">
    <w:abstractNumId w:val="1"/>
  </w:num>
  <w:num w:numId="25">
    <w:abstractNumId w:val="5"/>
  </w:num>
  <w:num w:numId="26">
    <w:abstractNumId w:val="5"/>
    <w:lvlOverride w:ilvl="0">
      <w:startOverride w:val="1"/>
    </w:lvlOverride>
  </w:num>
  <w:num w:numId="27">
    <w:abstractNumId w:val="5"/>
  </w:num>
  <w:num w:numId="28">
    <w:abstractNumId w:val="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ED6"/>
    <w:rsid w:val="000001E8"/>
    <w:rsid w:val="00000239"/>
    <w:rsid w:val="0000077B"/>
    <w:rsid w:val="0000091C"/>
    <w:rsid w:val="00000BD5"/>
    <w:rsid w:val="000012B3"/>
    <w:rsid w:val="000027D2"/>
    <w:rsid w:val="00003B04"/>
    <w:rsid w:val="00003ED1"/>
    <w:rsid w:val="000048FF"/>
    <w:rsid w:val="0000527F"/>
    <w:rsid w:val="00006932"/>
    <w:rsid w:val="00007175"/>
    <w:rsid w:val="0000744E"/>
    <w:rsid w:val="0001123B"/>
    <w:rsid w:val="000122C0"/>
    <w:rsid w:val="000152A5"/>
    <w:rsid w:val="00015CA5"/>
    <w:rsid w:val="00016905"/>
    <w:rsid w:val="00017667"/>
    <w:rsid w:val="000203D6"/>
    <w:rsid w:val="00020627"/>
    <w:rsid w:val="0002084C"/>
    <w:rsid w:val="00020ADA"/>
    <w:rsid w:val="000215CB"/>
    <w:rsid w:val="00021CAD"/>
    <w:rsid w:val="000221CC"/>
    <w:rsid w:val="0002549E"/>
    <w:rsid w:val="000269DB"/>
    <w:rsid w:val="0003026D"/>
    <w:rsid w:val="0003215D"/>
    <w:rsid w:val="0003374F"/>
    <w:rsid w:val="00033B64"/>
    <w:rsid w:val="00033E89"/>
    <w:rsid w:val="000343F9"/>
    <w:rsid w:val="000360A4"/>
    <w:rsid w:val="000372F6"/>
    <w:rsid w:val="00037373"/>
    <w:rsid w:val="00042274"/>
    <w:rsid w:val="0004246A"/>
    <w:rsid w:val="000441B6"/>
    <w:rsid w:val="00045083"/>
    <w:rsid w:val="00045F68"/>
    <w:rsid w:val="00047633"/>
    <w:rsid w:val="0004D6FC"/>
    <w:rsid w:val="0005208B"/>
    <w:rsid w:val="00052141"/>
    <w:rsid w:val="00053EC6"/>
    <w:rsid w:val="00055D36"/>
    <w:rsid w:val="00055D87"/>
    <w:rsid w:val="00057A6D"/>
    <w:rsid w:val="00057F72"/>
    <w:rsid w:val="00061269"/>
    <w:rsid w:val="000619C7"/>
    <w:rsid w:val="0006216A"/>
    <w:rsid w:val="00062176"/>
    <w:rsid w:val="0006505C"/>
    <w:rsid w:val="00065FA4"/>
    <w:rsid w:val="00066B62"/>
    <w:rsid w:val="00067A90"/>
    <w:rsid w:val="00067FC3"/>
    <w:rsid w:val="00071B29"/>
    <w:rsid w:val="00072116"/>
    <w:rsid w:val="00072620"/>
    <w:rsid w:val="00072723"/>
    <w:rsid w:val="0007324E"/>
    <w:rsid w:val="00073D6A"/>
    <w:rsid w:val="00073E5E"/>
    <w:rsid w:val="00074BAB"/>
    <w:rsid w:val="00075A12"/>
    <w:rsid w:val="000760AD"/>
    <w:rsid w:val="00076166"/>
    <w:rsid w:val="00076F5E"/>
    <w:rsid w:val="00080CF9"/>
    <w:rsid w:val="000819EB"/>
    <w:rsid w:val="00081C3A"/>
    <w:rsid w:val="00082B9E"/>
    <w:rsid w:val="00083ACF"/>
    <w:rsid w:val="00083B2A"/>
    <w:rsid w:val="000844AA"/>
    <w:rsid w:val="00084D13"/>
    <w:rsid w:val="000855D1"/>
    <w:rsid w:val="000862DC"/>
    <w:rsid w:val="000877F0"/>
    <w:rsid w:val="00087F0A"/>
    <w:rsid w:val="000924EB"/>
    <w:rsid w:val="00094AFB"/>
    <w:rsid w:val="00095B2A"/>
    <w:rsid w:val="00096C34"/>
    <w:rsid w:val="000A09D8"/>
    <w:rsid w:val="000A7F8E"/>
    <w:rsid w:val="000B0271"/>
    <w:rsid w:val="000B0603"/>
    <w:rsid w:val="000B3CC0"/>
    <w:rsid w:val="000B630D"/>
    <w:rsid w:val="000B7784"/>
    <w:rsid w:val="000C17F9"/>
    <w:rsid w:val="000C1E02"/>
    <w:rsid w:val="000C3076"/>
    <w:rsid w:val="000C47F3"/>
    <w:rsid w:val="000C4ACC"/>
    <w:rsid w:val="000C527E"/>
    <w:rsid w:val="000C6477"/>
    <w:rsid w:val="000D1B59"/>
    <w:rsid w:val="000D1E94"/>
    <w:rsid w:val="000D34BE"/>
    <w:rsid w:val="000D3741"/>
    <w:rsid w:val="000D38F4"/>
    <w:rsid w:val="000D485B"/>
    <w:rsid w:val="000D48D8"/>
    <w:rsid w:val="000D5429"/>
    <w:rsid w:val="000D65AC"/>
    <w:rsid w:val="000D66AF"/>
    <w:rsid w:val="000D68BF"/>
    <w:rsid w:val="000E17D4"/>
    <w:rsid w:val="000E28E7"/>
    <w:rsid w:val="000E2E56"/>
    <w:rsid w:val="000E40C1"/>
    <w:rsid w:val="000E4BC1"/>
    <w:rsid w:val="000E67B8"/>
    <w:rsid w:val="000E758B"/>
    <w:rsid w:val="000F0509"/>
    <w:rsid w:val="000F052F"/>
    <w:rsid w:val="000F0BBC"/>
    <w:rsid w:val="000F191A"/>
    <w:rsid w:val="000F2076"/>
    <w:rsid w:val="000F262C"/>
    <w:rsid w:val="000F394D"/>
    <w:rsid w:val="000F3959"/>
    <w:rsid w:val="000F41F1"/>
    <w:rsid w:val="000F58C7"/>
    <w:rsid w:val="000F5A33"/>
    <w:rsid w:val="000F61FD"/>
    <w:rsid w:val="000F698E"/>
    <w:rsid w:val="000F7440"/>
    <w:rsid w:val="00101226"/>
    <w:rsid w:val="00101B84"/>
    <w:rsid w:val="00101E5C"/>
    <w:rsid w:val="00102558"/>
    <w:rsid w:val="001040D6"/>
    <w:rsid w:val="0010672D"/>
    <w:rsid w:val="00106C68"/>
    <w:rsid w:val="00107819"/>
    <w:rsid w:val="00110DC0"/>
    <w:rsid w:val="00111339"/>
    <w:rsid w:val="00113555"/>
    <w:rsid w:val="00113DCD"/>
    <w:rsid w:val="00114DB1"/>
    <w:rsid w:val="0011603D"/>
    <w:rsid w:val="00116298"/>
    <w:rsid w:val="00120647"/>
    <w:rsid w:val="00120776"/>
    <w:rsid w:val="00121666"/>
    <w:rsid w:val="001222FD"/>
    <w:rsid w:val="00122975"/>
    <w:rsid w:val="00123817"/>
    <w:rsid w:val="00123AB9"/>
    <w:rsid w:val="001249C0"/>
    <w:rsid w:val="00125523"/>
    <w:rsid w:val="00125798"/>
    <w:rsid w:val="001274D3"/>
    <w:rsid w:val="0012773A"/>
    <w:rsid w:val="00127AAA"/>
    <w:rsid w:val="00127D60"/>
    <w:rsid w:val="001311F0"/>
    <w:rsid w:val="001315DA"/>
    <w:rsid w:val="0013296B"/>
    <w:rsid w:val="00132FE2"/>
    <w:rsid w:val="00134710"/>
    <w:rsid w:val="00134E9D"/>
    <w:rsid w:val="00136D0A"/>
    <w:rsid w:val="00136E60"/>
    <w:rsid w:val="00137FC2"/>
    <w:rsid w:val="001403E5"/>
    <w:rsid w:val="00141B6D"/>
    <w:rsid w:val="00142192"/>
    <w:rsid w:val="00142F2E"/>
    <w:rsid w:val="00145EC3"/>
    <w:rsid w:val="00146346"/>
    <w:rsid w:val="00146712"/>
    <w:rsid w:val="001470DE"/>
    <w:rsid w:val="0014737D"/>
    <w:rsid w:val="0014796C"/>
    <w:rsid w:val="00147CFB"/>
    <w:rsid w:val="00150E65"/>
    <w:rsid w:val="0015192D"/>
    <w:rsid w:val="00155502"/>
    <w:rsid w:val="00156ED1"/>
    <w:rsid w:val="00156F91"/>
    <w:rsid w:val="0015774E"/>
    <w:rsid w:val="00157B22"/>
    <w:rsid w:val="001608EB"/>
    <w:rsid w:val="00161A70"/>
    <w:rsid w:val="00162B34"/>
    <w:rsid w:val="00166802"/>
    <w:rsid w:val="001675B0"/>
    <w:rsid w:val="001716FC"/>
    <w:rsid w:val="00172402"/>
    <w:rsid w:val="00175A3B"/>
    <w:rsid w:val="001767ED"/>
    <w:rsid w:val="0018106B"/>
    <w:rsid w:val="0018158A"/>
    <w:rsid w:val="00182616"/>
    <w:rsid w:val="00183582"/>
    <w:rsid w:val="00184568"/>
    <w:rsid w:val="00185594"/>
    <w:rsid w:val="00192973"/>
    <w:rsid w:val="001930AD"/>
    <w:rsid w:val="00193D42"/>
    <w:rsid w:val="00195F88"/>
    <w:rsid w:val="001975C2"/>
    <w:rsid w:val="00197D72"/>
    <w:rsid w:val="001A0C9C"/>
    <w:rsid w:val="001A1578"/>
    <w:rsid w:val="001A1618"/>
    <w:rsid w:val="001A1862"/>
    <w:rsid w:val="001A1B3A"/>
    <w:rsid w:val="001A2D2A"/>
    <w:rsid w:val="001A3C80"/>
    <w:rsid w:val="001A453D"/>
    <w:rsid w:val="001A58F5"/>
    <w:rsid w:val="001A6B3B"/>
    <w:rsid w:val="001A7122"/>
    <w:rsid w:val="001A7798"/>
    <w:rsid w:val="001A78F0"/>
    <w:rsid w:val="001A7B04"/>
    <w:rsid w:val="001A7D81"/>
    <w:rsid w:val="001B226C"/>
    <w:rsid w:val="001B2407"/>
    <w:rsid w:val="001B25D3"/>
    <w:rsid w:val="001B2AFD"/>
    <w:rsid w:val="001B44EE"/>
    <w:rsid w:val="001B4E62"/>
    <w:rsid w:val="001B5002"/>
    <w:rsid w:val="001B5194"/>
    <w:rsid w:val="001B7603"/>
    <w:rsid w:val="001B77F7"/>
    <w:rsid w:val="001C30BC"/>
    <w:rsid w:val="001C326E"/>
    <w:rsid w:val="001C4591"/>
    <w:rsid w:val="001C49FC"/>
    <w:rsid w:val="001C532C"/>
    <w:rsid w:val="001C606A"/>
    <w:rsid w:val="001C63ED"/>
    <w:rsid w:val="001C7938"/>
    <w:rsid w:val="001D0458"/>
    <w:rsid w:val="001D3B04"/>
    <w:rsid w:val="001D3C11"/>
    <w:rsid w:val="001D3C7F"/>
    <w:rsid w:val="001D4DEC"/>
    <w:rsid w:val="001D56FC"/>
    <w:rsid w:val="001D6A40"/>
    <w:rsid w:val="001E0248"/>
    <w:rsid w:val="001E0D13"/>
    <w:rsid w:val="001E1192"/>
    <w:rsid w:val="001E2877"/>
    <w:rsid w:val="001E39CD"/>
    <w:rsid w:val="001E3E5A"/>
    <w:rsid w:val="001E4D12"/>
    <w:rsid w:val="001E5448"/>
    <w:rsid w:val="001E6CE0"/>
    <w:rsid w:val="001E7221"/>
    <w:rsid w:val="001E7B36"/>
    <w:rsid w:val="001E7B7B"/>
    <w:rsid w:val="001E7E93"/>
    <w:rsid w:val="001F00DD"/>
    <w:rsid w:val="001F0C70"/>
    <w:rsid w:val="001F21DF"/>
    <w:rsid w:val="001F2B55"/>
    <w:rsid w:val="001F37C1"/>
    <w:rsid w:val="001F38D4"/>
    <w:rsid w:val="001F584A"/>
    <w:rsid w:val="001F6D51"/>
    <w:rsid w:val="00200AD7"/>
    <w:rsid w:val="00200CA2"/>
    <w:rsid w:val="00202A22"/>
    <w:rsid w:val="0020312F"/>
    <w:rsid w:val="00203589"/>
    <w:rsid w:val="00206632"/>
    <w:rsid w:val="00207EF7"/>
    <w:rsid w:val="00210C22"/>
    <w:rsid w:val="00211E8D"/>
    <w:rsid w:val="00212067"/>
    <w:rsid w:val="002130B9"/>
    <w:rsid w:val="00214EB5"/>
    <w:rsid w:val="002173C0"/>
    <w:rsid w:val="00217662"/>
    <w:rsid w:val="002209E3"/>
    <w:rsid w:val="00222130"/>
    <w:rsid w:val="002222A4"/>
    <w:rsid w:val="00223115"/>
    <w:rsid w:val="0022341E"/>
    <w:rsid w:val="00223D94"/>
    <w:rsid w:val="0022690F"/>
    <w:rsid w:val="00226DED"/>
    <w:rsid w:val="002270D3"/>
    <w:rsid w:val="002271C8"/>
    <w:rsid w:val="002274AA"/>
    <w:rsid w:val="00231299"/>
    <w:rsid w:val="00232D95"/>
    <w:rsid w:val="00233CEB"/>
    <w:rsid w:val="002345B1"/>
    <w:rsid w:val="002401D4"/>
    <w:rsid w:val="00240EEF"/>
    <w:rsid w:val="002417AA"/>
    <w:rsid w:val="00241FC0"/>
    <w:rsid w:val="00244327"/>
    <w:rsid w:val="00245596"/>
    <w:rsid w:val="00246D39"/>
    <w:rsid w:val="00247AFE"/>
    <w:rsid w:val="00250A63"/>
    <w:rsid w:val="002518A5"/>
    <w:rsid w:val="00253ADB"/>
    <w:rsid w:val="00253AE7"/>
    <w:rsid w:val="002547E2"/>
    <w:rsid w:val="002548DD"/>
    <w:rsid w:val="00255016"/>
    <w:rsid w:val="0025516F"/>
    <w:rsid w:val="00255442"/>
    <w:rsid w:val="00256455"/>
    <w:rsid w:val="0025727C"/>
    <w:rsid w:val="00257D20"/>
    <w:rsid w:val="00257E46"/>
    <w:rsid w:val="002616ED"/>
    <w:rsid w:val="00263799"/>
    <w:rsid w:val="0026381B"/>
    <w:rsid w:val="002641BB"/>
    <w:rsid w:val="002648E1"/>
    <w:rsid w:val="00264D61"/>
    <w:rsid w:val="002670D1"/>
    <w:rsid w:val="00267FF3"/>
    <w:rsid w:val="00270C74"/>
    <w:rsid w:val="0027209C"/>
    <w:rsid w:val="00272F6D"/>
    <w:rsid w:val="00273778"/>
    <w:rsid w:val="00274114"/>
    <w:rsid w:val="002742C9"/>
    <w:rsid w:val="002757DA"/>
    <w:rsid w:val="002769AE"/>
    <w:rsid w:val="002805D4"/>
    <w:rsid w:val="00282A79"/>
    <w:rsid w:val="00283740"/>
    <w:rsid w:val="00284E62"/>
    <w:rsid w:val="002857DB"/>
    <w:rsid w:val="00285979"/>
    <w:rsid w:val="002859AB"/>
    <w:rsid w:val="00286094"/>
    <w:rsid w:val="00290544"/>
    <w:rsid w:val="002911FA"/>
    <w:rsid w:val="00291C79"/>
    <w:rsid w:val="00293A0A"/>
    <w:rsid w:val="00294A7D"/>
    <w:rsid w:val="002954B7"/>
    <w:rsid w:val="002956F0"/>
    <w:rsid w:val="00297554"/>
    <w:rsid w:val="002A0964"/>
    <w:rsid w:val="002A1EC1"/>
    <w:rsid w:val="002A2387"/>
    <w:rsid w:val="002A2DEF"/>
    <w:rsid w:val="002A301F"/>
    <w:rsid w:val="002A5EDD"/>
    <w:rsid w:val="002A6B35"/>
    <w:rsid w:val="002A727B"/>
    <w:rsid w:val="002A75B3"/>
    <w:rsid w:val="002B0FEA"/>
    <w:rsid w:val="002B13E2"/>
    <w:rsid w:val="002B2A66"/>
    <w:rsid w:val="002B5391"/>
    <w:rsid w:val="002C09FE"/>
    <w:rsid w:val="002C2C78"/>
    <w:rsid w:val="002C31FD"/>
    <w:rsid w:val="002C3BBE"/>
    <w:rsid w:val="002C3C46"/>
    <w:rsid w:val="002C40A7"/>
    <w:rsid w:val="002C4F26"/>
    <w:rsid w:val="002C5F16"/>
    <w:rsid w:val="002C7474"/>
    <w:rsid w:val="002D08F9"/>
    <w:rsid w:val="002D3A6B"/>
    <w:rsid w:val="002D5F68"/>
    <w:rsid w:val="002D6014"/>
    <w:rsid w:val="002D68A7"/>
    <w:rsid w:val="002D738F"/>
    <w:rsid w:val="002E0947"/>
    <w:rsid w:val="002E095E"/>
    <w:rsid w:val="002E1509"/>
    <w:rsid w:val="002E192B"/>
    <w:rsid w:val="002E3E70"/>
    <w:rsid w:val="002E527C"/>
    <w:rsid w:val="002E6F1E"/>
    <w:rsid w:val="002E7FF2"/>
    <w:rsid w:val="002F04E5"/>
    <w:rsid w:val="002F1E10"/>
    <w:rsid w:val="002F40C7"/>
    <w:rsid w:val="002F4536"/>
    <w:rsid w:val="002F48E7"/>
    <w:rsid w:val="002F4AC4"/>
    <w:rsid w:val="002F4F4C"/>
    <w:rsid w:val="002F4FF8"/>
    <w:rsid w:val="002F5955"/>
    <w:rsid w:val="002F6278"/>
    <w:rsid w:val="002F6AB5"/>
    <w:rsid w:val="0030251D"/>
    <w:rsid w:val="003042AE"/>
    <w:rsid w:val="00304723"/>
    <w:rsid w:val="0030488D"/>
    <w:rsid w:val="00305270"/>
    <w:rsid w:val="00306B3C"/>
    <w:rsid w:val="00306D99"/>
    <w:rsid w:val="0030734C"/>
    <w:rsid w:val="00307783"/>
    <w:rsid w:val="00310554"/>
    <w:rsid w:val="00310D8F"/>
    <w:rsid w:val="00310E80"/>
    <w:rsid w:val="003130A6"/>
    <w:rsid w:val="00314DCB"/>
    <w:rsid w:val="00316879"/>
    <w:rsid w:val="003178CB"/>
    <w:rsid w:val="00317A69"/>
    <w:rsid w:val="0032044A"/>
    <w:rsid w:val="00320DE1"/>
    <w:rsid w:val="00321679"/>
    <w:rsid w:val="00322364"/>
    <w:rsid w:val="00325BED"/>
    <w:rsid w:val="00326B39"/>
    <w:rsid w:val="00327675"/>
    <w:rsid w:val="0032CE3F"/>
    <w:rsid w:val="003300A5"/>
    <w:rsid w:val="00330392"/>
    <w:rsid w:val="00330854"/>
    <w:rsid w:val="003316CA"/>
    <w:rsid w:val="00331F15"/>
    <w:rsid w:val="00334DC7"/>
    <w:rsid w:val="00335F05"/>
    <w:rsid w:val="00335FC9"/>
    <w:rsid w:val="003376DB"/>
    <w:rsid w:val="003406E5"/>
    <w:rsid w:val="00342051"/>
    <w:rsid w:val="00342097"/>
    <w:rsid w:val="00342DD5"/>
    <w:rsid w:val="00343DF4"/>
    <w:rsid w:val="00344D76"/>
    <w:rsid w:val="00345192"/>
    <w:rsid w:val="003452CB"/>
    <w:rsid w:val="003457CE"/>
    <w:rsid w:val="00345889"/>
    <w:rsid w:val="003465C7"/>
    <w:rsid w:val="00346813"/>
    <w:rsid w:val="00347ABA"/>
    <w:rsid w:val="00351AA3"/>
    <w:rsid w:val="00352188"/>
    <w:rsid w:val="003545B4"/>
    <w:rsid w:val="003558A9"/>
    <w:rsid w:val="00355E0E"/>
    <w:rsid w:val="003609F1"/>
    <w:rsid w:val="00360E7D"/>
    <w:rsid w:val="00362885"/>
    <w:rsid w:val="0036328F"/>
    <w:rsid w:val="00364470"/>
    <w:rsid w:val="00367250"/>
    <w:rsid w:val="0036787F"/>
    <w:rsid w:val="00367D13"/>
    <w:rsid w:val="0037049E"/>
    <w:rsid w:val="00371F0C"/>
    <w:rsid w:val="0037256C"/>
    <w:rsid w:val="00372E55"/>
    <w:rsid w:val="003738DD"/>
    <w:rsid w:val="0037566A"/>
    <w:rsid w:val="00376C68"/>
    <w:rsid w:val="00377FDE"/>
    <w:rsid w:val="003810A4"/>
    <w:rsid w:val="00381592"/>
    <w:rsid w:val="00383296"/>
    <w:rsid w:val="003838D1"/>
    <w:rsid w:val="00383D5F"/>
    <w:rsid w:val="003840FC"/>
    <w:rsid w:val="00384605"/>
    <w:rsid w:val="00385F42"/>
    <w:rsid w:val="00386559"/>
    <w:rsid w:val="00391611"/>
    <w:rsid w:val="0039201B"/>
    <w:rsid w:val="0039268F"/>
    <w:rsid w:val="00392E96"/>
    <w:rsid w:val="003952B1"/>
    <w:rsid w:val="003956A0"/>
    <w:rsid w:val="00395DBB"/>
    <w:rsid w:val="0039667C"/>
    <w:rsid w:val="003967D6"/>
    <w:rsid w:val="003975BE"/>
    <w:rsid w:val="00397653"/>
    <w:rsid w:val="003977AA"/>
    <w:rsid w:val="00397FCF"/>
    <w:rsid w:val="003A0005"/>
    <w:rsid w:val="003A0C69"/>
    <w:rsid w:val="003A0C90"/>
    <w:rsid w:val="003A5CB9"/>
    <w:rsid w:val="003A6423"/>
    <w:rsid w:val="003A7066"/>
    <w:rsid w:val="003A71B4"/>
    <w:rsid w:val="003B2E83"/>
    <w:rsid w:val="003B32D7"/>
    <w:rsid w:val="003B34AE"/>
    <w:rsid w:val="003B3ABD"/>
    <w:rsid w:val="003B445C"/>
    <w:rsid w:val="003B45D3"/>
    <w:rsid w:val="003B4A18"/>
    <w:rsid w:val="003B4CA8"/>
    <w:rsid w:val="003B5390"/>
    <w:rsid w:val="003B546B"/>
    <w:rsid w:val="003B5552"/>
    <w:rsid w:val="003B5F0C"/>
    <w:rsid w:val="003B6435"/>
    <w:rsid w:val="003B64C5"/>
    <w:rsid w:val="003B7ED7"/>
    <w:rsid w:val="003B7FFB"/>
    <w:rsid w:val="003C025F"/>
    <w:rsid w:val="003C34AC"/>
    <w:rsid w:val="003C4BCE"/>
    <w:rsid w:val="003C4BDE"/>
    <w:rsid w:val="003C6E1E"/>
    <w:rsid w:val="003C73F3"/>
    <w:rsid w:val="003D07B5"/>
    <w:rsid w:val="003D1355"/>
    <w:rsid w:val="003D148F"/>
    <w:rsid w:val="003D154D"/>
    <w:rsid w:val="003D35E5"/>
    <w:rsid w:val="003D5BA5"/>
    <w:rsid w:val="003D6761"/>
    <w:rsid w:val="003D7207"/>
    <w:rsid w:val="003E1170"/>
    <w:rsid w:val="003E30F5"/>
    <w:rsid w:val="003E4D7F"/>
    <w:rsid w:val="003E6592"/>
    <w:rsid w:val="003E777E"/>
    <w:rsid w:val="003F0D35"/>
    <w:rsid w:val="003F119E"/>
    <w:rsid w:val="003F2BD9"/>
    <w:rsid w:val="003F34C0"/>
    <w:rsid w:val="003F3973"/>
    <w:rsid w:val="003F3C63"/>
    <w:rsid w:val="003F5F9E"/>
    <w:rsid w:val="003F70AD"/>
    <w:rsid w:val="003F7CD3"/>
    <w:rsid w:val="0040144D"/>
    <w:rsid w:val="004025E4"/>
    <w:rsid w:val="00402675"/>
    <w:rsid w:val="00403348"/>
    <w:rsid w:val="00403659"/>
    <w:rsid w:val="0040379B"/>
    <w:rsid w:val="004061B5"/>
    <w:rsid w:val="00406544"/>
    <w:rsid w:val="00406A3D"/>
    <w:rsid w:val="00406B8F"/>
    <w:rsid w:val="00410508"/>
    <w:rsid w:val="004105EE"/>
    <w:rsid w:val="004115CB"/>
    <w:rsid w:val="00411FFF"/>
    <w:rsid w:val="00412FCC"/>
    <w:rsid w:val="00413965"/>
    <w:rsid w:val="00414287"/>
    <w:rsid w:val="00414E64"/>
    <w:rsid w:val="00414F21"/>
    <w:rsid w:val="004150C7"/>
    <w:rsid w:val="0041585D"/>
    <w:rsid w:val="004159A7"/>
    <w:rsid w:val="00415BFD"/>
    <w:rsid w:val="00417067"/>
    <w:rsid w:val="0041716C"/>
    <w:rsid w:val="0041737D"/>
    <w:rsid w:val="004207A1"/>
    <w:rsid w:val="00422397"/>
    <w:rsid w:val="00423254"/>
    <w:rsid w:val="00424385"/>
    <w:rsid w:val="004252B7"/>
    <w:rsid w:val="0042792B"/>
    <w:rsid w:val="00427A1E"/>
    <w:rsid w:val="00430F36"/>
    <w:rsid w:val="004347F9"/>
    <w:rsid w:val="00435B1C"/>
    <w:rsid w:val="004360C4"/>
    <w:rsid w:val="00436D5D"/>
    <w:rsid w:val="0043715E"/>
    <w:rsid w:val="004375A3"/>
    <w:rsid w:val="00442B1C"/>
    <w:rsid w:val="0044486F"/>
    <w:rsid w:val="00446191"/>
    <w:rsid w:val="004468FE"/>
    <w:rsid w:val="00446F11"/>
    <w:rsid w:val="004509DF"/>
    <w:rsid w:val="00451CFB"/>
    <w:rsid w:val="00453342"/>
    <w:rsid w:val="00455D27"/>
    <w:rsid w:val="00456803"/>
    <w:rsid w:val="00457A77"/>
    <w:rsid w:val="00457CB7"/>
    <w:rsid w:val="00460ED6"/>
    <w:rsid w:val="004641D5"/>
    <w:rsid w:val="00464638"/>
    <w:rsid w:val="00465C1E"/>
    <w:rsid w:val="00466627"/>
    <w:rsid w:val="00470F9E"/>
    <w:rsid w:val="00473006"/>
    <w:rsid w:val="004731DC"/>
    <w:rsid w:val="004743E5"/>
    <w:rsid w:val="00476A2E"/>
    <w:rsid w:val="004770BE"/>
    <w:rsid w:val="004772EF"/>
    <w:rsid w:val="00477665"/>
    <w:rsid w:val="00477870"/>
    <w:rsid w:val="00482C10"/>
    <w:rsid w:val="00483CF4"/>
    <w:rsid w:val="00483DAE"/>
    <w:rsid w:val="0048488B"/>
    <w:rsid w:val="00484AF2"/>
    <w:rsid w:val="00484F72"/>
    <w:rsid w:val="004855CA"/>
    <w:rsid w:val="00485C83"/>
    <w:rsid w:val="00485DB2"/>
    <w:rsid w:val="0049033E"/>
    <w:rsid w:val="00490BBA"/>
    <w:rsid w:val="0049126E"/>
    <w:rsid w:val="0049139B"/>
    <w:rsid w:val="00491B3B"/>
    <w:rsid w:val="00492FA3"/>
    <w:rsid w:val="0049395A"/>
    <w:rsid w:val="00494616"/>
    <w:rsid w:val="0049599D"/>
    <w:rsid w:val="00495E1D"/>
    <w:rsid w:val="00497C73"/>
    <w:rsid w:val="004A21A3"/>
    <w:rsid w:val="004A24C4"/>
    <w:rsid w:val="004A2EAE"/>
    <w:rsid w:val="004A3727"/>
    <w:rsid w:val="004A3ED6"/>
    <w:rsid w:val="004A6E31"/>
    <w:rsid w:val="004B0481"/>
    <w:rsid w:val="004B0B30"/>
    <w:rsid w:val="004B23C8"/>
    <w:rsid w:val="004B3ACF"/>
    <w:rsid w:val="004B4255"/>
    <w:rsid w:val="004B46F8"/>
    <w:rsid w:val="004B5F91"/>
    <w:rsid w:val="004C0BEA"/>
    <w:rsid w:val="004C3870"/>
    <w:rsid w:val="004C5DA6"/>
    <w:rsid w:val="004C7702"/>
    <w:rsid w:val="004D0606"/>
    <w:rsid w:val="004D246D"/>
    <w:rsid w:val="004D2C64"/>
    <w:rsid w:val="004D560E"/>
    <w:rsid w:val="004D560F"/>
    <w:rsid w:val="004D59D0"/>
    <w:rsid w:val="004D5E15"/>
    <w:rsid w:val="004D5FF9"/>
    <w:rsid w:val="004E34BC"/>
    <w:rsid w:val="004E5288"/>
    <w:rsid w:val="004E61DE"/>
    <w:rsid w:val="004E620E"/>
    <w:rsid w:val="004E7AD5"/>
    <w:rsid w:val="004ED246"/>
    <w:rsid w:val="004F045E"/>
    <w:rsid w:val="004F1FE1"/>
    <w:rsid w:val="004F2529"/>
    <w:rsid w:val="004F28C6"/>
    <w:rsid w:val="004F2EF3"/>
    <w:rsid w:val="004F32E3"/>
    <w:rsid w:val="004F3656"/>
    <w:rsid w:val="004F41A6"/>
    <w:rsid w:val="004F70B9"/>
    <w:rsid w:val="00500444"/>
    <w:rsid w:val="005014D9"/>
    <w:rsid w:val="0050182C"/>
    <w:rsid w:val="00502953"/>
    <w:rsid w:val="00503A18"/>
    <w:rsid w:val="00504F03"/>
    <w:rsid w:val="00507BEC"/>
    <w:rsid w:val="005102EB"/>
    <w:rsid w:val="00514172"/>
    <w:rsid w:val="00514403"/>
    <w:rsid w:val="005146F1"/>
    <w:rsid w:val="00514B0B"/>
    <w:rsid w:val="00514FD4"/>
    <w:rsid w:val="00515D59"/>
    <w:rsid w:val="00515DE0"/>
    <w:rsid w:val="00515F50"/>
    <w:rsid w:val="00520D79"/>
    <w:rsid w:val="005237E6"/>
    <w:rsid w:val="00524FAB"/>
    <w:rsid w:val="00525C81"/>
    <w:rsid w:val="00527D1A"/>
    <w:rsid w:val="005306B9"/>
    <w:rsid w:val="005309E7"/>
    <w:rsid w:val="00530BF2"/>
    <w:rsid w:val="0053110D"/>
    <w:rsid w:val="005322CA"/>
    <w:rsid w:val="00532FFD"/>
    <w:rsid w:val="0053335C"/>
    <w:rsid w:val="00535437"/>
    <w:rsid w:val="00535467"/>
    <w:rsid w:val="005354D9"/>
    <w:rsid w:val="00536A47"/>
    <w:rsid w:val="005373D4"/>
    <w:rsid w:val="005377DB"/>
    <w:rsid w:val="00537EDB"/>
    <w:rsid w:val="00541BC5"/>
    <w:rsid w:val="0054228E"/>
    <w:rsid w:val="00542A30"/>
    <w:rsid w:val="00542C46"/>
    <w:rsid w:val="005432F2"/>
    <w:rsid w:val="00543E6C"/>
    <w:rsid w:val="00544610"/>
    <w:rsid w:val="0054694C"/>
    <w:rsid w:val="0055004C"/>
    <w:rsid w:val="0055013D"/>
    <w:rsid w:val="0055026C"/>
    <w:rsid w:val="005511C8"/>
    <w:rsid w:val="005539E8"/>
    <w:rsid w:val="00553FA2"/>
    <w:rsid w:val="0055640B"/>
    <w:rsid w:val="0055793C"/>
    <w:rsid w:val="00557F17"/>
    <w:rsid w:val="00560BB4"/>
    <w:rsid w:val="00561678"/>
    <w:rsid w:val="00562031"/>
    <w:rsid w:val="0056222E"/>
    <w:rsid w:val="00564D7B"/>
    <w:rsid w:val="00565352"/>
    <w:rsid w:val="00565B60"/>
    <w:rsid w:val="005711E3"/>
    <w:rsid w:val="00571BF4"/>
    <w:rsid w:val="00571EAF"/>
    <w:rsid w:val="00575341"/>
    <w:rsid w:val="00575F9D"/>
    <w:rsid w:val="00576A63"/>
    <w:rsid w:val="00580144"/>
    <w:rsid w:val="005802CA"/>
    <w:rsid w:val="00582A76"/>
    <w:rsid w:val="005832DF"/>
    <w:rsid w:val="0058346A"/>
    <w:rsid w:val="0058384B"/>
    <w:rsid w:val="00583D91"/>
    <w:rsid w:val="00587072"/>
    <w:rsid w:val="005876DE"/>
    <w:rsid w:val="00590654"/>
    <w:rsid w:val="00592468"/>
    <w:rsid w:val="00592C87"/>
    <w:rsid w:val="0059466C"/>
    <w:rsid w:val="00594E43"/>
    <w:rsid w:val="00595494"/>
    <w:rsid w:val="0059606A"/>
    <w:rsid w:val="005961C9"/>
    <w:rsid w:val="00596A62"/>
    <w:rsid w:val="005A3864"/>
    <w:rsid w:val="005A4039"/>
    <w:rsid w:val="005A67E3"/>
    <w:rsid w:val="005A6847"/>
    <w:rsid w:val="005A7859"/>
    <w:rsid w:val="005B06F4"/>
    <w:rsid w:val="005B16BA"/>
    <w:rsid w:val="005B1E30"/>
    <w:rsid w:val="005B2050"/>
    <w:rsid w:val="005B266C"/>
    <w:rsid w:val="005B2EEC"/>
    <w:rsid w:val="005B34D7"/>
    <w:rsid w:val="005B3FA2"/>
    <w:rsid w:val="005B5207"/>
    <w:rsid w:val="005B63A0"/>
    <w:rsid w:val="005C05C2"/>
    <w:rsid w:val="005C0EDD"/>
    <w:rsid w:val="005C12C1"/>
    <w:rsid w:val="005C27DF"/>
    <w:rsid w:val="005C557C"/>
    <w:rsid w:val="005C598F"/>
    <w:rsid w:val="005C6B2F"/>
    <w:rsid w:val="005C6DA5"/>
    <w:rsid w:val="005C7A8A"/>
    <w:rsid w:val="005D10A4"/>
    <w:rsid w:val="005D14E4"/>
    <w:rsid w:val="005D33E4"/>
    <w:rsid w:val="005D388C"/>
    <w:rsid w:val="005D5435"/>
    <w:rsid w:val="005D6419"/>
    <w:rsid w:val="005E04A4"/>
    <w:rsid w:val="005E25D2"/>
    <w:rsid w:val="005E2CC0"/>
    <w:rsid w:val="005E2EFD"/>
    <w:rsid w:val="005E3364"/>
    <w:rsid w:val="005E3425"/>
    <w:rsid w:val="005E35EB"/>
    <w:rsid w:val="005E3A93"/>
    <w:rsid w:val="005E3F3A"/>
    <w:rsid w:val="005E581E"/>
    <w:rsid w:val="005F25B8"/>
    <w:rsid w:val="005F28DD"/>
    <w:rsid w:val="005F2A86"/>
    <w:rsid w:val="005F2D3B"/>
    <w:rsid w:val="005F4684"/>
    <w:rsid w:val="005F55C5"/>
    <w:rsid w:val="005F5FB2"/>
    <w:rsid w:val="005F64DC"/>
    <w:rsid w:val="005F6C5C"/>
    <w:rsid w:val="005F78E8"/>
    <w:rsid w:val="005F7BA3"/>
    <w:rsid w:val="0060246F"/>
    <w:rsid w:val="00602E08"/>
    <w:rsid w:val="00603295"/>
    <w:rsid w:val="00604051"/>
    <w:rsid w:val="0060488F"/>
    <w:rsid w:val="006133B5"/>
    <w:rsid w:val="006162C9"/>
    <w:rsid w:val="006167C1"/>
    <w:rsid w:val="00616C4F"/>
    <w:rsid w:val="00617539"/>
    <w:rsid w:val="00617999"/>
    <w:rsid w:val="006179F3"/>
    <w:rsid w:val="00620C54"/>
    <w:rsid w:val="00622D33"/>
    <w:rsid w:val="0062303C"/>
    <w:rsid w:val="006231A4"/>
    <w:rsid w:val="006232F2"/>
    <w:rsid w:val="00626E85"/>
    <w:rsid w:val="00627595"/>
    <w:rsid w:val="00627BCD"/>
    <w:rsid w:val="006304B9"/>
    <w:rsid w:val="00632C4B"/>
    <w:rsid w:val="00633104"/>
    <w:rsid w:val="006331D7"/>
    <w:rsid w:val="00633C11"/>
    <w:rsid w:val="00633F1E"/>
    <w:rsid w:val="006343CB"/>
    <w:rsid w:val="00634DC3"/>
    <w:rsid w:val="00635A49"/>
    <w:rsid w:val="006366B3"/>
    <w:rsid w:val="0063725E"/>
    <w:rsid w:val="00637E01"/>
    <w:rsid w:val="006416D5"/>
    <w:rsid w:val="006424E3"/>
    <w:rsid w:val="00642D4D"/>
    <w:rsid w:val="00643998"/>
    <w:rsid w:val="00644E58"/>
    <w:rsid w:val="006450AD"/>
    <w:rsid w:val="00645344"/>
    <w:rsid w:val="00645457"/>
    <w:rsid w:val="0064565C"/>
    <w:rsid w:val="006465CA"/>
    <w:rsid w:val="006467FF"/>
    <w:rsid w:val="0064681C"/>
    <w:rsid w:val="00646D1B"/>
    <w:rsid w:val="0065097E"/>
    <w:rsid w:val="00650A97"/>
    <w:rsid w:val="006514C6"/>
    <w:rsid w:val="006514E7"/>
    <w:rsid w:val="00652184"/>
    <w:rsid w:val="006521B0"/>
    <w:rsid w:val="006529A8"/>
    <w:rsid w:val="00653325"/>
    <w:rsid w:val="00653D39"/>
    <w:rsid w:val="006544DE"/>
    <w:rsid w:val="0065601D"/>
    <w:rsid w:val="0065723B"/>
    <w:rsid w:val="00657A52"/>
    <w:rsid w:val="00661578"/>
    <w:rsid w:val="00661864"/>
    <w:rsid w:val="00661E27"/>
    <w:rsid w:val="00663443"/>
    <w:rsid w:val="00663E53"/>
    <w:rsid w:val="00664198"/>
    <w:rsid w:val="006645E9"/>
    <w:rsid w:val="00664812"/>
    <w:rsid w:val="00664E59"/>
    <w:rsid w:val="0066518C"/>
    <w:rsid w:val="00665541"/>
    <w:rsid w:val="00665577"/>
    <w:rsid w:val="00666131"/>
    <w:rsid w:val="006673FC"/>
    <w:rsid w:val="0067011F"/>
    <w:rsid w:val="006713FD"/>
    <w:rsid w:val="00671728"/>
    <w:rsid w:val="00675002"/>
    <w:rsid w:val="00675201"/>
    <w:rsid w:val="00681C55"/>
    <w:rsid w:val="00681CA5"/>
    <w:rsid w:val="006830C0"/>
    <w:rsid w:val="00683A36"/>
    <w:rsid w:val="00683CD7"/>
    <w:rsid w:val="00687235"/>
    <w:rsid w:val="00687FDA"/>
    <w:rsid w:val="006902C6"/>
    <w:rsid w:val="00691144"/>
    <w:rsid w:val="0069120F"/>
    <w:rsid w:val="006914F8"/>
    <w:rsid w:val="00692066"/>
    <w:rsid w:val="00693836"/>
    <w:rsid w:val="006960F8"/>
    <w:rsid w:val="00697B7E"/>
    <w:rsid w:val="006A0151"/>
    <w:rsid w:val="006A0866"/>
    <w:rsid w:val="006A0A16"/>
    <w:rsid w:val="006A1A26"/>
    <w:rsid w:val="006A1DC7"/>
    <w:rsid w:val="006A2A49"/>
    <w:rsid w:val="006A2E81"/>
    <w:rsid w:val="006A2F49"/>
    <w:rsid w:val="006A3149"/>
    <w:rsid w:val="006A6929"/>
    <w:rsid w:val="006A6ED9"/>
    <w:rsid w:val="006A75F2"/>
    <w:rsid w:val="006B1C19"/>
    <w:rsid w:val="006B1C60"/>
    <w:rsid w:val="006B1F57"/>
    <w:rsid w:val="006B3176"/>
    <w:rsid w:val="006B42C4"/>
    <w:rsid w:val="006B5586"/>
    <w:rsid w:val="006B578E"/>
    <w:rsid w:val="006B5A3F"/>
    <w:rsid w:val="006B5AAA"/>
    <w:rsid w:val="006B70A2"/>
    <w:rsid w:val="006B7545"/>
    <w:rsid w:val="006C0F7C"/>
    <w:rsid w:val="006C1413"/>
    <w:rsid w:val="006C1611"/>
    <w:rsid w:val="006C34D7"/>
    <w:rsid w:val="006C43C7"/>
    <w:rsid w:val="006C45EA"/>
    <w:rsid w:val="006C487B"/>
    <w:rsid w:val="006C76FE"/>
    <w:rsid w:val="006D06A9"/>
    <w:rsid w:val="006D0B70"/>
    <w:rsid w:val="006D1321"/>
    <w:rsid w:val="006D2FE0"/>
    <w:rsid w:val="006D487A"/>
    <w:rsid w:val="006D4CFE"/>
    <w:rsid w:val="006D63A0"/>
    <w:rsid w:val="006D653D"/>
    <w:rsid w:val="006D7F1D"/>
    <w:rsid w:val="006E0042"/>
    <w:rsid w:val="006E0892"/>
    <w:rsid w:val="006E383F"/>
    <w:rsid w:val="006E660D"/>
    <w:rsid w:val="006F037B"/>
    <w:rsid w:val="006F1191"/>
    <w:rsid w:val="006F3060"/>
    <w:rsid w:val="006F3EDE"/>
    <w:rsid w:val="006F4810"/>
    <w:rsid w:val="006F4C4A"/>
    <w:rsid w:val="006F4D32"/>
    <w:rsid w:val="006F5342"/>
    <w:rsid w:val="006F74F2"/>
    <w:rsid w:val="006F7762"/>
    <w:rsid w:val="0070079D"/>
    <w:rsid w:val="007016DD"/>
    <w:rsid w:val="007016E6"/>
    <w:rsid w:val="007017F2"/>
    <w:rsid w:val="00704860"/>
    <w:rsid w:val="0070619B"/>
    <w:rsid w:val="00706E53"/>
    <w:rsid w:val="00707285"/>
    <w:rsid w:val="00710C86"/>
    <w:rsid w:val="007114A1"/>
    <w:rsid w:val="00711A8F"/>
    <w:rsid w:val="00713D2A"/>
    <w:rsid w:val="00714338"/>
    <w:rsid w:val="00715145"/>
    <w:rsid w:val="00716469"/>
    <w:rsid w:val="0071741F"/>
    <w:rsid w:val="007233C5"/>
    <w:rsid w:val="007248CB"/>
    <w:rsid w:val="00727DB3"/>
    <w:rsid w:val="007302D3"/>
    <w:rsid w:val="00731B07"/>
    <w:rsid w:val="00732000"/>
    <w:rsid w:val="00735043"/>
    <w:rsid w:val="00736C72"/>
    <w:rsid w:val="00737106"/>
    <w:rsid w:val="00737525"/>
    <w:rsid w:val="00737E65"/>
    <w:rsid w:val="00740260"/>
    <w:rsid w:val="00741EC8"/>
    <w:rsid w:val="00741F92"/>
    <w:rsid w:val="00742DEF"/>
    <w:rsid w:val="0074485D"/>
    <w:rsid w:val="00745458"/>
    <w:rsid w:val="00745A95"/>
    <w:rsid w:val="00745BC9"/>
    <w:rsid w:val="00745C16"/>
    <w:rsid w:val="0074659D"/>
    <w:rsid w:val="00746E51"/>
    <w:rsid w:val="00747B23"/>
    <w:rsid w:val="00750326"/>
    <w:rsid w:val="00753CC5"/>
    <w:rsid w:val="007544C6"/>
    <w:rsid w:val="00755560"/>
    <w:rsid w:val="00756F09"/>
    <w:rsid w:val="00757028"/>
    <w:rsid w:val="007578A5"/>
    <w:rsid w:val="007608C5"/>
    <w:rsid w:val="0076163E"/>
    <w:rsid w:val="007617B2"/>
    <w:rsid w:val="007621EF"/>
    <w:rsid w:val="00763FC4"/>
    <w:rsid w:val="007641B5"/>
    <w:rsid w:val="00765022"/>
    <w:rsid w:val="007653D1"/>
    <w:rsid w:val="00765676"/>
    <w:rsid w:val="00765D2A"/>
    <w:rsid w:val="007669E3"/>
    <w:rsid w:val="0077033B"/>
    <w:rsid w:val="00770789"/>
    <w:rsid w:val="00770CCC"/>
    <w:rsid w:val="00772158"/>
    <w:rsid w:val="0077263E"/>
    <w:rsid w:val="0077287C"/>
    <w:rsid w:val="0077293C"/>
    <w:rsid w:val="00772BAC"/>
    <w:rsid w:val="0077567B"/>
    <w:rsid w:val="00782445"/>
    <w:rsid w:val="00782C44"/>
    <w:rsid w:val="007834EB"/>
    <w:rsid w:val="007847D6"/>
    <w:rsid w:val="00785E92"/>
    <w:rsid w:val="00786FF3"/>
    <w:rsid w:val="00787414"/>
    <w:rsid w:val="0079042D"/>
    <w:rsid w:val="00790495"/>
    <w:rsid w:val="007907AC"/>
    <w:rsid w:val="00790DC3"/>
    <w:rsid w:val="00790F1B"/>
    <w:rsid w:val="007917A8"/>
    <w:rsid w:val="007917ED"/>
    <w:rsid w:val="00792D9B"/>
    <w:rsid w:val="00793648"/>
    <w:rsid w:val="0079542A"/>
    <w:rsid w:val="0079709B"/>
    <w:rsid w:val="007A0539"/>
    <w:rsid w:val="007A0642"/>
    <w:rsid w:val="007A1A71"/>
    <w:rsid w:val="007A1B1F"/>
    <w:rsid w:val="007A28AF"/>
    <w:rsid w:val="007A429A"/>
    <w:rsid w:val="007A4AFD"/>
    <w:rsid w:val="007A4CDA"/>
    <w:rsid w:val="007A56F8"/>
    <w:rsid w:val="007A5928"/>
    <w:rsid w:val="007A6040"/>
    <w:rsid w:val="007A7840"/>
    <w:rsid w:val="007A7D68"/>
    <w:rsid w:val="007B216E"/>
    <w:rsid w:val="007B21FA"/>
    <w:rsid w:val="007B4EF5"/>
    <w:rsid w:val="007B5553"/>
    <w:rsid w:val="007B56EA"/>
    <w:rsid w:val="007B5C81"/>
    <w:rsid w:val="007B60DE"/>
    <w:rsid w:val="007B7532"/>
    <w:rsid w:val="007B7B94"/>
    <w:rsid w:val="007C01A0"/>
    <w:rsid w:val="007C09BC"/>
    <w:rsid w:val="007C2576"/>
    <w:rsid w:val="007C2D8D"/>
    <w:rsid w:val="007C2DC9"/>
    <w:rsid w:val="007C2EBD"/>
    <w:rsid w:val="007C4034"/>
    <w:rsid w:val="007C4ADB"/>
    <w:rsid w:val="007C53D0"/>
    <w:rsid w:val="007C6EBC"/>
    <w:rsid w:val="007D055A"/>
    <w:rsid w:val="007D0B25"/>
    <w:rsid w:val="007D2C44"/>
    <w:rsid w:val="007D3487"/>
    <w:rsid w:val="007D4B32"/>
    <w:rsid w:val="007D5087"/>
    <w:rsid w:val="007D50CE"/>
    <w:rsid w:val="007D62E0"/>
    <w:rsid w:val="007E0843"/>
    <w:rsid w:val="007E250C"/>
    <w:rsid w:val="007E29A0"/>
    <w:rsid w:val="007E382D"/>
    <w:rsid w:val="007E3AA6"/>
    <w:rsid w:val="007E3C1B"/>
    <w:rsid w:val="007E3CA3"/>
    <w:rsid w:val="007E60D1"/>
    <w:rsid w:val="007E6C36"/>
    <w:rsid w:val="007F0BE2"/>
    <w:rsid w:val="007F1A77"/>
    <w:rsid w:val="007F3544"/>
    <w:rsid w:val="007F475B"/>
    <w:rsid w:val="007F5C9B"/>
    <w:rsid w:val="007F6BDE"/>
    <w:rsid w:val="007F6F22"/>
    <w:rsid w:val="00801373"/>
    <w:rsid w:val="00801624"/>
    <w:rsid w:val="008027E0"/>
    <w:rsid w:val="008053EF"/>
    <w:rsid w:val="00805666"/>
    <w:rsid w:val="00805DC7"/>
    <w:rsid w:val="00811DEE"/>
    <w:rsid w:val="00811FB8"/>
    <w:rsid w:val="00812178"/>
    <w:rsid w:val="0081368A"/>
    <w:rsid w:val="00813BBE"/>
    <w:rsid w:val="00813E22"/>
    <w:rsid w:val="00814528"/>
    <w:rsid w:val="00814CA1"/>
    <w:rsid w:val="0081548A"/>
    <w:rsid w:val="00817122"/>
    <w:rsid w:val="008221C9"/>
    <w:rsid w:val="0082384E"/>
    <w:rsid w:val="00823EB9"/>
    <w:rsid w:val="008256C2"/>
    <w:rsid w:val="008258BB"/>
    <w:rsid w:val="00825D5B"/>
    <w:rsid w:val="00826345"/>
    <w:rsid w:val="00830946"/>
    <w:rsid w:val="00831BF3"/>
    <w:rsid w:val="008328A7"/>
    <w:rsid w:val="00836D21"/>
    <w:rsid w:val="00837293"/>
    <w:rsid w:val="00837F4A"/>
    <w:rsid w:val="008415A9"/>
    <w:rsid w:val="00842EC2"/>
    <w:rsid w:val="00844309"/>
    <w:rsid w:val="0084E9CC"/>
    <w:rsid w:val="008504E0"/>
    <w:rsid w:val="008511B2"/>
    <w:rsid w:val="0085481E"/>
    <w:rsid w:val="008563FD"/>
    <w:rsid w:val="00857746"/>
    <w:rsid w:val="00857E4A"/>
    <w:rsid w:val="00861362"/>
    <w:rsid w:val="00862488"/>
    <w:rsid w:val="00862AD2"/>
    <w:rsid w:val="00865596"/>
    <w:rsid w:val="008655F5"/>
    <w:rsid w:val="00865CF5"/>
    <w:rsid w:val="00865FE6"/>
    <w:rsid w:val="008663E5"/>
    <w:rsid w:val="00866495"/>
    <w:rsid w:val="00870DAB"/>
    <w:rsid w:val="0087165A"/>
    <w:rsid w:val="00871757"/>
    <w:rsid w:val="00872569"/>
    <w:rsid w:val="008727F6"/>
    <w:rsid w:val="008740C2"/>
    <w:rsid w:val="008743B6"/>
    <w:rsid w:val="008747E1"/>
    <w:rsid w:val="00874ACB"/>
    <w:rsid w:val="008752D2"/>
    <w:rsid w:val="00875F1C"/>
    <w:rsid w:val="008768F5"/>
    <w:rsid w:val="008800DE"/>
    <w:rsid w:val="00880157"/>
    <w:rsid w:val="00880A91"/>
    <w:rsid w:val="00882DBF"/>
    <w:rsid w:val="00883C49"/>
    <w:rsid w:val="00884580"/>
    <w:rsid w:val="008845B8"/>
    <w:rsid w:val="00885570"/>
    <w:rsid w:val="00886D44"/>
    <w:rsid w:val="00886E26"/>
    <w:rsid w:val="00887A4F"/>
    <w:rsid w:val="00887C3D"/>
    <w:rsid w:val="008918FF"/>
    <w:rsid w:val="00893281"/>
    <w:rsid w:val="00893FE8"/>
    <w:rsid w:val="00894D48"/>
    <w:rsid w:val="00895D7D"/>
    <w:rsid w:val="0089746F"/>
    <w:rsid w:val="008A0FF0"/>
    <w:rsid w:val="008A1DC7"/>
    <w:rsid w:val="008A1F61"/>
    <w:rsid w:val="008A27D2"/>
    <w:rsid w:val="008A2C63"/>
    <w:rsid w:val="008A31AC"/>
    <w:rsid w:val="008A43BC"/>
    <w:rsid w:val="008A72AF"/>
    <w:rsid w:val="008A75B3"/>
    <w:rsid w:val="008B36CD"/>
    <w:rsid w:val="008B4626"/>
    <w:rsid w:val="008B6524"/>
    <w:rsid w:val="008B6672"/>
    <w:rsid w:val="008C0863"/>
    <w:rsid w:val="008C0A1D"/>
    <w:rsid w:val="008C0AA5"/>
    <w:rsid w:val="008C1038"/>
    <w:rsid w:val="008C1636"/>
    <w:rsid w:val="008C2864"/>
    <w:rsid w:val="008C4550"/>
    <w:rsid w:val="008C4EDD"/>
    <w:rsid w:val="008C5A8B"/>
    <w:rsid w:val="008C62F7"/>
    <w:rsid w:val="008C6A04"/>
    <w:rsid w:val="008D06C7"/>
    <w:rsid w:val="008D2CF8"/>
    <w:rsid w:val="008D3546"/>
    <w:rsid w:val="008D485D"/>
    <w:rsid w:val="008D4906"/>
    <w:rsid w:val="008D59FF"/>
    <w:rsid w:val="008D5C03"/>
    <w:rsid w:val="008D653D"/>
    <w:rsid w:val="008D761F"/>
    <w:rsid w:val="008D7C4C"/>
    <w:rsid w:val="008E0AB0"/>
    <w:rsid w:val="008E24C6"/>
    <w:rsid w:val="008E57EE"/>
    <w:rsid w:val="008E5DC1"/>
    <w:rsid w:val="008E66E2"/>
    <w:rsid w:val="008E6BD3"/>
    <w:rsid w:val="008E7D68"/>
    <w:rsid w:val="008F1EEC"/>
    <w:rsid w:val="008F46E8"/>
    <w:rsid w:val="008F5229"/>
    <w:rsid w:val="008F5C5F"/>
    <w:rsid w:val="008F5C7A"/>
    <w:rsid w:val="008F6CDC"/>
    <w:rsid w:val="008F700B"/>
    <w:rsid w:val="008F75B1"/>
    <w:rsid w:val="008F79DD"/>
    <w:rsid w:val="0090105E"/>
    <w:rsid w:val="009030F3"/>
    <w:rsid w:val="00903C6E"/>
    <w:rsid w:val="00904D5C"/>
    <w:rsid w:val="00905482"/>
    <w:rsid w:val="009058F1"/>
    <w:rsid w:val="00906234"/>
    <w:rsid w:val="00906AD9"/>
    <w:rsid w:val="009079C5"/>
    <w:rsid w:val="00907F34"/>
    <w:rsid w:val="009104F1"/>
    <w:rsid w:val="00910951"/>
    <w:rsid w:val="00913097"/>
    <w:rsid w:val="00913119"/>
    <w:rsid w:val="0091384B"/>
    <w:rsid w:val="00913A5B"/>
    <w:rsid w:val="00913DEA"/>
    <w:rsid w:val="00913F00"/>
    <w:rsid w:val="00914BEB"/>
    <w:rsid w:val="0091618F"/>
    <w:rsid w:val="00916636"/>
    <w:rsid w:val="009218DF"/>
    <w:rsid w:val="00921EC3"/>
    <w:rsid w:val="0092226A"/>
    <w:rsid w:val="009224E4"/>
    <w:rsid w:val="00923E5B"/>
    <w:rsid w:val="009261A6"/>
    <w:rsid w:val="00927C26"/>
    <w:rsid w:val="00927EB5"/>
    <w:rsid w:val="009306B4"/>
    <w:rsid w:val="00930E8F"/>
    <w:rsid w:val="00930EE2"/>
    <w:rsid w:val="00930F77"/>
    <w:rsid w:val="00931914"/>
    <w:rsid w:val="009329A9"/>
    <w:rsid w:val="00934FD6"/>
    <w:rsid w:val="00934FEF"/>
    <w:rsid w:val="00935A4C"/>
    <w:rsid w:val="00936D98"/>
    <w:rsid w:val="00940A38"/>
    <w:rsid w:val="009410E6"/>
    <w:rsid w:val="0094141C"/>
    <w:rsid w:val="00942592"/>
    <w:rsid w:val="00944A55"/>
    <w:rsid w:val="00946121"/>
    <w:rsid w:val="009463C9"/>
    <w:rsid w:val="0094673B"/>
    <w:rsid w:val="009470C3"/>
    <w:rsid w:val="00947F57"/>
    <w:rsid w:val="00950E21"/>
    <w:rsid w:val="00952540"/>
    <w:rsid w:val="0095292A"/>
    <w:rsid w:val="009544A3"/>
    <w:rsid w:val="00954952"/>
    <w:rsid w:val="0095642C"/>
    <w:rsid w:val="00957335"/>
    <w:rsid w:val="00957360"/>
    <w:rsid w:val="009573A7"/>
    <w:rsid w:val="00957829"/>
    <w:rsid w:val="00957B13"/>
    <w:rsid w:val="00957C62"/>
    <w:rsid w:val="00958C20"/>
    <w:rsid w:val="009606E7"/>
    <w:rsid w:val="009615D3"/>
    <w:rsid w:val="009623CA"/>
    <w:rsid w:val="00962D14"/>
    <w:rsid w:val="00963B41"/>
    <w:rsid w:val="009664FB"/>
    <w:rsid w:val="0096666D"/>
    <w:rsid w:val="0097009B"/>
    <w:rsid w:val="00970D8C"/>
    <w:rsid w:val="00974A19"/>
    <w:rsid w:val="00976AA0"/>
    <w:rsid w:val="0098012A"/>
    <w:rsid w:val="009801E9"/>
    <w:rsid w:val="00980F03"/>
    <w:rsid w:val="00981CE9"/>
    <w:rsid w:val="0098203F"/>
    <w:rsid w:val="009820C2"/>
    <w:rsid w:val="0098386E"/>
    <w:rsid w:val="009842C2"/>
    <w:rsid w:val="00985388"/>
    <w:rsid w:val="0098556E"/>
    <w:rsid w:val="009855B5"/>
    <w:rsid w:val="0098630A"/>
    <w:rsid w:val="00986B37"/>
    <w:rsid w:val="0098715B"/>
    <w:rsid w:val="00987685"/>
    <w:rsid w:val="0099179D"/>
    <w:rsid w:val="00991EB6"/>
    <w:rsid w:val="009945A7"/>
    <w:rsid w:val="00996531"/>
    <w:rsid w:val="009A0703"/>
    <w:rsid w:val="009A074C"/>
    <w:rsid w:val="009A236F"/>
    <w:rsid w:val="009A2517"/>
    <w:rsid w:val="009A3015"/>
    <w:rsid w:val="009A3B1D"/>
    <w:rsid w:val="009A3ED5"/>
    <w:rsid w:val="009A45A9"/>
    <w:rsid w:val="009A4CB1"/>
    <w:rsid w:val="009A4EF7"/>
    <w:rsid w:val="009A5BB3"/>
    <w:rsid w:val="009A64B7"/>
    <w:rsid w:val="009A67C2"/>
    <w:rsid w:val="009A7F0D"/>
    <w:rsid w:val="009B1883"/>
    <w:rsid w:val="009B1E89"/>
    <w:rsid w:val="009B28B9"/>
    <w:rsid w:val="009B2B7D"/>
    <w:rsid w:val="009B3B4D"/>
    <w:rsid w:val="009B3E24"/>
    <w:rsid w:val="009B43A9"/>
    <w:rsid w:val="009B5440"/>
    <w:rsid w:val="009B6A0D"/>
    <w:rsid w:val="009B6CB1"/>
    <w:rsid w:val="009B7C59"/>
    <w:rsid w:val="009C0673"/>
    <w:rsid w:val="009C079F"/>
    <w:rsid w:val="009C0F7E"/>
    <w:rsid w:val="009C190A"/>
    <w:rsid w:val="009C1ED8"/>
    <w:rsid w:val="009C38C6"/>
    <w:rsid w:val="009C3901"/>
    <w:rsid w:val="009C3B0A"/>
    <w:rsid w:val="009C4EBF"/>
    <w:rsid w:val="009C53DE"/>
    <w:rsid w:val="009C5677"/>
    <w:rsid w:val="009C67EE"/>
    <w:rsid w:val="009C77C8"/>
    <w:rsid w:val="009D1690"/>
    <w:rsid w:val="009D24B4"/>
    <w:rsid w:val="009D38BD"/>
    <w:rsid w:val="009D3A2A"/>
    <w:rsid w:val="009D3B45"/>
    <w:rsid w:val="009D5410"/>
    <w:rsid w:val="009D5D0A"/>
    <w:rsid w:val="009D5D6C"/>
    <w:rsid w:val="009D6419"/>
    <w:rsid w:val="009D6DC6"/>
    <w:rsid w:val="009DD84B"/>
    <w:rsid w:val="009E0F3D"/>
    <w:rsid w:val="009E1E6D"/>
    <w:rsid w:val="009E2D79"/>
    <w:rsid w:val="009E2DD2"/>
    <w:rsid w:val="009E4C67"/>
    <w:rsid w:val="009E517C"/>
    <w:rsid w:val="009F0373"/>
    <w:rsid w:val="009F1967"/>
    <w:rsid w:val="009F1D5F"/>
    <w:rsid w:val="009F2F20"/>
    <w:rsid w:val="009F34A9"/>
    <w:rsid w:val="009F3504"/>
    <w:rsid w:val="009F39D3"/>
    <w:rsid w:val="009F5FD5"/>
    <w:rsid w:val="009F624C"/>
    <w:rsid w:val="009F76F1"/>
    <w:rsid w:val="00A01CCB"/>
    <w:rsid w:val="00A03D77"/>
    <w:rsid w:val="00A04B6A"/>
    <w:rsid w:val="00A04E0F"/>
    <w:rsid w:val="00A0704A"/>
    <w:rsid w:val="00A07836"/>
    <w:rsid w:val="00A114FD"/>
    <w:rsid w:val="00A1198E"/>
    <w:rsid w:val="00A11DF0"/>
    <w:rsid w:val="00A124EB"/>
    <w:rsid w:val="00A143BC"/>
    <w:rsid w:val="00A14CD2"/>
    <w:rsid w:val="00A1506F"/>
    <w:rsid w:val="00A15912"/>
    <w:rsid w:val="00A20879"/>
    <w:rsid w:val="00A27EBC"/>
    <w:rsid w:val="00A27FF2"/>
    <w:rsid w:val="00A30029"/>
    <w:rsid w:val="00A30EE7"/>
    <w:rsid w:val="00A3275A"/>
    <w:rsid w:val="00A34028"/>
    <w:rsid w:val="00A36A74"/>
    <w:rsid w:val="00A36BC5"/>
    <w:rsid w:val="00A40551"/>
    <w:rsid w:val="00A40613"/>
    <w:rsid w:val="00A44CBE"/>
    <w:rsid w:val="00A4596F"/>
    <w:rsid w:val="00A45CB3"/>
    <w:rsid w:val="00A47473"/>
    <w:rsid w:val="00A502B5"/>
    <w:rsid w:val="00A510A0"/>
    <w:rsid w:val="00A51D97"/>
    <w:rsid w:val="00A52D38"/>
    <w:rsid w:val="00A541C9"/>
    <w:rsid w:val="00A5605B"/>
    <w:rsid w:val="00A5774C"/>
    <w:rsid w:val="00A57B6C"/>
    <w:rsid w:val="00A57E6D"/>
    <w:rsid w:val="00A61360"/>
    <w:rsid w:val="00A617B9"/>
    <w:rsid w:val="00A6295F"/>
    <w:rsid w:val="00A630CB"/>
    <w:rsid w:val="00A63E33"/>
    <w:rsid w:val="00A6451C"/>
    <w:rsid w:val="00A66ABB"/>
    <w:rsid w:val="00A67E39"/>
    <w:rsid w:val="00A709FC"/>
    <w:rsid w:val="00A71373"/>
    <w:rsid w:val="00A75680"/>
    <w:rsid w:val="00A75916"/>
    <w:rsid w:val="00A759C1"/>
    <w:rsid w:val="00A7641B"/>
    <w:rsid w:val="00A80EBD"/>
    <w:rsid w:val="00A81EEE"/>
    <w:rsid w:val="00A82562"/>
    <w:rsid w:val="00A83556"/>
    <w:rsid w:val="00A84336"/>
    <w:rsid w:val="00A8535D"/>
    <w:rsid w:val="00A85B5B"/>
    <w:rsid w:val="00A8675E"/>
    <w:rsid w:val="00A9190E"/>
    <w:rsid w:val="00A91ED3"/>
    <w:rsid w:val="00A932E7"/>
    <w:rsid w:val="00A94AD7"/>
    <w:rsid w:val="00A94B74"/>
    <w:rsid w:val="00A9541B"/>
    <w:rsid w:val="00A9698D"/>
    <w:rsid w:val="00AA01C8"/>
    <w:rsid w:val="00AA0C51"/>
    <w:rsid w:val="00AA18E2"/>
    <w:rsid w:val="00AA208E"/>
    <w:rsid w:val="00AA3122"/>
    <w:rsid w:val="00AA34B4"/>
    <w:rsid w:val="00AA3C59"/>
    <w:rsid w:val="00AA79B7"/>
    <w:rsid w:val="00AA7F31"/>
    <w:rsid w:val="00AB1745"/>
    <w:rsid w:val="00AB2D31"/>
    <w:rsid w:val="00AB4E77"/>
    <w:rsid w:val="00AB7AFB"/>
    <w:rsid w:val="00AB7E97"/>
    <w:rsid w:val="00AC202C"/>
    <w:rsid w:val="00AC24FA"/>
    <w:rsid w:val="00AC2936"/>
    <w:rsid w:val="00AC2AD6"/>
    <w:rsid w:val="00AC2F2D"/>
    <w:rsid w:val="00AC3595"/>
    <w:rsid w:val="00AC3E24"/>
    <w:rsid w:val="00AC41AD"/>
    <w:rsid w:val="00AC4BA1"/>
    <w:rsid w:val="00AC5002"/>
    <w:rsid w:val="00AC5ACE"/>
    <w:rsid w:val="00AC5AD4"/>
    <w:rsid w:val="00AC6A39"/>
    <w:rsid w:val="00AC7D13"/>
    <w:rsid w:val="00AD064D"/>
    <w:rsid w:val="00AD1B86"/>
    <w:rsid w:val="00AD437B"/>
    <w:rsid w:val="00AD52F4"/>
    <w:rsid w:val="00AE12EB"/>
    <w:rsid w:val="00AE348E"/>
    <w:rsid w:val="00AE38EF"/>
    <w:rsid w:val="00AE4400"/>
    <w:rsid w:val="00AE4592"/>
    <w:rsid w:val="00AE707C"/>
    <w:rsid w:val="00AE7F45"/>
    <w:rsid w:val="00AE7F64"/>
    <w:rsid w:val="00AF2BA3"/>
    <w:rsid w:val="00AF3F44"/>
    <w:rsid w:val="00AF49F5"/>
    <w:rsid w:val="00AF4BCF"/>
    <w:rsid w:val="00AF4FD6"/>
    <w:rsid w:val="00AF6355"/>
    <w:rsid w:val="00B006B5"/>
    <w:rsid w:val="00B00764"/>
    <w:rsid w:val="00B008B1"/>
    <w:rsid w:val="00B01B12"/>
    <w:rsid w:val="00B02C76"/>
    <w:rsid w:val="00B04A30"/>
    <w:rsid w:val="00B05EF1"/>
    <w:rsid w:val="00B066CB"/>
    <w:rsid w:val="00B06B25"/>
    <w:rsid w:val="00B075F3"/>
    <w:rsid w:val="00B103BE"/>
    <w:rsid w:val="00B106F8"/>
    <w:rsid w:val="00B11088"/>
    <w:rsid w:val="00B11473"/>
    <w:rsid w:val="00B12F59"/>
    <w:rsid w:val="00B1304E"/>
    <w:rsid w:val="00B13792"/>
    <w:rsid w:val="00B13C22"/>
    <w:rsid w:val="00B142E1"/>
    <w:rsid w:val="00B15669"/>
    <w:rsid w:val="00B15719"/>
    <w:rsid w:val="00B163BF"/>
    <w:rsid w:val="00B17C4B"/>
    <w:rsid w:val="00B22242"/>
    <w:rsid w:val="00B22885"/>
    <w:rsid w:val="00B23CD8"/>
    <w:rsid w:val="00B24234"/>
    <w:rsid w:val="00B24715"/>
    <w:rsid w:val="00B26278"/>
    <w:rsid w:val="00B3047F"/>
    <w:rsid w:val="00B30C04"/>
    <w:rsid w:val="00B30FA7"/>
    <w:rsid w:val="00B31423"/>
    <w:rsid w:val="00B36ACE"/>
    <w:rsid w:val="00B37AF0"/>
    <w:rsid w:val="00B37C05"/>
    <w:rsid w:val="00B37DEF"/>
    <w:rsid w:val="00B423D2"/>
    <w:rsid w:val="00B42E69"/>
    <w:rsid w:val="00B44054"/>
    <w:rsid w:val="00B447D1"/>
    <w:rsid w:val="00B44A64"/>
    <w:rsid w:val="00B45A6A"/>
    <w:rsid w:val="00B46E2C"/>
    <w:rsid w:val="00B51B7D"/>
    <w:rsid w:val="00B52B8B"/>
    <w:rsid w:val="00B5419D"/>
    <w:rsid w:val="00B54D8E"/>
    <w:rsid w:val="00B54FD0"/>
    <w:rsid w:val="00B60315"/>
    <w:rsid w:val="00B6072F"/>
    <w:rsid w:val="00B61E4B"/>
    <w:rsid w:val="00B630F6"/>
    <w:rsid w:val="00B64866"/>
    <w:rsid w:val="00B64D6B"/>
    <w:rsid w:val="00B669D5"/>
    <w:rsid w:val="00B7000D"/>
    <w:rsid w:val="00B70938"/>
    <w:rsid w:val="00B70BA3"/>
    <w:rsid w:val="00B7277D"/>
    <w:rsid w:val="00B736C4"/>
    <w:rsid w:val="00B742BC"/>
    <w:rsid w:val="00B743E3"/>
    <w:rsid w:val="00B75481"/>
    <w:rsid w:val="00B75AB1"/>
    <w:rsid w:val="00B75BCE"/>
    <w:rsid w:val="00B76552"/>
    <w:rsid w:val="00B77B98"/>
    <w:rsid w:val="00B80DB4"/>
    <w:rsid w:val="00B81A33"/>
    <w:rsid w:val="00B81B6A"/>
    <w:rsid w:val="00B83353"/>
    <w:rsid w:val="00B835C5"/>
    <w:rsid w:val="00B8583A"/>
    <w:rsid w:val="00B867F6"/>
    <w:rsid w:val="00B8705E"/>
    <w:rsid w:val="00B87B78"/>
    <w:rsid w:val="00B9018D"/>
    <w:rsid w:val="00B906AF"/>
    <w:rsid w:val="00B92174"/>
    <w:rsid w:val="00B922F9"/>
    <w:rsid w:val="00B929E6"/>
    <w:rsid w:val="00B93BBA"/>
    <w:rsid w:val="00B947E4"/>
    <w:rsid w:val="00B96211"/>
    <w:rsid w:val="00BA08FD"/>
    <w:rsid w:val="00BA0D60"/>
    <w:rsid w:val="00BA1476"/>
    <w:rsid w:val="00BA18FD"/>
    <w:rsid w:val="00BA623B"/>
    <w:rsid w:val="00BA63DB"/>
    <w:rsid w:val="00BA6ADF"/>
    <w:rsid w:val="00BA70AB"/>
    <w:rsid w:val="00BA7533"/>
    <w:rsid w:val="00BA78EB"/>
    <w:rsid w:val="00BB0EE5"/>
    <w:rsid w:val="00BB144E"/>
    <w:rsid w:val="00BB2DA9"/>
    <w:rsid w:val="00BB40C5"/>
    <w:rsid w:val="00BB6494"/>
    <w:rsid w:val="00BB6694"/>
    <w:rsid w:val="00BB692E"/>
    <w:rsid w:val="00BB712A"/>
    <w:rsid w:val="00BB7DF6"/>
    <w:rsid w:val="00BC253A"/>
    <w:rsid w:val="00BC2E18"/>
    <w:rsid w:val="00BC3102"/>
    <w:rsid w:val="00BC3563"/>
    <w:rsid w:val="00BC43D0"/>
    <w:rsid w:val="00BC54A2"/>
    <w:rsid w:val="00BC7A97"/>
    <w:rsid w:val="00BD08D5"/>
    <w:rsid w:val="00BD0DDF"/>
    <w:rsid w:val="00BD2169"/>
    <w:rsid w:val="00BD4172"/>
    <w:rsid w:val="00BD5D0B"/>
    <w:rsid w:val="00BD5EAA"/>
    <w:rsid w:val="00BD66BF"/>
    <w:rsid w:val="00BD67CA"/>
    <w:rsid w:val="00BE0E2F"/>
    <w:rsid w:val="00BE2777"/>
    <w:rsid w:val="00BE2FDD"/>
    <w:rsid w:val="00BE71C2"/>
    <w:rsid w:val="00BE7601"/>
    <w:rsid w:val="00BF002C"/>
    <w:rsid w:val="00BF037E"/>
    <w:rsid w:val="00BF455B"/>
    <w:rsid w:val="00BF7188"/>
    <w:rsid w:val="00BF7F6A"/>
    <w:rsid w:val="00C00517"/>
    <w:rsid w:val="00C00F28"/>
    <w:rsid w:val="00C02A03"/>
    <w:rsid w:val="00C02ECD"/>
    <w:rsid w:val="00C04379"/>
    <w:rsid w:val="00C046B0"/>
    <w:rsid w:val="00C04FD7"/>
    <w:rsid w:val="00C0585B"/>
    <w:rsid w:val="00C06DA5"/>
    <w:rsid w:val="00C0751A"/>
    <w:rsid w:val="00C07963"/>
    <w:rsid w:val="00C10C31"/>
    <w:rsid w:val="00C1159A"/>
    <w:rsid w:val="00C11E6D"/>
    <w:rsid w:val="00C11FF3"/>
    <w:rsid w:val="00C1351C"/>
    <w:rsid w:val="00C14290"/>
    <w:rsid w:val="00C144FD"/>
    <w:rsid w:val="00C146A0"/>
    <w:rsid w:val="00C154FF"/>
    <w:rsid w:val="00C169A5"/>
    <w:rsid w:val="00C17581"/>
    <w:rsid w:val="00C17D67"/>
    <w:rsid w:val="00C20B7C"/>
    <w:rsid w:val="00C21993"/>
    <w:rsid w:val="00C2211A"/>
    <w:rsid w:val="00C2264C"/>
    <w:rsid w:val="00C22C9B"/>
    <w:rsid w:val="00C22F2A"/>
    <w:rsid w:val="00C2350A"/>
    <w:rsid w:val="00C23953"/>
    <w:rsid w:val="00C240B9"/>
    <w:rsid w:val="00C24BE0"/>
    <w:rsid w:val="00C25BCE"/>
    <w:rsid w:val="00C33583"/>
    <w:rsid w:val="00C34A6B"/>
    <w:rsid w:val="00C355AF"/>
    <w:rsid w:val="00C37593"/>
    <w:rsid w:val="00C37E9B"/>
    <w:rsid w:val="00C4069D"/>
    <w:rsid w:val="00C420E2"/>
    <w:rsid w:val="00C4309A"/>
    <w:rsid w:val="00C434EA"/>
    <w:rsid w:val="00C43EFB"/>
    <w:rsid w:val="00C44D99"/>
    <w:rsid w:val="00C45EA4"/>
    <w:rsid w:val="00C465E3"/>
    <w:rsid w:val="00C46CEB"/>
    <w:rsid w:val="00C47204"/>
    <w:rsid w:val="00C50E33"/>
    <w:rsid w:val="00C5292B"/>
    <w:rsid w:val="00C52C1F"/>
    <w:rsid w:val="00C52D55"/>
    <w:rsid w:val="00C52F8A"/>
    <w:rsid w:val="00C547E5"/>
    <w:rsid w:val="00C556D4"/>
    <w:rsid w:val="00C57B23"/>
    <w:rsid w:val="00C57E81"/>
    <w:rsid w:val="00C57F5B"/>
    <w:rsid w:val="00C60451"/>
    <w:rsid w:val="00C60635"/>
    <w:rsid w:val="00C614C1"/>
    <w:rsid w:val="00C63892"/>
    <w:rsid w:val="00C64009"/>
    <w:rsid w:val="00C653DE"/>
    <w:rsid w:val="00C66AEF"/>
    <w:rsid w:val="00C6786A"/>
    <w:rsid w:val="00C700E5"/>
    <w:rsid w:val="00C72169"/>
    <w:rsid w:val="00C72F75"/>
    <w:rsid w:val="00C732DA"/>
    <w:rsid w:val="00C740D8"/>
    <w:rsid w:val="00C74BA6"/>
    <w:rsid w:val="00C762B0"/>
    <w:rsid w:val="00C76BBF"/>
    <w:rsid w:val="00C76FD6"/>
    <w:rsid w:val="00C7791A"/>
    <w:rsid w:val="00C80D37"/>
    <w:rsid w:val="00C8106B"/>
    <w:rsid w:val="00C8145E"/>
    <w:rsid w:val="00C82C28"/>
    <w:rsid w:val="00C83029"/>
    <w:rsid w:val="00C83BA8"/>
    <w:rsid w:val="00C856CE"/>
    <w:rsid w:val="00C91A98"/>
    <w:rsid w:val="00C91F5A"/>
    <w:rsid w:val="00C91F7E"/>
    <w:rsid w:val="00C946C6"/>
    <w:rsid w:val="00C94919"/>
    <w:rsid w:val="00C95D59"/>
    <w:rsid w:val="00C9724C"/>
    <w:rsid w:val="00C9758D"/>
    <w:rsid w:val="00CA0416"/>
    <w:rsid w:val="00CA0D96"/>
    <w:rsid w:val="00CA14EE"/>
    <w:rsid w:val="00CA1C43"/>
    <w:rsid w:val="00CA4163"/>
    <w:rsid w:val="00CA5887"/>
    <w:rsid w:val="00CA677E"/>
    <w:rsid w:val="00CB0660"/>
    <w:rsid w:val="00CB0832"/>
    <w:rsid w:val="00CB1510"/>
    <w:rsid w:val="00CB1839"/>
    <w:rsid w:val="00CB1B01"/>
    <w:rsid w:val="00CB45B2"/>
    <w:rsid w:val="00CB4768"/>
    <w:rsid w:val="00CB525A"/>
    <w:rsid w:val="00CB68EE"/>
    <w:rsid w:val="00CB7028"/>
    <w:rsid w:val="00CB71E6"/>
    <w:rsid w:val="00CB754D"/>
    <w:rsid w:val="00CC0618"/>
    <w:rsid w:val="00CC0DD2"/>
    <w:rsid w:val="00CC1D9B"/>
    <w:rsid w:val="00CC2EF1"/>
    <w:rsid w:val="00CC30B9"/>
    <w:rsid w:val="00CC37B4"/>
    <w:rsid w:val="00CC41B3"/>
    <w:rsid w:val="00CD13D5"/>
    <w:rsid w:val="00CD1E41"/>
    <w:rsid w:val="00CD2276"/>
    <w:rsid w:val="00CD3C8E"/>
    <w:rsid w:val="00CD4DDD"/>
    <w:rsid w:val="00CD5827"/>
    <w:rsid w:val="00CD6624"/>
    <w:rsid w:val="00CD7155"/>
    <w:rsid w:val="00CD77AC"/>
    <w:rsid w:val="00CE2DA0"/>
    <w:rsid w:val="00CE510F"/>
    <w:rsid w:val="00CE5FE7"/>
    <w:rsid w:val="00CE6153"/>
    <w:rsid w:val="00CE686B"/>
    <w:rsid w:val="00CE79F0"/>
    <w:rsid w:val="00CF0865"/>
    <w:rsid w:val="00CF0BF8"/>
    <w:rsid w:val="00CF2DFF"/>
    <w:rsid w:val="00CF3DD1"/>
    <w:rsid w:val="00CF42F4"/>
    <w:rsid w:val="00CF5548"/>
    <w:rsid w:val="00CF6F8B"/>
    <w:rsid w:val="00D001E1"/>
    <w:rsid w:val="00D01512"/>
    <w:rsid w:val="00D01C38"/>
    <w:rsid w:val="00D02055"/>
    <w:rsid w:val="00D02BE1"/>
    <w:rsid w:val="00D03550"/>
    <w:rsid w:val="00D0434C"/>
    <w:rsid w:val="00D051F9"/>
    <w:rsid w:val="00D051FE"/>
    <w:rsid w:val="00D057ED"/>
    <w:rsid w:val="00D05B7A"/>
    <w:rsid w:val="00D05BE7"/>
    <w:rsid w:val="00D07576"/>
    <w:rsid w:val="00D0764D"/>
    <w:rsid w:val="00D109EE"/>
    <w:rsid w:val="00D110BF"/>
    <w:rsid w:val="00D11120"/>
    <w:rsid w:val="00D114D8"/>
    <w:rsid w:val="00D11F20"/>
    <w:rsid w:val="00D12D23"/>
    <w:rsid w:val="00D13390"/>
    <w:rsid w:val="00D13AEC"/>
    <w:rsid w:val="00D14E4D"/>
    <w:rsid w:val="00D153FA"/>
    <w:rsid w:val="00D159D7"/>
    <w:rsid w:val="00D15A78"/>
    <w:rsid w:val="00D15AFC"/>
    <w:rsid w:val="00D16D5A"/>
    <w:rsid w:val="00D1765F"/>
    <w:rsid w:val="00D17A0D"/>
    <w:rsid w:val="00D20A42"/>
    <w:rsid w:val="00D20F7E"/>
    <w:rsid w:val="00D21C98"/>
    <w:rsid w:val="00D21E50"/>
    <w:rsid w:val="00D232AF"/>
    <w:rsid w:val="00D23E92"/>
    <w:rsid w:val="00D23F14"/>
    <w:rsid w:val="00D25F51"/>
    <w:rsid w:val="00D26FD3"/>
    <w:rsid w:val="00D311B4"/>
    <w:rsid w:val="00D31983"/>
    <w:rsid w:val="00D335ED"/>
    <w:rsid w:val="00D34155"/>
    <w:rsid w:val="00D34271"/>
    <w:rsid w:val="00D358B7"/>
    <w:rsid w:val="00D35B2C"/>
    <w:rsid w:val="00D37244"/>
    <w:rsid w:val="00D4378F"/>
    <w:rsid w:val="00D441F2"/>
    <w:rsid w:val="00D45F8E"/>
    <w:rsid w:val="00D46760"/>
    <w:rsid w:val="00D47908"/>
    <w:rsid w:val="00D47CAA"/>
    <w:rsid w:val="00D502DC"/>
    <w:rsid w:val="00D54186"/>
    <w:rsid w:val="00D5485A"/>
    <w:rsid w:val="00D55A25"/>
    <w:rsid w:val="00D56712"/>
    <w:rsid w:val="00D57033"/>
    <w:rsid w:val="00D572AD"/>
    <w:rsid w:val="00D610FD"/>
    <w:rsid w:val="00D6228B"/>
    <w:rsid w:val="00D6293F"/>
    <w:rsid w:val="00D6349C"/>
    <w:rsid w:val="00D641D3"/>
    <w:rsid w:val="00D643B3"/>
    <w:rsid w:val="00D64A0D"/>
    <w:rsid w:val="00D64B4D"/>
    <w:rsid w:val="00D64C94"/>
    <w:rsid w:val="00D65A2E"/>
    <w:rsid w:val="00D65BFD"/>
    <w:rsid w:val="00D6652C"/>
    <w:rsid w:val="00D67F91"/>
    <w:rsid w:val="00D70682"/>
    <w:rsid w:val="00D7073C"/>
    <w:rsid w:val="00D7186F"/>
    <w:rsid w:val="00D754F6"/>
    <w:rsid w:val="00D7596A"/>
    <w:rsid w:val="00D75C13"/>
    <w:rsid w:val="00D76A7A"/>
    <w:rsid w:val="00D8027E"/>
    <w:rsid w:val="00D81C47"/>
    <w:rsid w:val="00D82A7D"/>
    <w:rsid w:val="00D85E03"/>
    <w:rsid w:val="00D85F3B"/>
    <w:rsid w:val="00D8622A"/>
    <w:rsid w:val="00D863E4"/>
    <w:rsid w:val="00D864B0"/>
    <w:rsid w:val="00D87026"/>
    <w:rsid w:val="00D8706D"/>
    <w:rsid w:val="00D877A6"/>
    <w:rsid w:val="00D87BB2"/>
    <w:rsid w:val="00D904CB"/>
    <w:rsid w:val="00D9091D"/>
    <w:rsid w:val="00D917CC"/>
    <w:rsid w:val="00D91E3C"/>
    <w:rsid w:val="00D93F88"/>
    <w:rsid w:val="00D965DC"/>
    <w:rsid w:val="00D967CA"/>
    <w:rsid w:val="00D96F46"/>
    <w:rsid w:val="00D97CDD"/>
    <w:rsid w:val="00DA109B"/>
    <w:rsid w:val="00DA17DA"/>
    <w:rsid w:val="00DA2D5E"/>
    <w:rsid w:val="00DA3803"/>
    <w:rsid w:val="00DA39A2"/>
    <w:rsid w:val="00DA429D"/>
    <w:rsid w:val="00DA47A2"/>
    <w:rsid w:val="00DA4A4B"/>
    <w:rsid w:val="00DA55A4"/>
    <w:rsid w:val="00DA5832"/>
    <w:rsid w:val="00DA6736"/>
    <w:rsid w:val="00DA71CB"/>
    <w:rsid w:val="00DB0A54"/>
    <w:rsid w:val="00DB29D8"/>
    <w:rsid w:val="00DB2F77"/>
    <w:rsid w:val="00DB41D9"/>
    <w:rsid w:val="00DB47A2"/>
    <w:rsid w:val="00DB520B"/>
    <w:rsid w:val="00DB66DF"/>
    <w:rsid w:val="00DB73C2"/>
    <w:rsid w:val="00DC0A00"/>
    <w:rsid w:val="00DC1F71"/>
    <w:rsid w:val="00DC2883"/>
    <w:rsid w:val="00DC34C1"/>
    <w:rsid w:val="00DC3DEB"/>
    <w:rsid w:val="00DC41AB"/>
    <w:rsid w:val="00DC45F5"/>
    <w:rsid w:val="00DC46FE"/>
    <w:rsid w:val="00DC4955"/>
    <w:rsid w:val="00DC5433"/>
    <w:rsid w:val="00DC5651"/>
    <w:rsid w:val="00DC59D0"/>
    <w:rsid w:val="00DC6734"/>
    <w:rsid w:val="00DD038C"/>
    <w:rsid w:val="00DD0991"/>
    <w:rsid w:val="00DD1328"/>
    <w:rsid w:val="00DD1A86"/>
    <w:rsid w:val="00DD2414"/>
    <w:rsid w:val="00DD299F"/>
    <w:rsid w:val="00DD3C53"/>
    <w:rsid w:val="00DD52D1"/>
    <w:rsid w:val="00DD7365"/>
    <w:rsid w:val="00DE0C96"/>
    <w:rsid w:val="00DE13CA"/>
    <w:rsid w:val="00DE3FB6"/>
    <w:rsid w:val="00DE4C25"/>
    <w:rsid w:val="00DE4FBF"/>
    <w:rsid w:val="00DE516D"/>
    <w:rsid w:val="00DE55A2"/>
    <w:rsid w:val="00DE61DA"/>
    <w:rsid w:val="00DF0431"/>
    <w:rsid w:val="00DF0D9A"/>
    <w:rsid w:val="00DF23FF"/>
    <w:rsid w:val="00DF2AEB"/>
    <w:rsid w:val="00DF5144"/>
    <w:rsid w:val="00DF58EC"/>
    <w:rsid w:val="00DF5C80"/>
    <w:rsid w:val="00DF61BC"/>
    <w:rsid w:val="00DF7C32"/>
    <w:rsid w:val="00E00835"/>
    <w:rsid w:val="00E018AD"/>
    <w:rsid w:val="00E03ABA"/>
    <w:rsid w:val="00E0417B"/>
    <w:rsid w:val="00E053E3"/>
    <w:rsid w:val="00E0640A"/>
    <w:rsid w:val="00E100BF"/>
    <w:rsid w:val="00E122DC"/>
    <w:rsid w:val="00E12610"/>
    <w:rsid w:val="00E15EE5"/>
    <w:rsid w:val="00E16CB0"/>
    <w:rsid w:val="00E1726E"/>
    <w:rsid w:val="00E21AF8"/>
    <w:rsid w:val="00E2231E"/>
    <w:rsid w:val="00E24478"/>
    <w:rsid w:val="00E24AE3"/>
    <w:rsid w:val="00E25049"/>
    <w:rsid w:val="00E25F8E"/>
    <w:rsid w:val="00E27820"/>
    <w:rsid w:val="00E279FF"/>
    <w:rsid w:val="00E3006D"/>
    <w:rsid w:val="00E3184B"/>
    <w:rsid w:val="00E33902"/>
    <w:rsid w:val="00E355D7"/>
    <w:rsid w:val="00E35A18"/>
    <w:rsid w:val="00E36CE8"/>
    <w:rsid w:val="00E408DA"/>
    <w:rsid w:val="00E4178B"/>
    <w:rsid w:val="00E41838"/>
    <w:rsid w:val="00E41900"/>
    <w:rsid w:val="00E4255F"/>
    <w:rsid w:val="00E44860"/>
    <w:rsid w:val="00E45034"/>
    <w:rsid w:val="00E45630"/>
    <w:rsid w:val="00E46250"/>
    <w:rsid w:val="00E46A7D"/>
    <w:rsid w:val="00E47B11"/>
    <w:rsid w:val="00E47FFA"/>
    <w:rsid w:val="00E52995"/>
    <w:rsid w:val="00E5377C"/>
    <w:rsid w:val="00E54085"/>
    <w:rsid w:val="00E5557F"/>
    <w:rsid w:val="00E56133"/>
    <w:rsid w:val="00E563E6"/>
    <w:rsid w:val="00E600AC"/>
    <w:rsid w:val="00E616E8"/>
    <w:rsid w:val="00E63CD9"/>
    <w:rsid w:val="00E64D65"/>
    <w:rsid w:val="00E675B4"/>
    <w:rsid w:val="00E67D81"/>
    <w:rsid w:val="00E70081"/>
    <w:rsid w:val="00E7017C"/>
    <w:rsid w:val="00E70DFC"/>
    <w:rsid w:val="00E754DE"/>
    <w:rsid w:val="00E7575B"/>
    <w:rsid w:val="00E75778"/>
    <w:rsid w:val="00E76B3B"/>
    <w:rsid w:val="00E771B9"/>
    <w:rsid w:val="00E80BEF"/>
    <w:rsid w:val="00E81FA3"/>
    <w:rsid w:val="00E82726"/>
    <w:rsid w:val="00E83879"/>
    <w:rsid w:val="00E84E3D"/>
    <w:rsid w:val="00E852FD"/>
    <w:rsid w:val="00E8594B"/>
    <w:rsid w:val="00E85AD9"/>
    <w:rsid w:val="00E86267"/>
    <w:rsid w:val="00E864FF"/>
    <w:rsid w:val="00E86528"/>
    <w:rsid w:val="00E86DF6"/>
    <w:rsid w:val="00E92177"/>
    <w:rsid w:val="00E95CD2"/>
    <w:rsid w:val="00E96176"/>
    <w:rsid w:val="00E964D3"/>
    <w:rsid w:val="00EA06C7"/>
    <w:rsid w:val="00EA0773"/>
    <w:rsid w:val="00EA35DD"/>
    <w:rsid w:val="00EA3765"/>
    <w:rsid w:val="00EA4237"/>
    <w:rsid w:val="00EA71B1"/>
    <w:rsid w:val="00EB0159"/>
    <w:rsid w:val="00EB168A"/>
    <w:rsid w:val="00EB19C0"/>
    <w:rsid w:val="00EB45F5"/>
    <w:rsid w:val="00EB6E97"/>
    <w:rsid w:val="00EC1632"/>
    <w:rsid w:val="00EC21AC"/>
    <w:rsid w:val="00EC30A8"/>
    <w:rsid w:val="00EC35CD"/>
    <w:rsid w:val="00EC43DC"/>
    <w:rsid w:val="00EC5FDB"/>
    <w:rsid w:val="00EC6812"/>
    <w:rsid w:val="00ED1576"/>
    <w:rsid w:val="00ED1C51"/>
    <w:rsid w:val="00ED207B"/>
    <w:rsid w:val="00ED284D"/>
    <w:rsid w:val="00ED3DBE"/>
    <w:rsid w:val="00ED3F14"/>
    <w:rsid w:val="00ED4352"/>
    <w:rsid w:val="00ED4B92"/>
    <w:rsid w:val="00ED665D"/>
    <w:rsid w:val="00ED68C0"/>
    <w:rsid w:val="00EE0B07"/>
    <w:rsid w:val="00EE19BA"/>
    <w:rsid w:val="00EE43F6"/>
    <w:rsid w:val="00EE46AD"/>
    <w:rsid w:val="00EE51CE"/>
    <w:rsid w:val="00EE528F"/>
    <w:rsid w:val="00EE70B7"/>
    <w:rsid w:val="00EF0CC3"/>
    <w:rsid w:val="00EF1307"/>
    <w:rsid w:val="00EF1A70"/>
    <w:rsid w:val="00EF3CBA"/>
    <w:rsid w:val="00EF4BF2"/>
    <w:rsid w:val="00EF7111"/>
    <w:rsid w:val="00EF72A4"/>
    <w:rsid w:val="00EF75E2"/>
    <w:rsid w:val="00F001AA"/>
    <w:rsid w:val="00F0162E"/>
    <w:rsid w:val="00F02B91"/>
    <w:rsid w:val="00F0561B"/>
    <w:rsid w:val="00F06E13"/>
    <w:rsid w:val="00F07EF3"/>
    <w:rsid w:val="00F10081"/>
    <w:rsid w:val="00F111BB"/>
    <w:rsid w:val="00F111D9"/>
    <w:rsid w:val="00F11F3D"/>
    <w:rsid w:val="00F12C7B"/>
    <w:rsid w:val="00F12D32"/>
    <w:rsid w:val="00F1522C"/>
    <w:rsid w:val="00F15519"/>
    <w:rsid w:val="00F15A49"/>
    <w:rsid w:val="00F16AB8"/>
    <w:rsid w:val="00F173FA"/>
    <w:rsid w:val="00F1759F"/>
    <w:rsid w:val="00F20590"/>
    <w:rsid w:val="00F208EF"/>
    <w:rsid w:val="00F21415"/>
    <w:rsid w:val="00F2171E"/>
    <w:rsid w:val="00F22B36"/>
    <w:rsid w:val="00F23CEC"/>
    <w:rsid w:val="00F2425A"/>
    <w:rsid w:val="00F255D7"/>
    <w:rsid w:val="00F25613"/>
    <w:rsid w:val="00F256E2"/>
    <w:rsid w:val="00F25F21"/>
    <w:rsid w:val="00F26190"/>
    <w:rsid w:val="00F264B5"/>
    <w:rsid w:val="00F26E2A"/>
    <w:rsid w:val="00F27743"/>
    <w:rsid w:val="00F31473"/>
    <w:rsid w:val="00F31932"/>
    <w:rsid w:val="00F323DA"/>
    <w:rsid w:val="00F32A73"/>
    <w:rsid w:val="00F337C3"/>
    <w:rsid w:val="00F34CC5"/>
    <w:rsid w:val="00F35581"/>
    <w:rsid w:val="00F35885"/>
    <w:rsid w:val="00F36A07"/>
    <w:rsid w:val="00F401BB"/>
    <w:rsid w:val="00F40346"/>
    <w:rsid w:val="00F40CF1"/>
    <w:rsid w:val="00F4168E"/>
    <w:rsid w:val="00F41918"/>
    <w:rsid w:val="00F42088"/>
    <w:rsid w:val="00F43608"/>
    <w:rsid w:val="00F4378F"/>
    <w:rsid w:val="00F43B1E"/>
    <w:rsid w:val="00F43DE6"/>
    <w:rsid w:val="00F44220"/>
    <w:rsid w:val="00F44DC3"/>
    <w:rsid w:val="00F44E30"/>
    <w:rsid w:val="00F458E2"/>
    <w:rsid w:val="00F46AA4"/>
    <w:rsid w:val="00F5113B"/>
    <w:rsid w:val="00F51EDB"/>
    <w:rsid w:val="00F51F48"/>
    <w:rsid w:val="00F5293B"/>
    <w:rsid w:val="00F532DD"/>
    <w:rsid w:val="00F53792"/>
    <w:rsid w:val="00F53DAD"/>
    <w:rsid w:val="00F53ED5"/>
    <w:rsid w:val="00F5542C"/>
    <w:rsid w:val="00F559B4"/>
    <w:rsid w:val="00F5632F"/>
    <w:rsid w:val="00F56D50"/>
    <w:rsid w:val="00F606D5"/>
    <w:rsid w:val="00F60892"/>
    <w:rsid w:val="00F61310"/>
    <w:rsid w:val="00F61976"/>
    <w:rsid w:val="00F62D9D"/>
    <w:rsid w:val="00F63109"/>
    <w:rsid w:val="00F63610"/>
    <w:rsid w:val="00F63694"/>
    <w:rsid w:val="00F65437"/>
    <w:rsid w:val="00F6631A"/>
    <w:rsid w:val="00F67809"/>
    <w:rsid w:val="00F67F59"/>
    <w:rsid w:val="00F6B3E6"/>
    <w:rsid w:val="00F70DB6"/>
    <w:rsid w:val="00F71A65"/>
    <w:rsid w:val="00F75099"/>
    <w:rsid w:val="00F75B41"/>
    <w:rsid w:val="00F8032E"/>
    <w:rsid w:val="00F826E2"/>
    <w:rsid w:val="00F82A21"/>
    <w:rsid w:val="00F836FA"/>
    <w:rsid w:val="00F8412D"/>
    <w:rsid w:val="00F8475B"/>
    <w:rsid w:val="00F856A0"/>
    <w:rsid w:val="00F86933"/>
    <w:rsid w:val="00F86C12"/>
    <w:rsid w:val="00F8741D"/>
    <w:rsid w:val="00F87776"/>
    <w:rsid w:val="00F87C1C"/>
    <w:rsid w:val="00F90032"/>
    <w:rsid w:val="00F90080"/>
    <w:rsid w:val="00F94653"/>
    <w:rsid w:val="00F957A0"/>
    <w:rsid w:val="00F95900"/>
    <w:rsid w:val="00F96175"/>
    <w:rsid w:val="00F968EC"/>
    <w:rsid w:val="00FA0648"/>
    <w:rsid w:val="00FA0F43"/>
    <w:rsid w:val="00FA1995"/>
    <w:rsid w:val="00FA21A9"/>
    <w:rsid w:val="00FA343D"/>
    <w:rsid w:val="00FA352D"/>
    <w:rsid w:val="00FA4790"/>
    <w:rsid w:val="00FA4C0C"/>
    <w:rsid w:val="00FA50F7"/>
    <w:rsid w:val="00FA75E7"/>
    <w:rsid w:val="00FB015E"/>
    <w:rsid w:val="00FB1131"/>
    <w:rsid w:val="00FB1DA0"/>
    <w:rsid w:val="00FB29A7"/>
    <w:rsid w:val="00FB29AD"/>
    <w:rsid w:val="00FB2A5D"/>
    <w:rsid w:val="00FB2D9E"/>
    <w:rsid w:val="00FB31DE"/>
    <w:rsid w:val="00FB3F15"/>
    <w:rsid w:val="00FB548C"/>
    <w:rsid w:val="00FB6263"/>
    <w:rsid w:val="00FB687B"/>
    <w:rsid w:val="00FB7455"/>
    <w:rsid w:val="00FC1B2F"/>
    <w:rsid w:val="00FC2BD4"/>
    <w:rsid w:val="00FC2C05"/>
    <w:rsid w:val="00FC57F9"/>
    <w:rsid w:val="00FC5F90"/>
    <w:rsid w:val="00FC6664"/>
    <w:rsid w:val="00FC68BB"/>
    <w:rsid w:val="00FC7A2C"/>
    <w:rsid w:val="00FC7D72"/>
    <w:rsid w:val="00FD0BD4"/>
    <w:rsid w:val="00FD1CE2"/>
    <w:rsid w:val="00FD1DF8"/>
    <w:rsid w:val="00FD2F3D"/>
    <w:rsid w:val="00FD3A5F"/>
    <w:rsid w:val="00FD3E07"/>
    <w:rsid w:val="00FD419C"/>
    <w:rsid w:val="00FD53F8"/>
    <w:rsid w:val="00FD5ADD"/>
    <w:rsid w:val="00FD6990"/>
    <w:rsid w:val="00FE0135"/>
    <w:rsid w:val="00FE147C"/>
    <w:rsid w:val="00FE1AD7"/>
    <w:rsid w:val="00FE2056"/>
    <w:rsid w:val="00FE3779"/>
    <w:rsid w:val="00FE5346"/>
    <w:rsid w:val="00FE64DA"/>
    <w:rsid w:val="00FE65B5"/>
    <w:rsid w:val="00FE6B76"/>
    <w:rsid w:val="00FF15A1"/>
    <w:rsid w:val="00FF21CC"/>
    <w:rsid w:val="00FF2D59"/>
    <w:rsid w:val="00FF5932"/>
    <w:rsid w:val="00FF5C72"/>
    <w:rsid w:val="0101FE32"/>
    <w:rsid w:val="0110B475"/>
    <w:rsid w:val="0138B5FD"/>
    <w:rsid w:val="0139FEC6"/>
    <w:rsid w:val="01765E5C"/>
    <w:rsid w:val="0183199C"/>
    <w:rsid w:val="018FEEE1"/>
    <w:rsid w:val="01D766B1"/>
    <w:rsid w:val="02034480"/>
    <w:rsid w:val="02163920"/>
    <w:rsid w:val="02223A43"/>
    <w:rsid w:val="0229059A"/>
    <w:rsid w:val="02627D87"/>
    <w:rsid w:val="02736308"/>
    <w:rsid w:val="029930DC"/>
    <w:rsid w:val="02A54760"/>
    <w:rsid w:val="02BD1899"/>
    <w:rsid w:val="02CCA123"/>
    <w:rsid w:val="02E62406"/>
    <w:rsid w:val="02FC9A8D"/>
    <w:rsid w:val="0300E938"/>
    <w:rsid w:val="0303CFB3"/>
    <w:rsid w:val="0306FAEF"/>
    <w:rsid w:val="034CEF59"/>
    <w:rsid w:val="0384B703"/>
    <w:rsid w:val="03A61433"/>
    <w:rsid w:val="03B29B3A"/>
    <w:rsid w:val="03DD8CBC"/>
    <w:rsid w:val="0402DAB3"/>
    <w:rsid w:val="04165790"/>
    <w:rsid w:val="042438C4"/>
    <w:rsid w:val="0430D55E"/>
    <w:rsid w:val="04318C07"/>
    <w:rsid w:val="043DCEC9"/>
    <w:rsid w:val="0441CF43"/>
    <w:rsid w:val="0455C2C1"/>
    <w:rsid w:val="04611F68"/>
    <w:rsid w:val="046236FD"/>
    <w:rsid w:val="049941ED"/>
    <w:rsid w:val="04B8661F"/>
    <w:rsid w:val="04CAD92A"/>
    <w:rsid w:val="04DC6407"/>
    <w:rsid w:val="04E3EA5C"/>
    <w:rsid w:val="0501192C"/>
    <w:rsid w:val="0536CCD5"/>
    <w:rsid w:val="053BA2EC"/>
    <w:rsid w:val="0559DB05"/>
    <w:rsid w:val="056F558C"/>
    <w:rsid w:val="057C4FDF"/>
    <w:rsid w:val="05C25AC6"/>
    <w:rsid w:val="05C4A296"/>
    <w:rsid w:val="062A1C32"/>
    <w:rsid w:val="062C77FD"/>
    <w:rsid w:val="065095CC"/>
    <w:rsid w:val="0653E86E"/>
    <w:rsid w:val="0669F940"/>
    <w:rsid w:val="069640AD"/>
    <w:rsid w:val="069B6C96"/>
    <w:rsid w:val="069EDF90"/>
    <w:rsid w:val="06A46865"/>
    <w:rsid w:val="06BD85AF"/>
    <w:rsid w:val="06DBDF62"/>
    <w:rsid w:val="06EBFA30"/>
    <w:rsid w:val="06EE11E9"/>
    <w:rsid w:val="06F46624"/>
    <w:rsid w:val="073F87DA"/>
    <w:rsid w:val="07569A84"/>
    <w:rsid w:val="075A7BDA"/>
    <w:rsid w:val="07978953"/>
    <w:rsid w:val="07A53937"/>
    <w:rsid w:val="07B2E9AC"/>
    <w:rsid w:val="07BDED06"/>
    <w:rsid w:val="07BF7CA3"/>
    <w:rsid w:val="07FC80FB"/>
    <w:rsid w:val="080422A9"/>
    <w:rsid w:val="08241F94"/>
    <w:rsid w:val="082C8B91"/>
    <w:rsid w:val="084E420A"/>
    <w:rsid w:val="086A5424"/>
    <w:rsid w:val="086F9972"/>
    <w:rsid w:val="0871FCF4"/>
    <w:rsid w:val="087343AE"/>
    <w:rsid w:val="0886DC8D"/>
    <w:rsid w:val="08921088"/>
    <w:rsid w:val="08985826"/>
    <w:rsid w:val="08A856EE"/>
    <w:rsid w:val="08D62932"/>
    <w:rsid w:val="08E5DD1E"/>
    <w:rsid w:val="08E738C4"/>
    <w:rsid w:val="08EC931C"/>
    <w:rsid w:val="090AC156"/>
    <w:rsid w:val="090F40A0"/>
    <w:rsid w:val="09388CDB"/>
    <w:rsid w:val="093AB727"/>
    <w:rsid w:val="093D67AE"/>
    <w:rsid w:val="09476DA1"/>
    <w:rsid w:val="095019CC"/>
    <w:rsid w:val="095CAAFC"/>
    <w:rsid w:val="097C43AD"/>
    <w:rsid w:val="098B4828"/>
    <w:rsid w:val="09BCA03A"/>
    <w:rsid w:val="09BF55C3"/>
    <w:rsid w:val="09CAC63C"/>
    <w:rsid w:val="09CE9B99"/>
    <w:rsid w:val="09D3E877"/>
    <w:rsid w:val="09F4ED2D"/>
    <w:rsid w:val="0A084FB7"/>
    <w:rsid w:val="0A135A26"/>
    <w:rsid w:val="0A3E328B"/>
    <w:rsid w:val="0A5DC1DC"/>
    <w:rsid w:val="0A5DF72E"/>
    <w:rsid w:val="0A7AF2D6"/>
    <w:rsid w:val="0A7AF542"/>
    <w:rsid w:val="0A8913FE"/>
    <w:rsid w:val="0AC88DA2"/>
    <w:rsid w:val="0ACC2678"/>
    <w:rsid w:val="0AD81FA9"/>
    <w:rsid w:val="0AED5829"/>
    <w:rsid w:val="0AFC154E"/>
    <w:rsid w:val="0B0552BC"/>
    <w:rsid w:val="0B26EC49"/>
    <w:rsid w:val="0B2F13D4"/>
    <w:rsid w:val="0B392D3C"/>
    <w:rsid w:val="0B443A5E"/>
    <w:rsid w:val="0B7A8B33"/>
    <w:rsid w:val="0B9A2CD6"/>
    <w:rsid w:val="0BA657B1"/>
    <w:rsid w:val="0BA9ED0C"/>
    <w:rsid w:val="0BD3B40D"/>
    <w:rsid w:val="0BED6827"/>
    <w:rsid w:val="0C473A49"/>
    <w:rsid w:val="0C4B97C5"/>
    <w:rsid w:val="0C75B540"/>
    <w:rsid w:val="0CAB87D5"/>
    <w:rsid w:val="0CBD0CA9"/>
    <w:rsid w:val="0CD75668"/>
    <w:rsid w:val="0D0A9323"/>
    <w:rsid w:val="0D0D6BF8"/>
    <w:rsid w:val="0D1BA10F"/>
    <w:rsid w:val="0D223C58"/>
    <w:rsid w:val="0D4ECC5C"/>
    <w:rsid w:val="0D513673"/>
    <w:rsid w:val="0D53FF46"/>
    <w:rsid w:val="0D9CBE99"/>
    <w:rsid w:val="0DA565E8"/>
    <w:rsid w:val="0DB15FA1"/>
    <w:rsid w:val="0DB2EE10"/>
    <w:rsid w:val="0E23E35C"/>
    <w:rsid w:val="0E247165"/>
    <w:rsid w:val="0E315592"/>
    <w:rsid w:val="0E52EAED"/>
    <w:rsid w:val="0E53ED3D"/>
    <w:rsid w:val="0E8A4F6D"/>
    <w:rsid w:val="0E9A0B71"/>
    <w:rsid w:val="0EA3CA59"/>
    <w:rsid w:val="0EAF6F7F"/>
    <w:rsid w:val="0EB119E8"/>
    <w:rsid w:val="0ECDB2AB"/>
    <w:rsid w:val="0EFD1BD5"/>
    <w:rsid w:val="0F00BD4B"/>
    <w:rsid w:val="0F095BA5"/>
    <w:rsid w:val="0F222F12"/>
    <w:rsid w:val="0F2F1C8E"/>
    <w:rsid w:val="0F30BC1E"/>
    <w:rsid w:val="0F3F6632"/>
    <w:rsid w:val="0F3FDC59"/>
    <w:rsid w:val="0F42A264"/>
    <w:rsid w:val="0F5A6B37"/>
    <w:rsid w:val="0F6AAF6E"/>
    <w:rsid w:val="0F8AAA03"/>
    <w:rsid w:val="0F93E708"/>
    <w:rsid w:val="0FA42DF9"/>
    <w:rsid w:val="0FABDD1A"/>
    <w:rsid w:val="0FB4EE40"/>
    <w:rsid w:val="0FDCEB9B"/>
    <w:rsid w:val="0FF5AE41"/>
    <w:rsid w:val="0FF8828D"/>
    <w:rsid w:val="1032D280"/>
    <w:rsid w:val="10438AEA"/>
    <w:rsid w:val="10462234"/>
    <w:rsid w:val="1064283A"/>
    <w:rsid w:val="10671A55"/>
    <w:rsid w:val="108B752C"/>
    <w:rsid w:val="10B21DF3"/>
    <w:rsid w:val="10C39D6C"/>
    <w:rsid w:val="10D47FD7"/>
    <w:rsid w:val="10D59719"/>
    <w:rsid w:val="10D79332"/>
    <w:rsid w:val="10EDE207"/>
    <w:rsid w:val="111A0EEB"/>
    <w:rsid w:val="11278443"/>
    <w:rsid w:val="11358CBA"/>
    <w:rsid w:val="113F4891"/>
    <w:rsid w:val="11677BB5"/>
    <w:rsid w:val="117CBEAD"/>
    <w:rsid w:val="11879661"/>
    <w:rsid w:val="119999CC"/>
    <w:rsid w:val="11A26571"/>
    <w:rsid w:val="11B0C607"/>
    <w:rsid w:val="11D4DBD6"/>
    <w:rsid w:val="11F852BA"/>
    <w:rsid w:val="120ACDAE"/>
    <w:rsid w:val="122E1B91"/>
    <w:rsid w:val="123890C7"/>
    <w:rsid w:val="1244D9D6"/>
    <w:rsid w:val="12AE14DD"/>
    <w:rsid w:val="12CA20E8"/>
    <w:rsid w:val="12E4BE94"/>
    <w:rsid w:val="13561AFC"/>
    <w:rsid w:val="1364F541"/>
    <w:rsid w:val="138260A0"/>
    <w:rsid w:val="139D68A0"/>
    <w:rsid w:val="13AF1104"/>
    <w:rsid w:val="13B1D7DF"/>
    <w:rsid w:val="13C50A29"/>
    <w:rsid w:val="13D71B00"/>
    <w:rsid w:val="13F2BB99"/>
    <w:rsid w:val="141213D2"/>
    <w:rsid w:val="1419F163"/>
    <w:rsid w:val="142158BD"/>
    <w:rsid w:val="143460EC"/>
    <w:rsid w:val="1436058A"/>
    <w:rsid w:val="1449EC64"/>
    <w:rsid w:val="146C814F"/>
    <w:rsid w:val="147E5882"/>
    <w:rsid w:val="1497A540"/>
    <w:rsid w:val="14E3D16D"/>
    <w:rsid w:val="14F14070"/>
    <w:rsid w:val="1526121E"/>
    <w:rsid w:val="154C0FDA"/>
    <w:rsid w:val="15798EA1"/>
    <w:rsid w:val="158804C9"/>
    <w:rsid w:val="15953AA0"/>
    <w:rsid w:val="15A94F72"/>
    <w:rsid w:val="15C35E0D"/>
    <w:rsid w:val="15CCA4CC"/>
    <w:rsid w:val="1607E43A"/>
    <w:rsid w:val="161A054F"/>
    <w:rsid w:val="1633879A"/>
    <w:rsid w:val="166E43B3"/>
    <w:rsid w:val="1670CB10"/>
    <w:rsid w:val="16B1D1FA"/>
    <w:rsid w:val="16FEA018"/>
    <w:rsid w:val="17297FDE"/>
    <w:rsid w:val="177034A3"/>
    <w:rsid w:val="179347C4"/>
    <w:rsid w:val="17B5E789"/>
    <w:rsid w:val="17C908A5"/>
    <w:rsid w:val="182F92CD"/>
    <w:rsid w:val="18469934"/>
    <w:rsid w:val="184888B7"/>
    <w:rsid w:val="184CE9AA"/>
    <w:rsid w:val="1853605F"/>
    <w:rsid w:val="1859CC9D"/>
    <w:rsid w:val="1871FC77"/>
    <w:rsid w:val="18733D5B"/>
    <w:rsid w:val="18AA972B"/>
    <w:rsid w:val="18E3B5C6"/>
    <w:rsid w:val="18F5240D"/>
    <w:rsid w:val="18F78ED1"/>
    <w:rsid w:val="19065347"/>
    <w:rsid w:val="19211B93"/>
    <w:rsid w:val="19250329"/>
    <w:rsid w:val="1949899A"/>
    <w:rsid w:val="196C4E81"/>
    <w:rsid w:val="19765681"/>
    <w:rsid w:val="19C27D6B"/>
    <w:rsid w:val="19C40DEE"/>
    <w:rsid w:val="19D02265"/>
    <w:rsid w:val="1A38D536"/>
    <w:rsid w:val="1A501363"/>
    <w:rsid w:val="1A51171E"/>
    <w:rsid w:val="1A58280D"/>
    <w:rsid w:val="1A69BF15"/>
    <w:rsid w:val="1A79234C"/>
    <w:rsid w:val="1A797B4A"/>
    <w:rsid w:val="1A93D59A"/>
    <w:rsid w:val="1AAB4F1A"/>
    <w:rsid w:val="1AE8A65C"/>
    <w:rsid w:val="1AF36AE6"/>
    <w:rsid w:val="1AFC8A2B"/>
    <w:rsid w:val="1B0156DC"/>
    <w:rsid w:val="1B184CAA"/>
    <w:rsid w:val="1B2B07AE"/>
    <w:rsid w:val="1B374755"/>
    <w:rsid w:val="1B37B9DB"/>
    <w:rsid w:val="1B4B018D"/>
    <w:rsid w:val="1B4BF260"/>
    <w:rsid w:val="1B552A99"/>
    <w:rsid w:val="1B5CEDA6"/>
    <w:rsid w:val="1B8DA30B"/>
    <w:rsid w:val="1B9A3158"/>
    <w:rsid w:val="1BB6F3B1"/>
    <w:rsid w:val="1BD0AF7A"/>
    <w:rsid w:val="1BDE724F"/>
    <w:rsid w:val="1C66EEA5"/>
    <w:rsid w:val="1C773FB9"/>
    <w:rsid w:val="1C7DB79A"/>
    <w:rsid w:val="1CB7BFA8"/>
    <w:rsid w:val="1CB8A70B"/>
    <w:rsid w:val="1CCB175C"/>
    <w:rsid w:val="1CD37C61"/>
    <w:rsid w:val="1CD3CF9C"/>
    <w:rsid w:val="1CDC9358"/>
    <w:rsid w:val="1CEC20A2"/>
    <w:rsid w:val="1CF17DAA"/>
    <w:rsid w:val="1CFCA16D"/>
    <w:rsid w:val="1D1D0FDC"/>
    <w:rsid w:val="1D29E059"/>
    <w:rsid w:val="1D2FF2FF"/>
    <w:rsid w:val="1D31B94C"/>
    <w:rsid w:val="1D3D44DB"/>
    <w:rsid w:val="1D5E8520"/>
    <w:rsid w:val="1D639747"/>
    <w:rsid w:val="1D63A13C"/>
    <w:rsid w:val="1D775AB4"/>
    <w:rsid w:val="1D83F9A0"/>
    <w:rsid w:val="1D946DF2"/>
    <w:rsid w:val="1DBE16ED"/>
    <w:rsid w:val="1DD608D2"/>
    <w:rsid w:val="1DE2F5D5"/>
    <w:rsid w:val="1DE9906E"/>
    <w:rsid w:val="1E00F5E6"/>
    <w:rsid w:val="1E08B1C8"/>
    <w:rsid w:val="1E27FF3B"/>
    <w:rsid w:val="1E2FD688"/>
    <w:rsid w:val="1EB02645"/>
    <w:rsid w:val="1EB11CEB"/>
    <w:rsid w:val="1EC2523B"/>
    <w:rsid w:val="1EC81B9A"/>
    <w:rsid w:val="1ECB5CF5"/>
    <w:rsid w:val="1EED4BD8"/>
    <w:rsid w:val="1EEDCE18"/>
    <w:rsid w:val="1F13B262"/>
    <w:rsid w:val="1F256C32"/>
    <w:rsid w:val="1F2FB146"/>
    <w:rsid w:val="1F528377"/>
    <w:rsid w:val="1F59D60B"/>
    <w:rsid w:val="1F60AC02"/>
    <w:rsid w:val="1F8AAE86"/>
    <w:rsid w:val="1FAB0154"/>
    <w:rsid w:val="1FBAC2C5"/>
    <w:rsid w:val="1FC87941"/>
    <w:rsid w:val="200AD0AF"/>
    <w:rsid w:val="20130707"/>
    <w:rsid w:val="201488F6"/>
    <w:rsid w:val="201715D1"/>
    <w:rsid w:val="20184B08"/>
    <w:rsid w:val="201B7918"/>
    <w:rsid w:val="206DBE66"/>
    <w:rsid w:val="20701758"/>
    <w:rsid w:val="207F4C25"/>
    <w:rsid w:val="2086BFC3"/>
    <w:rsid w:val="2090B9D0"/>
    <w:rsid w:val="20A1769F"/>
    <w:rsid w:val="20A4209D"/>
    <w:rsid w:val="21001B71"/>
    <w:rsid w:val="21167A74"/>
    <w:rsid w:val="211C1E9A"/>
    <w:rsid w:val="212E187A"/>
    <w:rsid w:val="2130868C"/>
    <w:rsid w:val="2131FA48"/>
    <w:rsid w:val="21343D5E"/>
    <w:rsid w:val="2164F1C1"/>
    <w:rsid w:val="219B22D7"/>
    <w:rsid w:val="219C41C2"/>
    <w:rsid w:val="21CF0F42"/>
    <w:rsid w:val="21F54C9A"/>
    <w:rsid w:val="22545D99"/>
    <w:rsid w:val="22547D35"/>
    <w:rsid w:val="22566F5D"/>
    <w:rsid w:val="227616D9"/>
    <w:rsid w:val="2288AF0D"/>
    <w:rsid w:val="22AC5115"/>
    <w:rsid w:val="22DB4A26"/>
    <w:rsid w:val="22E7B041"/>
    <w:rsid w:val="22F0CF58"/>
    <w:rsid w:val="2318D510"/>
    <w:rsid w:val="23472C0E"/>
    <w:rsid w:val="23BF3DDA"/>
    <w:rsid w:val="23CCC941"/>
    <w:rsid w:val="23DE9697"/>
    <w:rsid w:val="23E1FBD4"/>
    <w:rsid w:val="24110DB5"/>
    <w:rsid w:val="2444AA1F"/>
    <w:rsid w:val="246AEDD2"/>
    <w:rsid w:val="248D6C7C"/>
    <w:rsid w:val="24A96815"/>
    <w:rsid w:val="24CB84A0"/>
    <w:rsid w:val="24DC22E9"/>
    <w:rsid w:val="24FB1E08"/>
    <w:rsid w:val="2502C630"/>
    <w:rsid w:val="250C7BCD"/>
    <w:rsid w:val="25777183"/>
    <w:rsid w:val="25792573"/>
    <w:rsid w:val="259DBC93"/>
    <w:rsid w:val="25A84A29"/>
    <w:rsid w:val="25C2BB53"/>
    <w:rsid w:val="25D168C6"/>
    <w:rsid w:val="25DAE23F"/>
    <w:rsid w:val="25DD008C"/>
    <w:rsid w:val="2603C744"/>
    <w:rsid w:val="2641AE5A"/>
    <w:rsid w:val="265D4108"/>
    <w:rsid w:val="266D54D1"/>
    <w:rsid w:val="2673CED2"/>
    <w:rsid w:val="2675213B"/>
    <w:rsid w:val="26AAFE19"/>
    <w:rsid w:val="26BEFDB1"/>
    <w:rsid w:val="26CC275E"/>
    <w:rsid w:val="26CE1698"/>
    <w:rsid w:val="26CF9922"/>
    <w:rsid w:val="26DE7960"/>
    <w:rsid w:val="26F2E152"/>
    <w:rsid w:val="2703C977"/>
    <w:rsid w:val="271479C6"/>
    <w:rsid w:val="2754FBC7"/>
    <w:rsid w:val="27980204"/>
    <w:rsid w:val="27C23578"/>
    <w:rsid w:val="27E8E44F"/>
    <w:rsid w:val="280030BB"/>
    <w:rsid w:val="28153591"/>
    <w:rsid w:val="28323C3B"/>
    <w:rsid w:val="283C6513"/>
    <w:rsid w:val="28964B61"/>
    <w:rsid w:val="289F56EA"/>
    <w:rsid w:val="28A882B8"/>
    <w:rsid w:val="28CFDF97"/>
    <w:rsid w:val="28ED1F3A"/>
    <w:rsid w:val="2902E4A9"/>
    <w:rsid w:val="2917CD8E"/>
    <w:rsid w:val="292245A6"/>
    <w:rsid w:val="297F01C3"/>
    <w:rsid w:val="2986E14B"/>
    <w:rsid w:val="29992558"/>
    <w:rsid w:val="29A72F72"/>
    <w:rsid w:val="29A83F09"/>
    <w:rsid w:val="29C727D9"/>
    <w:rsid w:val="2A03FD57"/>
    <w:rsid w:val="2A23E6C7"/>
    <w:rsid w:val="2A267CFD"/>
    <w:rsid w:val="2A2A20CC"/>
    <w:rsid w:val="2A2A457F"/>
    <w:rsid w:val="2A411454"/>
    <w:rsid w:val="2A5D2A1A"/>
    <w:rsid w:val="2A618142"/>
    <w:rsid w:val="2A67D0CD"/>
    <w:rsid w:val="2A77E29C"/>
    <w:rsid w:val="2A7D56E3"/>
    <w:rsid w:val="2A9106E3"/>
    <w:rsid w:val="2AA7E632"/>
    <w:rsid w:val="2AF50CE9"/>
    <w:rsid w:val="2AF7E24D"/>
    <w:rsid w:val="2B026D37"/>
    <w:rsid w:val="2B027076"/>
    <w:rsid w:val="2B3BD50F"/>
    <w:rsid w:val="2B45F2B2"/>
    <w:rsid w:val="2B79682D"/>
    <w:rsid w:val="2B7B30B6"/>
    <w:rsid w:val="2BB04F4E"/>
    <w:rsid w:val="2BB8A872"/>
    <w:rsid w:val="2BC459D0"/>
    <w:rsid w:val="2BC80891"/>
    <w:rsid w:val="2BD17B79"/>
    <w:rsid w:val="2BE03BBF"/>
    <w:rsid w:val="2BF8A527"/>
    <w:rsid w:val="2C006E32"/>
    <w:rsid w:val="2C91E903"/>
    <w:rsid w:val="2CB27D42"/>
    <w:rsid w:val="2CB90DD2"/>
    <w:rsid w:val="2CC8F630"/>
    <w:rsid w:val="2D02B319"/>
    <w:rsid w:val="2D0EF1F5"/>
    <w:rsid w:val="2D13BF21"/>
    <w:rsid w:val="2D4A8799"/>
    <w:rsid w:val="2D8A912B"/>
    <w:rsid w:val="2D8B145A"/>
    <w:rsid w:val="2D998223"/>
    <w:rsid w:val="2DA54E2D"/>
    <w:rsid w:val="2DA95CD3"/>
    <w:rsid w:val="2DC49D20"/>
    <w:rsid w:val="2DD3B2DD"/>
    <w:rsid w:val="2DD97454"/>
    <w:rsid w:val="2DF25EB6"/>
    <w:rsid w:val="2DF711FC"/>
    <w:rsid w:val="2E0091CB"/>
    <w:rsid w:val="2E0923EC"/>
    <w:rsid w:val="2E1FD993"/>
    <w:rsid w:val="2E7477D4"/>
    <w:rsid w:val="2E76C2D9"/>
    <w:rsid w:val="2E7C19EE"/>
    <w:rsid w:val="2EBC454F"/>
    <w:rsid w:val="2EDFA31A"/>
    <w:rsid w:val="2EEB6E14"/>
    <w:rsid w:val="2EEFCEC6"/>
    <w:rsid w:val="2EF50C9E"/>
    <w:rsid w:val="2F1D39BB"/>
    <w:rsid w:val="2F1EA181"/>
    <w:rsid w:val="2F26618C"/>
    <w:rsid w:val="2F29D816"/>
    <w:rsid w:val="2F307256"/>
    <w:rsid w:val="2F35EB08"/>
    <w:rsid w:val="2F36DD70"/>
    <w:rsid w:val="2F3FB498"/>
    <w:rsid w:val="2F4E5C31"/>
    <w:rsid w:val="2F6FC542"/>
    <w:rsid w:val="2F8A99D3"/>
    <w:rsid w:val="2F93BD0E"/>
    <w:rsid w:val="2FAECF4D"/>
    <w:rsid w:val="2FB8344A"/>
    <w:rsid w:val="2FBADE61"/>
    <w:rsid w:val="2FBFA8CC"/>
    <w:rsid w:val="2FDA0DF5"/>
    <w:rsid w:val="2FDE573D"/>
    <w:rsid w:val="2FE534E7"/>
    <w:rsid w:val="2FE8FB03"/>
    <w:rsid w:val="3024D05F"/>
    <w:rsid w:val="3030A224"/>
    <w:rsid w:val="3053527D"/>
    <w:rsid w:val="305A2A92"/>
    <w:rsid w:val="30627BA7"/>
    <w:rsid w:val="306D8129"/>
    <w:rsid w:val="3082D34E"/>
    <w:rsid w:val="308B48F5"/>
    <w:rsid w:val="309F087D"/>
    <w:rsid w:val="30A03672"/>
    <w:rsid w:val="30B371C7"/>
    <w:rsid w:val="30DD7594"/>
    <w:rsid w:val="30E2886B"/>
    <w:rsid w:val="30E9BBBD"/>
    <w:rsid w:val="31024DFA"/>
    <w:rsid w:val="31251673"/>
    <w:rsid w:val="3138F9E3"/>
    <w:rsid w:val="3147AC50"/>
    <w:rsid w:val="315004CC"/>
    <w:rsid w:val="31C740CA"/>
    <w:rsid w:val="31CEC14B"/>
    <w:rsid w:val="31F8D2D5"/>
    <w:rsid w:val="320F5AD3"/>
    <w:rsid w:val="325ED446"/>
    <w:rsid w:val="326CB391"/>
    <w:rsid w:val="32A1D813"/>
    <w:rsid w:val="32AC7198"/>
    <w:rsid w:val="330A5198"/>
    <w:rsid w:val="3390F7F5"/>
    <w:rsid w:val="3392C329"/>
    <w:rsid w:val="33BD199F"/>
    <w:rsid w:val="33D1B3C3"/>
    <w:rsid w:val="33EBBC39"/>
    <w:rsid w:val="33EF0392"/>
    <w:rsid w:val="33F9D2AF"/>
    <w:rsid w:val="33FC3B13"/>
    <w:rsid w:val="34011AE7"/>
    <w:rsid w:val="341AB69C"/>
    <w:rsid w:val="3428D894"/>
    <w:rsid w:val="344944D2"/>
    <w:rsid w:val="34581DA1"/>
    <w:rsid w:val="3467A635"/>
    <w:rsid w:val="346E4384"/>
    <w:rsid w:val="34C2467A"/>
    <w:rsid w:val="34DE7DC6"/>
    <w:rsid w:val="351F6564"/>
    <w:rsid w:val="352DC240"/>
    <w:rsid w:val="3566B2AB"/>
    <w:rsid w:val="35705E21"/>
    <w:rsid w:val="35B4F043"/>
    <w:rsid w:val="35D619F8"/>
    <w:rsid w:val="35F57037"/>
    <w:rsid w:val="35F80D12"/>
    <w:rsid w:val="3608F902"/>
    <w:rsid w:val="36166CA4"/>
    <w:rsid w:val="36644173"/>
    <w:rsid w:val="36685020"/>
    <w:rsid w:val="366DF0E7"/>
    <w:rsid w:val="36813F38"/>
    <w:rsid w:val="36940EBA"/>
    <w:rsid w:val="36C4AC95"/>
    <w:rsid w:val="36D89670"/>
    <w:rsid w:val="36DA2AC3"/>
    <w:rsid w:val="37007A22"/>
    <w:rsid w:val="3703D339"/>
    <w:rsid w:val="37559A63"/>
    <w:rsid w:val="376D7A4A"/>
    <w:rsid w:val="37860379"/>
    <w:rsid w:val="37866327"/>
    <w:rsid w:val="3795DF3D"/>
    <w:rsid w:val="37B0E7A7"/>
    <w:rsid w:val="37ECB88B"/>
    <w:rsid w:val="37ED0318"/>
    <w:rsid w:val="37F389BF"/>
    <w:rsid w:val="380250B0"/>
    <w:rsid w:val="382BA14B"/>
    <w:rsid w:val="38437AFF"/>
    <w:rsid w:val="384B33F0"/>
    <w:rsid w:val="387841C1"/>
    <w:rsid w:val="388D4566"/>
    <w:rsid w:val="38AD947A"/>
    <w:rsid w:val="38BCB679"/>
    <w:rsid w:val="38CF108A"/>
    <w:rsid w:val="38D29846"/>
    <w:rsid w:val="38DA4042"/>
    <w:rsid w:val="38E30694"/>
    <w:rsid w:val="38F9ED8E"/>
    <w:rsid w:val="3903F1E8"/>
    <w:rsid w:val="391F88A1"/>
    <w:rsid w:val="3931D747"/>
    <w:rsid w:val="39385763"/>
    <w:rsid w:val="393AA164"/>
    <w:rsid w:val="398DD477"/>
    <w:rsid w:val="3999BFCF"/>
    <w:rsid w:val="39B3E305"/>
    <w:rsid w:val="39B8EDC7"/>
    <w:rsid w:val="39BCCB8D"/>
    <w:rsid w:val="39BF05E3"/>
    <w:rsid w:val="39C4A306"/>
    <w:rsid w:val="39FBAEB2"/>
    <w:rsid w:val="3A0839D6"/>
    <w:rsid w:val="3A3D09E9"/>
    <w:rsid w:val="3A4157AD"/>
    <w:rsid w:val="3A65D903"/>
    <w:rsid w:val="3A7CB62D"/>
    <w:rsid w:val="3A8239D3"/>
    <w:rsid w:val="3A92FD33"/>
    <w:rsid w:val="3AA23951"/>
    <w:rsid w:val="3AAB9332"/>
    <w:rsid w:val="3AD437FA"/>
    <w:rsid w:val="3AD4DFD5"/>
    <w:rsid w:val="3AF0FF0C"/>
    <w:rsid w:val="3AF63B01"/>
    <w:rsid w:val="3AF803EA"/>
    <w:rsid w:val="3B1310E0"/>
    <w:rsid w:val="3B1B23EE"/>
    <w:rsid w:val="3B4D87B5"/>
    <w:rsid w:val="3B644B85"/>
    <w:rsid w:val="3B74B936"/>
    <w:rsid w:val="3B77CBC7"/>
    <w:rsid w:val="3B922940"/>
    <w:rsid w:val="3BB4A8F4"/>
    <w:rsid w:val="3BB9FDC5"/>
    <w:rsid w:val="3BE1E361"/>
    <w:rsid w:val="3C0BD24E"/>
    <w:rsid w:val="3C309368"/>
    <w:rsid w:val="3C361E91"/>
    <w:rsid w:val="3C54F797"/>
    <w:rsid w:val="3C789943"/>
    <w:rsid w:val="3C8D33E4"/>
    <w:rsid w:val="3C99D87E"/>
    <w:rsid w:val="3C9D6AFB"/>
    <w:rsid w:val="3CAB61A2"/>
    <w:rsid w:val="3CD6EC28"/>
    <w:rsid w:val="3CF8ACB2"/>
    <w:rsid w:val="3D0DA1D0"/>
    <w:rsid w:val="3D199797"/>
    <w:rsid w:val="3D35011A"/>
    <w:rsid w:val="3D5DD471"/>
    <w:rsid w:val="3D82C3FF"/>
    <w:rsid w:val="3D9E469E"/>
    <w:rsid w:val="3DB3F2F6"/>
    <w:rsid w:val="3DBBAEE4"/>
    <w:rsid w:val="3DE39917"/>
    <w:rsid w:val="3E0E90A3"/>
    <w:rsid w:val="3E53606B"/>
    <w:rsid w:val="3E5C065D"/>
    <w:rsid w:val="3E632ABC"/>
    <w:rsid w:val="3EA88BC1"/>
    <w:rsid w:val="3EC80459"/>
    <w:rsid w:val="3EE2CED7"/>
    <w:rsid w:val="3F0995A5"/>
    <w:rsid w:val="3F4642C0"/>
    <w:rsid w:val="3F5BE6E1"/>
    <w:rsid w:val="3F65DA21"/>
    <w:rsid w:val="3F666CCB"/>
    <w:rsid w:val="3F84067B"/>
    <w:rsid w:val="3FA00553"/>
    <w:rsid w:val="3FC1EE1B"/>
    <w:rsid w:val="3FCB0A7A"/>
    <w:rsid w:val="3FDDEC8B"/>
    <w:rsid w:val="3FDF4026"/>
    <w:rsid w:val="3FE01FDF"/>
    <w:rsid w:val="3FEF3690"/>
    <w:rsid w:val="3FF2A4A7"/>
    <w:rsid w:val="3FFC0E35"/>
    <w:rsid w:val="401EFDA0"/>
    <w:rsid w:val="40265AE7"/>
    <w:rsid w:val="402FFDD2"/>
    <w:rsid w:val="405B9095"/>
    <w:rsid w:val="4086C057"/>
    <w:rsid w:val="4092258E"/>
    <w:rsid w:val="40A7BC3A"/>
    <w:rsid w:val="40BB5774"/>
    <w:rsid w:val="40D2CF9F"/>
    <w:rsid w:val="410CBCDA"/>
    <w:rsid w:val="411524FC"/>
    <w:rsid w:val="411D0F28"/>
    <w:rsid w:val="4127F1FD"/>
    <w:rsid w:val="41432F5D"/>
    <w:rsid w:val="414911B2"/>
    <w:rsid w:val="415C4F52"/>
    <w:rsid w:val="415EAFC7"/>
    <w:rsid w:val="417BB917"/>
    <w:rsid w:val="418CEA84"/>
    <w:rsid w:val="41AC56BC"/>
    <w:rsid w:val="41C51C23"/>
    <w:rsid w:val="41CA7353"/>
    <w:rsid w:val="41DB76F8"/>
    <w:rsid w:val="41E26DD4"/>
    <w:rsid w:val="4230F79E"/>
    <w:rsid w:val="425A2E26"/>
    <w:rsid w:val="42948D20"/>
    <w:rsid w:val="42E8B741"/>
    <w:rsid w:val="42EB3149"/>
    <w:rsid w:val="436942E3"/>
    <w:rsid w:val="43729C7E"/>
    <w:rsid w:val="437C0C41"/>
    <w:rsid w:val="43A090E5"/>
    <w:rsid w:val="43A98891"/>
    <w:rsid w:val="43B6D942"/>
    <w:rsid w:val="43D54605"/>
    <w:rsid w:val="43EBE680"/>
    <w:rsid w:val="43FEC7A2"/>
    <w:rsid w:val="44004D8C"/>
    <w:rsid w:val="4410107E"/>
    <w:rsid w:val="441107D1"/>
    <w:rsid w:val="4423FF58"/>
    <w:rsid w:val="44270841"/>
    <w:rsid w:val="44328E75"/>
    <w:rsid w:val="4456977C"/>
    <w:rsid w:val="445F8022"/>
    <w:rsid w:val="4463D3ED"/>
    <w:rsid w:val="4480E4A6"/>
    <w:rsid w:val="44BEF816"/>
    <w:rsid w:val="44C1385B"/>
    <w:rsid w:val="44D5AE84"/>
    <w:rsid w:val="44FA3B7D"/>
    <w:rsid w:val="44FAC5F8"/>
    <w:rsid w:val="4536B01F"/>
    <w:rsid w:val="4556F229"/>
    <w:rsid w:val="45571692"/>
    <w:rsid w:val="456665FC"/>
    <w:rsid w:val="45DF114D"/>
    <w:rsid w:val="45E22CAD"/>
    <w:rsid w:val="45F1A1A6"/>
    <w:rsid w:val="45F74B75"/>
    <w:rsid w:val="45FF8C62"/>
    <w:rsid w:val="464EF153"/>
    <w:rsid w:val="466530D9"/>
    <w:rsid w:val="46A134F5"/>
    <w:rsid w:val="46AD27DF"/>
    <w:rsid w:val="46C5A263"/>
    <w:rsid w:val="46F38207"/>
    <w:rsid w:val="471C8247"/>
    <w:rsid w:val="474BF4DC"/>
    <w:rsid w:val="474C9457"/>
    <w:rsid w:val="4767D939"/>
    <w:rsid w:val="479FB84D"/>
    <w:rsid w:val="47A81F45"/>
    <w:rsid w:val="47BD7D24"/>
    <w:rsid w:val="47F33D0D"/>
    <w:rsid w:val="4813FB34"/>
    <w:rsid w:val="486162CD"/>
    <w:rsid w:val="4862A16B"/>
    <w:rsid w:val="486E5F7B"/>
    <w:rsid w:val="4879B105"/>
    <w:rsid w:val="48E8A151"/>
    <w:rsid w:val="48ECF9C4"/>
    <w:rsid w:val="48F9A029"/>
    <w:rsid w:val="492685A9"/>
    <w:rsid w:val="498AFEDA"/>
    <w:rsid w:val="499BB50B"/>
    <w:rsid w:val="49A087AE"/>
    <w:rsid w:val="49A85FF8"/>
    <w:rsid w:val="49B1F886"/>
    <w:rsid w:val="49DCC204"/>
    <w:rsid w:val="49E32134"/>
    <w:rsid w:val="4A0DB2CB"/>
    <w:rsid w:val="4A2C2035"/>
    <w:rsid w:val="4A47271C"/>
    <w:rsid w:val="4A4CEFD0"/>
    <w:rsid w:val="4A693DCC"/>
    <w:rsid w:val="4A8D1A8F"/>
    <w:rsid w:val="4AA09CE8"/>
    <w:rsid w:val="4AA82005"/>
    <w:rsid w:val="4AB16E73"/>
    <w:rsid w:val="4AF359A7"/>
    <w:rsid w:val="4B78B59F"/>
    <w:rsid w:val="4B8BE2DA"/>
    <w:rsid w:val="4BBBC4D2"/>
    <w:rsid w:val="4BC31FCB"/>
    <w:rsid w:val="4BE831FE"/>
    <w:rsid w:val="4BEA0EE2"/>
    <w:rsid w:val="4C100614"/>
    <w:rsid w:val="4C1D68F6"/>
    <w:rsid w:val="4C2D0214"/>
    <w:rsid w:val="4C35FF13"/>
    <w:rsid w:val="4C51B3BB"/>
    <w:rsid w:val="4C546394"/>
    <w:rsid w:val="4C645279"/>
    <w:rsid w:val="4C67A5B9"/>
    <w:rsid w:val="4C8E9929"/>
    <w:rsid w:val="4C929F0A"/>
    <w:rsid w:val="4C9FD2F2"/>
    <w:rsid w:val="4CA12637"/>
    <w:rsid w:val="4CDDDC58"/>
    <w:rsid w:val="4CDDF8FB"/>
    <w:rsid w:val="4CE2A683"/>
    <w:rsid w:val="4D18E444"/>
    <w:rsid w:val="4D4D7B7A"/>
    <w:rsid w:val="4D5661C6"/>
    <w:rsid w:val="4D577FD5"/>
    <w:rsid w:val="4D5C4D83"/>
    <w:rsid w:val="4DA53A0A"/>
    <w:rsid w:val="4DB28B7D"/>
    <w:rsid w:val="4DB56F72"/>
    <w:rsid w:val="4DBD271B"/>
    <w:rsid w:val="4DD15AB2"/>
    <w:rsid w:val="4DD69F33"/>
    <w:rsid w:val="4DE52BBE"/>
    <w:rsid w:val="4DE86DA9"/>
    <w:rsid w:val="4E4CB53E"/>
    <w:rsid w:val="4E6B51CE"/>
    <w:rsid w:val="4E79ACB9"/>
    <w:rsid w:val="4E7C2462"/>
    <w:rsid w:val="4E7D8A90"/>
    <w:rsid w:val="4EAAAB96"/>
    <w:rsid w:val="4EE57402"/>
    <w:rsid w:val="4F0A6A64"/>
    <w:rsid w:val="4F0B717F"/>
    <w:rsid w:val="4F1AA2F1"/>
    <w:rsid w:val="4F1B534E"/>
    <w:rsid w:val="4F2CB9B8"/>
    <w:rsid w:val="4F32FAA1"/>
    <w:rsid w:val="4F5832AB"/>
    <w:rsid w:val="4F96BE3F"/>
    <w:rsid w:val="4FAA33B8"/>
    <w:rsid w:val="4FB43381"/>
    <w:rsid w:val="4FCD00D1"/>
    <w:rsid w:val="4FDADBF2"/>
    <w:rsid w:val="4FF65AC3"/>
    <w:rsid w:val="500487BF"/>
    <w:rsid w:val="500A531A"/>
    <w:rsid w:val="503293DD"/>
    <w:rsid w:val="503DBBCA"/>
    <w:rsid w:val="504C313F"/>
    <w:rsid w:val="5079DEBA"/>
    <w:rsid w:val="508A552E"/>
    <w:rsid w:val="508CADED"/>
    <w:rsid w:val="5096BB7C"/>
    <w:rsid w:val="50A4CE66"/>
    <w:rsid w:val="50B26C62"/>
    <w:rsid w:val="50C1597E"/>
    <w:rsid w:val="512A05AF"/>
    <w:rsid w:val="5165BD88"/>
    <w:rsid w:val="5188B815"/>
    <w:rsid w:val="5195C2DB"/>
    <w:rsid w:val="51A051E3"/>
    <w:rsid w:val="51D45A8A"/>
    <w:rsid w:val="51F8782A"/>
    <w:rsid w:val="521048F1"/>
    <w:rsid w:val="52126ECE"/>
    <w:rsid w:val="523B9943"/>
    <w:rsid w:val="52484718"/>
    <w:rsid w:val="5288559F"/>
    <w:rsid w:val="52915AEF"/>
    <w:rsid w:val="52F2CF44"/>
    <w:rsid w:val="52F366AA"/>
    <w:rsid w:val="5326802C"/>
    <w:rsid w:val="532C97D8"/>
    <w:rsid w:val="5354ECAA"/>
    <w:rsid w:val="536502B4"/>
    <w:rsid w:val="5385D2DE"/>
    <w:rsid w:val="53A4889E"/>
    <w:rsid w:val="53C52931"/>
    <w:rsid w:val="53CD60D2"/>
    <w:rsid w:val="53D5E7B5"/>
    <w:rsid w:val="53F618A0"/>
    <w:rsid w:val="5418B6C6"/>
    <w:rsid w:val="541FFA54"/>
    <w:rsid w:val="5428E73D"/>
    <w:rsid w:val="54A972F5"/>
    <w:rsid w:val="54AEE6B4"/>
    <w:rsid w:val="54B4BF00"/>
    <w:rsid w:val="54C0EBA9"/>
    <w:rsid w:val="54D6E206"/>
    <w:rsid w:val="5500EECD"/>
    <w:rsid w:val="5501E138"/>
    <w:rsid w:val="55033128"/>
    <w:rsid w:val="551956D1"/>
    <w:rsid w:val="5548174D"/>
    <w:rsid w:val="55712FE3"/>
    <w:rsid w:val="557D0C39"/>
    <w:rsid w:val="5583FB41"/>
    <w:rsid w:val="5593736A"/>
    <w:rsid w:val="559FD870"/>
    <w:rsid w:val="55A7BC30"/>
    <w:rsid w:val="55D3BBA4"/>
    <w:rsid w:val="55E2EC1B"/>
    <w:rsid w:val="55F76BAF"/>
    <w:rsid w:val="5636F4A2"/>
    <w:rsid w:val="5658FB3E"/>
    <w:rsid w:val="565E687B"/>
    <w:rsid w:val="5673FE94"/>
    <w:rsid w:val="5679A29A"/>
    <w:rsid w:val="568A9665"/>
    <w:rsid w:val="56916A89"/>
    <w:rsid w:val="56A9399E"/>
    <w:rsid w:val="56CF0229"/>
    <w:rsid w:val="56CF4E86"/>
    <w:rsid w:val="56F7CCE3"/>
    <w:rsid w:val="5709E78D"/>
    <w:rsid w:val="570D8BAC"/>
    <w:rsid w:val="5730A311"/>
    <w:rsid w:val="5756BA76"/>
    <w:rsid w:val="575A19C5"/>
    <w:rsid w:val="57738DC5"/>
    <w:rsid w:val="577F1646"/>
    <w:rsid w:val="57911989"/>
    <w:rsid w:val="5791C47E"/>
    <w:rsid w:val="579D6A82"/>
    <w:rsid w:val="57AF0008"/>
    <w:rsid w:val="57B03FA0"/>
    <w:rsid w:val="57B9B4FE"/>
    <w:rsid w:val="57BFFD92"/>
    <w:rsid w:val="582054EA"/>
    <w:rsid w:val="5833803E"/>
    <w:rsid w:val="586AABB5"/>
    <w:rsid w:val="587BFE9F"/>
    <w:rsid w:val="5886BE80"/>
    <w:rsid w:val="588E6900"/>
    <w:rsid w:val="589A30F4"/>
    <w:rsid w:val="58A41B06"/>
    <w:rsid w:val="58EDCFFC"/>
    <w:rsid w:val="594489CF"/>
    <w:rsid w:val="594FE04D"/>
    <w:rsid w:val="5984687A"/>
    <w:rsid w:val="59895ACF"/>
    <w:rsid w:val="599219D4"/>
    <w:rsid w:val="5995F322"/>
    <w:rsid w:val="59AD0046"/>
    <w:rsid w:val="59DD822A"/>
    <w:rsid w:val="5A137351"/>
    <w:rsid w:val="5A13D002"/>
    <w:rsid w:val="5A233287"/>
    <w:rsid w:val="5A383450"/>
    <w:rsid w:val="5A4D98E7"/>
    <w:rsid w:val="5A4E1F91"/>
    <w:rsid w:val="5A54808A"/>
    <w:rsid w:val="5A781B47"/>
    <w:rsid w:val="5A8D8115"/>
    <w:rsid w:val="5A980A8A"/>
    <w:rsid w:val="5ABABE6A"/>
    <w:rsid w:val="5AF8D358"/>
    <w:rsid w:val="5B10ADCD"/>
    <w:rsid w:val="5B1C4FD8"/>
    <w:rsid w:val="5B2719BD"/>
    <w:rsid w:val="5B33B70B"/>
    <w:rsid w:val="5B509B83"/>
    <w:rsid w:val="5B545B6C"/>
    <w:rsid w:val="5B86F4D1"/>
    <w:rsid w:val="5BA98EB7"/>
    <w:rsid w:val="5BB775B4"/>
    <w:rsid w:val="5BC234FE"/>
    <w:rsid w:val="5BC28DBE"/>
    <w:rsid w:val="5BD8DF2E"/>
    <w:rsid w:val="5BE6AEB1"/>
    <w:rsid w:val="5C59D020"/>
    <w:rsid w:val="5C8B96E7"/>
    <w:rsid w:val="5CAAA227"/>
    <w:rsid w:val="5CCDC42E"/>
    <w:rsid w:val="5CD1425E"/>
    <w:rsid w:val="5CD845B2"/>
    <w:rsid w:val="5CDBF8C0"/>
    <w:rsid w:val="5CDC6CB6"/>
    <w:rsid w:val="5CE48C41"/>
    <w:rsid w:val="5CE75ACC"/>
    <w:rsid w:val="5CEC8469"/>
    <w:rsid w:val="5CFF0704"/>
    <w:rsid w:val="5D30851B"/>
    <w:rsid w:val="5D4CFB99"/>
    <w:rsid w:val="5D58546A"/>
    <w:rsid w:val="5D595D4B"/>
    <w:rsid w:val="5D7507B9"/>
    <w:rsid w:val="5D7D52DF"/>
    <w:rsid w:val="5DC965E1"/>
    <w:rsid w:val="5DCCA58B"/>
    <w:rsid w:val="5DE14AF4"/>
    <w:rsid w:val="5E03C072"/>
    <w:rsid w:val="5E158C03"/>
    <w:rsid w:val="5E24812B"/>
    <w:rsid w:val="5E69B7A7"/>
    <w:rsid w:val="5EB0E850"/>
    <w:rsid w:val="5EBC92E3"/>
    <w:rsid w:val="5EC3BC30"/>
    <w:rsid w:val="5ECE0FC9"/>
    <w:rsid w:val="5ED3C7F3"/>
    <w:rsid w:val="5EDF5698"/>
    <w:rsid w:val="5EE7E08B"/>
    <w:rsid w:val="5EF081CB"/>
    <w:rsid w:val="5F25AEC2"/>
    <w:rsid w:val="5F3A0D49"/>
    <w:rsid w:val="5F450E63"/>
    <w:rsid w:val="5F5FFDBA"/>
    <w:rsid w:val="5F65A624"/>
    <w:rsid w:val="5F8B63ED"/>
    <w:rsid w:val="5F910EDD"/>
    <w:rsid w:val="5FD4C39D"/>
    <w:rsid w:val="5FE2DDAA"/>
    <w:rsid w:val="5FF04E05"/>
    <w:rsid w:val="5FF9EC84"/>
    <w:rsid w:val="6004C3D9"/>
    <w:rsid w:val="60095D0C"/>
    <w:rsid w:val="603559AF"/>
    <w:rsid w:val="6040BD82"/>
    <w:rsid w:val="6042C78B"/>
    <w:rsid w:val="60446413"/>
    <w:rsid w:val="60BD201A"/>
    <w:rsid w:val="60BD2C5B"/>
    <w:rsid w:val="60CADF2B"/>
    <w:rsid w:val="60CE74FD"/>
    <w:rsid w:val="60E8A008"/>
    <w:rsid w:val="610DB89A"/>
    <w:rsid w:val="611227D0"/>
    <w:rsid w:val="611C5F79"/>
    <w:rsid w:val="612DE54D"/>
    <w:rsid w:val="619340B3"/>
    <w:rsid w:val="6193C08D"/>
    <w:rsid w:val="61A71341"/>
    <w:rsid w:val="61D2D0BD"/>
    <w:rsid w:val="61F213F8"/>
    <w:rsid w:val="61F3634C"/>
    <w:rsid w:val="6233E4AC"/>
    <w:rsid w:val="62341BD0"/>
    <w:rsid w:val="6245AB88"/>
    <w:rsid w:val="626A59FB"/>
    <w:rsid w:val="626E5134"/>
    <w:rsid w:val="6278A7F7"/>
    <w:rsid w:val="62BA3962"/>
    <w:rsid w:val="62C271FF"/>
    <w:rsid w:val="62F05813"/>
    <w:rsid w:val="62FC73F6"/>
    <w:rsid w:val="6300644E"/>
    <w:rsid w:val="631EC33E"/>
    <w:rsid w:val="6321CBA5"/>
    <w:rsid w:val="63519938"/>
    <w:rsid w:val="63688D2C"/>
    <w:rsid w:val="6369F069"/>
    <w:rsid w:val="63AA5136"/>
    <w:rsid w:val="63AACAC1"/>
    <w:rsid w:val="63BA6D5C"/>
    <w:rsid w:val="63C32FA4"/>
    <w:rsid w:val="63C7B78A"/>
    <w:rsid w:val="63DE398D"/>
    <w:rsid w:val="63E7DF15"/>
    <w:rsid w:val="63F84BD6"/>
    <w:rsid w:val="63F95D75"/>
    <w:rsid w:val="63FC869B"/>
    <w:rsid w:val="63FD4740"/>
    <w:rsid w:val="64013F68"/>
    <w:rsid w:val="640B4B5D"/>
    <w:rsid w:val="64194AA1"/>
    <w:rsid w:val="646A4327"/>
    <w:rsid w:val="64894B4C"/>
    <w:rsid w:val="648E2F22"/>
    <w:rsid w:val="648ECDF6"/>
    <w:rsid w:val="649B3D2B"/>
    <w:rsid w:val="64C10FCD"/>
    <w:rsid w:val="64CB6C4E"/>
    <w:rsid w:val="64E2DAD8"/>
    <w:rsid w:val="64E82AE4"/>
    <w:rsid w:val="65310549"/>
    <w:rsid w:val="654630D8"/>
    <w:rsid w:val="656016E5"/>
    <w:rsid w:val="65DA3003"/>
    <w:rsid w:val="65F1AA75"/>
    <w:rsid w:val="660BAA13"/>
    <w:rsid w:val="660DA66E"/>
    <w:rsid w:val="66119B87"/>
    <w:rsid w:val="661E63EA"/>
    <w:rsid w:val="663460D9"/>
    <w:rsid w:val="663D2A40"/>
    <w:rsid w:val="66411A1B"/>
    <w:rsid w:val="665BFB78"/>
    <w:rsid w:val="665EBB8E"/>
    <w:rsid w:val="66626DDE"/>
    <w:rsid w:val="6695D34D"/>
    <w:rsid w:val="66A33D0D"/>
    <w:rsid w:val="66C4DEB6"/>
    <w:rsid w:val="66CD2576"/>
    <w:rsid w:val="66DA9EA8"/>
    <w:rsid w:val="66E67CF9"/>
    <w:rsid w:val="66FB2FE7"/>
    <w:rsid w:val="66FBA0E4"/>
    <w:rsid w:val="670537FB"/>
    <w:rsid w:val="67113911"/>
    <w:rsid w:val="67668F66"/>
    <w:rsid w:val="676D6DE4"/>
    <w:rsid w:val="67B526F4"/>
    <w:rsid w:val="67B7C7F1"/>
    <w:rsid w:val="67BD082F"/>
    <w:rsid w:val="67C39308"/>
    <w:rsid w:val="67C651CE"/>
    <w:rsid w:val="67E875B2"/>
    <w:rsid w:val="6806857D"/>
    <w:rsid w:val="682F04F6"/>
    <w:rsid w:val="683A8A0F"/>
    <w:rsid w:val="685223DD"/>
    <w:rsid w:val="685D33EE"/>
    <w:rsid w:val="68B54901"/>
    <w:rsid w:val="68C3F0C8"/>
    <w:rsid w:val="68CACBB2"/>
    <w:rsid w:val="68E5981F"/>
    <w:rsid w:val="68EA2FAC"/>
    <w:rsid w:val="69195BF3"/>
    <w:rsid w:val="69201C36"/>
    <w:rsid w:val="693ABAD6"/>
    <w:rsid w:val="696A3955"/>
    <w:rsid w:val="697F840F"/>
    <w:rsid w:val="69960DFC"/>
    <w:rsid w:val="699EE1E3"/>
    <w:rsid w:val="69B6894F"/>
    <w:rsid w:val="69CE776B"/>
    <w:rsid w:val="69D48EF9"/>
    <w:rsid w:val="69E64D21"/>
    <w:rsid w:val="69EB332A"/>
    <w:rsid w:val="69FE3BFA"/>
    <w:rsid w:val="6A002D50"/>
    <w:rsid w:val="6A2B91A3"/>
    <w:rsid w:val="6A411D9C"/>
    <w:rsid w:val="6A441EEC"/>
    <w:rsid w:val="6A8D242B"/>
    <w:rsid w:val="6A920036"/>
    <w:rsid w:val="6A93BD93"/>
    <w:rsid w:val="6AA2975C"/>
    <w:rsid w:val="6AB0020D"/>
    <w:rsid w:val="6AB3564E"/>
    <w:rsid w:val="6AE27B76"/>
    <w:rsid w:val="6AF9A7E5"/>
    <w:rsid w:val="6B13297C"/>
    <w:rsid w:val="6B218F5C"/>
    <w:rsid w:val="6B2365AB"/>
    <w:rsid w:val="6B4641FC"/>
    <w:rsid w:val="6B46CB61"/>
    <w:rsid w:val="6B771C8D"/>
    <w:rsid w:val="6B78FD46"/>
    <w:rsid w:val="6B8AE29F"/>
    <w:rsid w:val="6BA4AB3B"/>
    <w:rsid w:val="6BE66D44"/>
    <w:rsid w:val="6BED448B"/>
    <w:rsid w:val="6C0CF1EA"/>
    <w:rsid w:val="6C2DD097"/>
    <w:rsid w:val="6C49FDD2"/>
    <w:rsid w:val="6C51DB40"/>
    <w:rsid w:val="6C652A49"/>
    <w:rsid w:val="6C65EDDF"/>
    <w:rsid w:val="6C67E43B"/>
    <w:rsid w:val="6C9BE535"/>
    <w:rsid w:val="6CA75185"/>
    <w:rsid w:val="6CA7DF2B"/>
    <w:rsid w:val="6CC6696A"/>
    <w:rsid w:val="6CD84525"/>
    <w:rsid w:val="6CFD98C6"/>
    <w:rsid w:val="6CFEC31A"/>
    <w:rsid w:val="6D0B38B6"/>
    <w:rsid w:val="6D0E3892"/>
    <w:rsid w:val="6D2E6818"/>
    <w:rsid w:val="6D3E437D"/>
    <w:rsid w:val="6D41F6F6"/>
    <w:rsid w:val="6D599F17"/>
    <w:rsid w:val="6D79D372"/>
    <w:rsid w:val="6D86BCD5"/>
    <w:rsid w:val="6D9936EF"/>
    <w:rsid w:val="6DBC258A"/>
    <w:rsid w:val="6DE82B7B"/>
    <w:rsid w:val="6DE8647D"/>
    <w:rsid w:val="6E31B0D4"/>
    <w:rsid w:val="6E3B22C5"/>
    <w:rsid w:val="6E4EDE33"/>
    <w:rsid w:val="6E5874C5"/>
    <w:rsid w:val="6E5D5FB5"/>
    <w:rsid w:val="6E75943C"/>
    <w:rsid w:val="6E905E30"/>
    <w:rsid w:val="6E9440E6"/>
    <w:rsid w:val="6EA43664"/>
    <w:rsid w:val="6EADC0F8"/>
    <w:rsid w:val="6EBC36A2"/>
    <w:rsid w:val="6EDFB9EB"/>
    <w:rsid w:val="6F215FEA"/>
    <w:rsid w:val="6F33D23A"/>
    <w:rsid w:val="6F3DDE0F"/>
    <w:rsid w:val="6F63D019"/>
    <w:rsid w:val="6F664124"/>
    <w:rsid w:val="6F66BD56"/>
    <w:rsid w:val="6F676686"/>
    <w:rsid w:val="6F764984"/>
    <w:rsid w:val="6F76DFB8"/>
    <w:rsid w:val="6F807E3C"/>
    <w:rsid w:val="6F926C8B"/>
    <w:rsid w:val="6F9A547B"/>
    <w:rsid w:val="6F9B1918"/>
    <w:rsid w:val="6FC2507A"/>
    <w:rsid w:val="6FE3A94A"/>
    <w:rsid w:val="6FF4F236"/>
    <w:rsid w:val="702324A3"/>
    <w:rsid w:val="703260DB"/>
    <w:rsid w:val="7034EC01"/>
    <w:rsid w:val="704F71DC"/>
    <w:rsid w:val="70787479"/>
    <w:rsid w:val="70A127ED"/>
    <w:rsid w:val="70B61DAE"/>
    <w:rsid w:val="70CB22B5"/>
    <w:rsid w:val="70F5B098"/>
    <w:rsid w:val="7113DB41"/>
    <w:rsid w:val="7126EC6C"/>
    <w:rsid w:val="71317BE2"/>
    <w:rsid w:val="717FA2CF"/>
    <w:rsid w:val="718EC2FA"/>
    <w:rsid w:val="71AA1908"/>
    <w:rsid w:val="71ABB178"/>
    <w:rsid w:val="71C2A437"/>
    <w:rsid w:val="71C85EA9"/>
    <w:rsid w:val="71CB3359"/>
    <w:rsid w:val="71D2343D"/>
    <w:rsid w:val="71D6435A"/>
    <w:rsid w:val="71D79496"/>
    <w:rsid w:val="71E22A5A"/>
    <w:rsid w:val="7280D457"/>
    <w:rsid w:val="729B19BE"/>
    <w:rsid w:val="729BA3BF"/>
    <w:rsid w:val="72A6CFE6"/>
    <w:rsid w:val="72B3A9F7"/>
    <w:rsid w:val="72D0F17E"/>
    <w:rsid w:val="72D1A4E9"/>
    <w:rsid w:val="7314A82C"/>
    <w:rsid w:val="733A49F9"/>
    <w:rsid w:val="73413DF2"/>
    <w:rsid w:val="7350AD1A"/>
    <w:rsid w:val="7359004A"/>
    <w:rsid w:val="735BA949"/>
    <w:rsid w:val="735E7761"/>
    <w:rsid w:val="738436F8"/>
    <w:rsid w:val="73AD91A5"/>
    <w:rsid w:val="73ADF2B4"/>
    <w:rsid w:val="73B031D8"/>
    <w:rsid w:val="73E81064"/>
    <w:rsid w:val="73F6B003"/>
    <w:rsid w:val="74213302"/>
    <w:rsid w:val="743B1F38"/>
    <w:rsid w:val="744A83C7"/>
    <w:rsid w:val="744D5A69"/>
    <w:rsid w:val="74696C58"/>
    <w:rsid w:val="74945AAD"/>
    <w:rsid w:val="74D16372"/>
    <w:rsid w:val="74E67BE2"/>
    <w:rsid w:val="74EAD3A0"/>
    <w:rsid w:val="751AF708"/>
    <w:rsid w:val="751C5C64"/>
    <w:rsid w:val="754B5935"/>
    <w:rsid w:val="75764F8D"/>
    <w:rsid w:val="7585CA38"/>
    <w:rsid w:val="7599CDFD"/>
    <w:rsid w:val="75BE9689"/>
    <w:rsid w:val="75C3C230"/>
    <w:rsid w:val="75CBB41B"/>
    <w:rsid w:val="75D2CCEC"/>
    <w:rsid w:val="761A15DB"/>
    <w:rsid w:val="7637BC05"/>
    <w:rsid w:val="765706F8"/>
    <w:rsid w:val="7659B077"/>
    <w:rsid w:val="768E5350"/>
    <w:rsid w:val="76904EB2"/>
    <w:rsid w:val="7691BFCB"/>
    <w:rsid w:val="76DD54E7"/>
    <w:rsid w:val="7701FF3B"/>
    <w:rsid w:val="7704CB62"/>
    <w:rsid w:val="770A0515"/>
    <w:rsid w:val="7711368C"/>
    <w:rsid w:val="773D63E7"/>
    <w:rsid w:val="775FC6EE"/>
    <w:rsid w:val="7764B6D2"/>
    <w:rsid w:val="7786E907"/>
    <w:rsid w:val="77C2E1E1"/>
    <w:rsid w:val="77C90BB5"/>
    <w:rsid w:val="77E3DF5B"/>
    <w:rsid w:val="77E5BCC4"/>
    <w:rsid w:val="77F8CBDC"/>
    <w:rsid w:val="78040153"/>
    <w:rsid w:val="780B026B"/>
    <w:rsid w:val="781B760C"/>
    <w:rsid w:val="784201CB"/>
    <w:rsid w:val="78483E06"/>
    <w:rsid w:val="786DDB91"/>
    <w:rsid w:val="789E7F2C"/>
    <w:rsid w:val="78BF0F1A"/>
    <w:rsid w:val="78C89691"/>
    <w:rsid w:val="78F7DEA4"/>
    <w:rsid w:val="79045DFA"/>
    <w:rsid w:val="7905C143"/>
    <w:rsid w:val="790AEB18"/>
    <w:rsid w:val="791CB6D6"/>
    <w:rsid w:val="79637A42"/>
    <w:rsid w:val="797D1832"/>
    <w:rsid w:val="7A043D64"/>
    <w:rsid w:val="7A1B6A7E"/>
    <w:rsid w:val="7A1CD90A"/>
    <w:rsid w:val="7A419A8B"/>
    <w:rsid w:val="7AA145D3"/>
    <w:rsid w:val="7AA82CA4"/>
    <w:rsid w:val="7AB2E736"/>
    <w:rsid w:val="7AD13F40"/>
    <w:rsid w:val="7AFD0533"/>
    <w:rsid w:val="7B018DAB"/>
    <w:rsid w:val="7B10E70F"/>
    <w:rsid w:val="7B22F848"/>
    <w:rsid w:val="7B36F147"/>
    <w:rsid w:val="7B5B87C2"/>
    <w:rsid w:val="7B602059"/>
    <w:rsid w:val="7B84CB1B"/>
    <w:rsid w:val="7B8570BC"/>
    <w:rsid w:val="7BA70B21"/>
    <w:rsid w:val="7BC64FE5"/>
    <w:rsid w:val="7BC719E2"/>
    <w:rsid w:val="7BEB2C7E"/>
    <w:rsid w:val="7BF82732"/>
    <w:rsid w:val="7C2687E3"/>
    <w:rsid w:val="7C2D444A"/>
    <w:rsid w:val="7C39F05A"/>
    <w:rsid w:val="7C487B82"/>
    <w:rsid w:val="7C6A3B55"/>
    <w:rsid w:val="7C76C632"/>
    <w:rsid w:val="7C7ABA6C"/>
    <w:rsid w:val="7C8792D2"/>
    <w:rsid w:val="7C9C207B"/>
    <w:rsid w:val="7CC06807"/>
    <w:rsid w:val="7CC07BDC"/>
    <w:rsid w:val="7CD0E926"/>
    <w:rsid w:val="7CD7A4E3"/>
    <w:rsid w:val="7CF35744"/>
    <w:rsid w:val="7CF40EDC"/>
    <w:rsid w:val="7CFECFEC"/>
    <w:rsid w:val="7D051A7F"/>
    <w:rsid w:val="7D0D808E"/>
    <w:rsid w:val="7D16C892"/>
    <w:rsid w:val="7D45B864"/>
    <w:rsid w:val="7D622D1C"/>
    <w:rsid w:val="7D90AC17"/>
    <w:rsid w:val="7DBC3334"/>
    <w:rsid w:val="7DC94385"/>
    <w:rsid w:val="7E0D2DD0"/>
    <w:rsid w:val="7E4B88BA"/>
    <w:rsid w:val="7E621F8C"/>
    <w:rsid w:val="7E665C56"/>
    <w:rsid w:val="7EA99F4E"/>
    <w:rsid w:val="7EB4111A"/>
    <w:rsid w:val="7EBBFC41"/>
    <w:rsid w:val="7EBEA44B"/>
    <w:rsid w:val="7ECBB215"/>
    <w:rsid w:val="7ED3B234"/>
    <w:rsid w:val="7EDCE726"/>
    <w:rsid w:val="7EE95370"/>
    <w:rsid w:val="7F2327C7"/>
    <w:rsid w:val="7F88909C"/>
    <w:rsid w:val="7F9C9FB0"/>
    <w:rsid w:val="7FAC4295"/>
    <w:rsid w:val="7FAF87E8"/>
    <w:rsid w:val="7FDF151A"/>
    <w:rsid w:val="7FE086B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2725281"/>
  <w15:docId w15:val="{87EC2A86-CC6B-4F8A-891B-3945D5DB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ED6"/>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460ED6"/>
    <w:pPr>
      <w:keepNext/>
      <w:numPr>
        <w:numId w:val="5"/>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30854"/>
    <w:pPr>
      <w:keepNext/>
      <w:numPr>
        <w:ilvl w:val="1"/>
        <w:numId w:val="5"/>
      </w:numPr>
      <w:spacing w:after="120"/>
      <w:outlineLvl w:val="1"/>
    </w:pPr>
    <w:rPr>
      <w:b/>
    </w:rPr>
  </w:style>
  <w:style w:type="paragraph" w:styleId="Heading3">
    <w:name w:val="heading 3"/>
    <w:basedOn w:val="Normal"/>
    <w:next w:val="ParaNum"/>
    <w:link w:val="Heading3Char"/>
    <w:qFormat/>
    <w:rsid w:val="00460ED6"/>
    <w:pPr>
      <w:keepNext/>
      <w:numPr>
        <w:ilvl w:val="2"/>
        <w:numId w:val="5"/>
      </w:numPr>
      <w:tabs>
        <w:tab w:val="left" w:pos="2160"/>
      </w:tabs>
      <w:spacing w:after="120"/>
      <w:outlineLvl w:val="2"/>
    </w:pPr>
    <w:rPr>
      <w:b/>
    </w:rPr>
  </w:style>
  <w:style w:type="paragraph" w:styleId="Heading4">
    <w:name w:val="heading 4"/>
    <w:basedOn w:val="Normal"/>
    <w:next w:val="ParaNum"/>
    <w:link w:val="Heading4Char"/>
    <w:qFormat/>
    <w:rsid w:val="00460ED6"/>
    <w:pPr>
      <w:keepNext/>
      <w:numPr>
        <w:ilvl w:val="3"/>
        <w:numId w:val="5"/>
      </w:numPr>
      <w:tabs>
        <w:tab w:val="left" w:pos="2880"/>
      </w:tabs>
      <w:spacing w:after="120"/>
      <w:outlineLvl w:val="3"/>
    </w:pPr>
    <w:rPr>
      <w:b/>
    </w:rPr>
  </w:style>
  <w:style w:type="paragraph" w:styleId="Heading5">
    <w:name w:val="heading 5"/>
    <w:basedOn w:val="Normal"/>
    <w:next w:val="ParaNum"/>
    <w:link w:val="Heading5Char"/>
    <w:qFormat/>
    <w:rsid w:val="00460ED6"/>
    <w:pPr>
      <w:keepNext/>
      <w:numPr>
        <w:ilvl w:val="4"/>
        <w:numId w:val="5"/>
      </w:numPr>
      <w:tabs>
        <w:tab w:val="left" w:pos="3600"/>
      </w:tabs>
      <w:suppressAutoHyphens/>
      <w:spacing w:after="120"/>
      <w:outlineLvl w:val="4"/>
    </w:pPr>
    <w:rPr>
      <w:b/>
    </w:rPr>
  </w:style>
  <w:style w:type="paragraph" w:styleId="Heading6">
    <w:name w:val="heading 6"/>
    <w:basedOn w:val="Normal"/>
    <w:next w:val="ParaNum"/>
    <w:link w:val="Heading6Char"/>
    <w:qFormat/>
    <w:rsid w:val="00460ED6"/>
    <w:pPr>
      <w:numPr>
        <w:ilvl w:val="5"/>
        <w:numId w:val="5"/>
      </w:numPr>
      <w:tabs>
        <w:tab w:val="left" w:pos="4320"/>
      </w:tabs>
      <w:spacing w:after="120"/>
      <w:outlineLvl w:val="5"/>
    </w:pPr>
    <w:rPr>
      <w:b/>
    </w:rPr>
  </w:style>
  <w:style w:type="paragraph" w:styleId="Heading7">
    <w:name w:val="heading 7"/>
    <w:basedOn w:val="Normal"/>
    <w:next w:val="ParaNum"/>
    <w:link w:val="Heading7Char"/>
    <w:qFormat/>
    <w:rsid w:val="00460ED6"/>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460ED6"/>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60ED6"/>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ED6"/>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330854"/>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460ED6"/>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460ED6"/>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460ED6"/>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460ED6"/>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460ED6"/>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460ED6"/>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460ED6"/>
    <w:rPr>
      <w:rFonts w:ascii="Times New Roman" w:eastAsia="Times New Roman" w:hAnsi="Times New Roman" w:cs="Times New Roman"/>
      <w:b/>
      <w:snapToGrid w:val="0"/>
      <w:kern w:val="28"/>
      <w:szCs w:val="20"/>
    </w:rPr>
  </w:style>
  <w:style w:type="paragraph" w:customStyle="1" w:styleId="ParaNum">
    <w:name w:val="ParaNum"/>
    <w:basedOn w:val="Normal"/>
    <w:link w:val="ParaNumChar1"/>
    <w:rsid w:val="00460ED6"/>
    <w:pPr>
      <w:numPr>
        <w:numId w:val="4"/>
      </w:numPr>
      <w:spacing w:after="120"/>
    </w:pPr>
  </w:style>
  <w:style w:type="paragraph" w:styleId="FootnoteText">
    <w:name w:val="footnote text"/>
    <w:aliases w:val="ALTS FOOTNOTE,Footnote Text Char Char Char,Footnote Text Char Char Char Char Char,Footnote Text Char1,Footnote Text Char1 Char,Footnote Text Char1 Char Char Char,Footnote Text Char1 Char Char Char Char Char,Footnote Text Char2,fn,ft"/>
    <w:link w:val="FootnoteTextChar"/>
    <w:rsid w:val="00460ED6"/>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Footnote Text Char2 Char,ft Char"/>
    <w:basedOn w:val="DefaultParagraphFont"/>
    <w:link w:val="FootnoteText"/>
    <w:rsid w:val="00460ED6"/>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460ED6"/>
    <w:rPr>
      <w:rFonts w:ascii="Times New Roman" w:hAnsi="Times New Roman"/>
      <w:dstrike w:val="0"/>
      <w:color w:val="auto"/>
      <w:sz w:val="20"/>
      <w:vertAlign w:val="superscript"/>
    </w:rPr>
  </w:style>
  <w:style w:type="paragraph" w:styleId="Header">
    <w:name w:val="header"/>
    <w:basedOn w:val="Normal"/>
    <w:link w:val="HeaderChar"/>
    <w:autoRedefine/>
    <w:rsid w:val="00460ED6"/>
    <w:pPr>
      <w:tabs>
        <w:tab w:val="center" w:pos="4680"/>
        <w:tab w:val="right" w:pos="9360"/>
      </w:tabs>
    </w:pPr>
    <w:rPr>
      <w:b/>
    </w:rPr>
  </w:style>
  <w:style w:type="character" w:customStyle="1" w:styleId="HeaderChar">
    <w:name w:val="Header Char"/>
    <w:basedOn w:val="DefaultParagraphFont"/>
    <w:link w:val="Header"/>
    <w:rsid w:val="00460ED6"/>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460ED6"/>
    <w:pPr>
      <w:tabs>
        <w:tab w:val="center" w:pos="4320"/>
        <w:tab w:val="right" w:pos="8640"/>
      </w:tabs>
    </w:pPr>
  </w:style>
  <w:style w:type="character" w:customStyle="1" w:styleId="FooterChar">
    <w:name w:val="Footer Char"/>
    <w:basedOn w:val="DefaultParagraphFont"/>
    <w:link w:val="Footer"/>
    <w:uiPriority w:val="99"/>
    <w:rsid w:val="00460ED6"/>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460ED6"/>
    <w:pPr>
      <w:jc w:val="center"/>
    </w:pPr>
    <w:rPr>
      <w:rFonts w:ascii="Times New Roman Bold" w:hAnsi="Times New Roman Bold"/>
      <w:b/>
      <w:bCs/>
      <w:caps/>
      <w:szCs w:val="22"/>
    </w:rPr>
  </w:style>
  <w:style w:type="character" w:customStyle="1" w:styleId="ParaNumChar1">
    <w:name w:val="ParaNum Char1"/>
    <w:link w:val="ParaNum"/>
    <w:rsid w:val="00460ED6"/>
    <w:rPr>
      <w:rFonts w:ascii="Times New Roman" w:eastAsia="Times New Roman" w:hAnsi="Times New Roman" w:cs="Times New Roman"/>
      <w:snapToGrid w:val="0"/>
      <w:kern w:val="28"/>
      <w:szCs w:val="20"/>
    </w:rPr>
  </w:style>
  <w:style w:type="character" w:styleId="Hyperlink">
    <w:name w:val="Hyperlink"/>
    <w:basedOn w:val="DefaultParagraphFont"/>
    <w:uiPriority w:val="99"/>
    <w:unhideWhenUsed/>
    <w:rsid w:val="00E85AD9"/>
    <w:rPr>
      <w:color w:val="0563C1" w:themeColor="hyperlink"/>
      <w:u w:val="single"/>
    </w:rPr>
  </w:style>
  <w:style w:type="character" w:styleId="UnresolvedMention">
    <w:name w:val="Unresolved Mention"/>
    <w:basedOn w:val="DefaultParagraphFont"/>
    <w:uiPriority w:val="99"/>
    <w:semiHidden/>
    <w:unhideWhenUsed/>
    <w:rsid w:val="00E85AD9"/>
    <w:rPr>
      <w:color w:val="605E5C"/>
      <w:shd w:val="clear" w:color="auto" w:fill="E1DFDD"/>
    </w:rPr>
  </w:style>
  <w:style w:type="character" w:styleId="CommentReference">
    <w:name w:val="annotation reference"/>
    <w:basedOn w:val="DefaultParagraphFont"/>
    <w:uiPriority w:val="99"/>
    <w:semiHidden/>
    <w:unhideWhenUsed/>
    <w:rsid w:val="00D54186"/>
    <w:rPr>
      <w:sz w:val="16"/>
      <w:szCs w:val="16"/>
    </w:rPr>
  </w:style>
  <w:style w:type="paragraph" w:styleId="CommentText">
    <w:name w:val="annotation text"/>
    <w:basedOn w:val="Normal"/>
    <w:link w:val="CommentTextChar"/>
    <w:uiPriority w:val="99"/>
    <w:unhideWhenUsed/>
    <w:rsid w:val="00D54186"/>
    <w:rPr>
      <w:sz w:val="20"/>
    </w:rPr>
  </w:style>
  <w:style w:type="character" w:customStyle="1" w:styleId="CommentTextChar">
    <w:name w:val="Comment Text Char"/>
    <w:basedOn w:val="DefaultParagraphFont"/>
    <w:link w:val="CommentText"/>
    <w:uiPriority w:val="99"/>
    <w:rsid w:val="00D54186"/>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D54186"/>
    <w:rPr>
      <w:b/>
      <w:bCs/>
    </w:rPr>
  </w:style>
  <w:style w:type="character" w:customStyle="1" w:styleId="CommentSubjectChar">
    <w:name w:val="Comment Subject Char"/>
    <w:basedOn w:val="CommentTextChar"/>
    <w:link w:val="CommentSubject"/>
    <w:uiPriority w:val="99"/>
    <w:semiHidden/>
    <w:rsid w:val="00D54186"/>
    <w:rPr>
      <w:rFonts w:ascii="Times New Roman" w:eastAsia="Times New Roman" w:hAnsi="Times New Roman" w:cs="Times New Roman"/>
      <w:b/>
      <w:bCs/>
      <w:snapToGrid w:val="0"/>
      <w:kern w:val="28"/>
      <w:sz w:val="20"/>
      <w:szCs w:val="20"/>
    </w:rPr>
  </w:style>
  <w:style w:type="paragraph" w:styleId="Revision">
    <w:name w:val="Revision"/>
    <w:hidden/>
    <w:uiPriority w:val="99"/>
    <w:semiHidden/>
    <w:rsid w:val="0041737D"/>
    <w:pPr>
      <w:spacing w:after="0" w:line="240" w:lineRule="auto"/>
    </w:pPr>
    <w:rPr>
      <w:rFonts w:ascii="Times New Roman" w:eastAsia="Times New Roman" w:hAnsi="Times New Roman" w:cs="Times New Roman"/>
      <w:snapToGrid w:val="0"/>
      <w:kern w:val="28"/>
      <w:szCs w:val="20"/>
    </w:rPr>
  </w:style>
  <w:style w:type="character" w:styleId="FollowedHyperlink">
    <w:name w:val="FollowedHyperlink"/>
    <w:basedOn w:val="DefaultParagraphFont"/>
    <w:uiPriority w:val="99"/>
    <w:semiHidden/>
    <w:unhideWhenUsed/>
    <w:rsid w:val="006331D7"/>
    <w:rPr>
      <w:color w:val="954F72" w:themeColor="followedHyperlink"/>
      <w:u w:val="single"/>
    </w:rPr>
  </w:style>
  <w:style w:type="paragraph" w:customStyle="1" w:styleId="msonormal">
    <w:name w:val="msonormal"/>
    <w:basedOn w:val="Normal"/>
    <w:rsid w:val="00E1726E"/>
    <w:pPr>
      <w:widowControl/>
      <w:spacing w:before="100" w:beforeAutospacing="1" w:after="100" w:afterAutospacing="1"/>
    </w:pPr>
    <w:rPr>
      <w:snapToGrid/>
      <w:kern w:val="0"/>
      <w:sz w:val="24"/>
      <w:szCs w:val="24"/>
    </w:rPr>
  </w:style>
  <w:style w:type="paragraph" w:customStyle="1" w:styleId="font5">
    <w:name w:val="font5"/>
    <w:basedOn w:val="Normal"/>
    <w:rsid w:val="00E1726E"/>
    <w:pPr>
      <w:widowControl/>
      <w:spacing w:before="100" w:beforeAutospacing="1" w:after="100" w:afterAutospacing="1"/>
    </w:pPr>
    <w:rPr>
      <w:rFonts w:ascii="Calibri" w:hAnsi="Calibri" w:cs="Calibri"/>
      <w:snapToGrid/>
      <w:color w:val="FF0000"/>
      <w:kern w:val="0"/>
      <w:szCs w:val="22"/>
    </w:rPr>
  </w:style>
  <w:style w:type="paragraph" w:customStyle="1" w:styleId="xl63">
    <w:name w:val="xl63"/>
    <w:basedOn w:val="Normal"/>
    <w:rsid w:val="00E1726E"/>
    <w:pPr>
      <w:widowControl/>
      <w:spacing w:before="100" w:beforeAutospacing="1" w:after="100" w:afterAutospacing="1"/>
    </w:pPr>
    <w:rPr>
      <w:snapToGrid/>
      <w:kern w:val="0"/>
      <w:sz w:val="24"/>
      <w:szCs w:val="24"/>
    </w:rPr>
  </w:style>
  <w:style w:type="paragraph" w:customStyle="1" w:styleId="xl64">
    <w:name w:val="xl64"/>
    <w:basedOn w:val="Normal"/>
    <w:rsid w:val="00E1726E"/>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snapToGrid/>
      <w:kern w:val="0"/>
      <w:sz w:val="24"/>
      <w:szCs w:val="24"/>
    </w:rPr>
  </w:style>
  <w:style w:type="paragraph" w:customStyle="1" w:styleId="xl65">
    <w:name w:val="xl65"/>
    <w:basedOn w:val="Normal"/>
    <w:rsid w:val="00E172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kern w:val="0"/>
      <w:sz w:val="24"/>
      <w:szCs w:val="24"/>
    </w:rPr>
  </w:style>
  <w:style w:type="paragraph" w:customStyle="1" w:styleId="xl66">
    <w:name w:val="xl66"/>
    <w:basedOn w:val="Normal"/>
    <w:rsid w:val="00E172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kern w:val="0"/>
      <w:sz w:val="24"/>
      <w:szCs w:val="24"/>
    </w:rPr>
  </w:style>
  <w:style w:type="paragraph" w:customStyle="1" w:styleId="xl67">
    <w:name w:val="xl67"/>
    <w:basedOn w:val="Normal"/>
    <w:rsid w:val="00E172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kern w:val="0"/>
      <w:sz w:val="24"/>
      <w:szCs w:val="24"/>
    </w:rPr>
  </w:style>
  <w:style w:type="character" w:customStyle="1" w:styleId="cf01">
    <w:name w:val="cf01"/>
    <w:basedOn w:val="DefaultParagraphFont"/>
    <w:rsid w:val="00EE46AD"/>
    <w:rPr>
      <w:rFonts w:ascii="Segoe UI" w:hAnsi="Segoe UI" w:cs="Segoe UI" w:hint="default"/>
      <w:sz w:val="18"/>
      <w:szCs w:val="18"/>
    </w:rPr>
  </w:style>
  <w:style w:type="paragraph" w:customStyle="1" w:styleId="paragraph">
    <w:name w:val="paragraph"/>
    <w:basedOn w:val="Normal"/>
    <w:rsid w:val="00A510A0"/>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A510A0"/>
  </w:style>
  <w:style w:type="character" w:customStyle="1" w:styleId="spellingerror">
    <w:name w:val="spellingerror"/>
    <w:basedOn w:val="DefaultParagraphFont"/>
    <w:rsid w:val="00A510A0"/>
  </w:style>
  <w:style w:type="character" w:customStyle="1" w:styleId="eop">
    <w:name w:val="eop"/>
    <w:basedOn w:val="DefaultParagraphFont"/>
    <w:rsid w:val="00A510A0"/>
  </w:style>
  <w:style w:type="character" w:customStyle="1" w:styleId="advancedproofingissue">
    <w:name w:val="advancedproofingissue"/>
    <w:basedOn w:val="DefaultParagraphFont"/>
    <w:rsid w:val="00A510A0"/>
  </w:style>
  <w:style w:type="character" w:customStyle="1" w:styleId="contextualspellingandgrammarerror">
    <w:name w:val="contextualspellingandgrammarerror"/>
    <w:basedOn w:val="DefaultParagraphFont"/>
    <w:rsid w:val="00A51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law.cornell.edu/definitions/index.php?width=840&amp;height=800&amp;iframe=true&amp;def_id=33259948aa6b8c51516e3ad3240b7b68&amp;term_occur=999&amp;term_src=Title:47:Chapter:I:Subchapter:B:Part:25:Subpart:B:Subjgrp:38:25.136" TargetMode="External" /><Relationship Id="rId6" Type="http://schemas.openxmlformats.org/officeDocument/2006/relationships/hyperlink" Target="http://www.fcc.gov/oet/rfsafety"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1.next.westlaw.com/Link/Document/FullText?findType=Y&amp;serNum=2043253196&amp;pubNum=0004493&amp;originatingDoc=I740921a97f9511e8ab20b3103407982a&amp;refType=CA&amp;fi=co_pp_sp_4493_11011&amp;originationContext=document&amp;transitionType=DocumentItem&amp;ppcid=3336a6430d5144c3b5cdb535df0cb74c&amp;contextData=(sc.Search)" TargetMode="External" /><Relationship Id="rId2" Type="http://schemas.openxmlformats.org/officeDocument/2006/relationships/hyperlink" Target="https://extranet.itu.int/brdocsearch/R-REC/Forms" TargetMode="External" /><Relationship Id="rId3" Type="http://schemas.openxmlformats.org/officeDocument/2006/relationships/hyperlink" Target="https://www.ntia.doc.gov/files/ntia/publications/ntia_82-100_20121129145031_555510.pdf" TargetMode="External" /><Relationship Id="rId4" Type="http://schemas.openxmlformats.org/officeDocument/2006/relationships/hyperlink" Target="https://its.ntia.gov/research-topics/radio-propagation-software/itm/itm.aspx" TargetMode="External" /><Relationship Id="rId5" Type="http://schemas.openxmlformats.org/officeDocument/2006/relationships/hyperlink" Target="https://its.ntia.gov/media/50676/itm_alg.pdf%20at%205" TargetMode="External" /><Relationship Id="rId6" Type="http://schemas.openxmlformats.org/officeDocument/2006/relationships/hyperlink" Target="https://its.ntia.gov/media/50676/itm_alg.pdf" TargetMode="External" /><Relationship Id="rId7" Type="http://schemas.openxmlformats.org/officeDocument/2006/relationships/hyperlink" Target="https://nsma.org/wp-content/uploads/2016/05/WG2-99-052.pdf" TargetMode="External" /><Relationship Id="rId8" Type="http://schemas.openxmlformats.org/officeDocument/2006/relationships/hyperlink" Target="https://1.next.westlaw.com/Link/Document/FullText?findType=L&amp;pubNum=1000547&amp;cite=47CFRS1.3&amp;originatingDoc=I951a1b81b05011dba10be1078cee05f1&amp;refType=LQ&amp;originationContext=document&amp;transitionType=DocumentItem&amp;ppcid=fd10b7893a5c465f8de6a4c6610bb52a&amp;contextData=(sc.Sea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