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76233" w:rsidRPr="00A9417B" w:rsidP="00076233" w14:paraId="776E3194" w14:textId="46602F06">
      <w:pPr>
        <w:tabs>
          <w:tab w:val="left" w:pos="6480"/>
        </w:tabs>
        <w:ind w:left="5760" w:firstLine="720"/>
        <w:rPr>
          <w:b/>
          <w:bCs/>
          <w:sz w:val="22"/>
          <w:szCs w:val="22"/>
        </w:rPr>
      </w:pPr>
      <w:r w:rsidRPr="00A9417B">
        <w:rPr>
          <w:b/>
          <w:bCs/>
          <w:sz w:val="22"/>
          <w:szCs w:val="22"/>
        </w:rPr>
        <w:t>DA 23-</w:t>
      </w:r>
      <w:r w:rsidRPr="00A9417B" w:rsidR="00A9417B">
        <w:rPr>
          <w:b/>
          <w:bCs/>
          <w:sz w:val="22"/>
          <w:szCs w:val="22"/>
        </w:rPr>
        <w:t>80</w:t>
      </w:r>
    </w:p>
    <w:p w:rsidR="00076233" w:rsidRPr="00A9417B" w:rsidP="00076233" w14:paraId="5970E084" w14:textId="77777777">
      <w:pPr>
        <w:tabs>
          <w:tab w:val="left" w:pos="6480"/>
        </w:tabs>
        <w:ind w:left="5760" w:firstLine="720"/>
        <w:rPr>
          <w:sz w:val="22"/>
          <w:szCs w:val="22"/>
        </w:rPr>
      </w:pPr>
      <w:r w:rsidRPr="00A9417B">
        <w:rPr>
          <w:i/>
          <w:iCs/>
          <w:sz w:val="22"/>
          <w:szCs w:val="22"/>
        </w:rPr>
        <w:t>In Reply Refer to</w:t>
      </w:r>
      <w:r w:rsidRPr="00A9417B">
        <w:rPr>
          <w:sz w:val="22"/>
          <w:szCs w:val="22"/>
        </w:rPr>
        <w:t>:</w:t>
      </w:r>
    </w:p>
    <w:p w:rsidR="00076233" w:rsidRPr="00A9417B" w:rsidP="00076233" w14:paraId="5A621B91" w14:textId="524EB84A">
      <w:pPr>
        <w:tabs>
          <w:tab w:val="left" w:pos="6480"/>
        </w:tabs>
        <w:ind w:firstLine="720"/>
        <w:rPr>
          <w:sz w:val="22"/>
          <w:szCs w:val="22"/>
        </w:rPr>
      </w:pPr>
      <w:r w:rsidRPr="00A9417B">
        <w:rPr>
          <w:sz w:val="22"/>
          <w:szCs w:val="22"/>
        </w:rPr>
        <w:tab/>
        <w:t>1800B3-ATS/AR</w:t>
      </w:r>
    </w:p>
    <w:p w:rsidR="00076233" w:rsidRPr="00A9417B" w:rsidP="00076233" w14:paraId="00C86DEF" w14:textId="5D15A8C0">
      <w:pPr>
        <w:tabs>
          <w:tab w:val="left" w:pos="6480"/>
        </w:tabs>
        <w:ind w:firstLine="720"/>
        <w:rPr>
          <w:sz w:val="22"/>
          <w:szCs w:val="22"/>
        </w:rPr>
      </w:pPr>
      <w:r w:rsidRPr="00A9417B">
        <w:rPr>
          <w:sz w:val="22"/>
          <w:szCs w:val="22"/>
        </w:rPr>
        <w:tab/>
        <w:t>Released January 27, 2023</w:t>
      </w:r>
    </w:p>
    <w:p w:rsidR="00204CE3" w14:paraId="775C0E64" w14:textId="007D5DE5">
      <w:pPr>
        <w:rPr>
          <w:sz w:val="22"/>
          <w:szCs w:val="22"/>
        </w:rPr>
      </w:pPr>
    </w:p>
    <w:p w:rsidR="006042E8" w:rsidRPr="006042E8" w:rsidP="006042E8" w14:paraId="4CA5E584" w14:textId="77777777">
      <w:pPr>
        <w:rPr>
          <w:sz w:val="22"/>
          <w:szCs w:val="22"/>
        </w:rPr>
      </w:pPr>
      <w:bookmarkStart w:id="0" w:name="_Hlk125455013"/>
      <w:bookmarkStart w:id="1" w:name="_Hlk11270368"/>
      <w:r w:rsidRPr="006042E8">
        <w:rPr>
          <w:sz w:val="22"/>
          <w:szCs w:val="22"/>
        </w:rPr>
        <w:t>Georgia Public Telecommunications Commission</w:t>
      </w:r>
    </w:p>
    <w:bookmarkEnd w:id="0"/>
    <w:p w:rsidR="006042E8" w:rsidRPr="006042E8" w:rsidP="006042E8" w14:paraId="1362D0FF" w14:textId="77777777">
      <w:pPr>
        <w:rPr>
          <w:sz w:val="22"/>
          <w:szCs w:val="22"/>
        </w:rPr>
      </w:pPr>
      <w:r w:rsidRPr="006042E8">
        <w:rPr>
          <w:sz w:val="22"/>
          <w:szCs w:val="22"/>
        </w:rPr>
        <w:t>c/o Margaret L. Miller, Esq.</w:t>
      </w:r>
    </w:p>
    <w:p w:rsidR="006042E8" w:rsidRPr="006042E8" w:rsidP="006042E8" w14:paraId="50F88A85" w14:textId="77777777">
      <w:pPr>
        <w:rPr>
          <w:sz w:val="22"/>
          <w:szCs w:val="22"/>
          <w:lang w:val="es-ES"/>
        </w:rPr>
      </w:pPr>
      <w:r w:rsidRPr="006042E8">
        <w:rPr>
          <w:sz w:val="22"/>
          <w:szCs w:val="22"/>
          <w:lang w:val="es-ES"/>
        </w:rPr>
        <w:t xml:space="preserve">Joshua Turiel, Esq. </w:t>
      </w:r>
    </w:p>
    <w:p w:rsidR="006042E8" w:rsidRPr="006042E8" w:rsidP="006042E8" w14:paraId="69E6FFE2" w14:textId="77777777">
      <w:pPr>
        <w:rPr>
          <w:sz w:val="22"/>
          <w:szCs w:val="22"/>
          <w:lang w:val="es-ES"/>
        </w:rPr>
      </w:pPr>
      <w:r w:rsidRPr="006042E8">
        <w:rPr>
          <w:sz w:val="22"/>
          <w:szCs w:val="22"/>
          <w:lang w:val="es-ES"/>
        </w:rPr>
        <w:t>2233 Wisconsin Ave., NW</w:t>
      </w:r>
    </w:p>
    <w:p w:rsidR="006042E8" w:rsidRPr="006042E8" w:rsidP="006042E8" w14:paraId="5DF36CB2" w14:textId="77777777">
      <w:pPr>
        <w:rPr>
          <w:sz w:val="22"/>
          <w:szCs w:val="22"/>
        </w:rPr>
      </w:pPr>
      <w:r w:rsidRPr="006042E8">
        <w:rPr>
          <w:sz w:val="22"/>
          <w:szCs w:val="22"/>
        </w:rPr>
        <w:t>Suite 226</w:t>
      </w:r>
    </w:p>
    <w:p w:rsidR="006042E8" w:rsidRPr="006042E8" w:rsidP="006042E8" w14:paraId="5E9DE292" w14:textId="77777777">
      <w:pPr>
        <w:rPr>
          <w:sz w:val="22"/>
          <w:szCs w:val="22"/>
        </w:rPr>
      </w:pPr>
      <w:r w:rsidRPr="006042E8">
        <w:rPr>
          <w:sz w:val="22"/>
          <w:szCs w:val="22"/>
        </w:rPr>
        <w:t>Washington, DC 20007</w:t>
      </w:r>
    </w:p>
    <w:p w:rsidR="006042E8" w:rsidRPr="006042E8" w:rsidP="006042E8" w14:paraId="6A09E92E" w14:textId="77777777">
      <w:pPr>
        <w:rPr>
          <w:sz w:val="22"/>
          <w:szCs w:val="22"/>
        </w:rPr>
      </w:pPr>
      <w:r w:rsidRPr="006042E8">
        <w:rPr>
          <w:sz w:val="22"/>
          <w:szCs w:val="22"/>
        </w:rPr>
        <w:t xml:space="preserve">(sent by electronic mail to: </w:t>
      </w:r>
      <w:hyperlink r:id="rId5" w:history="1">
        <w:r w:rsidRPr="006042E8">
          <w:rPr>
            <w:color w:val="0563C1"/>
            <w:sz w:val="22"/>
            <w:szCs w:val="22"/>
            <w:u w:val="single"/>
          </w:rPr>
          <w:t>jturiel@graymillerpersh.com</w:t>
        </w:r>
      </w:hyperlink>
      <w:r w:rsidRPr="006042E8">
        <w:rPr>
          <w:sz w:val="22"/>
          <w:szCs w:val="22"/>
        </w:rPr>
        <w:t xml:space="preserve">)  </w:t>
      </w:r>
    </w:p>
    <w:p w:rsidR="006042E8" w:rsidRPr="006042E8" w:rsidP="006042E8" w14:paraId="19438A5E" w14:textId="77777777">
      <w:pPr>
        <w:rPr>
          <w:sz w:val="22"/>
          <w:szCs w:val="22"/>
        </w:rPr>
      </w:pPr>
    </w:p>
    <w:p w:rsidR="006042E8" w:rsidRPr="006042E8" w:rsidP="006042E8" w14:paraId="4F1FE6E7" w14:textId="77777777">
      <w:pPr>
        <w:rPr>
          <w:sz w:val="22"/>
          <w:szCs w:val="22"/>
        </w:rPr>
      </w:pPr>
      <w:r w:rsidRPr="006042E8">
        <w:rPr>
          <w:sz w:val="22"/>
          <w:szCs w:val="22"/>
        </w:rPr>
        <w:t>Elijah Radio</w:t>
      </w:r>
    </w:p>
    <w:p w:rsidR="006042E8" w:rsidRPr="006042E8" w:rsidP="006042E8" w14:paraId="15EA12F2" w14:textId="77777777">
      <w:pPr>
        <w:rPr>
          <w:sz w:val="22"/>
          <w:szCs w:val="22"/>
        </w:rPr>
      </w:pPr>
      <w:r w:rsidRPr="006042E8">
        <w:rPr>
          <w:sz w:val="22"/>
          <w:szCs w:val="22"/>
        </w:rPr>
        <w:t>c/o Donald Martin, Esq.</w:t>
      </w:r>
    </w:p>
    <w:p w:rsidR="006042E8" w:rsidRPr="006042E8" w:rsidP="006042E8" w14:paraId="4FE59E63" w14:textId="77777777">
      <w:pPr>
        <w:rPr>
          <w:sz w:val="22"/>
          <w:szCs w:val="22"/>
        </w:rPr>
      </w:pPr>
      <w:r w:rsidRPr="006042E8">
        <w:rPr>
          <w:sz w:val="22"/>
          <w:szCs w:val="22"/>
        </w:rPr>
        <w:t>P.O. Box 8433</w:t>
      </w:r>
    </w:p>
    <w:p w:rsidR="006042E8" w:rsidRPr="006042E8" w:rsidP="006042E8" w14:paraId="36FA18F4" w14:textId="77777777">
      <w:pPr>
        <w:rPr>
          <w:sz w:val="22"/>
          <w:szCs w:val="22"/>
        </w:rPr>
      </w:pPr>
      <w:r w:rsidRPr="006042E8">
        <w:rPr>
          <w:sz w:val="22"/>
          <w:szCs w:val="22"/>
        </w:rPr>
        <w:t xml:space="preserve">Falls Church, VA 22041 </w:t>
      </w:r>
    </w:p>
    <w:p w:rsidR="006042E8" w:rsidRPr="006042E8" w:rsidP="006042E8" w14:paraId="339C0C14" w14:textId="77777777">
      <w:pPr>
        <w:rPr>
          <w:sz w:val="22"/>
          <w:szCs w:val="22"/>
        </w:rPr>
      </w:pPr>
      <w:r w:rsidRPr="006042E8">
        <w:rPr>
          <w:sz w:val="22"/>
          <w:szCs w:val="22"/>
        </w:rPr>
        <w:t xml:space="preserve">(sent by electronic mail to: </w:t>
      </w:r>
      <w:hyperlink r:id="rId6" w:history="1">
        <w:r w:rsidRPr="006042E8">
          <w:rPr>
            <w:color w:val="0563C1"/>
            <w:sz w:val="22"/>
            <w:szCs w:val="22"/>
            <w:u w:val="single"/>
          </w:rPr>
          <w:t>dempc@prodigy.net</w:t>
        </w:r>
      </w:hyperlink>
      <w:r w:rsidRPr="006042E8">
        <w:rPr>
          <w:sz w:val="22"/>
          <w:szCs w:val="22"/>
        </w:rPr>
        <w:t xml:space="preserve">) </w:t>
      </w:r>
    </w:p>
    <w:p w:rsidR="006042E8" w:rsidRPr="006042E8" w:rsidP="006042E8" w14:paraId="04882107" w14:textId="77777777">
      <w:pPr>
        <w:rPr>
          <w:sz w:val="22"/>
          <w:szCs w:val="22"/>
        </w:rPr>
      </w:pPr>
    </w:p>
    <w:p w:rsidR="006042E8" w:rsidRPr="006042E8" w:rsidP="006042E8" w14:paraId="7567C123" w14:textId="77777777">
      <w:pPr>
        <w:rPr>
          <w:sz w:val="22"/>
          <w:szCs w:val="22"/>
        </w:rPr>
      </w:pPr>
      <w:r w:rsidRPr="006042E8">
        <w:rPr>
          <w:sz w:val="22"/>
          <w:szCs w:val="22"/>
        </w:rPr>
        <w:t>Faith and Action Community Outreach, Inc.</w:t>
      </w:r>
    </w:p>
    <w:p w:rsidR="006042E8" w:rsidRPr="006042E8" w:rsidP="006042E8" w14:paraId="28695361" w14:textId="77777777">
      <w:pPr>
        <w:rPr>
          <w:sz w:val="22"/>
          <w:szCs w:val="22"/>
          <w:lang w:val="es-ES"/>
        </w:rPr>
      </w:pPr>
      <w:r w:rsidRPr="006042E8">
        <w:rPr>
          <w:sz w:val="22"/>
          <w:szCs w:val="22"/>
          <w:lang w:val="es-ES"/>
        </w:rPr>
        <w:t>c/o James E. Price, III, Esq.</w:t>
      </w:r>
    </w:p>
    <w:p w:rsidR="006042E8" w:rsidRPr="006042E8" w:rsidP="006042E8" w14:paraId="6BB066DC" w14:textId="77777777">
      <w:pPr>
        <w:rPr>
          <w:sz w:val="22"/>
          <w:szCs w:val="22"/>
        </w:rPr>
      </w:pPr>
      <w:r w:rsidRPr="006042E8">
        <w:rPr>
          <w:sz w:val="22"/>
          <w:szCs w:val="22"/>
        </w:rPr>
        <w:t>P.O. Box 1877</w:t>
      </w:r>
    </w:p>
    <w:p w:rsidR="006042E8" w:rsidRPr="006042E8" w:rsidP="006042E8" w14:paraId="6966EFB8" w14:textId="77777777">
      <w:pPr>
        <w:rPr>
          <w:sz w:val="22"/>
          <w:szCs w:val="22"/>
        </w:rPr>
      </w:pPr>
      <w:r w:rsidRPr="006042E8">
        <w:rPr>
          <w:sz w:val="22"/>
          <w:szCs w:val="22"/>
        </w:rPr>
        <w:t>LaFayette</w:t>
      </w:r>
      <w:r w:rsidRPr="006042E8">
        <w:rPr>
          <w:sz w:val="22"/>
          <w:szCs w:val="22"/>
        </w:rPr>
        <w:t>, GA 30728</w:t>
      </w:r>
    </w:p>
    <w:p w:rsidR="006042E8" w:rsidRPr="006042E8" w:rsidP="006042E8" w14:paraId="2D0751F7" w14:textId="77777777">
      <w:pPr>
        <w:rPr>
          <w:sz w:val="22"/>
          <w:szCs w:val="22"/>
        </w:rPr>
      </w:pPr>
      <w:r w:rsidRPr="006042E8">
        <w:rPr>
          <w:sz w:val="22"/>
          <w:szCs w:val="22"/>
        </w:rPr>
        <w:t xml:space="preserve">(sent by electronic mail to: </w:t>
      </w:r>
      <w:hyperlink r:id="rId7" w:history="1">
        <w:r w:rsidRPr="006042E8">
          <w:rPr>
            <w:color w:val="0563C1"/>
            <w:sz w:val="22"/>
            <w:szCs w:val="22"/>
            <w:u w:val="single"/>
          </w:rPr>
          <w:t>sterlingjamesp@gmail.com</w:t>
        </w:r>
      </w:hyperlink>
      <w:r w:rsidRPr="006042E8">
        <w:rPr>
          <w:sz w:val="22"/>
          <w:szCs w:val="22"/>
        </w:rPr>
        <w:t xml:space="preserve">) </w:t>
      </w:r>
    </w:p>
    <w:p w:rsidR="006042E8" w:rsidRPr="006042E8" w:rsidP="006042E8" w14:paraId="0CE04EB2" w14:textId="77777777">
      <w:pPr>
        <w:rPr>
          <w:sz w:val="22"/>
          <w:szCs w:val="22"/>
        </w:rPr>
      </w:pPr>
    </w:p>
    <w:p w:rsidR="006042E8" w:rsidRPr="006042E8" w:rsidP="006042E8" w14:paraId="1437AD9A" w14:textId="77777777">
      <w:pPr>
        <w:rPr>
          <w:sz w:val="22"/>
          <w:szCs w:val="22"/>
        </w:rPr>
      </w:pPr>
      <w:r w:rsidRPr="006042E8">
        <w:rPr>
          <w:sz w:val="22"/>
          <w:szCs w:val="22"/>
        </w:rPr>
        <w:t>Big Bend Heritage Music Association, Inc.</w:t>
      </w:r>
    </w:p>
    <w:p w:rsidR="006042E8" w:rsidRPr="006042E8" w:rsidP="006042E8" w14:paraId="370BA37E" w14:textId="77777777">
      <w:pPr>
        <w:rPr>
          <w:sz w:val="22"/>
          <w:szCs w:val="22"/>
        </w:rPr>
      </w:pPr>
      <w:r w:rsidRPr="006042E8">
        <w:rPr>
          <w:sz w:val="22"/>
          <w:szCs w:val="22"/>
        </w:rPr>
        <w:t>c/o Jason Bennett</w:t>
      </w:r>
    </w:p>
    <w:p w:rsidR="006042E8" w:rsidRPr="006042E8" w:rsidP="006042E8" w14:paraId="548BFB9A" w14:textId="77777777">
      <w:pPr>
        <w:rPr>
          <w:sz w:val="22"/>
          <w:szCs w:val="22"/>
        </w:rPr>
      </w:pPr>
      <w:r w:rsidRPr="006042E8">
        <w:rPr>
          <w:sz w:val="22"/>
          <w:szCs w:val="22"/>
        </w:rPr>
        <w:t>7017 South Yale #444</w:t>
      </w:r>
    </w:p>
    <w:p w:rsidR="006042E8" w:rsidRPr="006042E8" w:rsidP="006042E8" w14:paraId="19403331" w14:textId="77777777">
      <w:pPr>
        <w:rPr>
          <w:sz w:val="22"/>
          <w:szCs w:val="22"/>
        </w:rPr>
      </w:pPr>
      <w:r w:rsidRPr="006042E8">
        <w:rPr>
          <w:sz w:val="22"/>
          <w:szCs w:val="22"/>
        </w:rPr>
        <w:t>Tulsa, OK 74136</w:t>
      </w:r>
    </w:p>
    <w:p w:rsidR="006042E8" w:rsidRPr="006042E8" w:rsidP="006042E8" w14:paraId="4EF89606" w14:textId="77777777">
      <w:pPr>
        <w:rPr>
          <w:sz w:val="22"/>
          <w:szCs w:val="22"/>
        </w:rPr>
      </w:pPr>
      <w:r w:rsidRPr="006042E8">
        <w:rPr>
          <w:sz w:val="22"/>
          <w:szCs w:val="22"/>
        </w:rPr>
        <w:t xml:space="preserve">(sent by electronic mail to: </w:t>
      </w:r>
      <w:hyperlink r:id="rId8" w:history="1">
        <w:r w:rsidRPr="006042E8">
          <w:rPr>
            <w:color w:val="0563C1"/>
            <w:sz w:val="22"/>
            <w:szCs w:val="22"/>
            <w:u w:val="single"/>
          </w:rPr>
          <w:t>jason@fmexpansion.com</w:t>
        </w:r>
      </w:hyperlink>
      <w:r w:rsidRPr="006042E8">
        <w:rPr>
          <w:sz w:val="22"/>
          <w:szCs w:val="22"/>
        </w:rPr>
        <w:t>)</w:t>
      </w:r>
    </w:p>
    <w:p w:rsidR="006042E8" w:rsidRPr="006042E8" w:rsidP="006042E8" w14:paraId="31A03900" w14:textId="77777777">
      <w:pPr>
        <w:rPr>
          <w:sz w:val="22"/>
          <w:szCs w:val="22"/>
        </w:rPr>
      </w:pPr>
    </w:p>
    <w:p w:rsidR="006042E8" w:rsidRPr="006042E8" w:rsidP="006042E8" w14:paraId="6AB78027" w14:textId="77777777">
      <w:pPr>
        <w:rPr>
          <w:sz w:val="22"/>
          <w:szCs w:val="22"/>
        </w:rPr>
      </w:pPr>
      <w:r w:rsidRPr="006042E8">
        <w:rPr>
          <w:sz w:val="22"/>
          <w:szCs w:val="22"/>
        </w:rPr>
        <w:t>Church Planters of America</w:t>
      </w:r>
    </w:p>
    <w:p w:rsidR="006042E8" w:rsidRPr="006042E8" w:rsidP="006042E8" w14:paraId="1CBC3921" w14:textId="77777777">
      <w:pPr>
        <w:rPr>
          <w:sz w:val="22"/>
          <w:szCs w:val="22"/>
        </w:rPr>
      </w:pPr>
      <w:r w:rsidRPr="006042E8">
        <w:rPr>
          <w:sz w:val="22"/>
          <w:szCs w:val="22"/>
        </w:rPr>
        <w:t>c/o Joseph A. Wells, III</w:t>
      </w:r>
    </w:p>
    <w:p w:rsidR="006042E8" w:rsidRPr="006042E8" w:rsidP="006042E8" w14:paraId="7BE85C1C" w14:textId="77777777">
      <w:pPr>
        <w:rPr>
          <w:sz w:val="22"/>
          <w:szCs w:val="22"/>
        </w:rPr>
      </w:pPr>
      <w:r w:rsidRPr="006042E8">
        <w:rPr>
          <w:sz w:val="22"/>
          <w:szCs w:val="22"/>
        </w:rPr>
        <w:t>6704 Hwy 8 South</w:t>
      </w:r>
    </w:p>
    <w:p w:rsidR="006042E8" w:rsidRPr="006042E8" w:rsidP="006042E8" w14:paraId="1C22960F" w14:textId="77777777">
      <w:pPr>
        <w:rPr>
          <w:sz w:val="22"/>
          <w:szCs w:val="22"/>
        </w:rPr>
      </w:pPr>
      <w:r w:rsidRPr="006042E8">
        <w:rPr>
          <w:sz w:val="22"/>
          <w:szCs w:val="22"/>
        </w:rPr>
        <w:t>Germanton, NC 27019</w:t>
      </w:r>
    </w:p>
    <w:p w:rsidR="006042E8" w:rsidRPr="006042E8" w:rsidP="006042E8" w14:paraId="75E388E6" w14:textId="77777777">
      <w:pPr>
        <w:rPr>
          <w:sz w:val="22"/>
          <w:szCs w:val="22"/>
        </w:rPr>
      </w:pPr>
      <w:r w:rsidRPr="006042E8">
        <w:rPr>
          <w:sz w:val="22"/>
          <w:szCs w:val="22"/>
        </w:rPr>
        <w:t xml:space="preserve">(sent by electronic mail to: </w:t>
      </w:r>
      <w:hyperlink r:id="rId9" w:history="1">
        <w:r w:rsidRPr="006042E8">
          <w:rPr>
            <w:color w:val="0563C1"/>
            <w:sz w:val="22"/>
            <w:szCs w:val="22"/>
            <w:u w:val="single"/>
          </w:rPr>
          <w:t>oldpaths1611@gmail.com</w:t>
        </w:r>
      </w:hyperlink>
      <w:r w:rsidRPr="006042E8">
        <w:rPr>
          <w:sz w:val="22"/>
          <w:szCs w:val="22"/>
        </w:rPr>
        <w:t>)</w:t>
      </w:r>
    </w:p>
    <w:p w:rsidR="006042E8" w:rsidRPr="006042E8" w:rsidP="006042E8" w14:paraId="3507DC63" w14:textId="77777777">
      <w:pPr>
        <w:rPr>
          <w:sz w:val="22"/>
          <w:szCs w:val="22"/>
        </w:rPr>
      </w:pPr>
    </w:p>
    <w:p w:rsidR="006042E8" w:rsidRPr="006042E8" w:rsidP="006042E8" w14:paraId="099E8D1F" w14:textId="77777777">
      <w:pPr>
        <w:rPr>
          <w:sz w:val="22"/>
          <w:szCs w:val="22"/>
        </w:rPr>
      </w:pPr>
      <w:r w:rsidRPr="006042E8">
        <w:rPr>
          <w:sz w:val="22"/>
          <w:szCs w:val="22"/>
        </w:rPr>
        <w:t>Bemiss</w:t>
      </w:r>
      <w:r w:rsidRPr="006042E8">
        <w:rPr>
          <w:sz w:val="22"/>
          <w:szCs w:val="22"/>
        </w:rPr>
        <w:t xml:space="preserve"> Road Baptist Church and </w:t>
      </w:r>
    </w:p>
    <w:p w:rsidR="006042E8" w:rsidRPr="006042E8" w:rsidP="006042E8" w14:paraId="229898DC" w14:textId="77777777">
      <w:pPr>
        <w:rPr>
          <w:sz w:val="22"/>
          <w:szCs w:val="22"/>
        </w:rPr>
      </w:pPr>
      <w:r w:rsidRPr="006042E8">
        <w:rPr>
          <w:sz w:val="22"/>
          <w:szCs w:val="22"/>
        </w:rPr>
        <w:t>Lowndes County Christian Academy Inc.</w:t>
      </w:r>
    </w:p>
    <w:p w:rsidR="006042E8" w:rsidRPr="006042E8" w:rsidP="006042E8" w14:paraId="532CE50C" w14:textId="77777777">
      <w:pPr>
        <w:rPr>
          <w:sz w:val="22"/>
          <w:szCs w:val="22"/>
          <w:lang w:val="es-ES"/>
        </w:rPr>
      </w:pPr>
      <w:r w:rsidRPr="006042E8">
        <w:rPr>
          <w:sz w:val="22"/>
          <w:szCs w:val="22"/>
          <w:lang w:val="es-ES"/>
        </w:rPr>
        <w:t>c/o Cristi Gonzales</w:t>
      </w:r>
    </w:p>
    <w:p w:rsidR="006042E8" w:rsidRPr="006042E8" w:rsidP="006042E8" w14:paraId="7C5BCEE1" w14:textId="77777777">
      <w:pPr>
        <w:rPr>
          <w:sz w:val="22"/>
          <w:szCs w:val="22"/>
          <w:lang w:val="es-ES"/>
        </w:rPr>
      </w:pPr>
      <w:r w:rsidRPr="006042E8">
        <w:rPr>
          <w:sz w:val="22"/>
          <w:szCs w:val="22"/>
          <w:lang w:val="es-ES"/>
        </w:rPr>
        <w:t>P.O. Box 5561</w:t>
      </w:r>
    </w:p>
    <w:p w:rsidR="006042E8" w:rsidRPr="006042E8" w:rsidP="006042E8" w14:paraId="691C7F8D" w14:textId="77777777">
      <w:pPr>
        <w:rPr>
          <w:sz w:val="22"/>
          <w:szCs w:val="22"/>
        </w:rPr>
      </w:pPr>
      <w:r w:rsidRPr="006042E8">
        <w:rPr>
          <w:sz w:val="22"/>
          <w:szCs w:val="22"/>
        </w:rPr>
        <w:t>Pasco, WA 99302</w:t>
      </w:r>
    </w:p>
    <w:p w:rsidR="006042E8" w:rsidRPr="006042E8" w:rsidP="006042E8" w14:paraId="05564122" w14:textId="77777777">
      <w:pPr>
        <w:rPr>
          <w:sz w:val="22"/>
          <w:szCs w:val="22"/>
        </w:rPr>
      </w:pPr>
      <w:r w:rsidRPr="006042E8">
        <w:rPr>
          <w:sz w:val="22"/>
          <w:szCs w:val="22"/>
        </w:rPr>
        <w:t xml:space="preserve">(sent by electronic mail to: </w:t>
      </w:r>
      <w:hyperlink r:id="rId10" w:history="1">
        <w:r w:rsidRPr="006042E8">
          <w:rPr>
            <w:color w:val="0563C1"/>
            <w:sz w:val="22"/>
            <w:szCs w:val="22"/>
            <w:u w:val="single"/>
          </w:rPr>
          <w:t>cristig@broadcast-technical.com</w:t>
        </w:r>
      </w:hyperlink>
      <w:r w:rsidRPr="006042E8">
        <w:rPr>
          <w:sz w:val="22"/>
          <w:szCs w:val="22"/>
        </w:rPr>
        <w:t xml:space="preserve">) </w:t>
      </w:r>
    </w:p>
    <w:p w:rsidR="006042E8" w:rsidRPr="006042E8" w:rsidP="006042E8" w14:paraId="590D60F5" w14:textId="77777777">
      <w:pPr>
        <w:rPr>
          <w:sz w:val="22"/>
          <w:szCs w:val="22"/>
        </w:rPr>
      </w:pPr>
    </w:p>
    <w:p w:rsidR="00500C02" w:rsidP="006042E8" w14:paraId="17D7D08C" w14:textId="77777777">
      <w:pPr>
        <w:ind w:left="5760" w:hanging="720"/>
        <w:rPr>
          <w:sz w:val="22"/>
          <w:szCs w:val="22"/>
        </w:rPr>
      </w:pPr>
    </w:p>
    <w:p w:rsidR="00500C02" w:rsidP="006042E8" w14:paraId="369053DC" w14:textId="77777777">
      <w:pPr>
        <w:ind w:left="5760" w:hanging="720"/>
        <w:rPr>
          <w:sz w:val="22"/>
          <w:szCs w:val="22"/>
        </w:rPr>
      </w:pPr>
    </w:p>
    <w:p w:rsidR="00500C02" w:rsidP="006042E8" w14:paraId="16D24085" w14:textId="77777777">
      <w:pPr>
        <w:ind w:left="5760" w:hanging="720"/>
        <w:rPr>
          <w:sz w:val="22"/>
          <w:szCs w:val="22"/>
        </w:rPr>
      </w:pPr>
    </w:p>
    <w:p w:rsidR="006042E8" w:rsidRPr="006042E8" w:rsidP="006042E8" w14:paraId="470AF0CF" w14:textId="59EDE760">
      <w:pPr>
        <w:ind w:left="5760" w:hanging="720"/>
        <w:rPr>
          <w:b/>
          <w:bCs/>
          <w:sz w:val="22"/>
          <w:szCs w:val="22"/>
        </w:rPr>
      </w:pPr>
      <w:r w:rsidRPr="006042E8">
        <w:rPr>
          <w:sz w:val="22"/>
          <w:szCs w:val="22"/>
        </w:rPr>
        <w:t>In re:</w:t>
      </w:r>
      <w:r w:rsidRPr="006042E8">
        <w:rPr>
          <w:sz w:val="22"/>
          <w:szCs w:val="22"/>
        </w:rPr>
        <w:tab/>
      </w:r>
      <w:r w:rsidRPr="006042E8">
        <w:rPr>
          <w:b/>
          <w:bCs/>
          <w:sz w:val="22"/>
          <w:szCs w:val="22"/>
        </w:rPr>
        <w:t>NCE MX Group 59B</w:t>
      </w:r>
    </w:p>
    <w:p w:rsidR="006042E8" w:rsidRPr="006042E8" w:rsidP="006042E8" w14:paraId="09C50274" w14:textId="77777777">
      <w:pPr>
        <w:ind w:left="5760" w:hanging="720"/>
        <w:rPr>
          <w:b/>
          <w:bCs/>
          <w:sz w:val="22"/>
          <w:szCs w:val="22"/>
        </w:rPr>
      </w:pPr>
    </w:p>
    <w:p w:rsidR="006042E8" w:rsidRPr="006042E8" w:rsidP="006042E8" w14:paraId="65FBDA08" w14:textId="77777777">
      <w:pPr>
        <w:ind w:left="5760" w:hanging="720"/>
        <w:rPr>
          <w:sz w:val="22"/>
          <w:szCs w:val="22"/>
        </w:rPr>
      </w:pPr>
      <w:r w:rsidRPr="006042E8">
        <w:rPr>
          <w:b/>
          <w:bCs/>
          <w:sz w:val="22"/>
          <w:szCs w:val="22"/>
        </w:rPr>
        <w:tab/>
        <w:t xml:space="preserve">Elijah Radio </w:t>
      </w:r>
    </w:p>
    <w:p w:rsidR="006042E8" w:rsidRPr="006042E8" w:rsidP="006042E8" w14:paraId="09E84019" w14:textId="763684CF">
      <w:pPr>
        <w:ind w:left="5040" w:firstLine="720"/>
        <w:rPr>
          <w:sz w:val="22"/>
          <w:szCs w:val="22"/>
        </w:rPr>
      </w:pPr>
      <w:r w:rsidRPr="006042E8">
        <w:rPr>
          <w:sz w:val="22"/>
          <w:szCs w:val="22"/>
        </w:rPr>
        <w:t>New NCE</w:t>
      </w:r>
      <w:r w:rsidR="008D1A0E">
        <w:rPr>
          <w:sz w:val="22"/>
          <w:szCs w:val="22"/>
        </w:rPr>
        <w:t xml:space="preserve"> FM,</w:t>
      </w:r>
      <w:r w:rsidRPr="006042E8">
        <w:rPr>
          <w:sz w:val="22"/>
          <w:szCs w:val="22"/>
        </w:rPr>
        <w:t xml:space="preserve"> Dasher, Georgia</w:t>
      </w:r>
    </w:p>
    <w:p w:rsidR="006042E8" w:rsidRPr="006042E8" w:rsidP="006042E8" w14:paraId="2DEFB4BB" w14:textId="77777777">
      <w:pPr>
        <w:rPr>
          <w:sz w:val="22"/>
          <w:szCs w:val="22"/>
        </w:rPr>
      </w:pP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t>Facility ID No. 767346</w:t>
      </w:r>
    </w:p>
    <w:p w:rsidR="006042E8" w:rsidRPr="006042E8" w:rsidP="006042E8" w14:paraId="5FF545DE" w14:textId="59005DE6">
      <w:pPr>
        <w:rPr>
          <w:sz w:val="22"/>
          <w:szCs w:val="22"/>
        </w:rPr>
      </w:pP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Pr>
          <w:sz w:val="22"/>
          <w:szCs w:val="22"/>
        </w:rPr>
        <w:t xml:space="preserve">Application </w:t>
      </w:r>
      <w:r w:rsidRPr="006042E8">
        <w:rPr>
          <w:sz w:val="22"/>
          <w:szCs w:val="22"/>
        </w:rPr>
        <w:t xml:space="preserve">File No. </w:t>
      </w:r>
      <w:bookmarkStart w:id="2" w:name="_Hlk105677049"/>
      <w:r w:rsidRPr="006042E8">
        <w:rPr>
          <w:sz w:val="22"/>
          <w:szCs w:val="22"/>
        </w:rPr>
        <w:t>0000</w:t>
      </w:r>
      <w:bookmarkEnd w:id="2"/>
      <w:r w:rsidRPr="006042E8">
        <w:rPr>
          <w:sz w:val="22"/>
          <w:szCs w:val="22"/>
        </w:rPr>
        <w:t>167410</w:t>
      </w:r>
    </w:p>
    <w:p w:rsidR="006042E8" w:rsidRPr="006042E8" w:rsidP="006042E8" w14:paraId="5F8650FB" w14:textId="77777777">
      <w:pPr>
        <w:ind w:left="5040" w:firstLine="720"/>
        <w:rPr>
          <w:sz w:val="22"/>
          <w:szCs w:val="22"/>
        </w:rPr>
      </w:pPr>
    </w:p>
    <w:p w:rsidR="006042E8" w:rsidRPr="006042E8" w:rsidP="006042E8" w14:paraId="3EDD8646" w14:textId="77777777">
      <w:pPr>
        <w:ind w:left="5760"/>
        <w:rPr>
          <w:b/>
          <w:bCs/>
          <w:sz w:val="22"/>
          <w:szCs w:val="22"/>
        </w:rPr>
      </w:pPr>
      <w:r w:rsidRPr="006042E8">
        <w:rPr>
          <w:b/>
          <w:bCs/>
          <w:sz w:val="22"/>
          <w:szCs w:val="22"/>
        </w:rPr>
        <w:t xml:space="preserve">Big Bend Heritage Music Association, Inc. </w:t>
      </w:r>
    </w:p>
    <w:p w:rsidR="006042E8" w:rsidRPr="006042E8" w:rsidP="006042E8" w14:paraId="53750425" w14:textId="6572A4CD">
      <w:pPr>
        <w:ind w:left="5760"/>
        <w:rPr>
          <w:sz w:val="22"/>
          <w:szCs w:val="22"/>
        </w:rPr>
      </w:pPr>
      <w:r w:rsidRPr="006042E8">
        <w:rPr>
          <w:sz w:val="22"/>
          <w:szCs w:val="22"/>
        </w:rPr>
        <w:t>New NCE</w:t>
      </w:r>
      <w:r w:rsidR="008D1A0E">
        <w:rPr>
          <w:sz w:val="22"/>
          <w:szCs w:val="22"/>
        </w:rPr>
        <w:t xml:space="preserve"> FM</w:t>
      </w:r>
      <w:r w:rsidRPr="006042E8">
        <w:rPr>
          <w:sz w:val="22"/>
          <w:szCs w:val="22"/>
        </w:rPr>
        <w:t>, Perry, Florida</w:t>
      </w:r>
    </w:p>
    <w:p w:rsidR="006042E8" w:rsidRPr="006042E8" w:rsidP="006042E8" w14:paraId="4B2CDBAE" w14:textId="77777777">
      <w:pPr>
        <w:rPr>
          <w:sz w:val="22"/>
          <w:szCs w:val="22"/>
        </w:rPr>
      </w:pP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t>Facility ID No. 767145</w:t>
      </w:r>
    </w:p>
    <w:p w:rsidR="006042E8" w:rsidRPr="006042E8" w:rsidP="006042E8" w14:paraId="12F46CB1" w14:textId="77777777">
      <w:pPr>
        <w:rPr>
          <w:sz w:val="22"/>
          <w:szCs w:val="22"/>
        </w:rPr>
      </w:pP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t>File No. 0000166291</w:t>
      </w:r>
    </w:p>
    <w:p w:rsidR="006042E8" w:rsidRPr="006042E8" w:rsidP="006042E8" w14:paraId="45FA8AE8" w14:textId="77777777">
      <w:pPr>
        <w:rPr>
          <w:sz w:val="22"/>
          <w:szCs w:val="22"/>
        </w:rPr>
      </w:pPr>
    </w:p>
    <w:p w:rsidR="006042E8" w:rsidRPr="006042E8" w:rsidP="006042E8" w14:paraId="37AFC07F" w14:textId="77777777">
      <w:pPr>
        <w:ind w:left="5760"/>
        <w:rPr>
          <w:b/>
          <w:bCs/>
          <w:sz w:val="22"/>
          <w:szCs w:val="22"/>
        </w:rPr>
      </w:pPr>
      <w:r w:rsidRPr="006042E8">
        <w:rPr>
          <w:b/>
          <w:bCs/>
          <w:sz w:val="22"/>
          <w:szCs w:val="22"/>
        </w:rPr>
        <w:t>Georgia Public Telecommunications Commission</w:t>
      </w:r>
    </w:p>
    <w:p w:rsidR="006042E8" w:rsidRPr="006042E8" w:rsidP="006042E8" w14:paraId="6C789649" w14:textId="37DED385">
      <w:pPr>
        <w:tabs>
          <w:tab w:val="left" w:pos="5783"/>
        </w:tabs>
        <w:rPr>
          <w:sz w:val="22"/>
          <w:szCs w:val="22"/>
        </w:rPr>
      </w:pPr>
      <w:r w:rsidRPr="006042E8">
        <w:rPr>
          <w:sz w:val="22"/>
          <w:szCs w:val="22"/>
        </w:rPr>
        <w:tab/>
        <w:t>New NCE</w:t>
      </w:r>
      <w:r w:rsidR="008D1A0E">
        <w:rPr>
          <w:sz w:val="22"/>
          <w:szCs w:val="22"/>
        </w:rPr>
        <w:t xml:space="preserve"> FM</w:t>
      </w:r>
      <w:r w:rsidRPr="006042E8">
        <w:rPr>
          <w:sz w:val="22"/>
          <w:szCs w:val="22"/>
        </w:rPr>
        <w:t>, Pelham, Georgia</w:t>
      </w:r>
    </w:p>
    <w:p w:rsidR="006042E8" w:rsidRPr="006042E8" w:rsidP="006042E8" w14:paraId="692A59AA" w14:textId="77777777">
      <w:pPr>
        <w:tabs>
          <w:tab w:val="left" w:pos="5783"/>
        </w:tabs>
        <w:rPr>
          <w:sz w:val="22"/>
          <w:szCs w:val="22"/>
        </w:rPr>
      </w:pPr>
      <w:r w:rsidRPr="006042E8">
        <w:rPr>
          <w:sz w:val="22"/>
          <w:szCs w:val="22"/>
        </w:rPr>
        <w:tab/>
        <w:t>Facility ID No. 765562</w:t>
      </w:r>
    </w:p>
    <w:p w:rsidR="006042E8" w:rsidRPr="006042E8" w:rsidP="006042E8" w14:paraId="18BEC55F" w14:textId="0CCC4B14">
      <w:pPr>
        <w:tabs>
          <w:tab w:val="left" w:pos="5783"/>
        </w:tabs>
        <w:rPr>
          <w:sz w:val="22"/>
          <w:szCs w:val="22"/>
        </w:rPr>
      </w:pPr>
      <w:r w:rsidRPr="006042E8">
        <w:rPr>
          <w:sz w:val="22"/>
          <w:szCs w:val="22"/>
        </w:rPr>
        <w:tab/>
      </w:r>
      <w:r>
        <w:rPr>
          <w:sz w:val="22"/>
          <w:szCs w:val="22"/>
        </w:rPr>
        <w:t xml:space="preserve">Application </w:t>
      </w:r>
      <w:r w:rsidRPr="006042E8">
        <w:rPr>
          <w:sz w:val="22"/>
          <w:szCs w:val="22"/>
        </w:rPr>
        <w:t>File No. 0000167018</w:t>
      </w:r>
    </w:p>
    <w:p w:rsidR="006042E8" w:rsidRPr="006042E8" w:rsidP="006042E8" w14:paraId="69A69597" w14:textId="77777777">
      <w:pPr>
        <w:tabs>
          <w:tab w:val="left" w:pos="5783"/>
        </w:tabs>
        <w:rPr>
          <w:sz w:val="22"/>
          <w:szCs w:val="22"/>
        </w:rPr>
      </w:pPr>
    </w:p>
    <w:p w:rsidR="006042E8" w:rsidRPr="006042E8" w:rsidP="006042E8" w14:paraId="36C5B805" w14:textId="77777777">
      <w:pPr>
        <w:tabs>
          <w:tab w:val="left" w:pos="5783"/>
        </w:tabs>
        <w:ind w:left="5760"/>
        <w:rPr>
          <w:sz w:val="22"/>
          <w:szCs w:val="22"/>
        </w:rPr>
      </w:pPr>
      <w:r w:rsidRPr="006042E8">
        <w:rPr>
          <w:sz w:val="22"/>
          <w:szCs w:val="22"/>
        </w:rPr>
        <w:tab/>
      </w:r>
      <w:r w:rsidRPr="006042E8">
        <w:rPr>
          <w:b/>
          <w:bCs/>
          <w:sz w:val="22"/>
          <w:szCs w:val="22"/>
        </w:rPr>
        <w:t>Faith and Action Community Outreach, Inc.</w:t>
      </w:r>
    </w:p>
    <w:p w:rsidR="006042E8" w:rsidRPr="006042E8" w:rsidP="006042E8" w14:paraId="5A315C73" w14:textId="4D4BE2C2">
      <w:pPr>
        <w:tabs>
          <w:tab w:val="left" w:pos="5783"/>
        </w:tabs>
        <w:ind w:left="5760"/>
        <w:rPr>
          <w:sz w:val="22"/>
          <w:szCs w:val="22"/>
        </w:rPr>
      </w:pPr>
      <w:r w:rsidRPr="006042E8">
        <w:rPr>
          <w:sz w:val="22"/>
          <w:szCs w:val="22"/>
        </w:rPr>
        <w:t>New NCE</w:t>
      </w:r>
      <w:r w:rsidR="008D1A0E">
        <w:rPr>
          <w:sz w:val="22"/>
          <w:szCs w:val="22"/>
        </w:rPr>
        <w:t xml:space="preserve"> FM</w:t>
      </w:r>
      <w:r w:rsidRPr="006042E8">
        <w:rPr>
          <w:sz w:val="22"/>
          <w:szCs w:val="22"/>
        </w:rPr>
        <w:t>, Madison, Florida</w:t>
      </w:r>
    </w:p>
    <w:p w:rsidR="006042E8" w:rsidRPr="006042E8" w:rsidP="006042E8" w14:paraId="32B4904E" w14:textId="77777777">
      <w:pPr>
        <w:tabs>
          <w:tab w:val="left" w:pos="5783"/>
        </w:tabs>
        <w:ind w:left="5760"/>
        <w:rPr>
          <w:sz w:val="22"/>
          <w:szCs w:val="22"/>
        </w:rPr>
      </w:pPr>
      <w:r w:rsidRPr="006042E8">
        <w:rPr>
          <w:sz w:val="22"/>
          <w:szCs w:val="22"/>
        </w:rPr>
        <w:t>Facility ID No. 762792</w:t>
      </w:r>
    </w:p>
    <w:p w:rsidR="006042E8" w:rsidRPr="006042E8" w:rsidP="006042E8" w14:paraId="5410C2B9" w14:textId="6D052EF7">
      <w:pPr>
        <w:tabs>
          <w:tab w:val="left" w:pos="5783"/>
        </w:tabs>
        <w:ind w:left="5760"/>
        <w:rPr>
          <w:sz w:val="22"/>
          <w:szCs w:val="22"/>
        </w:rPr>
      </w:pPr>
      <w:r>
        <w:rPr>
          <w:sz w:val="22"/>
          <w:szCs w:val="22"/>
        </w:rPr>
        <w:t>Application</w:t>
      </w:r>
      <w:r w:rsidRPr="006042E8">
        <w:rPr>
          <w:sz w:val="22"/>
          <w:szCs w:val="22"/>
        </w:rPr>
        <w:t xml:space="preserve"> File No. 0000165985</w:t>
      </w:r>
    </w:p>
    <w:p w:rsidR="006042E8" w:rsidRPr="006042E8" w:rsidP="006042E8" w14:paraId="220B0A80" w14:textId="77777777">
      <w:pPr>
        <w:tabs>
          <w:tab w:val="left" w:pos="5783"/>
        </w:tabs>
        <w:ind w:left="5760"/>
        <w:rPr>
          <w:sz w:val="22"/>
          <w:szCs w:val="22"/>
        </w:rPr>
      </w:pPr>
    </w:p>
    <w:p w:rsidR="006042E8" w:rsidRPr="006042E8" w:rsidP="006042E8" w14:paraId="1C9E9B6E" w14:textId="77777777">
      <w:pPr>
        <w:tabs>
          <w:tab w:val="left" w:pos="5783"/>
        </w:tabs>
        <w:ind w:left="5760"/>
        <w:rPr>
          <w:b/>
          <w:bCs/>
          <w:sz w:val="22"/>
          <w:szCs w:val="22"/>
        </w:rPr>
      </w:pPr>
      <w:r w:rsidRPr="006042E8">
        <w:rPr>
          <w:b/>
          <w:bCs/>
          <w:sz w:val="22"/>
          <w:szCs w:val="22"/>
        </w:rPr>
        <w:t>Church Planters of America</w:t>
      </w:r>
    </w:p>
    <w:p w:rsidR="006042E8" w:rsidRPr="006042E8" w:rsidP="006042E8" w14:paraId="0BBD9704" w14:textId="4EFE7C77">
      <w:pPr>
        <w:tabs>
          <w:tab w:val="left" w:pos="5783"/>
        </w:tabs>
        <w:ind w:left="5760"/>
        <w:rPr>
          <w:sz w:val="22"/>
          <w:szCs w:val="22"/>
        </w:rPr>
      </w:pPr>
      <w:r w:rsidRPr="006042E8">
        <w:rPr>
          <w:sz w:val="22"/>
          <w:szCs w:val="22"/>
        </w:rPr>
        <w:t>New NCE</w:t>
      </w:r>
      <w:r w:rsidR="008D1A0E">
        <w:rPr>
          <w:sz w:val="22"/>
          <w:szCs w:val="22"/>
        </w:rPr>
        <w:t xml:space="preserve"> FM</w:t>
      </w:r>
      <w:r w:rsidRPr="006042E8">
        <w:rPr>
          <w:sz w:val="22"/>
          <w:szCs w:val="22"/>
        </w:rPr>
        <w:t>, Quitman, Georgia</w:t>
      </w:r>
    </w:p>
    <w:p w:rsidR="006042E8" w:rsidRPr="006042E8" w:rsidP="006042E8" w14:paraId="035735F2" w14:textId="77777777">
      <w:pPr>
        <w:tabs>
          <w:tab w:val="left" w:pos="5783"/>
        </w:tabs>
        <w:ind w:left="5760"/>
        <w:rPr>
          <w:sz w:val="22"/>
          <w:szCs w:val="22"/>
        </w:rPr>
      </w:pPr>
      <w:r w:rsidRPr="006042E8">
        <w:rPr>
          <w:sz w:val="22"/>
          <w:szCs w:val="22"/>
        </w:rPr>
        <w:t>Facility ID No. 768382</w:t>
      </w:r>
    </w:p>
    <w:p w:rsidR="006042E8" w:rsidRPr="006042E8" w:rsidP="006042E8" w14:paraId="43BD2EF3" w14:textId="24EF0D81">
      <w:pPr>
        <w:tabs>
          <w:tab w:val="left" w:pos="5783"/>
        </w:tabs>
        <w:ind w:left="5760"/>
        <w:rPr>
          <w:sz w:val="22"/>
          <w:szCs w:val="22"/>
        </w:rPr>
      </w:pPr>
      <w:r>
        <w:rPr>
          <w:sz w:val="22"/>
          <w:szCs w:val="22"/>
        </w:rPr>
        <w:t>Application</w:t>
      </w:r>
      <w:r w:rsidRPr="006042E8">
        <w:rPr>
          <w:sz w:val="22"/>
          <w:szCs w:val="22"/>
        </w:rPr>
        <w:t xml:space="preserve"> File No. 0000167096</w:t>
      </w:r>
    </w:p>
    <w:p w:rsidR="006042E8" w:rsidRPr="006042E8" w:rsidP="006042E8" w14:paraId="4BBEF64B" w14:textId="77777777">
      <w:pPr>
        <w:tabs>
          <w:tab w:val="left" w:pos="5783"/>
        </w:tabs>
        <w:ind w:left="5760"/>
        <w:rPr>
          <w:sz w:val="22"/>
          <w:szCs w:val="22"/>
        </w:rPr>
      </w:pPr>
    </w:p>
    <w:p w:rsidR="006042E8" w:rsidRPr="006042E8" w:rsidP="006042E8" w14:paraId="77FB892A" w14:textId="77777777">
      <w:pPr>
        <w:tabs>
          <w:tab w:val="left" w:pos="5783"/>
        </w:tabs>
        <w:ind w:left="5760"/>
        <w:rPr>
          <w:b/>
          <w:bCs/>
          <w:sz w:val="22"/>
          <w:szCs w:val="22"/>
        </w:rPr>
      </w:pPr>
      <w:r w:rsidRPr="006042E8">
        <w:rPr>
          <w:b/>
          <w:bCs/>
          <w:sz w:val="22"/>
          <w:szCs w:val="22"/>
        </w:rPr>
        <w:t>Bemiss</w:t>
      </w:r>
      <w:r w:rsidRPr="006042E8">
        <w:rPr>
          <w:b/>
          <w:bCs/>
          <w:sz w:val="22"/>
          <w:szCs w:val="22"/>
        </w:rPr>
        <w:t xml:space="preserve"> Road Baptist Church and </w:t>
      </w:r>
    </w:p>
    <w:p w:rsidR="006042E8" w:rsidRPr="006042E8" w:rsidP="006042E8" w14:paraId="07C9FC02" w14:textId="77777777">
      <w:pPr>
        <w:tabs>
          <w:tab w:val="left" w:pos="5783"/>
        </w:tabs>
        <w:ind w:left="5760"/>
        <w:rPr>
          <w:b/>
          <w:bCs/>
          <w:sz w:val="22"/>
          <w:szCs w:val="22"/>
        </w:rPr>
      </w:pPr>
      <w:r w:rsidRPr="006042E8">
        <w:rPr>
          <w:b/>
          <w:bCs/>
          <w:sz w:val="22"/>
          <w:szCs w:val="22"/>
        </w:rPr>
        <w:t>Lowndes County Christian Academy Inc.</w:t>
      </w:r>
    </w:p>
    <w:p w:rsidR="006042E8" w:rsidRPr="006042E8" w:rsidP="006042E8" w14:paraId="6AD593FE" w14:textId="34FDC481">
      <w:pPr>
        <w:tabs>
          <w:tab w:val="left" w:pos="5783"/>
        </w:tabs>
        <w:rPr>
          <w:sz w:val="22"/>
          <w:szCs w:val="22"/>
        </w:rPr>
      </w:pPr>
      <w:r w:rsidRPr="006042E8">
        <w:rPr>
          <w:sz w:val="22"/>
          <w:szCs w:val="22"/>
        </w:rPr>
        <w:tab/>
        <w:t>New NCE</w:t>
      </w:r>
      <w:r w:rsidR="008D1A0E">
        <w:rPr>
          <w:sz w:val="22"/>
          <w:szCs w:val="22"/>
        </w:rPr>
        <w:t xml:space="preserve"> FM</w:t>
      </w:r>
      <w:r w:rsidRPr="006042E8">
        <w:rPr>
          <w:sz w:val="22"/>
          <w:szCs w:val="22"/>
        </w:rPr>
        <w:t>, Valdosta, Georgia</w:t>
      </w:r>
    </w:p>
    <w:p w:rsidR="006042E8" w:rsidRPr="006042E8" w:rsidP="006042E8" w14:paraId="1E9B6B1D" w14:textId="77777777">
      <w:pPr>
        <w:tabs>
          <w:tab w:val="left" w:pos="5783"/>
        </w:tabs>
        <w:rPr>
          <w:sz w:val="22"/>
          <w:szCs w:val="22"/>
        </w:rPr>
      </w:pPr>
      <w:r w:rsidRPr="006042E8">
        <w:rPr>
          <w:sz w:val="22"/>
          <w:szCs w:val="22"/>
        </w:rPr>
        <w:tab/>
        <w:t>Facility ID No. 768409</w:t>
      </w:r>
    </w:p>
    <w:p w:rsidR="006042E8" w:rsidRPr="006042E8" w:rsidP="006042E8" w14:paraId="4B690A7B" w14:textId="692256A7">
      <w:pPr>
        <w:tabs>
          <w:tab w:val="left" w:pos="5783"/>
        </w:tabs>
        <w:rPr>
          <w:sz w:val="22"/>
          <w:szCs w:val="22"/>
        </w:rPr>
      </w:pPr>
      <w:r w:rsidRPr="006042E8">
        <w:rPr>
          <w:sz w:val="22"/>
          <w:szCs w:val="22"/>
        </w:rPr>
        <w:tab/>
      </w:r>
      <w:r>
        <w:rPr>
          <w:sz w:val="22"/>
          <w:szCs w:val="22"/>
        </w:rPr>
        <w:t>Application</w:t>
      </w:r>
      <w:r w:rsidRPr="006042E8">
        <w:rPr>
          <w:sz w:val="22"/>
          <w:szCs w:val="22"/>
        </w:rPr>
        <w:t xml:space="preserve"> File No. 0000167233</w:t>
      </w:r>
    </w:p>
    <w:p w:rsidR="006042E8" w:rsidRPr="006042E8" w:rsidP="006042E8" w14:paraId="17C3ED73" w14:textId="77777777">
      <w:pPr>
        <w:tabs>
          <w:tab w:val="left" w:pos="5783"/>
        </w:tabs>
        <w:rPr>
          <w:sz w:val="22"/>
          <w:szCs w:val="22"/>
        </w:rPr>
      </w:pPr>
    </w:p>
    <w:p w:rsidR="006042E8" w:rsidRPr="006042E8" w:rsidP="006042E8" w14:paraId="5279034F" w14:textId="77777777">
      <w:pPr>
        <w:rPr>
          <w:b/>
          <w:sz w:val="22"/>
          <w:szCs w:val="22"/>
        </w:rPr>
      </w:pP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sz w:val="22"/>
          <w:szCs w:val="22"/>
        </w:rPr>
        <w:tab/>
      </w:r>
      <w:r w:rsidRPr="006042E8">
        <w:rPr>
          <w:b/>
          <w:sz w:val="22"/>
          <w:szCs w:val="22"/>
        </w:rPr>
        <w:t>Petition to Deny</w:t>
      </w:r>
    </w:p>
    <w:bookmarkEnd w:id="1"/>
    <w:p w:rsidR="006042E8" w14:paraId="26EC8606" w14:textId="77777777">
      <w:pPr>
        <w:rPr>
          <w:sz w:val="22"/>
          <w:szCs w:val="22"/>
        </w:rPr>
      </w:pPr>
    </w:p>
    <w:p w:rsidR="00A87FFE" w14:paraId="22C3CF28" w14:textId="656320C1">
      <w:pPr>
        <w:rPr>
          <w:sz w:val="22"/>
          <w:szCs w:val="22"/>
        </w:rPr>
      </w:pPr>
      <w:r>
        <w:rPr>
          <w:sz w:val="22"/>
          <w:szCs w:val="22"/>
        </w:rPr>
        <w:t>Dear Counsel and Applicants:</w:t>
      </w:r>
    </w:p>
    <w:p w:rsidR="00A87FFE" w14:paraId="53313C64" w14:textId="22E6A398">
      <w:pPr>
        <w:rPr>
          <w:sz w:val="22"/>
          <w:szCs w:val="22"/>
        </w:rPr>
      </w:pPr>
    </w:p>
    <w:p w:rsidR="00A87FFE" w:rsidRPr="00E146CF" w:rsidP="002602FE" w14:paraId="1781D266" w14:textId="56F64D76">
      <w:pPr>
        <w:pStyle w:val="ParaNum"/>
        <w:widowControl/>
        <w:numPr>
          <w:ilvl w:val="0"/>
          <w:numId w:val="0"/>
        </w:numPr>
        <w:ind w:firstLine="720"/>
        <w:rPr>
          <w:szCs w:val="22"/>
        </w:rPr>
      </w:pPr>
      <w:r w:rsidRPr="00A87FFE">
        <w:rPr>
          <w:szCs w:val="22"/>
        </w:rPr>
        <w:t xml:space="preserve">We have before us </w:t>
      </w:r>
      <w:r w:rsidR="004E18B5">
        <w:rPr>
          <w:szCs w:val="22"/>
        </w:rPr>
        <w:t>six</w:t>
      </w:r>
      <w:r w:rsidRPr="00A87FFE">
        <w:rPr>
          <w:szCs w:val="22"/>
        </w:rPr>
        <w:t xml:space="preserve"> mutually exclusive applications filed by</w:t>
      </w:r>
      <w:r w:rsidRPr="002602FE" w:rsidR="002602FE">
        <w:t xml:space="preserve"> </w:t>
      </w:r>
      <w:r w:rsidRPr="007E6038" w:rsidR="002602FE">
        <w:t>Elijah Radio (Elijah)</w:t>
      </w:r>
      <w:r w:rsidR="002602FE">
        <w:t>,</w:t>
      </w:r>
      <w:r w:rsidRPr="002602FE" w:rsidR="002602FE">
        <w:t xml:space="preserve"> </w:t>
      </w:r>
      <w:r w:rsidRPr="007E6038" w:rsidR="002602FE">
        <w:t>Big Bend Heritage Music Association, Inc. (Big Bend)</w:t>
      </w:r>
      <w:r w:rsidR="002602FE">
        <w:t xml:space="preserve">, Georgia </w:t>
      </w:r>
      <w:r w:rsidRPr="007E6038" w:rsidR="002602FE">
        <w:t>Public Telecommunications Commission (GPTC)</w:t>
      </w:r>
      <w:r w:rsidR="002602FE">
        <w:t>,</w:t>
      </w:r>
      <w:r w:rsidR="002602FE">
        <w:rPr>
          <w:szCs w:val="22"/>
        </w:rPr>
        <w:t xml:space="preserve"> </w:t>
      </w:r>
      <w:r w:rsidRPr="007E6038" w:rsidR="004E18B5">
        <w:t>Faith and Action Community Outreach, Inc. (Faith)</w:t>
      </w:r>
      <w:r w:rsidR="004E18B5">
        <w:t xml:space="preserve">, </w:t>
      </w:r>
      <w:r w:rsidRPr="007E6038" w:rsidR="004E18B5">
        <w:t xml:space="preserve">Church Planters of America (Church Planters) and </w:t>
      </w:r>
      <w:r w:rsidRPr="007E6038" w:rsidR="004E18B5">
        <w:t>Bemiss</w:t>
      </w:r>
      <w:r w:rsidRPr="007E6038" w:rsidR="004E18B5">
        <w:t xml:space="preserve"> Road Baptist Church and Lowndes County Christian Academy Inc. (</w:t>
      </w:r>
      <w:r w:rsidRPr="007E6038" w:rsidR="004E18B5">
        <w:t>Bemiss</w:t>
      </w:r>
      <w:r w:rsidRPr="007E6038" w:rsidR="004E18B5">
        <w:t xml:space="preserve">) </w:t>
      </w:r>
      <w:r w:rsidR="00F14B1C">
        <w:t xml:space="preserve">for construction </w:t>
      </w:r>
      <w:r w:rsidR="00F14B1C">
        <w:t xml:space="preserve">permits for </w:t>
      </w:r>
      <w:r w:rsidRPr="00A87FFE">
        <w:rPr>
          <w:szCs w:val="22"/>
        </w:rPr>
        <w:t>new noncommercial educational (NCE) FM stations in communities in Florida</w:t>
      </w:r>
      <w:r w:rsidR="00F14B1C">
        <w:rPr>
          <w:szCs w:val="22"/>
        </w:rPr>
        <w:t xml:space="preserve"> and Georgia</w:t>
      </w:r>
      <w:r w:rsidRPr="00A87FFE">
        <w:rPr>
          <w:szCs w:val="22"/>
        </w:rPr>
        <w:t>,</w:t>
      </w:r>
      <w:r>
        <w:rPr>
          <w:rStyle w:val="FootnoteReference"/>
          <w:szCs w:val="22"/>
        </w:rPr>
        <w:footnoteReference w:id="2"/>
      </w:r>
      <w:r w:rsidRPr="00A87FFE">
        <w:rPr>
          <w:szCs w:val="22"/>
        </w:rPr>
        <w:t xml:space="preserve"> which the Media Bureau (Bureau) designated as NCE MX Group 5</w:t>
      </w:r>
      <w:r w:rsidR="004E18B5">
        <w:rPr>
          <w:szCs w:val="22"/>
        </w:rPr>
        <w:t>9B</w:t>
      </w:r>
      <w:r w:rsidRPr="00A87FFE">
        <w:rPr>
          <w:szCs w:val="22"/>
        </w:rPr>
        <w:t>.</w:t>
      </w:r>
      <w:r>
        <w:rPr>
          <w:rStyle w:val="FootnoteReference"/>
          <w:sz w:val="22"/>
          <w:szCs w:val="22"/>
        </w:rPr>
        <w:footnoteReference w:id="3"/>
      </w:r>
      <w:r w:rsidRPr="00A87FFE">
        <w:rPr>
          <w:szCs w:val="22"/>
        </w:rPr>
        <w:t xml:space="preserve"> </w:t>
      </w:r>
      <w:r w:rsidR="004E18B5">
        <w:rPr>
          <w:szCs w:val="22"/>
        </w:rPr>
        <w:t xml:space="preserve"> On January 23, 2023,</w:t>
      </w:r>
      <w:r w:rsidRPr="00A87FFE">
        <w:rPr>
          <w:szCs w:val="22"/>
        </w:rPr>
        <w:t xml:space="preserve"> </w:t>
      </w:r>
      <w:r w:rsidR="004E18B5">
        <w:rPr>
          <w:szCs w:val="22"/>
        </w:rPr>
        <w:t>t</w:t>
      </w:r>
      <w:r w:rsidRPr="00A87FFE">
        <w:rPr>
          <w:szCs w:val="22"/>
        </w:rPr>
        <w:t xml:space="preserve">he Bureau </w:t>
      </w:r>
      <w:r w:rsidR="002602FE">
        <w:rPr>
          <w:szCs w:val="22"/>
        </w:rPr>
        <w:t xml:space="preserve">rescinded its tentative selection of the Big Bend Application and </w:t>
      </w:r>
      <w:r w:rsidRPr="00A87FFE">
        <w:rPr>
          <w:szCs w:val="22"/>
        </w:rPr>
        <w:t xml:space="preserve">identified the </w:t>
      </w:r>
      <w:r>
        <w:rPr>
          <w:szCs w:val="22"/>
        </w:rPr>
        <w:t>Elijah</w:t>
      </w:r>
      <w:r w:rsidRPr="00A87FFE">
        <w:rPr>
          <w:szCs w:val="22"/>
        </w:rPr>
        <w:t xml:space="preserve"> Application as the </w:t>
      </w:r>
      <w:r w:rsidR="004E18B5">
        <w:rPr>
          <w:szCs w:val="22"/>
        </w:rPr>
        <w:t xml:space="preserve">new </w:t>
      </w:r>
      <w:r w:rsidRPr="00A87FFE">
        <w:rPr>
          <w:szCs w:val="22"/>
        </w:rPr>
        <w:t>tentative selectee of the group.</w:t>
      </w:r>
      <w:r>
        <w:rPr>
          <w:rStyle w:val="FootnoteReference"/>
          <w:sz w:val="22"/>
          <w:szCs w:val="22"/>
        </w:rPr>
        <w:footnoteReference w:id="4"/>
      </w:r>
      <w:r w:rsidRPr="00A87FFE">
        <w:rPr>
          <w:szCs w:val="22"/>
        </w:rPr>
        <w:t xml:space="preserve"> </w:t>
      </w:r>
      <w:r w:rsidR="00327360">
        <w:rPr>
          <w:szCs w:val="22"/>
        </w:rPr>
        <w:t xml:space="preserve"> We also have before us a petition to deny the Big Bend Application filed by GPTC, which the Bureau did not review prior to release of the </w:t>
      </w:r>
      <w:r w:rsidR="00327360">
        <w:rPr>
          <w:i/>
          <w:iCs/>
          <w:szCs w:val="22"/>
        </w:rPr>
        <w:t>NCE MX Group 59B Order</w:t>
      </w:r>
      <w:r w:rsidR="00327360">
        <w:rPr>
          <w:szCs w:val="22"/>
        </w:rPr>
        <w:t>.</w:t>
      </w:r>
      <w:r>
        <w:rPr>
          <w:rStyle w:val="FootnoteReference"/>
          <w:szCs w:val="22"/>
        </w:rPr>
        <w:footnoteReference w:id="5"/>
      </w:r>
      <w:r w:rsidR="00327360">
        <w:rPr>
          <w:szCs w:val="22"/>
        </w:rPr>
        <w:t xml:space="preserve"> </w:t>
      </w:r>
      <w:r w:rsidR="00F14B1C">
        <w:rPr>
          <w:szCs w:val="22"/>
        </w:rPr>
        <w:t xml:space="preserve"> </w:t>
      </w:r>
      <w:r w:rsidRPr="00E146CF">
        <w:rPr>
          <w:szCs w:val="22"/>
        </w:rPr>
        <w:t xml:space="preserve">For the reasons set forth below, </w:t>
      </w:r>
      <w:r w:rsidR="006042E8">
        <w:rPr>
          <w:szCs w:val="22"/>
        </w:rPr>
        <w:t>on our own motion,</w:t>
      </w:r>
      <w:r>
        <w:rPr>
          <w:rStyle w:val="FootnoteReference"/>
          <w:szCs w:val="22"/>
        </w:rPr>
        <w:footnoteReference w:id="6"/>
      </w:r>
      <w:r w:rsidR="006042E8">
        <w:rPr>
          <w:szCs w:val="22"/>
        </w:rPr>
        <w:t xml:space="preserve"> we rescind</w:t>
      </w:r>
      <w:r w:rsidRPr="00E146CF">
        <w:rPr>
          <w:szCs w:val="22"/>
        </w:rPr>
        <w:t xml:space="preserve"> </w:t>
      </w:r>
      <w:r w:rsidR="004E18B5">
        <w:rPr>
          <w:szCs w:val="22"/>
        </w:rPr>
        <w:t xml:space="preserve">in part the </w:t>
      </w:r>
      <w:r w:rsidR="004E18B5">
        <w:rPr>
          <w:i/>
          <w:iCs/>
          <w:szCs w:val="22"/>
        </w:rPr>
        <w:t xml:space="preserve">NCE </w:t>
      </w:r>
      <w:r w:rsidR="00756508">
        <w:rPr>
          <w:i/>
          <w:iCs/>
          <w:szCs w:val="22"/>
        </w:rPr>
        <w:t xml:space="preserve">MX Group </w:t>
      </w:r>
      <w:r w:rsidR="004E18B5">
        <w:rPr>
          <w:i/>
          <w:iCs/>
          <w:szCs w:val="22"/>
        </w:rPr>
        <w:t xml:space="preserve">59B </w:t>
      </w:r>
      <w:r w:rsidRPr="00756508" w:rsidR="004E18B5">
        <w:rPr>
          <w:i/>
          <w:iCs/>
          <w:szCs w:val="22"/>
        </w:rPr>
        <w:t>Order</w:t>
      </w:r>
      <w:r w:rsidR="004E18B5">
        <w:rPr>
          <w:szCs w:val="22"/>
        </w:rPr>
        <w:t xml:space="preserve">, rescind </w:t>
      </w:r>
      <w:r w:rsidRPr="004E18B5">
        <w:rPr>
          <w:szCs w:val="22"/>
        </w:rPr>
        <w:t>our</w:t>
      </w:r>
      <w:r w:rsidRPr="00E146CF">
        <w:rPr>
          <w:szCs w:val="22"/>
        </w:rPr>
        <w:t xml:space="preserve"> tentative selection of the E</w:t>
      </w:r>
      <w:r w:rsidR="004E18B5">
        <w:rPr>
          <w:szCs w:val="22"/>
        </w:rPr>
        <w:t>lijah</w:t>
      </w:r>
      <w:r w:rsidR="00F14B1C">
        <w:rPr>
          <w:szCs w:val="22"/>
        </w:rPr>
        <w:t xml:space="preserve"> </w:t>
      </w:r>
      <w:r w:rsidRPr="00E146CF">
        <w:rPr>
          <w:szCs w:val="22"/>
        </w:rPr>
        <w:t xml:space="preserve">Application, </w:t>
      </w:r>
      <w:r w:rsidR="00F14B1C">
        <w:rPr>
          <w:szCs w:val="22"/>
        </w:rPr>
        <w:t xml:space="preserve">dismiss the GPTC Petition as moot, </w:t>
      </w:r>
      <w:r>
        <w:rPr>
          <w:szCs w:val="22"/>
        </w:rPr>
        <w:t xml:space="preserve">and refer NCE MX Group 59B to the Commission to </w:t>
      </w:r>
      <w:r w:rsidRPr="00E146CF">
        <w:rPr>
          <w:szCs w:val="22"/>
        </w:rPr>
        <w:t xml:space="preserve">conduct a point </w:t>
      </w:r>
      <w:r>
        <w:rPr>
          <w:szCs w:val="22"/>
        </w:rPr>
        <w:t>system</w:t>
      </w:r>
      <w:r w:rsidRPr="00E146CF">
        <w:rPr>
          <w:szCs w:val="22"/>
        </w:rPr>
        <w:t xml:space="preserve"> analysis</w:t>
      </w:r>
      <w:r>
        <w:rPr>
          <w:szCs w:val="22"/>
        </w:rPr>
        <w:t>.</w:t>
      </w:r>
      <w:r>
        <w:rPr>
          <w:rStyle w:val="FootnoteReference"/>
          <w:sz w:val="22"/>
          <w:szCs w:val="22"/>
        </w:rPr>
        <w:footnoteReference w:id="7"/>
      </w:r>
      <w:r w:rsidRPr="00E146CF">
        <w:rPr>
          <w:szCs w:val="22"/>
        </w:rPr>
        <w:t xml:space="preserve"> </w:t>
      </w:r>
    </w:p>
    <w:p w:rsidR="00F14B1C" w:rsidP="00A87FFE" w14:paraId="5476BEB0" w14:textId="346FEFE1">
      <w:pPr>
        <w:pStyle w:val="ParaNum"/>
        <w:widowControl/>
        <w:numPr>
          <w:ilvl w:val="0"/>
          <w:numId w:val="0"/>
        </w:numPr>
        <w:ind w:firstLine="720"/>
      </w:pPr>
      <w:r w:rsidRPr="00E146CF">
        <w:rPr>
          <w:i/>
          <w:iCs/>
          <w:szCs w:val="22"/>
        </w:rPr>
        <w:t>Background</w:t>
      </w:r>
      <w:r w:rsidRPr="00E146CF">
        <w:rPr>
          <w:szCs w:val="22"/>
        </w:rPr>
        <w:t xml:space="preserve">.  The subject applications were filed during the </w:t>
      </w:r>
      <w:r w:rsidR="009D07D6">
        <w:rPr>
          <w:szCs w:val="22"/>
        </w:rPr>
        <w:t xml:space="preserve">November </w:t>
      </w:r>
      <w:r w:rsidRPr="00E146CF">
        <w:rPr>
          <w:szCs w:val="22"/>
        </w:rPr>
        <w:t>2021</w:t>
      </w:r>
      <w:r w:rsidR="009D07D6">
        <w:rPr>
          <w:szCs w:val="22"/>
        </w:rPr>
        <w:t>,</w:t>
      </w:r>
      <w:r w:rsidRPr="00E146CF">
        <w:rPr>
          <w:szCs w:val="22"/>
        </w:rPr>
        <w:t xml:space="preserve"> NCE </w:t>
      </w:r>
      <w:r w:rsidR="009D07D6">
        <w:rPr>
          <w:szCs w:val="22"/>
        </w:rPr>
        <w:t xml:space="preserve">FM </w:t>
      </w:r>
      <w:r w:rsidRPr="00E146CF">
        <w:rPr>
          <w:szCs w:val="22"/>
        </w:rPr>
        <w:t>filing window.</w:t>
      </w:r>
      <w:r w:rsidR="009D07D6">
        <w:rPr>
          <w:szCs w:val="22"/>
        </w:rPr>
        <w:t>.</w:t>
      </w:r>
      <w:r>
        <w:rPr>
          <w:rStyle w:val="FootnoteReference"/>
          <w:sz w:val="22"/>
          <w:szCs w:val="22"/>
        </w:rPr>
        <w:footnoteReference w:id="8"/>
      </w:r>
      <w:r w:rsidRPr="00E146CF">
        <w:rPr>
          <w:szCs w:val="22"/>
        </w:rPr>
        <w:t xml:space="preserve">  </w:t>
      </w:r>
      <w:r w:rsidRPr="00F5267D">
        <w:t>Group 59B originally included two additional applicants, CSN International (CSN) and Inverse Focus Ministry, Inc. (Inverse).</w:t>
      </w:r>
      <w:r>
        <w:rPr>
          <w:rStyle w:val="FootnoteReference"/>
        </w:rPr>
        <w:footnoteReference w:id="9"/>
      </w:r>
      <w:r w:rsidRPr="00F5267D">
        <w:t xml:space="preserve">  The Bureau </w:t>
      </w:r>
      <w:r>
        <w:t>initially</w:t>
      </w:r>
      <w:r w:rsidRPr="00F5267D">
        <w:t xml:space="preserve"> </w:t>
      </w:r>
      <w:r>
        <w:t xml:space="preserve">performed a fair distribution analysis of the eight applications and </w:t>
      </w:r>
      <w:r w:rsidRPr="00F5267D">
        <w:t xml:space="preserve">identified Inverse as the tentative selectee in </w:t>
      </w:r>
      <w:r>
        <w:t>G</w:t>
      </w:r>
      <w:r w:rsidRPr="00F5267D">
        <w:t>roup 59B</w:t>
      </w:r>
      <w:r>
        <w:t>.</w:t>
      </w:r>
      <w:r>
        <w:rPr>
          <w:rStyle w:val="FootnoteReference"/>
        </w:rPr>
        <w:footnoteReference w:id="10"/>
      </w:r>
      <w:r>
        <w:t xml:space="preserve">  </w:t>
      </w:r>
      <w:r w:rsidRPr="00F5267D">
        <w:t>Inverse and CSN</w:t>
      </w:r>
      <w:r>
        <w:t>, however,</w:t>
      </w:r>
      <w:r w:rsidRPr="00F5267D">
        <w:t xml:space="preserve"> subsequently requested dismissal of their applications</w:t>
      </w:r>
      <w:r>
        <w:t>.  Accordingly, the Bureau conducted a second 307(b) analysis and identified Big Bend as the new tentative selectee of this group.</w:t>
      </w:r>
      <w:r>
        <w:rPr>
          <w:rStyle w:val="FootnoteReference"/>
        </w:rPr>
        <w:footnoteReference w:id="11"/>
      </w:r>
      <w:r>
        <w:t xml:space="preserve">  However, Big Bend subsequently filed an amendment to its application in which it revised its population data and certified that it was not eligible for a fair distribution preference.</w:t>
      </w:r>
      <w:r>
        <w:rPr>
          <w:rStyle w:val="FootnoteReference"/>
        </w:rPr>
        <w:footnoteReference w:id="12"/>
      </w:r>
      <w:r>
        <w:t xml:space="preserve"> </w:t>
      </w:r>
    </w:p>
    <w:p w:rsidR="00A87FFE" w:rsidP="003063F3" w14:paraId="34E32121" w14:textId="57CDDABA">
      <w:pPr>
        <w:pStyle w:val="ParaNum"/>
        <w:widowControl/>
        <w:numPr>
          <w:ilvl w:val="0"/>
          <w:numId w:val="0"/>
        </w:numPr>
        <w:ind w:firstLine="720"/>
        <w:rPr>
          <w:szCs w:val="22"/>
        </w:rPr>
      </w:pPr>
      <w:r w:rsidRPr="00B31F60">
        <w:rPr>
          <w:i/>
          <w:iCs/>
        </w:rPr>
        <w:t>Discussion</w:t>
      </w:r>
      <w:r>
        <w:t xml:space="preserve">.  </w:t>
      </w:r>
      <w:r w:rsidR="00F14B1C">
        <w:t xml:space="preserve">In the </w:t>
      </w:r>
      <w:r w:rsidR="00F14B1C">
        <w:rPr>
          <w:i/>
          <w:iCs/>
        </w:rPr>
        <w:t>NCE MX Group 59B Order</w:t>
      </w:r>
      <w:r w:rsidR="00F14B1C">
        <w:t xml:space="preserve">, </w:t>
      </w:r>
      <w:r w:rsidR="006042E8">
        <w:t xml:space="preserve">the Bureau rescinded the tentative selection of Big Bend and </w:t>
      </w:r>
      <w:r w:rsidR="00F14B1C">
        <w:t>conducted a third 307(b) analysis and identified Elijah as the tentative selectee of this group.</w:t>
      </w:r>
      <w:r>
        <w:rPr>
          <w:rStyle w:val="FootnoteReference"/>
        </w:rPr>
        <w:footnoteReference w:id="13"/>
      </w:r>
      <w:r w:rsidR="00F14B1C">
        <w:t xml:space="preserve">  However,</w:t>
      </w:r>
      <w:r w:rsidR="00C1213F">
        <w:t xml:space="preserve"> </w:t>
      </w:r>
      <w:r w:rsidR="00B20D32">
        <w:t xml:space="preserve">upon release of the Order, counsel for </w:t>
      </w:r>
      <w:r w:rsidR="00C1213F">
        <w:t>GPTC</w:t>
      </w:r>
      <w:r w:rsidR="00B20D32">
        <w:t xml:space="preserve"> </w:t>
      </w:r>
      <w:r w:rsidR="00C1213F">
        <w:t>informed the Bureau that</w:t>
      </w:r>
      <w:r w:rsidR="00F14B1C">
        <w:t xml:space="preserve"> the staff </w:t>
      </w:r>
      <w:r w:rsidR="00B20D32">
        <w:t>neglected</w:t>
      </w:r>
      <w:r w:rsidR="00F14B1C">
        <w:t xml:space="preserve"> to </w:t>
      </w:r>
      <w:r w:rsidR="003063F3">
        <w:t>address the GPTC Petition.</w:t>
      </w:r>
      <w:r>
        <w:rPr>
          <w:rStyle w:val="FootnoteReference"/>
        </w:rPr>
        <w:footnoteReference w:id="14"/>
      </w:r>
      <w:r w:rsidR="003063F3">
        <w:t xml:space="preserve">  Although the GPTC Petition primar</w:t>
      </w:r>
      <w:r w:rsidR="006042E8">
        <w:t>il</w:t>
      </w:r>
      <w:r w:rsidR="003063F3">
        <w:t>y argue</w:t>
      </w:r>
      <w:r w:rsidR="006042E8">
        <w:t>s</w:t>
      </w:r>
      <w:r w:rsidR="003063F3">
        <w:t xml:space="preserve"> that </w:t>
      </w:r>
      <w:r w:rsidR="00756508">
        <w:t xml:space="preserve">the tentative selection of </w:t>
      </w:r>
      <w:r w:rsidR="003063F3">
        <w:t>Big Ben</w:t>
      </w:r>
      <w:r w:rsidR="00756508">
        <w:t>d</w:t>
      </w:r>
      <w:r w:rsidR="003063F3">
        <w:t xml:space="preserve"> </w:t>
      </w:r>
      <w:r w:rsidR="00756508">
        <w:t xml:space="preserve">should be rescinded, </w:t>
      </w:r>
      <w:r w:rsidR="003063F3">
        <w:t xml:space="preserve">the petition </w:t>
      </w:r>
      <w:r w:rsidR="004E18B5">
        <w:rPr>
          <w:szCs w:val="22"/>
        </w:rPr>
        <w:t xml:space="preserve">also </w:t>
      </w:r>
      <w:r>
        <w:rPr>
          <w:szCs w:val="22"/>
        </w:rPr>
        <w:t xml:space="preserve">noted that the </w:t>
      </w:r>
      <w:r>
        <w:rPr>
          <w:i/>
          <w:iCs/>
          <w:szCs w:val="22"/>
        </w:rPr>
        <w:t>November 2022</w:t>
      </w:r>
      <w:r>
        <w:rPr>
          <w:szCs w:val="22"/>
        </w:rPr>
        <w:t xml:space="preserve"> </w:t>
      </w:r>
      <w:r w:rsidR="00D947E1">
        <w:rPr>
          <w:i/>
          <w:iCs/>
          <w:szCs w:val="22"/>
        </w:rPr>
        <w:t>Fair Distribution</w:t>
      </w:r>
      <w:r>
        <w:rPr>
          <w:i/>
          <w:iCs/>
          <w:szCs w:val="22"/>
        </w:rPr>
        <w:t xml:space="preserve"> Order</w:t>
      </w:r>
      <w:r>
        <w:rPr>
          <w:szCs w:val="22"/>
        </w:rPr>
        <w:t xml:space="preserve"> relied on the incorrect fair distribution exhibit when analyzing the Elijah Application, specifically relying on the exhibit provided in the original application instead of the</w:t>
      </w:r>
      <w:r w:rsidR="00962DB7">
        <w:rPr>
          <w:szCs w:val="22"/>
        </w:rPr>
        <w:t xml:space="preserve"> revised exhibit in the</w:t>
      </w:r>
      <w:r>
        <w:rPr>
          <w:szCs w:val="22"/>
        </w:rPr>
        <w:t xml:space="preserve"> application as amended on January </w:t>
      </w:r>
      <w:r w:rsidR="004E18B5">
        <w:rPr>
          <w:szCs w:val="22"/>
        </w:rPr>
        <w:t>28</w:t>
      </w:r>
      <w:r>
        <w:rPr>
          <w:szCs w:val="22"/>
        </w:rPr>
        <w:t>,</w:t>
      </w:r>
      <w:r w:rsidR="004E18B5">
        <w:rPr>
          <w:szCs w:val="22"/>
        </w:rPr>
        <w:t xml:space="preserve"> </w:t>
      </w:r>
      <w:r>
        <w:rPr>
          <w:szCs w:val="22"/>
        </w:rPr>
        <w:t>2022.</w:t>
      </w:r>
      <w:r>
        <w:rPr>
          <w:rStyle w:val="FootnoteReference"/>
          <w:szCs w:val="22"/>
        </w:rPr>
        <w:footnoteReference w:id="15"/>
      </w:r>
      <w:r>
        <w:rPr>
          <w:szCs w:val="22"/>
        </w:rPr>
        <w:t xml:space="preserve">  The </w:t>
      </w:r>
      <w:r w:rsidRPr="004E18B5">
        <w:rPr>
          <w:i/>
          <w:iCs/>
          <w:szCs w:val="22"/>
        </w:rPr>
        <w:t>NCE</w:t>
      </w:r>
      <w:r w:rsidR="00327360">
        <w:rPr>
          <w:i/>
          <w:iCs/>
          <w:szCs w:val="22"/>
        </w:rPr>
        <w:t xml:space="preserve"> MX</w:t>
      </w:r>
      <w:r w:rsidRPr="004E18B5">
        <w:rPr>
          <w:i/>
          <w:iCs/>
          <w:szCs w:val="22"/>
        </w:rPr>
        <w:t xml:space="preserve"> Group 59B </w:t>
      </w:r>
      <w:r w:rsidR="00327360">
        <w:rPr>
          <w:i/>
          <w:iCs/>
          <w:szCs w:val="22"/>
        </w:rPr>
        <w:t>Order</w:t>
      </w:r>
      <w:r>
        <w:rPr>
          <w:szCs w:val="22"/>
        </w:rPr>
        <w:t xml:space="preserve"> also mistakenly relied on </w:t>
      </w:r>
      <w:r w:rsidR="00635F7F">
        <w:rPr>
          <w:szCs w:val="22"/>
        </w:rPr>
        <w:t xml:space="preserve">Elijah’s </w:t>
      </w:r>
      <w:r>
        <w:rPr>
          <w:szCs w:val="22"/>
        </w:rPr>
        <w:t xml:space="preserve">original </w:t>
      </w:r>
      <w:r w:rsidR="001B59EE">
        <w:rPr>
          <w:szCs w:val="22"/>
        </w:rPr>
        <w:t xml:space="preserve">fair distribution </w:t>
      </w:r>
      <w:r>
        <w:rPr>
          <w:szCs w:val="22"/>
        </w:rPr>
        <w:t>exhibit instead of</w:t>
      </w:r>
      <w:r>
        <w:rPr>
          <w:szCs w:val="22"/>
        </w:rPr>
        <w:t xml:space="preserve"> </w:t>
      </w:r>
      <w:r w:rsidR="00635F7F">
        <w:rPr>
          <w:szCs w:val="22"/>
        </w:rPr>
        <w:t>its</w:t>
      </w:r>
      <w:r>
        <w:rPr>
          <w:szCs w:val="22"/>
        </w:rPr>
        <w:t xml:space="preserve"> revised </w:t>
      </w:r>
      <w:r w:rsidR="004E18B5">
        <w:rPr>
          <w:szCs w:val="22"/>
        </w:rPr>
        <w:t>exhibit</w:t>
      </w:r>
      <w:r>
        <w:rPr>
          <w:szCs w:val="22"/>
        </w:rPr>
        <w:t xml:space="preserve">.  </w:t>
      </w:r>
      <w:r w:rsidR="004E18B5">
        <w:rPr>
          <w:szCs w:val="22"/>
        </w:rPr>
        <w:t>Accordingly</w:t>
      </w:r>
      <w:r>
        <w:rPr>
          <w:szCs w:val="22"/>
        </w:rPr>
        <w:t xml:space="preserve">, we rescind the </w:t>
      </w:r>
      <w:r>
        <w:rPr>
          <w:i/>
          <w:iCs/>
          <w:szCs w:val="22"/>
        </w:rPr>
        <w:t xml:space="preserve">NCE Group </w:t>
      </w:r>
      <w:r w:rsidR="00327360">
        <w:rPr>
          <w:i/>
          <w:iCs/>
          <w:szCs w:val="22"/>
        </w:rPr>
        <w:t xml:space="preserve">MX </w:t>
      </w:r>
      <w:r>
        <w:rPr>
          <w:i/>
          <w:iCs/>
          <w:szCs w:val="22"/>
        </w:rPr>
        <w:t>59B Order</w:t>
      </w:r>
      <w:r>
        <w:rPr>
          <w:szCs w:val="22"/>
        </w:rPr>
        <w:t xml:space="preserve"> to the extent it identified the Elijah Application as the new tentative selectee of NCE MX Group 59B and conduct a new fair distribution analysis</w:t>
      </w:r>
      <w:r w:rsidR="001B59EE">
        <w:rPr>
          <w:szCs w:val="22"/>
        </w:rPr>
        <w:t xml:space="preserve"> </w:t>
      </w:r>
      <w:r w:rsidR="00E10E40">
        <w:rPr>
          <w:szCs w:val="22"/>
        </w:rPr>
        <w:t>considering</w:t>
      </w:r>
      <w:r w:rsidR="001B59EE">
        <w:rPr>
          <w:szCs w:val="22"/>
        </w:rPr>
        <w:t xml:space="preserve"> Elijah’s revised fair distribution exhibit</w:t>
      </w:r>
      <w:r>
        <w:rPr>
          <w:szCs w:val="22"/>
        </w:rPr>
        <w:t>.</w:t>
      </w:r>
      <w:r>
        <w:rPr>
          <w:rStyle w:val="FootnoteReference"/>
          <w:szCs w:val="22"/>
        </w:rPr>
        <w:footnoteReference w:id="16"/>
      </w:r>
      <w:r>
        <w:rPr>
          <w:szCs w:val="22"/>
        </w:rPr>
        <w:t xml:space="preserve"> </w:t>
      </w:r>
    </w:p>
    <w:p w:rsidR="003063F3" w:rsidP="00E2757D" w14:paraId="0D5DD21C" w14:textId="09242691">
      <w:pPr>
        <w:pStyle w:val="ParaNum"/>
        <w:numPr>
          <w:ilvl w:val="0"/>
          <w:numId w:val="0"/>
        </w:numPr>
        <w:ind w:firstLine="720"/>
      </w:pPr>
      <w:r w:rsidRPr="003063F3">
        <w:t>Elijah and GPTC each claims that it is eligible for a fair distribution preference based on combined first and second NCE population totals.</w:t>
      </w:r>
      <w:r>
        <w:rPr>
          <w:vertAlign w:val="superscript"/>
        </w:rPr>
        <w:footnoteReference w:id="17"/>
      </w:r>
      <w:r w:rsidRPr="003063F3">
        <w:t xml:space="preserve">  The other applicants do not.  Accordingly, Big Bend, Faith, Church </w:t>
      </w:r>
      <w:r w:rsidRPr="00C1213F">
        <w:t xml:space="preserve">Planters, and </w:t>
      </w:r>
      <w:r w:rsidRPr="00C1213F">
        <w:t>Bemiss</w:t>
      </w:r>
      <w:r w:rsidRPr="00C1213F">
        <w:t xml:space="preserve"> are each eliminated.  Elijah would provide a combined first and second NCE service to 2,149 people; and GPTC to 6,971 people.  </w:t>
      </w:r>
      <w:r w:rsidRPr="00C1213F">
        <w:rPr>
          <w:szCs w:val="22"/>
        </w:rPr>
        <w:t>The proposals are comparable because neither exceeds the other</w:t>
      </w:r>
      <w:r w:rsidRPr="00A87FFE">
        <w:rPr>
          <w:szCs w:val="22"/>
        </w:rPr>
        <w:t xml:space="preserve"> by at least 5,000 people.</w:t>
      </w:r>
      <w:bookmarkStart w:id="3" w:name="_Hlk125466855"/>
      <w:r>
        <w:rPr>
          <w:szCs w:val="22"/>
          <w:vertAlign w:val="superscript"/>
        </w:rPr>
        <w:footnoteReference w:id="18"/>
      </w:r>
      <w:bookmarkEnd w:id="3"/>
      <w:r w:rsidRPr="00A87FFE">
        <w:rPr>
          <w:szCs w:val="22"/>
        </w:rPr>
        <w:t xml:space="preserve"> </w:t>
      </w:r>
      <w:r w:rsidR="003C30F2">
        <w:rPr>
          <w:szCs w:val="22"/>
        </w:rPr>
        <w:t xml:space="preserve"> </w:t>
      </w:r>
      <w:r>
        <w:rPr>
          <w:szCs w:val="22"/>
        </w:rPr>
        <w:t>Thus, we are unable to designate a tentative selectee under a 307(b) fair distribution analysis, and GPTC and Elijah will proceed to a point system analysis.</w:t>
      </w:r>
    </w:p>
    <w:p w:rsidR="00C1213F" w:rsidP="00C1213F" w14:paraId="290E2939" w14:textId="77777777">
      <w:pPr>
        <w:widowControl w:val="0"/>
        <w:spacing w:after="120"/>
        <w:ind w:firstLine="720"/>
        <w:rPr>
          <w:snapToGrid w:val="0"/>
          <w:kern w:val="28"/>
          <w:sz w:val="22"/>
          <w:szCs w:val="22"/>
        </w:rPr>
      </w:pPr>
      <w:r w:rsidRPr="00A87FFE">
        <w:rPr>
          <w:snapToGrid w:val="0"/>
          <w:kern w:val="28"/>
          <w:sz w:val="22"/>
          <w:szCs w:val="22"/>
        </w:rPr>
        <w:t>The point system analysis, which is conducted when section 307(b) is not determinative, must be conducted by the Commission, as this analysis is considered a simplified “hearing” for purposes of section 155(c)(1) of the Act.</w:t>
      </w:r>
      <w:r>
        <w:rPr>
          <w:snapToGrid w:val="0"/>
          <w:kern w:val="28"/>
          <w:sz w:val="22"/>
          <w:szCs w:val="22"/>
          <w:vertAlign w:val="superscript"/>
        </w:rPr>
        <w:footnoteReference w:id="19"/>
      </w:r>
      <w:r w:rsidRPr="00A87FFE">
        <w:rPr>
          <w:snapToGrid w:val="0"/>
          <w:kern w:val="28"/>
          <w:sz w:val="22"/>
          <w:szCs w:val="22"/>
        </w:rPr>
        <w:t xml:space="preserve">  Accordingly we have referred the matter to the Commission to make a determination under a point system analysis.</w:t>
      </w:r>
      <w:r>
        <w:rPr>
          <w:snapToGrid w:val="0"/>
          <w:kern w:val="28"/>
          <w:sz w:val="22"/>
          <w:szCs w:val="22"/>
          <w:vertAlign w:val="superscript"/>
        </w:rPr>
        <w:footnoteReference w:id="20"/>
      </w:r>
      <w:r>
        <w:rPr>
          <w:snapToGrid w:val="0"/>
          <w:kern w:val="28"/>
          <w:sz w:val="22"/>
          <w:szCs w:val="22"/>
        </w:rPr>
        <w:t xml:space="preserve"> </w:t>
      </w:r>
    </w:p>
    <w:p w:rsidR="00A87FFE" w:rsidRPr="00C1213F" w:rsidP="00C1213F" w14:paraId="77AFD200" w14:textId="1F503132">
      <w:pPr>
        <w:widowControl w:val="0"/>
        <w:spacing w:after="120"/>
        <w:ind w:firstLine="720"/>
        <w:rPr>
          <w:snapToGrid w:val="0"/>
          <w:kern w:val="28"/>
          <w:sz w:val="22"/>
          <w:szCs w:val="22"/>
        </w:rPr>
      </w:pPr>
      <w:r w:rsidRPr="00B31F60">
        <w:rPr>
          <w:bCs/>
          <w:i/>
          <w:iCs/>
          <w:sz w:val="22"/>
          <w:szCs w:val="22"/>
        </w:rPr>
        <w:t>Conclusion/Action.</w:t>
      </w:r>
      <w:r w:rsidRPr="00E146CF">
        <w:rPr>
          <w:b/>
          <w:sz w:val="22"/>
          <w:szCs w:val="22"/>
        </w:rPr>
        <w:t xml:space="preserve">  </w:t>
      </w:r>
      <w:r w:rsidRPr="00A87FFE">
        <w:rPr>
          <w:rFonts w:eastAsia="Calibri"/>
          <w:noProof/>
          <w:sz w:val="22"/>
          <w:szCs w:val="22"/>
        </w:rPr>
        <w:t xml:space="preserve">For the reasons discussed above, </w:t>
      </w:r>
      <w:r w:rsidRPr="00A87FFE">
        <w:rPr>
          <w:rFonts w:eastAsia="Calibri"/>
          <w:b/>
          <w:bCs/>
          <w:noProof/>
          <w:sz w:val="22"/>
          <w:szCs w:val="22"/>
        </w:rPr>
        <w:t>IT IS ORDERED</w:t>
      </w:r>
      <w:r w:rsidRPr="00A87FFE">
        <w:rPr>
          <w:rFonts w:eastAsia="Calibri"/>
          <w:noProof/>
          <w:sz w:val="22"/>
          <w:szCs w:val="22"/>
        </w:rPr>
        <w:t xml:space="preserve"> that the Petition to Deny (Pleading File No. </w:t>
      </w:r>
      <w:r w:rsidR="00756508">
        <w:rPr>
          <w:rFonts w:eastAsia="Calibri"/>
          <w:noProof/>
          <w:sz w:val="22"/>
          <w:szCs w:val="22"/>
        </w:rPr>
        <w:t>0000</w:t>
      </w:r>
      <w:r w:rsidRPr="00A87FFE">
        <w:rPr>
          <w:rFonts w:eastAsia="Calibri"/>
          <w:noProof/>
          <w:sz w:val="22"/>
          <w:szCs w:val="22"/>
        </w:rPr>
        <w:t>20</w:t>
      </w:r>
      <w:r w:rsidR="00E2757D">
        <w:rPr>
          <w:rFonts w:eastAsia="Calibri"/>
          <w:noProof/>
          <w:sz w:val="22"/>
          <w:szCs w:val="22"/>
        </w:rPr>
        <w:t>4974</w:t>
      </w:r>
      <w:r w:rsidRPr="00A87FFE">
        <w:rPr>
          <w:rFonts w:eastAsia="Calibri"/>
          <w:noProof/>
          <w:sz w:val="22"/>
          <w:szCs w:val="22"/>
        </w:rPr>
        <w:t xml:space="preserve">) filed by </w:t>
      </w:r>
      <w:r w:rsidR="00E2757D">
        <w:rPr>
          <w:rFonts w:eastAsia="Calibri"/>
          <w:noProof/>
          <w:sz w:val="22"/>
          <w:szCs w:val="22"/>
        </w:rPr>
        <w:t>Georgia Public Telecommunication</w:t>
      </w:r>
      <w:r w:rsidR="00C409C1">
        <w:rPr>
          <w:rFonts w:eastAsia="Calibri"/>
          <w:noProof/>
          <w:sz w:val="22"/>
          <w:szCs w:val="22"/>
        </w:rPr>
        <w:t>s</w:t>
      </w:r>
      <w:r w:rsidR="00E2757D">
        <w:rPr>
          <w:rFonts w:eastAsia="Calibri"/>
          <w:noProof/>
          <w:sz w:val="22"/>
          <w:szCs w:val="22"/>
        </w:rPr>
        <w:t xml:space="preserve"> Commission</w:t>
      </w:r>
      <w:r w:rsidRPr="00A87FFE">
        <w:rPr>
          <w:rFonts w:eastAsia="Calibri"/>
          <w:noProof/>
          <w:sz w:val="22"/>
          <w:szCs w:val="22"/>
        </w:rPr>
        <w:t xml:space="preserve"> on December 9, 2022, </w:t>
      </w:r>
      <w:r w:rsidRPr="00A87FFE">
        <w:rPr>
          <w:rFonts w:eastAsia="Calibri"/>
          <w:b/>
          <w:bCs/>
          <w:noProof/>
          <w:sz w:val="22"/>
          <w:szCs w:val="22"/>
        </w:rPr>
        <w:t xml:space="preserve">IS </w:t>
      </w:r>
      <w:r w:rsidR="00756508">
        <w:rPr>
          <w:rFonts w:eastAsia="Calibri"/>
          <w:b/>
          <w:bCs/>
          <w:noProof/>
          <w:sz w:val="22"/>
          <w:szCs w:val="22"/>
        </w:rPr>
        <w:t>DISMISSED AS MOOT</w:t>
      </w:r>
      <w:r w:rsidRPr="00A87FFE">
        <w:rPr>
          <w:rFonts w:eastAsia="Calibri"/>
          <w:noProof/>
          <w:sz w:val="22"/>
          <w:szCs w:val="22"/>
        </w:rPr>
        <w:t xml:space="preserve">.  </w:t>
      </w:r>
    </w:p>
    <w:p w:rsidR="003063F3" w:rsidRPr="00A87FFE" w:rsidP="003063F3" w14:paraId="03AF546B" w14:textId="77777777">
      <w:pPr>
        <w:widowControl w:val="0"/>
        <w:spacing w:after="120"/>
        <w:ind w:firstLine="720"/>
        <w:contextualSpacing/>
        <w:rPr>
          <w:rFonts w:eastAsia="Calibri"/>
          <w:noProof/>
          <w:sz w:val="22"/>
          <w:szCs w:val="22"/>
        </w:rPr>
      </w:pPr>
    </w:p>
    <w:p w:rsidR="003E7282" w:rsidP="003E7282" w14:paraId="1BCAD9FC" w14:textId="23D93EAF">
      <w:pPr>
        <w:keepNext/>
        <w:keepLines/>
        <w:tabs>
          <w:tab w:val="left" w:pos="0"/>
        </w:tabs>
        <w:suppressAutoHyphens/>
        <w:spacing w:after="120"/>
        <w:outlineLvl w:val="0"/>
        <w:rPr>
          <w:b/>
          <w:bCs/>
          <w:sz w:val="22"/>
          <w:szCs w:val="22"/>
        </w:rPr>
      </w:pPr>
      <w:r w:rsidRPr="00A87FFE">
        <w:rPr>
          <w:rFonts w:eastAsia="Calibri"/>
          <w:noProof/>
          <w:sz w:val="22"/>
          <w:szCs w:val="22"/>
        </w:rPr>
        <w:tab/>
      </w:r>
      <w:r w:rsidRPr="00A87FFE">
        <w:rPr>
          <w:rFonts w:eastAsia="Calibri"/>
          <w:b/>
          <w:bCs/>
          <w:noProof/>
          <w:sz w:val="22"/>
          <w:szCs w:val="22"/>
        </w:rPr>
        <w:t>IT IS FURTHER ORDERED</w:t>
      </w:r>
      <w:r w:rsidRPr="00A87FFE">
        <w:rPr>
          <w:rFonts w:eastAsia="Calibri"/>
          <w:noProof/>
          <w:sz w:val="22"/>
          <w:szCs w:val="22"/>
        </w:rPr>
        <w:t xml:space="preserve">, that the tentative selection of the application of </w:t>
      </w:r>
      <w:r>
        <w:rPr>
          <w:rFonts w:eastAsia="Calibri"/>
          <w:noProof/>
          <w:sz w:val="22"/>
          <w:szCs w:val="22"/>
        </w:rPr>
        <w:t>Elijah Radio</w:t>
      </w:r>
      <w:r w:rsidRPr="00A87FFE">
        <w:rPr>
          <w:rFonts w:eastAsia="Calibri"/>
          <w:noProof/>
          <w:sz w:val="22"/>
          <w:szCs w:val="22"/>
        </w:rPr>
        <w:t xml:space="preserve"> (</w:t>
      </w:r>
      <w:r w:rsidR="003063F3">
        <w:rPr>
          <w:rFonts w:eastAsia="Calibri"/>
          <w:noProof/>
          <w:sz w:val="22"/>
          <w:szCs w:val="22"/>
        </w:rPr>
        <w:t xml:space="preserve">Application </w:t>
      </w:r>
      <w:r w:rsidRPr="00A87FFE">
        <w:rPr>
          <w:rFonts w:eastAsia="Calibri"/>
          <w:noProof/>
          <w:sz w:val="22"/>
          <w:szCs w:val="22"/>
        </w:rPr>
        <w:t xml:space="preserve">File No. </w:t>
      </w:r>
      <w:r w:rsidRPr="006042E8">
        <w:rPr>
          <w:sz w:val="22"/>
          <w:szCs w:val="22"/>
        </w:rPr>
        <w:t>0000167410</w:t>
      </w:r>
      <w:r w:rsidRPr="00A87FFE">
        <w:rPr>
          <w:rFonts w:eastAsia="Calibri"/>
          <w:noProof/>
          <w:sz w:val="22"/>
          <w:szCs w:val="22"/>
        </w:rPr>
        <w:t xml:space="preserve">) for authority to construct a new noncommercial educational FM station at </w:t>
      </w:r>
      <w:r>
        <w:rPr>
          <w:rFonts w:eastAsia="Calibri"/>
          <w:noProof/>
          <w:sz w:val="22"/>
          <w:szCs w:val="22"/>
        </w:rPr>
        <w:t>Dasher, Georgia</w:t>
      </w:r>
      <w:r w:rsidRPr="00A87FFE">
        <w:rPr>
          <w:rFonts w:eastAsia="Calibri"/>
          <w:noProof/>
          <w:sz w:val="22"/>
          <w:szCs w:val="22"/>
        </w:rPr>
        <w:t xml:space="preserve">, </w:t>
      </w:r>
      <w:r w:rsidRPr="00A87FFE">
        <w:rPr>
          <w:b/>
          <w:bCs/>
          <w:sz w:val="22"/>
          <w:szCs w:val="22"/>
        </w:rPr>
        <w:t>IS RESCINDED</w:t>
      </w:r>
      <w:r w:rsidR="00635F7F">
        <w:rPr>
          <w:b/>
          <w:bCs/>
          <w:sz w:val="22"/>
          <w:szCs w:val="22"/>
        </w:rPr>
        <w:t>.</w:t>
      </w:r>
    </w:p>
    <w:p w:rsidR="003E7282" w:rsidP="003E7282" w14:paraId="76834878" w14:textId="77777777">
      <w:pPr>
        <w:keepNext/>
        <w:keepLines/>
        <w:tabs>
          <w:tab w:val="left" w:pos="0"/>
        </w:tabs>
        <w:suppressAutoHyphens/>
        <w:spacing w:after="120"/>
        <w:outlineLvl w:val="0"/>
        <w:rPr>
          <w:b/>
          <w:bCs/>
          <w:sz w:val="22"/>
          <w:szCs w:val="22"/>
        </w:rPr>
      </w:pPr>
    </w:p>
    <w:p w:rsidR="003E7282" w:rsidRPr="00E146CF" w:rsidP="003E7282" w14:paraId="258011F7" w14:textId="2899DB7D">
      <w:pPr>
        <w:keepNext/>
        <w:keepLines/>
        <w:tabs>
          <w:tab w:val="left" w:pos="-1440"/>
          <w:tab w:val="left" w:pos="-720"/>
          <w:tab w:val="left" w:pos="5040"/>
          <w:tab w:val="left" w:pos="5760"/>
          <w:tab w:val="right" w:pos="9360"/>
        </w:tabs>
        <w:suppressAutoHyphens/>
        <w:rPr>
          <w:sz w:val="22"/>
          <w:szCs w:val="22"/>
        </w:rPr>
      </w:pPr>
      <w:r>
        <w:rPr>
          <w:sz w:val="22"/>
          <w:szCs w:val="22"/>
        </w:rPr>
        <w:tab/>
      </w:r>
      <w:r w:rsidRPr="00E146CF">
        <w:rPr>
          <w:sz w:val="22"/>
          <w:szCs w:val="22"/>
        </w:rPr>
        <w:t>Sincerely,</w:t>
      </w:r>
    </w:p>
    <w:p w:rsidR="003E7282" w:rsidRPr="00E146CF" w:rsidP="003E7282" w14:paraId="3D3DF9A3" w14:textId="77777777">
      <w:pPr>
        <w:keepNext/>
        <w:keepLines/>
        <w:tabs>
          <w:tab w:val="left" w:pos="-1440"/>
          <w:tab w:val="left" w:pos="-720"/>
          <w:tab w:val="left" w:pos="5040"/>
          <w:tab w:val="left" w:pos="5760"/>
          <w:tab w:val="right" w:pos="9360"/>
        </w:tabs>
        <w:suppressAutoHyphens/>
        <w:rPr>
          <w:sz w:val="22"/>
          <w:szCs w:val="22"/>
        </w:rPr>
      </w:pPr>
    </w:p>
    <w:p w:rsidR="003E7282" w:rsidRPr="00E146CF" w:rsidP="003E7282" w14:paraId="0D9EB1F1" w14:textId="77777777">
      <w:pPr>
        <w:keepNext/>
        <w:keepLines/>
        <w:tabs>
          <w:tab w:val="left" w:pos="-1440"/>
          <w:tab w:val="left" w:pos="-720"/>
          <w:tab w:val="left" w:pos="5040"/>
          <w:tab w:val="left" w:pos="5760"/>
          <w:tab w:val="right" w:pos="9360"/>
        </w:tabs>
        <w:suppressAutoHyphens/>
        <w:rPr>
          <w:sz w:val="22"/>
          <w:szCs w:val="22"/>
        </w:rPr>
      </w:pPr>
    </w:p>
    <w:p w:rsidR="003E7282" w:rsidRPr="00E146CF" w:rsidP="003E7282" w14:paraId="1C1D2838" w14:textId="77777777">
      <w:pPr>
        <w:keepNext/>
        <w:keepLines/>
        <w:tabs>
          <w:tab w:val="left" w:pos="-1440"/>
          <w:tab w:val="left" w:pos="-720"/>
          <w:tab w:val="left" w:pos="5040"/>
          <w:tab w:val="left" w:pos="5760"/>
          <w:tab w:val="right" w:pos="9360"/>
        </w:tabs>
        <w:suppressAutoHyphens/>
        <w:rPr>
          <w:sz w:val="22"/>
          <w:szCs w:val="22"/>
        </w:rPr>
      </w:pPr>
    </w:p>
    <w:p w:rsidR="003E7282" w:rsidRPr="00E146CF" w:rsidP="003E7282" w14:paraId="259CB2A1"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 xml:space="preserve">Albert Shuldiner  </w:t>
      </w:r>
    </w:p>
    <w:p w:rsidR="003E7282" w:rsidRPr="00E146CF" w:rsidP="003E7282" w14:paraId="077D8C81"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Chief, Audio Division</w:t>
      </w:r>
    </w:p>
    <w:p w:rsidR="003E7282" w:rsidRPr="00E146CF" w:rsidP="003E7282" w14:paraId="7683E54F" w14:textId="77777777">
      <w:pPr>
        <w:keepNext/>
        <w:keepLines/>
        <w:tabs>
          <w:tab w:val="left" w:pos="-1440"/>
          <w:tab w:val="left" w:pos="-720"/>
          <w:tab w:val="left" w:pos="5040"/>
          <w:tab w:val="left" w:pos="5760"/>
          <w:tab w:val="right" w:pos="9360"/>
        </w:tabs>
        <w:suppressAutoHyphens/>
        <w:spacing w:after="240"/>
        <w:rPr>
          <w:sz w:val="22"/>
          <w:szCs w:val="22"/>
        </w:rPr>
      </w:pPr>
      <w:r w:rsidRPr="00E146CF">
        <w:rPr>
          <w:sz w:val="22"/>
          <w:szCs w:val="22"/>
        </w:rPr>
        <w:tab/>
        <w:t>Media Bureau</w:t>
      </w:r>
    </w:p>
    <w:p w:rsidR="00A87FFE" w:rsidRPr="00A87FFE" w:rsidP="00A87FFE" w14:paraId="2F184C00" w14:textId="5019529E">
      <w:pPr>
        <w:tabs>
          <w:tab w:val="left" w:pos="0"/>
        </w:tabs>
        <w:suppressAutoHyphens/>
        <w:spacing w:after="120"/>
        <w:outlineLvl w:val="0"/>
        <w:rPr>
          <w:rFonts w:eastAsia="Calibri"/>
          <w:i/>
          <w:iCs/>
          <w:noProof/>
          <w:sz w:val="22"/>
          <w:szCs w:val="22"/>
        </w:rPr>
      </w:pPr>
      <w:r w:rsidRPr="00A87FFE">
        <w:rPr>
          <w:rFonts w:eastAsia="Calibri"/>
          <w:i/>
          <w:iCs/>
          <w:noProof/>
          <w:sz w:val="22"/>
          <w:szCs w:val="22"/>
        </w:rPr>
        <w:t>.</w:t>
      </w:r>
    </w:p>
    <w:p w:rsidR="00A87FFE" w:rsidRPr="00A87FFE" w:rsidP="00A87FFE" w14:paraId="22E32783" w14:textId="77777777">
      <w:pPr>
        <w:pStyle w:val="ParaNum"/>
        <w:widowControl/>
        <w:numPr>
          <w:ilvl w:val="0"/>
          <w:numId w:val="0"/>
        </w:numPr>
        <w:ind w:firstLine="720"/>
        <w:rPr>
          <w:szCs w:val="22"/>
        </w:rPr>
      </w:pPr>
    </w:p>
    <w:p w:rsidR="00A87FFE" w14:paraId="749F24A8" w14:textId="1AF88F8D">
      <w:pPr>
        <w:rPr>
          <w:sz w:val="22"/>
          <w:szCs w:val="22"/>
        </w:rPr>
      </w:pPr>
    </w:p>
    <w:p w:rsidR="00A87FFE" w14:paraId="0142BE89" w14:textId="78943E3F">
      <w:pPr>
        <w:rPr>
          <w:sz w:val="22"/>
          <w:szCs w:val="22"/>
        </w:rPr>
      </w:pPr>
    </w:p>
    <w:p w:rsidR="00A87FFE" w:rsidRPr="00A87FFE" w14:paraId="6A24E4BB" w14:textId="2467CA41">
      <w:pPr>
        <w:rPr>
          <w:sz w:val="22"/>
          <w:szCs w:val="22"/>
        </w:rPr>
      </w:pPr>
      <w:r>
        <w:rPr>
          <w:sz w:val="22"/>
          <w:szCs w:val="22"/>
        </w:rPr>
        <w:tab/>
      </w:r>
    </w:p>
    <w:sectPr>
      <w:footerReference w:type="default" r:id="rId11"/>
      <w:headerReference w:type="first" r:id="rId12"/>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339" w14:paraId="07B2F6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08B" w14:paraId="0286AD1B" w14:textId="77777777">
      <w:r>
        <w:separator/>
      </w:r>
    </w:p>
  </w:footnote>
  <w:footnote w:type="continuationSeparator" w:id="1">
    <w:p w:rsidR="0091008B" w14:paraId="67ADB4D2" w14:textId="77777777">
      <w:r>
        <w:continuationSeparator/>
      </w:r>
    </w:p>
  </w:footnote>
  <w:footnote w:id="2">
    <w:p w:rsidR="00F14B1C" w:rsidRPr="00B31F60" w14:paraId="064EE55F" w14:textId="63872525">
      <w:pPr>
        <w:pStyle w:val="FootnoteText"/>
      </w:pPr>
      <w:r w:rsidRPr="00B31F60">
        <w:rPr>
          <w:rStyle w:val="FootnoteReference"/>
        </w:rPr>
        <w:footnoteRef/>
      </w:r>
      <w:r w:rsidRPr="00B31F60">
        <w:t xml:space="preserve"> Application File Nos. 0000167</w:t>
      </w:r>
      <w:r w:rsidRPr="00B31F60" w:rsidR="00D947E1">
        <w:t>410</w:t>
      </w:r>
      <w:r w:rsidRPr="00B31F60">
        <w:t xml:space="preserve"> (</w:t>
      </w:r>
      <w:r w:rsidRPr="00B31F60" w:rsidR="00D947E1">
        <w:t>Elijah</w:t>
      </w:r>
      <w:r w:rsidRPr="00B31F60">
        <w:t xml:space="preserve"> Application)</w:t>
      </w:r>
      <w:r w:rsidRPr="00B31F60" w:rsidR="006042E8">
        <w:t xml:space="preserve">; 0000166291 (Big Bend Application); 0000167018 (GPTC Application); 0000165985 (Faith </w:t>
      </w:r>
      <w:r w:rsidRPr="00B31F60" w:rsidR="002602FE">
        <w:t>Application); 0000167096 (Church Planters Application); 0000167233 (Bemiss Application).</w:t>
      </w:r>
    </w:p>
  </w:footnote>
  <w:footnote w:id="3">
    <w:p w:rsidR="00A87FFE" w:rsidRPr="00B31F60" w:rsidP="00A87FFE" w14:paraId="39751E73" w14:textId="55E2BE47">
      <w:pPr>
        <w:pStyle w:val="FootnoteText"/>
      </w:pPr>
      <w:r w:rsidRPr="00B31F60">
        <w:rPr>
          <w:rStyle w:val="FootnoteReference"/>
        </w:rPr>
        <w:footnoteRef/>
      </w:r>
      <w:r w:rsidRPr="00B31F60">
        <w:t xml:space="preserve"> </w:t>
      </w:r>
      <w:r w:rsidRPr="00B31F60">
        <w:rPr>
          <w:i/>
          <w:iCs/>
        </w:rPr>
        <w:t>Media Bureau Identifies Groups of Mutually Exclusive Applications Submitted in the November 2021, Filing Window for New Noncommercial Education Stations; Opens Window to Accept Settlements and Technical Amendments</w:t>
      </w:r>
      <w:r w:rsidRPr="00B31F60">
        <w:t>, MB Docket No. 20-343, Public Notice, DA 21-1476 (MB Nov. 29, 2021</w:t>
      </w:r>
      <w:r w:rsidRPr="00B31F60" w:rsidR="00F14B1C">
        <w:t xml:space="preserve">).  Group 59, which originally contained 17 applications, was bifurcated as a result of a technical amendment. </w:t>
      </w:r>
    </w:p>
  </w:footnote>
  <w:footnote w:id="4">
    <w:p w:rsidR="00A87FFE" w:rsidRPr="00B31F60" w:rsidP="00A87FFE" w14:paraId="5D1DE8F5" w14:textId="38669FF2">
      <w:pPr>
        <w:pStyle w:val="FootnoteText"/>
      </w:pPr>
      <w:r w:rsidRPr="00B31F60">
        <w:rPr>
          <w:rStyle w:val="FootnoteReference"/>
        </w:rPr>
        <w:footnoteRef/>
      </w:r>
      <w:r w:rsidRPr="00B31F60">
        <w:t xml:space="preserve"> </w:t>
      </w:r>
      <w:r w:rsidRPr="00B31F60" w:rsidR="00F14B1C">
        <w:rPr>
          <w:i/>
          <w:iCs/>
        </w:rPr>
        <w:t>Threshold Fair Distribution Analysis of 1 Group of Mutually Exclusive Applications for Permits to Construct New Noncommercial Educational FM Stations</w:t>
      </w:r>
      <w:r w:rsidRPr="00B31F60" w:rsidR="00F14B1C">
        <w:t>, Memorandum Opinion and Order</w:t>
      </w:r>
      <w:r w:rsidRPr="00B31F60" w:rsidR="006042E8">
        <w:t>, DA 23-59</w:t>
      </w:r>
      <w:r w:rsidRPr="00B31F60" w:rsidR="00F14B1C">
        <w:t xml:space="preserve"> (MB Jan. 23, 202</w:t>
      </w:r>
      <w:r w:rsidRPr="00B31F60" w:rsidR="00BD19A0">
        <w:t>3</w:t>
      </w:r>
      <w:r w:rsidRPr="00B31F60" w:rsidR="00F14B1C">
        <w:t>) (</w:t>
      </w:r>
      <w:r w:rsidRPr="00B31F60" w:rsidR="00F14B1C">
        <w:rPr>
          <w:i/>
          <w:iCs/>
        </w:rPr>
        <w:t>NCE MX Group 59B Order</w:t>
      </w:r>
      <w:r w:rsidRPr="00B31F60" w:rsidR="00F14B1C">
        <w:t>).</w:t>
      </w:r>
    </w:p>
  </w:footnote>
  <w:footnote w:id="5">
    <w:p w:rsidR="00327360" w:rsidRPr="00B31F60" w14:paraId="62856F81" w14:textId="62D272EF">
      <w:pPr>
        <w:pStyle w:val="FootnoteText"/>
      </w:pPr>
      <w:r w:rsidRPr="00B31F60">
        <w:rPr>
          <w:rStyle w:val="FootnoteReference"/>
        </w:rPr>
        <w:footnoteRef/>
      </w:r>
      <w:r w:rsidRPr="00B31F60">
        <w:t xml:space="preserve"> </w:t>
      </w:r>
      <w:r w:rsidRPr="00B31F60" w:rsidR="006042E8">
        <w:t>Pleading File No. 000020497</w:t>
      </w:r>
      <w:r w:rsidRPr="00B31F60" w:rsidR="00A5544E">
        <w:t>4</w:t>
      </w:r>
      <w:r w:rsidRPr="00B31F60" w:rsidR="006042E8">
        <w:t xml:space="preserve"> (filed Dec. 9, 2022) (GPTC Petition).  Big Bend did not file an opposition to this pleading.</w:t>
      </w:r>
    </w:p>
  </w:footnote>
  <w:footnote w:id="6">
    <w:p w:rsidR="008B26C7" w:rsidRPr="00B31F60" w14:paraId="420693D7" w14:textId="4517B1A6">
      <w:pPr>
        <w:pStyle w:val="FootnoteText"/>
      </w:pPr>
      <w:r w:rsidRPr="00B31F60">
        <w:rPr>
          <w:rStyle w:val="FootnoteReference"/>
        </w:rPr>
        <w:footnoteRef/>
      </w:r>
      <w:r w:rsidRPr="00B31F60">
        <w:t xml:space="preserve"> </w:t>
      </w:r>
      <w:r w:rsidRPr="00B31F60">
        <w:rPr>
          <w:i/>
          <w:iCs/>
        </w:rPr>
        <w:t>See</w:t>
      </w:r>
      <w:r w:rsidRPr="00B31F60">
        <w:t xml:space="preserve"> 47 CFR § 1.108 (Commission may, on its own motion, reconsider any action within 30 days).  </w:t>
      </w:r>
    </w:p>
  </w:footnote>
  <w:footnote w:id="7">
    <w:p w:rsidR="00A87FFE" w:rsidRPr="00B31F60" w:rsidP="00A87FFE" w14:paraId="59D1D20E" w14:textId="77777777">
      <w:pPr>
        <w:pStyle w:val="FootnoteText"/>
      </w:pPr>
      <w:r w:rsidRPr="00B31F60">
        <w:rPr>
          <w:rStyle w:val="FootnoteReference"/>
        </w:rPr>
        <w:footnoteRef/>
      </w:r>
      <w:r w:rsidRPr="00B31F60">
        <w:t xml:space="preserve"> </w:t>
      </w:r>
      <w:r w:rsidRPr="00B31F60">
        <w:rPr>
          <w:i/>
          <w:iCs/>
        </w:rPr>
        <w:t>See</w:t>
      </w:r>
      <w:r w:rsidRPr="00B31F60">
        <w:t xml:space="preserve"> 47 CFR § 73.7002(b).  The point system analysis, conducted when the section 307(b) analysis is not determinative, is considered a simplified “hearing” for purposes of 47 U.S.C. § 155(c)(1).  </w:t>
      </w:r>
      <w:r w:rsidRPr="00B31F60">
        <w:rPr>
          <w:i/>
          <w:iCs/>
        </w:rPr>
        <w:t xml:space="preserve">See </w:t>
      </w:r>
      <w:r w:rsidRPr="00B31F60">
        <w:rPr>
          <w:i/>
        </w:rPr>
        <w:t xml:space="preserve">Reexamination of the Comparative Standards for Noncommercial Educational Applicants, </w:t>
      </w:r>
      <w:r w:rsidRPr="00B31F60">
        <w:rPr>
          <w:iCs/>
        </w:rPr>
        <w:t>Report and Order</w:t>
      </w:r>
      <w:r w:rsidRPr="00B31F60">
        <w:t>, 15 FCC Rcd 7386, 7420 (2001) (</w:t>
      </w:r>
      <w:r w:rsidRPr="00B31F60">
        <w:rPr>
          <w:i/>
          <w:iCs/>
        </w:rPr>
        <w:t>NCE Order</w:t>
      </w:r>
      <w:r w:rsidRPr="00B31F60">
        <w:t>).</w:t>
      </w:r>
    </w:p>
  </w:footnote>
  <w:footnote w:id="8">
    <w:p w:rsidR="00A87FFE" w:rsidRPr="00B31F60" w:rsidP="00A87FFE" w14:paraId="61743A13" w14:textId="77777777">
      <w:pPr>
        <w:pStyle w:val="FootnoteText"/>
      </w:pPr>
      <w:r w:rsidRPr="00B31F60">
        <w:rPr>
          <w:rStyle w:val="FootnoteReference"/>
        </w:rPr>
        <w:footnoteRef/>
      </w:r>
      <w:r w:rsidRPr="00B31F60">
        <w:t xml:space="preserve"> </w:t>
      </w:r>
      <w:r w:rsidRPr="00B31F60">
        <w:rPr>
          <w:i/>
          <w:iCs/>
        </w:rPr>
        <w:t>Media Bureau Announces NCE FM New Station Application Filing Window; Window Open from November 2, 2021, to November 9, 2021</w:t>
      </w:r>
      <w:r w:rsidRPr="00B31F60">
        <w:t>, MB Docket No. 20-343, Public Notice, 36 FCC Rcd 7449 (MB 2021).</w:t>
      </w:r>
    </w:p>
  </w:footnote>
  <w:footnote w:id="9">
    <w:p w:rsidR="00F14B1C" w:rsidRPr="00B31F60" w:rsidP="00F14B1C" w14:paraId="0FECAD9D" w14:textId="0C2D705C">
      <w:pPr>
        <w:pStyle w:val="FootnoteText"/>
      </w:pPr>
      <w:r w:rsidRPr="00B31F60">
        <w:rPr>
          <w:rStyle w:val="FootnoteReference"/>
        </w:rPr>
        <w:footnoteRef/>
      </w:r>
      <w:r w:rsidRPr="00B31F60">
        <w:t xml:space="preserve"> </w:t>
      </w:r>
      <w:r w:rsidRPr="00B31F60">
        <w:rPr>
          <w:i/>
          <w:iCs/>
        </w:rPr>
        <w:t>See</w:t>
      </w:r>
      <w:r w:rsidRPr="00B31F60">
        <w:t xml:space="preserve"> Application</w:t>
      </w:r>
      <w:r w:rsidRPr="00B31F60">
        <w:rPr>
          <w:i/>
          <w:iCs/>
        </w:rPr>
        <w:t xml:space="preserve"> </w:t>
      </w:r>
      <w:r w:rsidRPr="00B31F60">
        <w:t xml:space="preserve">File Nos. </w:t>
      </w:r>
      <w:r w:rsidRPr="00B31F60" w:rsidR="00D947E1">
        <w:t>0000</w:t>
      </w:r>
      <w:r w:rsidRPr="00B31F60">
        <w:t xml:space="preserve">167809 and </w:t>
      </w:r>
      <w:r w:rsidRPr="00B31F60" w:rsidR="00D947E1">
        <w:t>0000</w:t>
      </w:r>
      <w:r w:rsidRPr="00B31F60">
        <w:t>167493.</w:t>
      </w:r>
    </w:p>
  </w:footnote>
  <w:footnote w:id="10">
    <w:p w:rsidR="00F14B1C" w:rsidRPr="00B31F60" w:rsidP="00F14B1C" w14:paraId="5AA5653E" w14:textId="77777777">
      <w:pPr>
        <w:pStyle w:val="FootnoteText"/>
      </w:pPr>
      <w:r w:rsidRPr="00B31F60">
        <w:rPr>
          <w:rStyle w:val="FootnoteReference"/>
        </w:rPr>
        <w:footnoteRef/>
      </w:r>
      <w:r w:rsidRPr="00B31F60">
        <w:t xml:space="preserve"> </w:t>
      </w:r>
      <w:r w:rsidRPr="00B31F60">
        <w:rPr>
          <w:i/>
          <w:iCs/>
        </w:rPr>
        <w:t>See Threshold Fair Distribution Analysis of 13 Groups of Mutually Exclusive Applications for Permits to Construct New Noncommercial Educational FM Stations</w:t>
      </w:r>
      <w:r w:rsidRPr="00B31F60">
        <w:t xml:space="preserve">, Memorandum Opinion and Order, DA 22-477 at 4-5, para. 11 (MB May 2, 2022). </w:t>
      </w:r>
    </w:p>
  </w:footnote>
  <w:footnote w:id="11">
    <w:p w:rsidR="00F14B1C" w:rsidRPr="00B31F60" w:rsidP="00F14B1C" w14:paraId="62B0CB7E" w14:textId="42CB2386">
      <w:pPr>
        <w:pStyle w:val="FootnoteText"/>
      </w:pPr>
      <w:r w:rsidRPr="00B31F60">
        <w:rPr>
          <w:rStyle w:val="FootnoteReference"/>
        </w:rPr>
        <w:footnoteRef/>
      </w:r>
      <w:r w:rsidRPr="00B31F60">
        <w:t xml:space="preserve"> </w:t>
      </w:r>
      <w:r w:rsidRPr="00B31F60">
        <w:rPr>
          <w:i/>
          <w:iCs/>
        </w:rPr>
        <w:t>Threshold Fair Distribution Analysis of 5 Groups of Mutually Exclusive Applications for Permits to Construct New Noncommercial Educational FM Stations</w:t>
      </w:r>
      <w:r w:rsidRPr="00B31F60">
        <w:t>, Memorandum Opinion and Order, DA 22-1166, at 4-5, para. 10 (MB Nov. 9, 2022)</w:t>
      </w:r>
      <w:r w:rsidRPr="00B31F60" w:rsidR="00D947E1">
        <w:t xml:space="preserve"> (</w:t>
      </w:r>
      <w:r w:rsidRPr="00B31F60" w:rsidR="00D947E1">
        <w:rPr>
          <w:i/>
          <w:iCs/>
        </w:rPr>
        <w:t>November 2022 Fair Distribution Order</w:t>
      </w:r>
      <w:r w:rsidRPr="00B31F60" w:rsidR="00D947E1">
        <w:t>).</w:t>
      </w:r>
    </w:p>
  </w:footnote>
  <w:footnote w:id="12">
    <w:p w:rsidR="00F14B1C" w:rsidRPr="00B31F60" w:rsidP="00F14B1C" w14:paraId="337B876D" w14:textId="042B9BA5">
      <w:pPr>
        <w:pStyle w:val="FootnoteText"/>
      </w:pPr>
      <w:r w:rsidRPr="00B31F60">
        <w:rPr>
          <w:rStyle w:val="FootnoteReference"/>
        </w:rPr>
        <w:footnoteRef/>
      </w:r>
      <w:r w:rsidRPr="00B31F60">
        <w:t xml:space="preserve"> </w:t>
      </w:r>
      <w:r w:rsidRPr="00B31F60">
        <w:rPr>
          <w:i/>
          <w:iCs/>
        </w:rPr>
        <w:t xml:space="preserve">See </w:t>
      </w:r>
      <w:r w:rsidRPr="00B31F60" w:rsidR="003E7282">
        <w:t>Big Bend Application</w:t>
      </w:r>
      <w:r w:rsidRPr="00B31F60">
        <w:t xml:space="preserve">, Fair Distribution of Service Section and Attach. “Perry 210 Amendment Purpose.pdf” (filed Dec. 7, 2022).  </w:t>
      </w:r>
    </w:p>
  </w:footnote>
  <w:footnote w:id="13">
    <w:p w:rsidR="00F14B1C" w:rsidRPr="00B31F60" w14:paraId="23C61702" w14:textId="2EAD1879">
      <w:pPr>
        <w:pStyle w:val="FootnoteText"/>
      </w:pPr>
      <w:r w:rsidRPr="00B31F60">
        <w:rPr>
          <w:rStyle w:val="FootnoteReference"/>
        </w:rPr>
        <w:footnoteRef/>
      </w:r>
      <w:r w:rsidRPr="00B31F60">
        <w:t xml:space="preserve"> </w:t>
      </w:r>
      <w:r w:rsidRPr="00B31F60">
        <w:rPr>
          <w:i/>
          <w:iCs/>
        </w:rPr>
        <w:t>NCE MX Group 59B Order</w:t>
      </w:r>
      <w:r w:rsidRPr="00B31F60">
        <w:t xml:space="preserve"> at</w:t>
      </w:r>
      <w:r w:rsidRPr="00B31F60" w:rsidR="00327360">
        <w:t xml:space="preserve"> </w:t>
      </w:r>
      <w:r w:rsidRPr="00B31F60">
        <w:t>4, para. 10.</w:t>
      </w:r>
    </w:p>
  </w:footnote>
  <w:footnote w:id="14">
    <w:p w:rsidR="00C1213F" w:rsidRPr="00B31F60" w14:paraId="2B0DB738" w14:textId="58D5C4CC">
      <w:pPr>
        <w:pStyle w:val="FootnoteText"/>
      </w:pPr>
      <w:r w:rsidRPr="00B31F60">
        <w:rPr>
          <w:rStyle w:val="FootnoteReference"/>
        </w:rPr>
        <w:footnoteRef/>
      </w:r>
      <w:r w:rsidRPr="00B31F60">
        <w:t xml:space="preserve"> </w:t>
      </w:r>
      <w:r w:rsidRPr="00B31F60" w:rsidR="00B20D32">
        <w:t>Email from Margaret L. Miller, Counsel for GPTC, to Albert Shuldiner, Chief, Audio Division (January 23, 2023).</w:t>
      </w:r>
    </w:p>
  </w:footnote>
  <w:footnote w:id="15">
    <w:p w:rsidR="00A87FFE" w:rsidRPr="00B31F60" w14:paraId="039DD36A" w14:textId="687F565D">
      <w:pPr>
        <w:pStyle w:val="FootnoteText"/>
      </w:pPr>
      <w:r w:rsidRPr="00B31F60">
        <w:rPr>
          <w:rStyle w:val="FootnoteReference"/>
        </w:rPr>
        <w:footnoteRef/>
      </w:r>
      <w:r w:rsidRPr="00B31F60">
        <w:t xml:space="preserve"> </w:t>
      </w:r>
      <w:r w:rsidRPr="00B31F60" w:rsidR="003063F3">
        <w:t>GPTC Petition at 2-3, n. 4.</w:t>
      </w:r>
      <w:r w:rsidRPr="00B31F60" w:rsidR="00327360">
        <w:t xml:space="preserve">  </w:t>
      </w:r>
      <w:r w:rsidRPr="00B31F60" w:rsidR="00327360">
        <w:rPr>
          <w:i/>
          <w:iCs/>
        </w:rPr>
        <w:t>See also</w:t>
      </w:r>
      <w:r w:rsidRPr="00B31F60" w:rsidR="00327360">
        <w:t xml:space="preserve"> Elijah Application at </w:t>
      </w:r>
      <w:r w:rsidRPr="00B31F60" w:rsidR="00327360">
        <w:t>Attachs. “1st  &amp; 2nd NCE Service, rev 1.pdf” (original fair distribution attachment) and “Engineering Exhibits for 767346 Amendment.pdf” (revised fair distribution attachment filed on January 28, 2022).</w:t>
      </w:r>
    </w:p>
  </w:footnote>
  <w:footnote w:id="16">
    <w:p w:rsidR="00E10E40" w:rsidRPr="00B31F60" w14:paraId="15A093D2" w14:textId="4E4F2153">
      <w:pPr>
        <w:pStyle w:val="FootnoteText"/>
      </w:pPr>
      <w:r w:rsidRPr="00B31F60">
        <w:rPr>
          <w:rStyle w:val="FootnoteReference"/>
        </w:rPr>
        <w:footnoteRef/>
      </w:r>
      <w:r w:rsidRPr="00B31F60">
        <w:t xml:space="preserve"> An applicant's fair distribution showing must be computed as of the time of filing and cannot be enhanced thereafter. </w:t>
      </w:r>
      <w:r w:rsidRPr="00B31F60">
        <w:rPr>
          <w:i/>
          <w:iCs/>
        </w:rPr>
        <w:t>See</w:t>
      </w:r>
      <w:r w:rsidRPr="00B31F60">
        <w:t xml:space="preserve"> </w:t>
      </w:r>
      <w:hyperlink r:id="rId1" w:anchor="co_pp_7fdd00001ca15" w:history="1">
        <w:r w:rsidRPr="00B31F60">
          <w:t>47 CFR § 73.7003(e)</w:t>
        </w:r>
      </w:hyperlink>
      <w:r w:rsidRPr="00B31F60">
        <w:t xml:space="preserve"> and </w:t>
      </w:r>
      <w:hyperlink r:id="rId1" w:anchor="co_pp_f8fc0000f70d0" w:history="1">
        <w:r w:rsidRPr="00B31F60">
          <w:t>(f)(3)</w:t>
        </w:r>
      </w:hyperlink>
      <w:r w:rsidRPr="00B31F60">
        <w:t xml:space="preserve">.  However, an applicant that subsequently makes engineering changes that would diminish its fair distribution position must amend its application to reflect that diminished position. </w:t>
      </w:r>
      <w:r w:rsidRPr="00B31F60">
        <w:rPr>
          <w:i/>
          <w:iCs/>
        </w:rPr>
        <w:t>See</w:t>
      </w:r>
      <w:r w:rsidRPr="00B31F60">
        <w:t xml:space="preserve"> </w:t>
      </w:r>
      <w:hyperlink r:id="rId2" w:history="1">
        <w:r w:rsidRPr="00B31F60">
          <w:t>47 CFR §§ 1.65</w:t>
        </w:r>
      </w:hyperlink>
      <w:r w:rsidRPr="00B31F60">
        <w:t xml:space="preserve"> and </w:t>
      </w:r>
      <w:hyperlink r:id="rId1" w:anchor="co_pp_7fdd00001ca15" w:history="1">
        <w:r w:rsidRPr="00B31F60">
          <w:t>73.7003(e)</w:t>
        </w:r>
      </w:hyperlink>
      <w:r w:rsidRPr="00B31F60">
        <w:t>.  Elijah’s revised fair distribution exhibit, which the staff inadvertently did not consider, reflects Elijah’s diminished position.</w:t>
      </w:r>
    </w:p>
  </w:footnote>
  <w:footnote w:id="17">
    <w:p w:rsidR="003063F3" w:rsidRPr="00B31F60" w:rsidP="003063F3" w14:paraId="447048EA" w14:textId="38B0BAC7">
      <w:pPr>
        <w:pStyle w:val="FootnoteText"/>
      </w:pPr>
      <w:r w:rsidRPr="00B31F60">
        <w:rPr>
          <w:rStyle w:val="FootnoteReference"/>
        </w:rPr>
        <w:footnoteRef/>
      </w:r>
      <w:r w:rsidRPr="00B31F60">
        <w:t xml:space="preserve"> </w:t>
      </w:r>
      <w:r w:rsidRPr="00B31F60">
        <w:rPr>
          <w:i/>
          <w:iCs/>
        </w:rPr>
        <w:t>See</w:t>
      </w:r>
      <w:r w:rsidRPr="00B31F60">
        <w:t xml:space="preserve"> </w:t>
      </w:r>
      <w:r w:rsidRPr="00B31F60" w:rsidR="003E7282">
        <w:t>Elijah Application</w:t>
      </w:r>
      <w:r w:rsidRPr="00B31F60">
        <w:t xml:space="preserve"> and </w:t>
      </w:r>
      <w:r w:rsidRPr="00B31F60" w:rsidR="003E7282">
        <w:t>GPTC Application</w:t>
      </w:r>
      <w:r w:rsidRPr="00B31F60">
        <w:t xml:space="preserve">, Fair Distribution of Service Section, and associated exhibits.  </w:t>
      </w:r>
      <w:r w:rsidRPr="00B31F60" w:rsidR="00E2757D">
        <w:t>Elijah’s 60 dBu contour encompasses 16,634 people, and its claimed aggregated first and second NCE service is 2,149 people.  GPTC’s 60 dBu contour encompasses 19,136 people, and its claimed aggregated first and second NCE service is 6,971 people.  Thus, each would provide combined first and second NCE service to at least 10% percent of the population within its respective 60 dBu contour and to more than 2,000 people.</w:t>
      </w:r>
    </w:p>
  </w:footnote>
  <w:footnote w:id="18">
    <w:p w:rsidR="003063F3" w:rsidRPr="00B31F60" w:rsidP="003063F3" w14:paraId="79A56972" w14:textId="77777777">
      <w:pPr>
        <w:pStyle w:val="FootnoteText"/>
      </w:pPr>
      <w:r w:rsidRPr="00B31F60">
        <w:rPr>
          <w:rStyle w:val="FootnoteReference"/>
        </w:rPr>
        <w:footnoteRef/>
      </w:r>
      <w:r w:rsidRPr="00B31F60">
        <w:t xml:space="preserve"> The applicant proposing to provide service to the greatest number of people will only be awarded a construction permit if it will provide such service to at least 10% of the people within the station's 60 dBu contour </w:t>
      </w:r>
      <w:r w:rsidRPr="00B31F60">
        <w:rPr>
          <w:i/>
          <w:iCs/>
        </w:rPr>
        <w:t>and</w:t>
      </w:r>
      <w:r w:rsidRPr="00B31F60">
        <w:t xml:space="preserve"> to at least 5,000 more people than the next best applicant.  </w:t>
      </w:r>
      <w:r w:rsidRPr="00B31F60">
        <w:rPr>
          <w:i/>
          <w:iCs/>
        </w:rPr>
        <w:t xml:space="preserve">See </w:t>
      </w:r>
      <w:hyperlink r:id="rId3" w:anchor="co_pp_a83b000018c76" w:history="1">
        <w:r w:rsidRPr="00B31F60">
          <w:t>47 CFR § 73.7002(b)</w:t>
        </w:r>
      </w:hyperlink>
      <w:r w:rsidRPr="00B31F60">
        <w:t>.</w:t>
      </w:r>
    </w:p>
  </w:footnote>
  <w:footnote w:id="19">
    <w:p w:rsidR="00A87FFE" w:rsidRPr="00B31F60" w:rsidP="00A87FFE" w14:paraId="3BE45049" w14:textId="77777777">
      <w:pPr>
        <w:pStyle w:val="ParaNum"/>
        <w:numPr>
          <w:ilvl w:val="0"/>
          <w:numId w:val="0"/>
        </w:numPr>
      </w:pPr>
      <w:r w:rsidRPr="00B31F60">
        <w:rPr>
          <w:rStyle w:val="FootnoteReference"/>
        </w:rPr>
        <w:footnoteRef/>
      </w:r>
      <w:r w:rsidRPr="00B31F60">
        <w:rPr>
          <w:sz w:val="20"/>
        </w:rPr>
        <w:t xml:space="preserve"> </w:t>
      </w:r>
      <w:r w:rsidRPr="00B31F60">
        <w:rPr>
          <w:i/>
          <w:sz w:val="20"/>
        </w:rPr>
        <w:t xml:space="preserve">See </w:t>
      </w:r>
      <w:r w:rsidRPr="00B31F60">
        <w:rPr>
          <w:sz w:val="20"/>
        </w:rPr>
        <w:t xml:space="preserve">47 CFR § 73.7002(b); </w:t>
      </w:r>
      <w:r w:rsidRPr="00B31F60">
        <w:rPr>
          <w:i/>
          <w:sz w:val="20"/>
        </w:rPr>
        <w:t>see also NCE Order</w:t>
      </w:r>
      <w:r w:rsidRPr="00B31F60">
        <w:rPr>
          <w:sz w:val="20"/>
        </w:rPr>
        <w:t>, 15 FCC Rcd at 7420.</w:t>
      </w:r>
    </w:p>
  </w:footnote>
  <w:footnote w:id="20">
    <w:p w:rsidR="00A87FFE" w:rsidRPr="00B31F60" w:rsidP="00A87FFE" w14:paraId="40E8D424" w14:textId="77777777">
      <w:pPr>
        <w:shd w:val="clear" w:color="auto" w:fill="FFFFFF"/>
        <w:spacing w:after="120"/>
        <w:textAlignment w:val="baseline"/>
      </w:pPr>
      <w:r w:rsidRPr="00B31F60">
        <w:rPr>
          <w:rStyle w:val="FootnoteReference"/>
        </w:rPr>
        <w:footnoteRef/>
      </w:r>
      <w:r w:rsidRPr="00B31F60">
        <w:t xml:space="preserve"> </w:t>
      </w:r>
      <w:r w:rsidRPr="00B31F60">
        <w:rPr>
          <w:i/>
          <w:iCs/>
        </w:rPr>
        <w:t>See Central Florida Educational Foundation, Inc. c/o Joseph E. Dunne, Esq.</w:t>
      </w:r>
      <w:r w:rsidRPr="00B31F60">
        <w:t xml:space="preserve">, Letter Order, 22 FCC Rcd. 18332, 18334 (MB 2007) (referring the matter to the Commission for consideration where the initial outcome would be altered by the potential for a new points analysis).  </w:t>
      </w:r>
      <w:r w:rsidRPr="00B31F60">
        <w:rPr>
          <w:i/>
          <w:iCs/>
        </w:rPr>
        <w:t xml:space="preserve">See also </w:t>
      </w:r>
      <w:r w:rsidRPr="00B31F60">
        <w:rPr>
          <w:i/>
          <w:iCs/>
          <w:bdr w:val="none" w:sz="0" w:space="0" w:color="auto" w:frame="1"/>
        </w:rPr>
        <w:t>Comparative Consideration of 24 Groups of Mutually Exclusive Applications for Permits to Construct New or Modified Noncommercial Educ. FM Stations</w:t>
      </w:r>
      <w:r w:rsidRPr="00B31F60">
        <w:t xml:space="preserve">, Memorandum Opinion and Order, 25 FCC Rcd 12887, 12914 (2010) (“staff should refer only those issues to the Commission where the exclusion or inclusion of challenged or claimed points could alter the outcome in the particular NCE group, or where a new or novel question or substantial and material question of fact otherwise exists.”).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2D82D0A" w14:textId="518A8A33">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A44A177"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05F31AFD" w14:textId="77777777">
    <w:pPr>
      <w:pStyle w:val="Header"/>
      <w:tabs>
        <w:tab w:val="clear" w:pos="4320"/>
      </w:tabs>
      <w:jc w:val="center"/>
      <w:rPr>
        <w:sz w:val="22"/>
      </w:rPr>
    </w:pPr>
  </w:p>
  <w:p w:rsidR="002B54DB" w14:paraId="5A5F1DB2" w14:textId="77777777">
    <w:pPr>
      <w:pStyle w:val="Header"/>
      <w:tabs>
        <w:tab w:val="clear" w:pos="4320"/>
      </w:tabs>
      <w:jc w:val="center"/>
      <w:rPr>
        <w:sz w:val="22"/>
      </w:rPr>
    </w:pPr>
  </w:p>
  <w:p w:rsidR="002B54DB" w14:paraId="0E0321F0" w14:textId="765BA855">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9417B">
      <w:rPr>
        <w:noProof/>
        <w:sz w:val="24"/>
      </w:rPr>
      <w:t>January 27, 2023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35EA3"/>
    <w:rsid w:val="00076233"/>
    <w:rsid w:val="001333F1"/>
    <w:rsid w:val="001B3CA2"/>
    <w:rsid w:val="001B59EE"/>
    <w:rsid w:val="00204CE3"/>
    <w:rsid w:val="002602FE"/>
    <w:rsid w:val="002B54DB"/>
    <w:rsid w:val="003063F3"/>
    <w:rsid w:val="00327360"/>
    <w:rsid w:val="003C30F2"/>
    <w:rsid w:val="003E401A"/>
    <w:rsid w:val="003E7282"/>
    <w:rsid w:val="004D3B53"/>
    <w:rsid w:val="004E18B5"/>
    <w:rsid w:val="00500C02"/>
    <w:rsid w:val="00513948"/>
    <w:rsid w:val="006042E8"/>
    <w:rsid w:val="00635F7F"/>
    <w:rsid w:val="00756508"/>
    <w:rsid w:val="007E4D77"/>
    <w:rsid w:val="007E6038"/>
    <w:rsid w:val="008B26C7"/>
    <w:rsid w:val="008D1A0E"/>
    <w:rsid w:val="0091008B"/>
    <w:rsid w:val="00962DB7"/>
    <w:rsid w:val="009D07D6"/>
    <w:rsid w:val="009F2339"/>
    <w:rsid w:val="00A5544E"/>
    <w:rsid w:val="00A87FFE"/>
    <w:rsid w:val="00A9417B"/>
    <w:rsid w:val="00B1506E"/>
    <w:rsid w:val="00B20D32"/>
    <w:rsid w:val="00B31F60"/>
    <w:rsid w:val="00B36F36"/>
    <w:rsid w:val="00BD19A0"/>
    <w:rsid w:val="00C1213F"/>
    <w:rsid w:val="00C409C1"/>
    <w:rsid w:val="00CA4C90"/>
    <w:rsid w:val="00D947E1"/>
    <w:rsid w:val="00E10E40"/>
    <w:rsid w:val="00E146CF"/>
    <w:rsid w:val="00E2757D"/>
    <w:rsid w:val="00F1258E"/>
    <w:rsid w:val="00F14B1C"/>
    <w:rsid w:val="00F526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D2B6E8"/>
  <w15:chartTrackingRefBased/>
  <w15:docId w15:val="{7BD0C78F-52EE-47A1-909B-E28C19C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A87FFE"/>
    <w:rPr>
      <w:color w:val="0563C1"/>
      <w:u w:val="single"/>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qFormat/>
    <w:rsid w:val="00A87FFE"/>
    <w:pPr>
      <w:spacing w:after="120"/>
    </w:pPr>
  </w:style>
  <w:style w:type="character" w:customStyle="1" w:styleId="FootnoteTextChar">
    <w:name w:val="Footnote Text Char"/>
    <w:aliases w:val="ALTS FOOTNOTE Char,Footnote Text Char Char Char Char,Footnote Text Char Char Char Char Char Char Char,Footnote Text Char1 Char Char,Footnote Text Char1 Char1,Footnote Text Char1 Char1 Char Char Char Char,Footnote Text Char2 Char"/>
    <w:basedOn w:val="DefaultParagraphFont"/>
    <w:link w:val="FootnoteText"/>
    <w:rsid w:val="00A87FF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87FFE"/>
    <w:rPr>
      <w:rFonts w:ascii="Times New Roman" w:hAnsi="Times New Roman"/>
      <w:dstrike w:val="0"/>
      <w:color w:val="auto"/>
      <w:sz w:val="20"/>
      <w:vertAlign w:val="superscript"/>
    </w:rPr>
  </w:style>
  <w:style w:type="paragraph" w:customStyle="1" w:styleId="ParaNum">
    <w:name w:val="ParaNum"/>
    <w:basedOn w:val="Normal"/>
    <w:rsid w:val="00A87FFE"/>
    <w:pPr>
      <w:widowControl w:val="0"/>
      <w:numPr>
        <w:numId w:val="1"/>
      </w:numPr>
      <w:tabs>
        <w:tab w:val="clear" w:pos="1080"/>
        <w:tab w:val="num" w:pos="1440"/>
      </w:tabs>
      <w:spacing w:after="120"/>
    </w:pPr>
    <w:rPr>
      <w:snapToGrid w:val="0"/>
      <w:kern w:val="28"/>
      <w:sz w:val="22"/>
    </w:rPr>
  </w:style>
  <w:style w:type="paragraph" w:styleId="Revision">
    <w:name w:val="Revision"/>
    <w:hidden/>
    <w:uiPriority w:val="99"/>
    <w:semiHidden/>
    <w:rsid w:val="00A5544E"/>
  </w:style>
  <w:style w:type="character" w:customStyle="1" w:styleId="FooterChar">
    <w:name w:val="Footer Char"/>
    <w:basedOn w:val="DefaultParagraphFont"/>
    <w:link w:val="Footer"/>
    <w:uiPriority w:val="99"/>
    <w:rsid w:val="009F2339"/>
  </w:style>
  <w:style w:type="character" w:styleId="CommentReference">
    <w:name w:val="annotation reference"/>
    <w:basedOn w:val="DefaultParagraphFont"/>
    <w:uiPriority w:val="99"/>
    <w:semiHidden/>
    <w:unhideWhenUsed/>
    <w:rsid w:val="00076233"/>
    <w:rPr>
      <w:sz w:val="16"/>
      <w:szCs w:val="16"/>
    </w:rPr>
  </w:style>
  <w:style w:type="paragraph" w:styleId="CommentText">
    <w:name w:val="annotation text"/>
    <w:basedOn w:val="Normal"/>
    <w:link w:val="CommentTextChar"/>
    <w:uiPriority w:val="99"/>
    <w:unhideWhenUsed/>
    <w:rsid w:val="00076233"/>
  </w:style>
  <w:style w:type="character" w:customStyle="1" w:styleId="CommentTextChar">
    <w:name w:val="Comment Text Char"/>
    <w:basedOn w:val="DefaultParagraphFont"/>
    <w:link w:val="CommentText"/>
    <w:uiPriority w:val="99"/>
    <w:rsid w:val="0007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ristig@broadcast-technical.com"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turiel@graymillerpersh.com" TargetMode="External" /><Relationship Id="rId6" Type="http://schemas.openxmlformats.org/officeDocument/2006/relationships/hyperlink" Target="mailto:dempc@prodigy.net" TargetMode="External" /><Relationship Id="rId7" Type="http://schemas.openxmlformats.org/officeDocument/2006/relationships/hyperlink" Target="mailto:sterlingjamesp@gmail.com" TargetMode="External" /><Relationship Id="rId8" Type="http://schemas.openxmlformats.org/officeDocument/2006/relationships/hyperlink" Target="mailto:jason@fmexpansion.com" TargetMode="External" /><Relationship Id="rId9" Type="http://schemas.openxmlformats.org/officeDocument/2006/relationships/hyperlink" Target="mailto:oldpaths1611@gmail.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73.7003&amp;originatingDoc=Iea7db9be142011eda0f5ac401823fd14&amp;refType=RB&amp;originationContext=document&amp;transitionType=DocumentItem&amp;ppcid=dfde51011ad647a5a6141495df986386&amp;contextData=(sc.Search)" TargetMode="External" /><Relationship Id="rId2" Type="http://schemas.openxmlformats.org/officeDocument/2006/relationships/hyperlink" Target="https://1.next.westlaw.com/Link/Document/FullText?findType=L&amp;pubNum=1000547&amp;cite=47CFRS1.65&amp;originatingDoc=Iea7db9be142011eda0f5ac401823fd14&amp;refType=LQ&amp;originationContext=document&amp;transitionType=DocumentItem&amp;ppcid=dfde51011ad647a5a6141495df986386&amp;contextData=(sc.Search)" TargetMode="External" /><Relationship Id="rId3" Type="http://schemas.openxmlformats.org/officeDocument/2006/relationships/hyperlink" Target="https://1.next.westlaw.com/Link/Document/FullText?findType=L&amp;pubNum=1000547&amp;cite=47CFRS73.7002&amp;originatingDoc=Ic802fe10632911edafa9f442c28f63be&amp;refType=RB&amp;originationContext=document&amp;transitionType=DocumentItem&amp;ppcid=8a19a49e327c42dc974516c7ba36ee81&amp;contextData=(sc.History*o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