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FD4B1E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DB976FC" w14:textId="77777777">
      <w:pPr>
        <w:pStyle w:val="StyleBoldCentered"/>
      </w:pPr>
      <w:r>
        <w:t>F</w:t>
      </w:r>
      <w:r>
        <w:rPr>
          <w:caps w:val="0"/>
        </w:rPr>
        <w:t>ederal Communications Commission</w:t>
      </w:r>
    </w:p>
    <w:p w:rsidR="004C2EE3" w:rsidP="00096D8C" w14:paraId="3F165E64" w14:textId="77777777">
      <w:pPr>
        <w:pStyle w:val="StyleBoldCentered"/>
      </w:pPr>
      <w:r>
        <w:rPr>
          <w:caps w:val="0"/>
        </w:rPr>
        <w:t>Washington, D.C. 20554</w:t>
      </w:r>
    </w:p>
    <w:p w:rsidR="004C2EE3" w:rsidP="0070224F" w14:paraId="582FE8AF" w14:textId="77777777"/>
    <w:p w:rsidR="004C2EE3" w:rsidP="0070224F" w14:paraId="40FE70EB" w14:textId="77777777"/>
    <w:tbl>
      <w:tblPr>
        <w:tblW w:w="0" w:type="auto"/>
        <w:tblLayout w:type="fixed"/>
        <w:tblLook w:val="0000"/>
      </w:tblPr>
      <w:tblGrid>
        <w:gridCol w:w="4698"/>
        <w:gridCol w:w="630"/>
        <w:gridCol w:w="4248"/>
      </w:tblGrid>
      <w:tr w14:paraId="7E4E15D8" w14:textId="77777777">
        <w:tblPrEx>
          <w:tblW w:w="0" w:type="auto"/>
          <w:tblLayout w:type="fixed"/>
          <w:tblLook w:val="0000"/>
        </w:tblPrEx>
        <w:tc>
          <w:tcPr>
            <w:tcW w:w="4698" w:type="dxa"/>
          </w:tcPr>
          <w:p w:rsidR="004C2EE3" w14:paraId="7C3EBE0F" w14:textId="77777777">
            <w:pPr>
              <w:tabs>
                <w:tab w:val="center" w:pos="4680"/>
              </w:tabs>
              <w:suppressAutoHyphens/>
              <w:rPr>
                <w:spacing w:val="-2"/>
              </w:rPr>
            </w:pPr>
            <w:r>
              <w:rPr>
                <w:spacing w:val="-2"/>
              </w:rPr>
              <w:t>In the Matter of</w:t>
            </w:r>
          </w:p>
          <w:p w:rsidR="004C2EE3" w14:paraId="0E0E4BB9" w14:textId="77777777">
            <w:pPr>
              <w:tabs>
                <w:tab w:val="center" w:pos="4680"/>
              </w:tabs>
              <w:suppressAutoHyphens/>
              <w:rPr>
                <w:spacing w:val="-2"/>
              </w:rPr>
            </w:pPr>
          </w:p>
          <w:p w:rsidR="004C2EE3" w:rsidRPr="007115F7" w:rsidP="007115F7" w14:paraId="557BBEDD" w14:textId="6E881E13">
            <w:pPr>
              <w:tabs>
                <w:tab w:val="center" w:pos="4680"/>
              </w:tabs>
              <w:suppressAutoHyphens/>
              <w:rPr>
                <w:spacing w:val="-2"/>
              </w:rPr>
            </w:pPr>
            <w:r>
              <w:rPr>
                <w:spacing w:val="-2"/>
              </w:rPr>
              <w:t>3.7-4.2 GHz Band Transition Clearinghouse Dispute Referrals and Appeals</w:t>
            </w:r>
          </w:p>
        </w:tc>
        <w:tc>
          <w:tcPr>
            <w:tcW w:w="630" w:type="dxa"/>
          </w:tcPr>
          <w:p w:rsidR="004C2EE3" w14:paraId="07560924" w14:textId="77777777">
            <w:pPr>
              <w:tabs>
                <w:tab w:val="center" w:pos="4680"/>
              </w:tabs>
              <w:suppressAutoHyphens/>
              <w:rPr>
                <w:b/>
                <w:spacing w:val="-2"/>
              </w:rPr>
            </w:pPr>
            <w:r>
              <w:rPr>
                <w:b/>
                <w:spacing w:val="-2"/>
              </w:rPr>
              <w:t>)</w:t>
            </w:r>
          </w:p>
          <w:p w:rsidR="004C2EE3" w14:paraId="0AA9704A" w14:textId="77777777">
            <w:pPr>
              <w:tabs>
                <w:tab w:val="center" w:pos="4680"/>
              </w:tabs>
              <w:suppressAutoHyphens/>
              <w:rPr>
                <w:b/>
                <w:spacing w:val="-2"/>
              </w:rPr>
            </w:pPr>
            <w:r>
              <w:rPr>
                <w:b/>
                <w:spacing w:val="-2"/>
              </w:rPr>
              <w:t>)</w:t>
            </w:r>
          </w:p>
          <w:p w:rsidR="004C2EE3" w14:paraId="214581EE" w14:textId="77777777">
            <w:pPr>
              <w:tabs>
                <w:tab w:val="center" w:pos="4680"/>
              </w:tabs>
              <w:suppressAutoHyphens/>
              <w:rPr>
                <w:b/>
                <w:spacing w:val="-2"/>
              </w:rPr>
            </w:pPr>
            <w:r>
              <w:rPr>
                <w:b/>
                <w:spacing w:val="-2"/>
              </w:rPr>
              <w:t>)</w:t>
            </w:r>
          </w:p>
          <w:p w:rsidR="004C2EE3" w14:paraId="02964009" w14:textId="77777777">
            <w:pPr>
              <w:tabs>
                <w:tab w:val="center" w:pos="4680"/>
              </w:tabs>
              <w:suppressAutoHyphens/>
              <w:rPr>
                <w:b/>
                <w:spacing w:val="-2"/>
              </w:rPr>
            </w:pPr>
            <w:r>
              <w:rPr>
                <w:b/>
                <w:spacing w:val="-2"/>
              </w:rPr>
              <w:t>)</w:t>
            </w:r>
          </w:p>
          <w:p w:rsidR="004C2EE3" w14:paraId="62C52771" w14:textId="77777777">
            <w:pPr>
              <w:tabs>
                <w:tab w:val="center" w:pos="4680"/>
              </w:tabs>
              <w:suppressAutoHyphens/>
              <w:rPr>
                <w:b/>
                <w:spacing w:val="-2"/>
              </w:rPr>
            </w:pPr>
            <w:r>
              <w:rPr>
                <w:b/>
                <w:spacing w:val="-2"/>
              </w:rPr>
              <w:t>)</w:t>
            </w:r>
          </w:p>
          <w:p w:rsidR="00EB08DD" w:rsidRPr="004E477B" w14:paraId="0E73876B" w14:textId="292577B0">
            <w:pPr>
              <w:tabs>
                <w:tab w:val="center" w:pos="4680"/>
              </w:tabs>
              <w:suppressAutoHyphens/>
              <w:rPr>
                <w:b/>
                <w:spacing w:val="-2"/>
              </w:rPr>
            </w:pPr>
            <w:r>
              <w:rPr>
                <w:b/>
                <w:spacing w:val="-2"/>
              </w:rPr>
              <w:t>)</w:t>
            </w:r>
          </w:p>
        </w:tc>
        <w:tc>
          <w:tcPr>
            <w:tcW w:w="4248" w:type="dxa"/>
          </w:tcPr>
          <w:p w:rsidR="004C2EE3" w14:paraId="011EC22E" w14:textId="77777777">
            <w:pPr>
              <w:tabs>
                <w:tab w:val="center" w:pos="4680"/>
              </w:tabs>
              <w:suppressAutoHyphens/>
              <w:rPr>
                <w:spacing w:val="-2"/>
              </w:rPr>
            </w:pPr>
          </w:p>
          <w:p w:rsidR="004C2EE3" w14:paraId="140C1BEE" w14:textId="77777777">
            <w:pPr>
              <w:pStyle w:val="TOAHeading"/>
              <w:tabs>
                <w:tab w:val="center" w:pos="4680"/>
                <w:tab w:val="clear" w:pos="9360"/>
              </w:tabs>
              <w:rPr>
                <w:spacing w:val="-2"/>
              </w:rPr>
            </w:pPr>
          </w:p>
          <w:p w:rsidR="004C2EE3" w14:paraId="33D7B301" w14:textId="77777777">
            <w:pPr>
              <w:tabs>
                <w:tab w:val="center" w:pos="4680"/>
              </w:tabs>
              <w:suppressAutoHyphens/>
              <w:rPr>
                <w:spacing w:val="-2"/>
              </w:rPr>
            </w:pPr>
            <w:r>
              <w:rPr>
                <w:spacing w:val="-2"/>
              </w:rPr>
              <w:t>WT Docket No. 21-333</w:t>
            </w:r>
          </w:p>
          <w:p w:rsidR="007E3E8B" w14:paraId="29987C5F" w14:textId="77777777">
            <w:pPr>
              <w:tabs>
                <w:tab w:val="center" w:pos="4680"/>
              </w:tabs>
              <w:suppressAutoHyphens/>
              <w:rPr>
                <w:spacing w:val="-2"/>
              </w:rPr>
            </w:pPr>
          </w:p>
          <w:p w:rsidR="007E3E8B" w14:paraId="2F983C4D" w14:textId="422F2065">
            <w:pPr>
              <w:tabs>
                <w:tab w:val="center" w:pos="4680"/>
              </w:tabs>
              <w:suppressAutoHyphens/>
              <w:rPr>
                <w:spacing w:val="-2"/>
              </w:rPr>
            </w:pPr>
            <w:r>
              <w:rPr>
                <w:spacing w:val="-2"/>
              </w:rPr>
              <w:t>File No. 1</w:t>
            </w:r>
          </w:p>
        </w:tc>
      </w:tr>
    </w:tbl>
    <w:p w:rsidR="004C2EE3" w:rsidP="0070224F" w14:paraId="14A90D0C" w14:textId="77777777"/>
    <w:p w:rsidR="00841AB1" w:rsidP="00F021FA" w14:paraId="3466541C" w14:textId="7784D4BA">
      <w:pPr>
        <w:pStyle w:val="StyleBoldCentered"/>
      </w:pPr>
      <w:r>
        <w:t>Memorandum OPinion and Order</w:t>
      </w:r>
    </w:p>
    <w:p w:rsidR="004C2EE3" w14:paraId="54B58C57" w14:textId="77777777">
      <w:pPr>
        <w:tabs>
          <w:tab w:val="left" w:pos="-720"/>
        </w:tabs>
        <w:suppressAutoHyphens/>
        <w:spacing w:line="227" w:lineRule="auto"/>
        <w:rPr>
          <w:spacing w:val="-2"/>
        </w:rPr>
      </w:pPr>
    </w:p>
    <w:p w:rsidR="004C2EE3" w:rsidP="00133F79" w14:paraId="53D5BB19" w14:textId="1AD0338F">
      <w:pPr>
        <w:tabs>
          <w:tab w:val="left" w:pos="720"/>
          <w:tab w:val="right" w:pos="9360"/>
        </w:tabs>
        <w:suppressAutoHyphens/>
        <w:spacing w:line="227" w:lineRule="auto"/>
        <w:rPr>
          <w:spacing w:val="-2"/>
        </w:rPr>
      </w:pPr>
      <w:r>
        <w:rPr>
          <w:b/>
          <w:spacing w:val="-2"/>
        </w:rPr>
        <w:t xml:space="preserve">Adopted:  </w:t>
      </w:r>
      <w:r w:rsidR="00867651">
        <w:rPr>
          <w:b/>
          <w:spacing w:val="-2"/>
        </w:rPr>
        <w:t>September 8</w:t>
      </w:r>
      <w:r w:rsidR="00125FFB">
        <w:rPr>
          <w:b/>
          <w:spacing w:val="-2"/>
        </w:rPr>
        <w:t>,</w:t>
      </w:r>
      <w:r w:rsidR="00C90B23">
        <w:rPr>
          <w:b/>
          <w:spacing w:val="-2"/>
        </w:rPr>
        <w:t xml:space="preserve"> 202</w:t>
      </w:r>
      <w:r w:rsidR="00867651">
        <w:rPr>
          <w:b/>
          <w:spacing w:val="-2"/>
        </w:rPr>
        <w:t>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67651">
        <w:rPr>
          <w:b/>
          <w:spacing w:val="-2"/>
        </w:rPr>
        <w:t>September 8</w:t>
      </w:r>
      <w:r w:rsidR="00C90B23">
        <w:rPr>
          <w:b/>
          <w:spacing w:val="-2"/>
        </w:rPr>
        <w:t>, 202</w:t>
      </w:r>
      <w:r w:rsidR="00867651">
        <w:rPr>
          <w:b/>
          <w:spacing w:val="-2"/>
        </w:rPr>
        <w:t>3</w:t>
      </w:r>
    </w:p>
    <w:p w:rsidR="00822CE0" w14:paraId="49779196" w14:textId="77777777"/>
    <w:p w:rsidR="004C2EE3" w14:paraId="0B1909BA" w14:textId="4056BCA8">
      <w:pPr>
        <w:rPr>
          <w:spacing w:val="-2"/>
        </w:rPr>
      </w:pPr>
      <w:r>
        <w:t xml:space="preserve">By </w:t>
      </w:r>
      <w:r w:rsidR="004E4A22">
        <w:t>the</w:t>
      </w:r>
      <w:r w:rsidR="002A2D2E">
        <w:t xml:space="preserve"> </w:t>
      </w:r>
      <w:r w:rsidRPr="00C054E9" w:rsidR="00C054E9">
        <w:rPr>
          <w:spacing w:val="-2"/>
        </w:rPr>
        <w:t>Chief,</w:t>
      </w:r>
      <w:r w:rsidRPr="00C054E9" w:rsidR="00E15242">
        <w:rPr>
          <w:spacing w:val="-2"/>
        </w:rPr>
        <w:t xml:space="preserve"> </w:t>
      </w:r>
      <w:r w:rsidR="00E15242">
        <w:rPr>
          <w:spacing w:val="-2"/>
        </w:rPr>
        <w:t>Wireless Telecommunications Bureau</w:t>
      </w:r>
      <w:r>
        <w:rPr>
          <w:spacing w:val="-2"/>
        </w:rPr>
        <w:t>:</w:t>
      </w:r>
    </w:p>
    <w:p w:rsidR="00822CE0" w14:paraId="5A96DD11" w14:textId="77777777">
      <w:pPr>
        <w:rPr>
          <w:spacing w:val="-2"/>
        </w:rPr>
      </w:pPr>
    </w:p>
    <w:p w:rsidR="00412FC5" w:rsidP="00C36B4C" w14:paraId="68ABAD5D" w14:textId="4C3DE77D">
      <w:pPr>
        <w:pStyle w:val="Heading1"/>
      </w:pPr>
      <w:r>
        <w:t>Introduction</w:t>
      </w:r>
    </w:p>
    <w:p w:rsidR="00E25CC0" w:rsidP="00861F4C" w14:paraId="7DE682B8" w14:textId="2214B580">
      <w:pPr>
        <w:pStyle w:val="ParaNum"/>
      </w:pPr>
      <w:r>
        <w:t>In this Memorandum Opinion and Order, the Wireless Telecommunications Bureau (</w:t>
      </w:r>
      <w:r w:rsidR="000C01D0">
        <w:t xml:space="preserve">WTB or </w:t>
      </w:r>
      <w:r>
        <w:t xml:space="preserve">Bureau) </w:t>
      </w:r>
      <w:r w:rsidR="005D0D5A">
        <w:t xml:space="preserve">denies </w:t>
      </w:r>
      <w:r>
        <w:t xml:space="preserve">Mongoose </w:t>
      </w:r>
      <w:r w:rsidR="00024415">
        <w:t>Works, Ltd.</w:t>
      </w:r>
      <w:r w:rsidR="00861F4C">
        <w:t>’s</w:t>
      </w:r>
      <w:r>
        <w:t xml:space="preserve"> (Mongoose) </w:t>
      </w:r>
      <w:r w:rsidR="00E15242">
        <w:t>appeal</w:t>
      </w:r>
      <w:r>
        <w:rPr>
          <w:rStyle w:val="FootnoteReference"/>
          <w:szCs w:val="22"/>
        </w:rPr>
        <w:footnoteReference w:id="3"/>
      </w:r>
      <w:r w:rsidR="00E15242">
        <w:t xml:space="preserve"> of the </w:t>
      </w:r>
      <w:r w:rsidR="008C2B61">
        <w:t>3.7-4.2 GHz band (C-band)</w:t>
      </w:r>
      <w:r w:rsidR="000A74A1">
        <w:t xml:space="preserve"> </w:t>
      </w:r>
      <w:r w:rsidR="00E15242">
        <w:t xml:space="preserve">Relocation Payment Clearinghouse’s (RPC) decision which </w:t>
      </w:r>
      <w:r w:rsidR="003F13DE">
        <w:t xml:space="preserve">adjusted </w:t>
      </w:r>
      <w:r w:rsidR="00B44DFD">
        <w:t xml:space="preserve">downward </w:t>
      </w:r>
      <w:r w:rsidR="004042E7">
        <w:t xml:space="preserve">part of </w:t>
      </w:r>
      <w:r w:rsidR="00E15242">
        <w:t xml:space="preserve">Mongoose’s </w:t>
      </w:r>
      <w:r w:rsidR="005F181E">
        <w:t xml:space="preserve">reimbursement </w:t>
      </w:r>
      <w:r w:rsidR="00B16BED">
        <w:t>claim</w:t>
      </w:r>
      <w:r w:rsidR="00A35922">
        <w:t xml:space="preserve"> based </w:t>
      </w:r>
      <w:r w:rsidR="002C39CA">
        <w:t xml:space="preserve">upon </w:t>
      </w:r>
      <w:r w:rsidR="00A35922">
        <w:t xml:space="preserve">its August 12, 2020 </w:t>
      </w:r>
      <w:r w:rsidR="005F181E">
        <w:t xml:space="preserve">lump sum </w:t>
      </w:r>
      <w:r w:rsidR="00A35922">
        <w:t>election</w:t>
      </w:r>
      <w:r w:rsidR="00861F4C">
        <w:t>.</w:t>
      </w:r>
      <w:r>
        <w:rPr>
          <w:rStyle w:val="FootnoteReference"/>
          <w:szCs w:val="22"/>
        </w:rPr>
        <w:footnoteReference w:id="4"/>
      </w:r>
      <w:r w:rsidRPr="00EC463A" w:rsidR="00861F4C">
        <w:t xml:space="preserve"> </w:t>
      </w:r>
      <w:r w:rsidR="00861F4C">
        <w:t xml:space="preserve"> We find that Mongoose </w:t>
      </w:r>
      <w:r>
        <w:t>fail</w:t>
      </w:r>
      <w:r w:rsidR="004042E7">
        <w:t>ed</w:t>
      </w:r>
      <w:r>
        <w:t xml:space="preserve"> to meet its burden of </w:t>
      </w:r>
      <w:r w:rsidR="006623B9">
        <w:t xml:space="preserve">proof to </w:t>
      </w:r>
      <w:r w:rsidR="00861F4C">
        <w:t>demonstrat</w:t>
      </w:r>
      <w:r w:rsidR="006623B9">
        <w:t>e</w:t>
      </w:r>
      <w:r>
        <w:t xml:space="preserve"> that </w:t>
      </w:r>
      <w:r w:rsidR="00B16BED">
        <w:t xml:space="preserve">the </w:t>
      </w:r>
      <w:r w:rsidR="00185FE1">
        <w:t>RPC</w:t>
      </w:r>
      <w:r w:rsidR="00B16BED">
        <w:t xml:space="preserve"> </w:t>
      </w:r>
      <w:r>
        <w:t xml:space="preserve">made an incorrect determination </w:t>
      </w:r>
      <w:r w:rsidR="000149CC">
        <w:t xml:space="preserve">in its June 1, 2022 </w:t>
      </w:r>
      <w:r w:rsidR="00FB60E8">
        <w:t>d</w:t>
      </w:r>
      <w:r w:rsidR="000149CC">
        <w:t xml:space="preserve">ecisional </w:t>
      </w:r>
      <w:r w:rsidR="00FB60E8">
        <w:t>m</w:t>
      </w:r>
      <w:r w:rsidR="000149CC">
        <w:t>emorandum</w:t>
      </w:r>
      <w:r>
        <w:rPr>
          <w:rStyle w:val="FootnoteReference"/>
          <w:szCs w:val="22"/>
        </w:rPr>
        <w:footnoteReference w:id="5"/>
      </w:r>
      <w:r w:rsidRPr="00EC463A" w:rsidR="000149CC">
        <w:t xml:space="preserve"> </w:t>
      </w:r>
      <w:r w:rsidR="00FB60E8">
        <w:t>(</w:t>
      </w:r>
      <w:r w:rsidR="004A0B2B">
        <w:t xml:space="preserve">RPC </w:t>
      </w:r>
      <w:r w:rsidR="00FB60E8">
        <w:t xml:space="preserve">Decisional Memorandum) </w:t>
      </w:r>
      <w:r>
        <w:t xml:space="preserve">regarding </w:t>
      </w:r>
      <w:r w:rsidR="00B16BED">
        <w:t xml:space="preserve">Mongoose’s </w:t>
      </w:r>
      <w:r w:rsidR="004042E7">
        <w:t xml:space="preserve">reimbursement </w:t>
      </w:r>
      <w:r w:rsidR="00B16BED">
        <w:t>claim</w:t>
      </w:r>
      <w:r w:rsidR="0013194A">
        <w:t xml:space="preserve">.  </w:t>
      </w:r>
      <w:r w:rsidR="00EF7D2C">
        <w:t xml:space="preserve">Based on the record before the Bureau, we separately and independently find that the RPC </w:t>
      </w:r>
      <w:r w:rsidR="0046476E">
        <w:t xml:space="preserve">both </w:t>
      </w:r>
      <w:r w:rsidR="00EF7D2C">
        <w:t xml:space="preserve">correctly interpreted relevant Commission </w:t>
      </w:r>
      <w:r w:rsidR="001677BE">
        <w:t xml:space="preserve">rules, </w:t>
      </w:r>
      <w:r w:rsidR="00EF7D2C">
        <w:t>guidance</w:t>
      </w:r>
      <w:r w:rsidR="001677BE">
        <w:t>, and policies</w:t>
      </w:r>
      <w:r w:rsidR="00EF7D2C">
        <w:t xml:space="preserve"> and applied </w:t>
      </w:r>
      <w:r w:rsidR="00336E9C">
        <w:t xml:space="preserve">them </w:t>
      </w:r>
      <w:r w:rsidR="00EF7D2C">
        <w:t xml:space="preserve">to </w:t>
      </w:r>
      <w:r w:rsidR="00270696">
        <w:t xml:space="preserve">the reimbursement </w:t>
      </w:r>
      <w:r w:rsidR="00EF7D2C">
        <w:t>claim in question.  We further find that Mongoose’s procedural arguments are unavailing.</w:t>
      </w:r>
    </w:p>
    <w:p w:rsidR="00E25CC0" w:rsidP="00E25CC0" w14:paraId="5AAB87B3" w14:textId="10FCCECD">
      <w:pPr>
        <w:pStyle w:val="Heading1"/>
      </w:pPr>
      <w:r>
        <w:t>background</w:t>
      </w:r>
    </w:p>
    <w:p w:rsidR="00AE56EF" w:rsidP="00A0467C" w14:paraId="5B7BB424" w14:textId="4977E6F0">
      <w:pPr>
        <w:pStyle w:val="ParaNum"/>
        <w:widowControl/>
      </w:pPr>
      <w:r w:rsidRPr="00125FFB">
        <w:rPr>
          <w:i/>
          <w:iCs/>
        </w:rPr>
        <w:t>3.7-4.2 GHz Proceeding</w:t>
      </w:r>
      <w:r>
        <w:t xml:space="preserve">.  </w:t>
      </w:r>
      <w:r w:rsidR="00A0467C">
        <w:t xml:space="preserve">In the </w:t>
      </w:r>
      <w:r w:rsidRPr="003B6A37" w:rsidR="00A0467C">
        <w:rPr>
          <w:i/>
          <w:iCs/>
        </w:rPr>
        <w:t>3.7 GHz Report and Order</w:t>
      </w:r>
      <w:r w:rsidR="00A0467C">
        <w:t>, the Commission adopted rules to make 280 megahertz of mid-band spectrum available for flexible use throughout the contiguous United States by transitioning existing services out of the lower portion of the band and into the upper 200 megahertz of the C-band.</w:t>
      </w:r>
      <w:r>
        <w:rPr>
          <w:rStyle w:val="FootnoteReference"/>
          <w:szCs w:val="22"/>
        </w:rPr>
        <w:footnoteReference w:id="6"/>
      </w:r>
      <w:r w:rsidR="00A0467C">
        <w:t xml:space="preserve">  The</w:t>
      </w:r>
      <w:r w:rsidR="003B3853">
        <w:t xml:space="preserve"> Commission</w:t>
      </w:r>
      <w:r w:rsidR="00A0467C">
        <w:t xml:space="preserve"> </w:t>
      </w:r>
      <w:r w:rsidR="003B3853">
        <w:t xml:space="preserve">required </w:t>
      </w:r>
      <w:r w:rsidR="00A0467C">
        <w:t xml:space="preserve">new 3.7 GHz Service licensees </w:t>
      </w:r>
      <w:r w:rsidR="003B3853">
        <w:t xml:space="preserve">to </w:t>
      </w:r>
      <w:r w:rsidR="00A0467C">
        <w:t>reimburse the reasonable relocation costs of eligible Fixed Satellite Service (FSS) space station operators, incumbent FSS earth station operators, and incumbent Fixed Service licensees (collectively, incumbents) to transition out of the band.</w:t>
      </w:r>
      <w:r>
        <w:rPr>
          <w:vertAlign w:val="superscript"/>
        </w:rPr>
        <w:footnoteReference w:id="7"/>
      </w:r>
      <w:r w:rsidRPr="00EC463A" w:rsidR="00A0467C">
        <w:t xml:space="preserve"> </w:t>
      </w:r>
      <w:r w:rsidRPr="56373538" w:rsidR="00A0467C">
        <w:t xml:space="preserve"> </w:t>
      </w:r>
      <w:r w:rsidR="008F14C4">
        <w:t xml:space="preserve">The </w:t>
      </w:r>
      <w:r w:rsidRPr="003B6A37" w:rsidR="008F14C4">
        <w:rPr>
          <w:i/>
        </w:rPr>
        <w:t xml:space="preserve">3.7 GHz Report and Order </w:t>
      </w:r>
      <w:r w:rsidR="008F14C4">
        <w:t xml:space="preserve">also </w:t>
      </w:r>
      <w:r w:rsidR="00FB3FE2">
        <w:t xml:space="preserve">specified </w:t>
      </w:r>
      <w:r w:rsidR="008F14C4">
        <w:t xml:space="preserve">that incumbent FSS earth </w:t>
      </w:r>
      <w:r w:rsidR="008F14C4">
        <w:t>station operators may accept either:  (1) reimbursement for their actual</w:t>
      </w:r>
      <w:r w:rsidR="001C3E33">
        <w:t>,</w:t>
      </w:r>
      <w:r w:rsidR="008F14C4">
        <w:t xml:space="preserve"> reasonable relocation costs; or (2) a lump sum reimbursement “based on the average, estimated costs of relocating all of their incumbent earth stations” to the upper 200 megahertz of the C-band.</w:t>
      </w:r>
      <w:r>
        <w:rPr>
          <w:vertAlign w:val="superscript"/>
        </w:rPr>
        <w:footnoteReference w:id="8"/>
      </w:r>
      <w:r w:rsidRPr="00EC463A" w:rsidR="008F14C4">
        <w:t xml:space="preserve"> </w:t>
      </w:r>
      <w:r w:rsidR="008F14C4">
        <w:t xml:space="preserve"> </w:t>
      </w:r>
    </w:p>
    <w:p w:rsidR="00F42C40" w:rsidP="00F60C32" w14:paraId="55E2DF59" w14:textId="272E4E67">
      <w:pPr>
        <w:pStyle w:val="ParaNum"/>
        <w:widowControl/>
      </w:pPr>
      <w:r>
        <w:t xml:space="preserve">The </w:t>
      </w:r>
      <w:r w:rsidRPr="008C4517">
        <w:rPr>
          <w:i/>
        </w:rPr>
        <w:t xml:space="preserve">3.7 GHz </w:t>
      </w:r>
      <w:r>
        <w:rPr>
          <w:i/>
        </w:rPr>
        <w:t>Report and Order</w:t>
      </w:r>
      <w:r>
        <w:t xml:space="preserve"> </w:t>
      </w:r>
      <w:r w:rsidR="0016132A">
        <w:t xml:space="preserve">further </w:t>
      </w:r>
      <w:r>
        <w:t>provided for the creation of a</w:t>
      </w:r>
      <w:r w:rsidR="002F1BBE">
        <w:t>n independent</w:t>
      </w:r>
      <w:r>
        <w:t xml:space="preserve"> </w:t>
      </w:r>
      <w:r w:rsidR="00EA571C">
        <w:t>c</w:t>
      </w:r>
      <w:r>
        <w:t xml:space="preserve">learinghouse to </w:t>
      </w:r>
      <w:r w:rsidR="000E6836">
        <w:t>administer</w:t>
      </w:r>
      <w:r w:rsidR="00AE36FB">
        <w:t xml:space="preserve">, subject to </w:t>
      </w:r>
      <w:r w:rsidR="009D5247">
        <w:t xml:space="preserve">the </w:t>
      </w:r>
      <w:r w:rsidR="00AE36FB">
        <w:t>Commission</w:t>
      </w:r>
      <w:r w:rsidR="009D5247">
        <w:t>’s rules and</w:t>
      </w:r>
      <w:r w:rsidR="00AE36FB">
        <w:t xml:space="preserve"> oversight,</w:t>
      </w:r>
      <w:r w:rsidRPr="007238F2" w:rsidR="00AE36FB">
        <w:t xml:space="preserve"> </w:t>
      </w:r>
      <w:r w:rsidRPr="007238F2">
        <w:t>the cost-related aspects of the transition</w:t>
      </w:r>
      <w:r w:rsidRPr="009D5247" w:rsidR="009D5247">
        <w:t xml:space="preserve"> </w:t>
      </w:r>
      <w:r w:rsidR="009D5247">
        <w:t>in a fair and transparent manner</w:t>
      </w:r>
      <w:r w:rsidR="003509C9">
        <w:t>,</w:t>
      </w:r>
      <w:r w:rsidR="009D5247">
        <w:t xml:space="preserve"> “to mitigate financial disputes among stakeholders, and to collect and distribute payments in a timely manner.”</w:t>
      </w:r>
      <w:r>
        <w:rPr>
          <w:rStyle w:val="FootnoteReference"/>
        </w:rPr>
        <w:footnoteReference w:id="9"/>
      </w:r>
      <w:r>
        <w:t xml:space="preserve">  </w:t>
      </w:r>
      <w:r w:rsidR="002650B2">
        <w:t xml:space="preserve">To provide </w:t>
      </w:r>
      <w:r w:rsidR="009A5506">
        <w:t xml:space="preserve">the clearinghouse, </w:t>
      </w:r>
      <w:r w:rsidR="002650B2">
        <w:t>incumbents</w:t>
      </w:r>
      <w:r w:rsidR="009A5506">
        <w:t>,</w:t>
      </w:r>
      <w:r w:rsidR="002650B2">
        <w:t xml:space="preserve"> and new </w:t>
      </w:r>
      <w:r w:rsidRPr="00696BBE" w:rsidR="002650B2">
        <w:t xml:space="preserve">3.7 GHz Service </w:t>
      </w:r>
      <w:r w:rsidR="002650B2">
        <w:t xml:space="preserve">licensees with a </w:t>
      </w:r>
      <w:r w:rsidRPr="008C4517" w:rsidR="002650B2">
        <w:t>range of reasonable transition costs</w:t>
      </w:r>
      <w:r w:rsidR="002650B2">
        <w:t xml:space="preserve">, the </w:t>
      </w:r>
      <w:r w:rsidRPr="008C4517" w:rsidR="002650B2">
        <w:rPr>
          <w:i/>
        </w:rPr>
        <w:t xml:space="preserve">3.7 GHz </w:t>
      </w:r>
      <w:r w:rsidR="002650B2">
        <w:rPr>
          <w:i/>
        </w:rPr>
        <w:t>Report and Order</w:t>
      </w:r>
      <w:r w:rsidRPr="00845D15" w:rsidR="002650B2">
        <w:t xml:space="preserve"> </w:t>
      </w:r>
      <w:r w:rsidRPr="008C4517" w:rsidR="002650B2">
        <w:t>direct</w:t>
      </w:r>
      <w:r w:rsidR="002650B2">
        <w:t>ed</w:t>
      </w:r>
      <w:r w:rsidRPr="008C4517" w:rsidR="002650B2">
        <w:t xml:space="preserve"> the Bureau to establish a cost </w:t>
      </w:r>
      <w:r w:rsidR="0023421B">
        <w:t>cat</w:t>
      </w:r>
      <w:r w:rsidR="002C1428">
        <w:t>a</w:t>
      </w:r>
      <w:r w:rsidR="0023421B">
        <w:t>log</w:t>
      </w:r>
      <w:r w:rsidRPr="008C4517" w:rsidR="002650B2">
        <w:t xml:space="preserve"> </w:t>
      </w:r>
      <w:r w:rsidR="002650B2">
        <w:t xml:space="preserve">of the types of expenses </w:t>
      </w:r>
      <w:r w:rsidRPr="008C4517" w:rsidR="002650B2">
        <w:t xml:space="preserve">that incumbents </w:t>
      </w:r>
      <w:r w:rsidR="002650B2">
        <w:t>are likely to</w:t>
      </w:r>
      <w:r w:rsidRPr="008C4517" w:rsidR="002650B2">
        <w:t xml:space="preserve"> incur.</w:t>
      </w:r>
      <w:r>
        <w:rPr>
          <w:rStyle w:val="FootnoteReference"/>
        </w:rPr>
        <w:footnoteReference w:id="10"/>
      </w:r>
      <w:r w:rsidRPr="008C4517" w:rsidR="002650B2">
        <w:t xml:space="preserve">  </w:t>
      </w:r>
      <w:r w:rsidR="00744845">
        <w:t>T</w:t>
      </w:r>
      <w:r>
        <w:t xml:space="preserve">he </w:t>
      </w:r>
      <w:r w:rsidR="001F038F">
        <w:t xml:space="preserve">Commission directed the </w:t>
      </w:r>
      <w:r w:rsidR="000F2686">
        <w:t>c</w:t>
      </w:r>
      <w:r>
        <w:t xml:space="preserve">learinghouse </w:t>
      </w:r>
      <w:r w:rsidR="001F038F">
        <w:t xml:space="preserve">to </w:t>
      </w:r>
      <w:r>
        <w:t xml:space="preserve">presume as reasonable all </w:t>
      </w:r>
      <w:r w:rsidR="0016132A">
        <w:t>actual</w:t>
      </w:r>
      <w:r w:rsidR="001777A4">
        <w:t xml:space="preserve"> cost</w:t>
      </w:r>
      <w:r w:rsidR="0016132A">
        <w:t xml:space="preserve"> </w:t>
      </w:r>
      <w:r w:rsidR="00744845">
        <w:t xml:space="preserve">reimbursement </w:t>
      </w:r>
      <w:r w:rsidRPr="00237389">
        <w:t xml:space="preserve">submissions that fall within the estimated range of costs in </w:t>
      </w:r>
      <w:r w:rsidR="004666A1">
        <w:t xml:space="preserve">the </w:t>
      </w:r>
      <w:r w:rsidR="00650278">
        <w:rPr>
          <w:i/>
          <w:iCs/>
        </w:rPr>
        <w:t>Final Cost Catalog Public Notice</w:t>
      </w:r>
      <w:r w:rsidR="00650278">
        <w:t xml:space="preserve"> </w:t>
      </w:r>
      <w:r w:rsidR="00791163">
        <w:t>produced by the Bureau</w:t>
      </w:r>
      <w:r w:rsidR="00FA57AD">
        <w:t>,</w:t>
      </w:r>
      <w:r w:rsidR="00E979EF">
        <w:t xml:space="preserve"> which also </w:t>
      </w:r>
      <w:r w:rsidR="00334E31">
        <w:t>specified the lump sum amount available per incumbent earth station</w:t>
      </w:r>
      <w:r w:rsidR="001844F3">
        <w:t>,</w:t>
      </w:r>
      <w:r w:rsidR="00334E31">
        <w:t xml:space="preserve"> as well </w:t>
      </w:r>
      <w:r w:rsidR="00617A69">
        <w:t>the process for electing lump sum payments</w:t>
      </w:r>
      <w:r w:rsidRPr="00237389">
        <w:t>.</w:t>
      </w:r>
      <w:r>
        <w:rPr>
          <w:rStyle w:val="FootnoteReference"/>
        </w:rPr>
        <w:footnoteReference w:id="11"/>
      </w:r>
      <w:r>
        <w:t xml:space="preserve">  Incumbent</w:t>
      </w:r>
      <w:r w:rsidR="00CB38D0">
        <w:t>s</w:t>
      </w:r>
      <w:r>
        <w:t xml:space="preserve"> </w:t>
      </w:r>
      <w:r w:rsidR="005058F3">
        <w:t xml:space="preserve">seeking </w:t>
      </w:r>
      <w:r>
        <w:t xml:space="preserve">reimbursement for their actual costs </w:t>
      </w:r>
      <w:r w:rsidR="005058F3">
        <w:t xml:space="preserve">are not precluded from </w:t>
      </w:r>
      <w:r w:rsidR="00E02F8D">
        <w:t>including</w:t>
      </w:r>
      <w:r w:rsidR="00B81A75">
        <w:t xml:space="preserve"> </w:t>
      </w:r>
      <w:r w:rsidR="001844F3">
        <w:t xml:space="preserve">costs </w:t>
      </w:r>
      <w:r>
        <w:t xml:space="preserve">that exceed the amounts in the </w:t>
      </w:r>
      <w:r w:rsidR="008B3200">
        <w:rPr>
          <w:i/>
          <w:iCs/>
        </w:rPr>
        <w:t>Final Cost Catalog Public Notice</w:t>
      </w:r>
      <w:r>
        <w:t xml:space="preserve">, so long as those costs are reasonably necessary to the transition, and incumbents provide justification to the </w:t>
      </w:r>
      <w:r w:rsidR="002024DA">
        <w:t>c</w:t>
      </w:r>
      <w:r>
        <w:t>learinghouse.</w:t>
      </w:r>
      <w:r>
        <w:rPr>
          <w:rStyle w:val="FootnoteReference"/>
          <w:szCs w:val="22"/>
        </w:rPr>
        <w:footnoteReference w:id="12"/>
      </w:r>
      <w:r w:rsidRPr="00EC463A" w:rsidR="00A661BB">
        <w:t xml:space="preserve"> </w:t>
      </w:r>
      <w:r w:rsidR="00A661BB">
        <w:t xml:space="preserve"> </w:t>
      </w:r>
      <w:r w:rsidR="00CD4B12">
        <w:t>By contrast, i</w:t>
      </w:r>
      <w:r w:rsidR="00A661BB">
        <w:t>ncumbent FSS earth station operat</w:t>
      </w:r>
      <w:r w:rsidR="00484EFA">
        <w:t>ors</w:t>
      </w:r>
      <w:r w:rsidR="00A661BB">
        <w:t xml:space="preserve"> opt</w:t>
      </w:r>
      <w:r w:rsidR="001343A5">
        <w:t>ing</w:t>
      </w:r>
      <w:r w:rsidR="00C0324F">
        <w:t xml:space="preserve"> to receive</w:t>
      </w:r>
      <w:r w:rsidR="00A661BB">
        <w:t xml:space="preserve"> </w:t>
      </w:r>
      <w:r w:rsidR="008C60B2">
        <w:t xml:space="preserve">a </w:t>
      </w:r>
      <w:r w:rsidR="00A661BB">
        <w:t xml:space="preserve">lump sum amount </w:t>
      </w:r>
      <w:r w:rsidR="00C8075F">
        <w:t xml:space="preserve">were required to </w:t>
      </w:r>
      <w:r w:rsidR="00306AF3">
        <w:t xml:space="preserve">make </w:t>
      </w:r>
      <w:r w:rsidR="00C0324F">
        <w:t xml:space="preserve">an </w:t>
      </w:r>
      <w:r w:rsidR="002F54B0">
        <w:t xml:space="preserve">irrevocable </w:t>
      </w:r>
      <w:r w:rsidR="00C0324F">
        <w:t xml:space="preserve">election </w:t>
      </w:r>
      <w:r w:rsidR="00E46EAC">
        <w:t xml:space="preserve">and accompanying certification </w:t>
      </w:r>
      <w:r w:rsidR="00C0324F">
        <w:t xml:space="preserve">with the Commission by </w:t>
      </w:r>
      <w:r w:rsidR="00612CB4">
        <w:t>September 14, 202</w:t>
      </w:r>
      <w:r w:rsidR="003B1076">
        <w:t>0</w:t>
      </w:r>
      <w:r>
        <w:rPr>
          <w:rStyle w:val="FootnoteReference"/>
          <w:szCs w:val="22"/>
        </w:rPr>
        <w:footnoteReference w:id="13"/>
      </w:r>
      <w:r w:rsidRPr="00EC463A" w:rsidR="003B1076">
        <w:t xml:space="preserve"> </w:t>
      </w:r>
      <w:r w:rsidR="003B1076">
        <w:t xml:space="preserve">with the proviso that </w:t>
      </w:r>
      <w:r w:rsidR="00E46EAC">
        <w:t>the information contained in such</w:t>
      </w:r>
      <w:r w:rsidR="003B1076">
        <w:t xml:space="preserve"> </w:t>
      </w:r>
      <w:r w:rsidR="003B1076">
        <w:t xml:space="preserve">election would be </w:t>
      </w:r>
      <w:r w:rsidR="00E057D2">
        <w:t xml:space="preserve">“subject to verification as part of the </w:t>
      </w:r>
      <w:r w:rsidR="001805FA">
        <w:t>[c]</w:t>
      </w:r>
      <w:r w:rsidR="00E057D2">
        <w:t>learinghouse’s</w:t>
      </w:r>
      <w:r w:rsidR="00E057D2">
        <w:t xml:space="preserve"> role to prevent waste, fraud, and abuse”</w:t>
      </w:r>
      <w:r w:rsidR="008851BB">
        <w:t xml:space="preserve"> through its claim</w:t>
      </w:r>
      <w:r w:rsidR="00E85BA1">
        <w:t>s</w:t>
      </w:r>
      <w:r w:rsidR="008851BB">
        <w:t xml:space="preserve"> review process.</w:t>
      </w:r>
      <w:r>
        <w:rPr>
          <w:rStyle w:val="ParaNumChar"/>
          <w:vertAlign w:val="superscript"/>
        </w:rPr>
        <w:footnoteReference w:id="14"/>
      </w:r>
      <w:r w:rsidRPr="00EC463A" w:rsidR="00481C15">
        <w:t xml:space="preserve"> </w:t>
      </w:r>
      <w:r w:rsidR="00481C15">
        <w:t xml:space="preserve"> </w:t>
      </w:r>
    </w:p>
    <w:p w:rsidR="00A0467C" w:rsidRPr="00142E12" w:rsidP="00552405" w14:paraId="2756716F" w14:textId="5E623FD8">
      <w:pPr>
        <w:pStyle w:val="ParaNum"/>
        <w:widowControl/>
        <w:rPr>
          <w:szCs w:val="22"/>
        </w:rPr>
      </w:pPr>
      <w:r w:rsidRPr="00142E12">
        <w:rPr>
          <w:szCs w:val="22"/>
        </w:rPr>
        <w:t xml:space="preserve">All </w:t>
      </w:r>
      <w:r w:rsidRPr="00142E12" w:rsidR="0079611E">
        <w:rPr>
          <w:szCs w:val="22"/>
        </w:rPr>
        <w:t xml:space="preserve">reimbursement </w:t>
      </w:r>
      <w:r w:rsidRPr="00142E12">
        <w:rPr>
          <w:szCs w:val="22"/>
        </w:rPr>
        <w:t xml:space="preserve">claims – whether for actual costs </w:t>
      </w:r>
      <w:r w:rsidRPr="00142E12" w:rsidR="0079611E">
        <w:rPr>
          <w:szCs w:val="22"/>
        </w:rPr>
        <w:t xml:space="preserve">or lump sum amounts – must be submitted to the </w:t>
      </w:r>
      <w:r w:rsidRPr="00142E12" w:rsidR="00656AE6">
        <w:rPr>
          <w:szCs w:val="22"/>
        </w:rPr>
        <w:t xml:space="preserve">clearinghouse </w:t>
      </w:r>
      <w:r w:rsidRPr="00142E12" w:rsidR="00F0501E">
        <w:rPr>
          <w:szCs w:val="22"/>
        </w:rPr>
        <w:t xml:space="preserve">for review </w:t>
      </w:r>
      <w:r w:rsidRPr="00142E12" w:rsidR="00D00F44">
        <w:rPr>
          <w:szCs w:val="22"/>
        </w:rPr>
        <w:t xml:space="preserve">pursuant to </w:t>
      </w:r>
      <w:r w:rsidRPr="00142E12" w:rsidR="00BC10EE">
        <w:rPr>
          <w:szCs w:val="22"/>
        </w:rPr>
        <w:t>section 2</w:t>
      </w:r>
      <w:r w:rsidR="00AC2130">
        <w:rPr>
          <w:szCs w:val="22"/>
        </w:rPr>
        <w:t>7</w:t>
      </w:r>
      <w:r w:rsidRPr="00142E12" w:rsidR="00BC10EE">
        <w:rPr>
          <w:szCs w:val="22"/>
        </w:rPr>
        <w:t>.1416 of the Commission’s rules</w:t>
      </w:r>
      <w:r w:rsidRPr="00142E12" w:rsidR="006503AC">
        <w:rPr>
          <w:szCs w:val="22"/>
        </w:rPr>
        <w:t>.</w:t>
      </w:r>
      <w:r>
        <w:rPr>
          <w:rStyle w:val="FootnoteReference"/>
          <w:szCs w:val="22"/>
        </w:rPr>
        <w:footnoteReference w:id="15"/>
      </w:r>
      <w:r w:rsidRPr="00142E12" w:rsidR="006503AC">
        <w:rPr>
          <w:szCs w:val="22"/>
        </w:rPr>
        <w:t xml:space="preserve">  </w:t>
      </w:r>
      <w:r w:rsidRPr="00142E12" w:rsidR="009D5247">
        <w:rPr>
          <w:szCs w:val="22"/>
        </w:rPr>
        <w:t xml:space="preserve">The clearinghouse “will determine in the first instance whether costs submitted for reimbursement are reasonable” and whether they comply with the requirements adopted in the </w:t>
      </w:r>
      <w:r w:rsidRPr="00142E12" w:rsidR="009D5247">
        <w:rPr>
          <w:i/>
          <w:iCs/>
          <w:szCs w:val="22"/>
        </w:rPr>
        <w:t>3.7 GHz Report and Order</w:t>
      </w:r>
      <w:r w:rsidRPr="00142E12" w:rsidR="009D5247">
        <w:rPr>
          <w:szCs w:val="22"/>
        </w:rPr>
        <w:t>.</w:t>
      </w:r>
      <w:r>
        <w:rPr>
          <w:rStyle w:val="FootnoteReference"/>
          <w:szCs w:val="22"/>
        </w:rPr>
        <w:footnoteReference w:id="16"/>
      </w:r>
      <w:r w:rsidRPr="00142E12" w:rsidR="009D5247">
        <w:rPr>
          <w:szCs w:val="22"/>
        </w:rPr>
        <w:t xml:space="preserve">  </w:t>
      </w:r>
      <w:r w:rsidRPr="00142E12" w:rsidR="00CD3BCA">
        <w:rPr>
          <w:szCs w:val="22"/>
        </w:rPr>
        <w:t xml:space="preserve">To the extent a claimant or </w:t>
      </w:r>
      <w:r w:rsidRPr="00142E12" w:rsidR="000B3CF3">
        <w:rPr>
          <w:szCs w:val="22"/>
        </w:rPr>
        <w:t xml:space="preserve">one or more responsible </w:t>
      </w:r>
      <w:r w:rsidRPr="00142E12" w:rsidR="009422DA">
        <w:rPr>
          <w:szCs w:val="22"/>
        </w:rPr>
        <w:t xml:space="preserve">3.7 GHz Service licensees wish to dispute </w:t>
      </w:r>
      <w:r w:rsidRPr="00142E12" w:rsidR="002024DA">
        <w:rPr>
          <w:szCs w:val="22"/>
        </w:rPr>
        <w:t xml:space="preserve">the </w:t>
      </w:r>
      <w:r w:rsidRPr="00142E12" w:rsidR="00656AE6">
        <w:rPr>
          <w:szCs w:val="22"/>
        </w:rPr>
        <w:t xml:space="preserve">clearinghouse’s </w:t>
      </w:r>
      <w:r w:rsidRPr="00142E12" w:rsidR="00F62EF6">
        <w:rPr>
          <w:szCs w:val="22"/>
        </w:rPr>
        <w:t xml:space="preserve">determination with respect to a submitted claim, </w:t>
      </w:r>
      <w:r w:rsidRPr="00142E12" w:rsidR="00FD526E">
        <w:rPr>
          <w:szCs w:val="22"/>
        </w:rPr>
        <w:t>they</w:t>
      </w:r>
      <w:r w:rsidRPr="00142E12" w:rsidR="00F62EF6">
        <w:rPr>
          <w:szCs w:val="22"/>
        </w:rPr>
        <w:t xml:space="preserve"> must </w:t>
      </w:r>
      <w:r w:rsidRPr="00142E12" w:rsidR="002E3220">
        <w:rPr>
          <w:szCs w:val="22"/>
        </w:rPr>
        <w:t xml:space="preserve">file a notice of objection </w:t>
      </w:r>
      <w:r w:rsidRPr="00142E12" w:rsidR="00CB3AFE">
        <w:rPr>
          <w:szCs w:val="22"/>
        </w:rPr>
        <w:t xml:space="preserve">as required by </w:t>
      </w:r>
      <w:r w:rsidRPr="00142E12" w:rsidR="001B6F32">
        <w:rPr>
          <w:szCs w:val="22"/>
        </w:rPr>
        <w:t>section 2</w:t>
      </w:r>
      <w:r w:rsidR="005A06B8">
        <w:rPr>
          <w:szCs w:val="22"/>
        </w:rPr>
        <w:t>7</w:t>
      </w:r>
      <w:r w:rsidRPr="00142E12" w:rsidR="001B6F32">
        <w:rPr>
          <w:szCs w:val="22"/>
        </w:rPr>
        <w:t>.</w:t>
      </w:r>
      <w:r w:rsidRPr="00142E12" w:rsidR="009225BF">
        <w:rPr>
          <w:szCs w:val="22"/>
        </w:rPr>
        <w:t>1421</w:t>
      </w:r>
      <w:r w:rsidRPr="00142E12" w:rsidR="00BF5641">
        <w:rPr>
          <w:szCs w:val="22"/>
        </w:rPr>
        <w:t>(a)</w:t>
      </w:r>
      <w:r w:rsidRPr="00142E12" w:rsidR="009225BF">
        <w:rPr>
          <w:szCs w:val="22"/>
        </w:rPr>
        <w:t xml:space="preserve"> of the Commission’s rules</w:t>
      </w:r>
      <w:r w:rsidRPr="00142E12" w:rsidR="000D110E">
        <w:rPr>
          <w:szCs w:val="22"/>
        </w:rPr>
        <w:t>.</w:t>
      </w:r>
      <w:r>
        <w:rPr>
          <w:rStyle w:val="FootnoteReference"/>
          <w:szCs w:val="22"/>
        </w:rPr>
        <w:footnoteReference w:id="17"/>
      </w:r>
      <w:r w:rsidRPr="00142E12" w:rsidR="00B242E6">
        <w:rPr>
          <w:szCs w:val="22"/>
        </w:rPr>
        <w:t xml:space="preserve">  </w:t>
      </w:r>
      <w:r w:rsidRPr="00142E12" w:rsidR="00BB3A29">
        <w:rPr>
          <w:szCs w:val="22"/>
        </w:rPr>
        <w:t xml:space="preserve">The </w:t>
      </w:r>
      <w:r w:rsidRPr="00142E12" w:rsidR="00F12C37">
        <w:rPr>
          <w:szCs w:val="22"/>
        </w:rPr>
        <w:t>clearinghouse</w:t>
      </w:r>
      <w:r w:rsidRPr="00142E12" w:rsidR="00BB3A29">
        <w:rPr>
          <w:szCs w:val="22"/>
        </w:rPr>
        <w:t xml:space="preserve"> may </w:t>
      </w:r>
      <w:r w:rsidRPr="00142E12" w:rsidR="00F86A55">
        <w:rPr>
          <w:szCs w:val="22"/>
        </w:rPr>
        <w:t xml:space="preserve">in the first instance </w:t>
      </w:r>
      <w:r w:rsidRPr="00142E12" w:rsidR="00BB3A29">
        <w:rPr>
          <w:szCs w:val="22"/>
        </w:rPr>
        <w:t xml:space="preserve">mediate any disputes or refer the disputant parties to alternative dispute resolution </w:t>
      </w:r>
      <w:r w:rsidRPr="00142E12" w:rsidR="00F12C37">
        <w:rPr>
          <w:szCs w:val="22"/>
        </w:rPr>
        <w:t>fora</w:t>
      </w:r>
      <w:r w:rsidRPr="00142E12" w:rsidR="00C74BC0">
        <w:rPr>
          <w:szCs w:val="22"/>
        </w:rPr>
        <w:t>.</w:t>
      </w:r>
      <w:r>
        <w:rPr>
          <w:rStyle w:val="FootnoteReference"/>
          <w:szCs w:val="22"/>
        </w:rPr>
        <w:footnoteReference w:id="18"/>
      </w:r>
      <w:r w:rsidRPr="00142E12" w:rsidR="00F12C37">
        <w:rPr>
          <w:szCs w:val="22"/>
        </w:rPr>
        <w:t xml:space="preserve">  </w:t>
      </w:r>
      <w:r w:rsidRPr="00142E12" w:rsidR="00B242E6">
        <w:rPr>
          <w:szCs w:val="22"/>
        </w:rPr>
        <w:t>Subsequent appeals to the Bureau may be submitted pursuant to the</w:t>
      </w:r>
      <w:r w:rsidRPr="00142E12" w:rsidR="00C64865">
        <w:rPr>
          <w:szCs w:val="22"/>
        </w:rPr>
        <w:t xml:space="preserve"> </w:t>
      </w:r>
      <w:r w:rsidRPr="00142E12" w:rsidR="00A65050">
        <w:rPr>
          <w:szCs w:val="22"/>
        </w:rPr>
        <w:t>procedures</w:t>
      </w:r>
      <w:r w:rsidRPr="00142E12" w:rsidR="00C64865">
        <w:rPr>
          <w:szCs w:val="22"/>
        </w:rPr>
        <w:t xml:space="preserve"> set forth in the</w:t>
      </w:r>
      <w:r w:rsidRPr="00142E12" w:rsidR="00B242E6">
        <w:rPr>
          <w:szCs w:val="22"/>
        </w:rPr>
        <w:t xml:space="preserve"> </w:t>
      </w:r>
      <w:r w:rsidRPr="00142E12" w:rsidR="00F73D64">
        <w:rPr>
          <w:i/>
          <w:iCs/>
          <w:szCs w:val="22"/>
        </w:rPr>
        <w:t>RPC</w:t>
      </w:r>
      <w:r w:rsidRPr="00142E12" w:rsidR="00F73D64">
        <w:rPr>
          <w:szCs w:val="22"/>
        </w:rPr>
        <w:t xml:space="preserve"> </w:t>
      </w:r>
      <w:r w:rsidRPr="00142E12" w:rsidR="00B242E6">
        <w:rPr>
          <w:i/>
          <w:iCs/>
          <w:szCs w:val="22"/>
        </w:rPr>
        <w:t>Appeals Procedures Public Notice</w:t>
      </w:r>
      <w:r w:rsidRPr="00142E12" w:rsidR="00B242E6">
        <w:rPr>
          <w:szCs w:val="22"/>
        </w:rPr>
        <w:t>.</w:t>
      </w:r>
      <w:r>
        <w:rPr>
          <w:rStyle w:val="FootnoteReference"/>
          <w:szCs w:val="22"/>
        </w:rPr>
        <w:footnoteReference w:id="19"/>
      </w:r>
    </w:p>
    <w:p w:rsidR="005C6C09" w:rsidP="00A0467C" w14:paraId="0E3D1279" w14:textId="5390A1CA">
      <w:pPr>
        <w:pStyle w:val="ParaNum"/>
        <w:widowControl/>
        <w:snapToGrid w:val="0"/>
      </w:pPr>
      <w:r>
        <w:rPr>
          <w:i/>
          <w:iCs/>
        </w:rPr>
        <w:t>Mongoose</w:t>
      </w:r>
      <w:r>
        <w:rPr>
          <w:i/>
          <w:iCs/>
        </w:rPr>
        <w:t xml:space="preserve">’s Lump Sum </w:t>
      </w:r>
      <w:r w:rsidR="00F94DB8">
        <w:rPr>
          <w:i/>
          <w:iCs/>
        </w:rPr>
        <w:t xml:space="preserve">Election and </w:t>
      </w:r>
      <w:r w:rsidR="002D4E51">
        <w:rPr>
          <w:i/>
          <w:iCs/>
        </w:rPr>
        <w:t xml:space="preserve">RPC </w:t>
      </w:r>
      <w:r>
        <w:rPr>
          <w:i/>
          <w:iCs/>
        </w:rPr>
        <w:t>Claim</w:t>
      </w:r>
      <w:r>
        <w:t xml:space="preserve">.  </w:t>
      </w:r>
      <w:r w:rsidRPr="005C6C09">
        <w:t xml:space="preserve">Mongoose filed a lump sum election </w:t>
      </w:r>
      <w:r w:rsidR="00F94DB8">
        <w:t xml:space="preserve">with the Commission </w:t>
      </w:r>
      <w:r w:rsidR="008367AD">
        <w:t>on</w:t>
      </w:r>
      <w:r w:rsidRPr="005C6C09">
        <w:t xml:space="preserve"> August </w:t>
      </w:r>
      <w:r w:rsidR="008367AD">
        <w:t xml:space="preserve">12, </w:t>
      </w:r>
      <w:r w:rsidRPr="005C6C09">
        <w:t>2020</w:t>
      </w:r>
      <w:r>
        <w:rPr>
          <w:rStyle w:val="FootnoteReference"/>
        </w:rPr>
        <w:footnoteReference w:id="20"/>
      </w:r>
      <w:r w:rsidRPr="005C6C09">
        <w:t xml:space="preserve"> for eight </w:t>
      </w:r>
      <w:r w:rsidR="00C233A1">
        <w:t xml:space="preserve">incumbent </w:t>
      </w:r>
      <w:r w:rsidRPr="005C6C09">
        <w:t>earth station antennas</w:t>
      </w:r>
      <w:r w:rsidR="008367AD">
        <w:t>,</w:t>
      </w:r>
      <w:r w:rsidRPr="005C6C09">
        <w:t xml:space="preserve"> and on August 16, 2021, filed a claim with the </w:t>
      </w:r>
      <w:r w:rsidR="008367AD">
        <w:t>RPC</w:t>
      </w:r>
      <w:r w:rsidRPr="005C6C09">
        <w:t xml:space="preserve"> seeking $356,052 as its lump sum payment.</w:t>
      </w:r>
      <w:r>
        <w:rPr>
          <w:rStyle w:val="FootnoteReference"/>
        </w:rPr>
        <w:footnoteReference w:id="21"/>
      </w:r>
      <w:r w:rsidRPr="005C6C09">
        <w:t xml:space="preserve">  </w:t>
      </w:r>
      <w:r w:rsidR="000F0910">
        <w:t xml:space="preserve">Specifically, </w:t>
      </w:r>
      <w:r w:rsidR="008367AD">
        <w:t>Mongoose requested a lump sum payment for six Small Multi-beam (2-4 beams) Earth Station Antennas (SMBEAs) at $42,062 each and two Large Multi-beam (5+ beams) Earth Station Antennas (LMBEAs) at $51,840 each.</w:t>
      </w:r>
      <w:r>
        <w:rPr>
          <w:rStyle w:val="FootnoteReference"/>
        </w:rPr>
        <w:footnoteReference w:id="22"/>
      </w:r>
      <w:r w:rsidR="008367AD">
        <w:t xml:space="preserve">  </w:t>
      </w:r>
      <w:r w:rsidRPr="005C6C09">
        <w:t xml:space="preserve">After review of Mongoose’s claim and supplemental information provided by the claimant, the RPC </w:t>
      </w:r>
      <w:r w:rsidR="00556CFB">
        <w:t>D</w:t>
      </w:r>
      <w:r w:rsidRPr="005C6C09">
        <w:t xml:space="preserve">ecisional </w:t>
      </w:r>
      <w:r w:rsidR="00556CFB">
        <w:t>M</w:t>
      </w:r>
      <w:r w:rsidRPr="005C6C09">
        <w:t xml:space="preserve">emorandum </w:t>
      </w:r>
      <w:r w:rsidR="00E92B27">
        <w:t xml:space="preserve">was issued </w:t>
      </w:r>
      <w:r w:rsidRPr="005C6C09">
        <w:t xml:space="preserve">on June 1, 2022, fully approving Mongoose’s claim for six </w:t>
      </w:r>
      <w:r w:rsidR="008367AD">
        <w:t>SMBEAs</w:t>
      </w:r>
      <w:r w:rsidRPr="005C6C09">
        <w:t>.</w:t>
      </w:r>
      <w:r>
        <w:rPr>
          <w:rStyle w:val="FootnoteReference"/>
        </w:rPr>
        <w:footnoteReference w:id="23"/>
      </w:r>
      <w:r w:rsidRPr="005C6C09">
        <w:t xml:space="preserve">  </w:t>
      </w:r>
      <w:r w:rsidR="00DA4FB6">
        <w:t xml:space="preserve">The RPC classified the two </w:t>
      </w:r>
      <w:r w:rsidR="002E09FF">
        <w:t xml:space="preserve">remaining antennas </w:t>
      </w:r>
      <w:r w:rsidR="00DA4FB6">
        <w:t xml:space="preserve">as </w:t>
      </w:r>
      <w:r w:rsidR="0025754C">
        <w:t>R</w:t>
      </w:r>
      <w:r w:rsidR="00DA4FB6">
        <w:t>eceive-</w:t>
      </w:r>
      <w:r w:rsidR="0025754C">
        <w:t>O</w:t>
      </w:r>
      <w:r w:rsidR="00DA4FB6">
        <w:t xml:space="preserve">nly ES Multi-feed </w:t>
      </w:r>
      <w:r w:rsidR="0025754C">
        <w:t>A</w:t>
      </w:r>
      <w:r w:rsidR="00DA4FB6">
        <w:t xml:space="preserve">ntennas </w:t>
      </w:r>
      <w:r w:rsidR="002E09FF">
        <w:t xml:space="preserve">rather than LMBEAs </w:t>
      </w:r>
      <w:r w:rsidR="00DA4FB6">
        <w:t xml:space="preserve">and adjusted Mongoose’s claim amount </w:t>
      </w:r>
      <w:r w:rsidR="00EA0FF4">
        <w:t xml:space="preserve">for those antennas </w:t>
      </w:r>
      <w:r w:rsidR="00DA4FB6">
        <w:t xml:space="preserve">from $103,680 </w:t>
      </w:r>
      <w:r w:rsidR="00EA0FF4">
        <w:t xml:space="preserve">down </w:t>
      </w:r>
      <w:r w:rsidR="00DA4FB6">
        <w:t>to $33,994.</w:t>
      </w:r>
      <w:r>
        <w:rPr>
          <w:rStyle w:val="FootnoteReference"/>
        </w:rPr>
        <w:footnoteReference w:id="24"/>
      </w:r>
      <w:r w:rsidR="00DA4FB6">
        <w:t xml:space="preserve">  </w:t>
      </w:r>
      <w:r w:rsidRPr="005C6C09">
        <w:t xml:space="preserve">Mongoose filed a notice of </w:t>
      </w:r>
      <w:r w:rsidR="00C73C32">
        <w:t>objection</w:t>
      </w:r>
      <w:r w:rsidRPr="005C6C09" w:rsidR="00C73C32">
        <w:t xml:space="preserve"> </w:t>
      </w:r>
      <w:r w:rsidRPr="005C6C09">
        <w:t xml:space="preserve">with the RPC </w:t>
      </w:r>
      <w:r w:rsidR="006623B9">
        <w:t>for</w:t>
      </w:r>
      <w:r w:rsidRPr="005C6C09">
        <w:t xml:space="preserve"> the </w:t>
      </w:r>
      <w:r w:rsidR="00715313">
        <w:t>downward adjusted</w:t>
      </w:r>
      <w:r w:rsidRPr="005C6C09" w:rsidR="00715313">
        <w:t xml:space="preserve"> </w:t>
      </w:r>
      <w:r w:rsidRPr="005C6C09">
        <w:t>portion of its claim on June 25, 2022, seeking restoration of the full amount.</w:t>
      </w:r>
      <w:r>
        <w:rPr>
          <w:rStyle w:val="FootnoteReference"/>
        </w:rPr>
        <w:footnoteReference w:id="25"/>
      </w:r>
      <w:r w:rsidRPr="005C6C09">
        <w:t xml:space="preserve">  On July </w:t>
      </w:r>
      <w:r w:rsidR="00DC5B17">
        <w:t>7</w:t>
      </w:r>
      <w:r w:rsidRPr="005C6C09">
        <w:t>, 2022, Mongoose received payment for the undisputed amount of $286,366.</w:t>
      </w:r>
      <w:r>
        <w:rPr>
          <w:rStyle w:val="FootnoteReference"/>
        </w:rPr>
        <w:footnoteReference w:id="26"/>
      </w:r>
      <w:r w:rsidRPr="005C6C09">
        <w:t xml:space="preserve">  </w:t>
      </w:r>
    </w:p>
    <w:p w:rsidR="002D3DFC" w:rsidP="002D3DFC" w14:paraId="16056E89" w14:textId="1268246A">
      <w:pPr>
        <w:pStyle w:val="ParaNum"/>
        <w:widowControl/>
        <w:snapToGrid w:val="0"/>
      </w:pPr>
      <w:r>
        <w:rPr>
          <w:i/>
          <w:iCs/>
        </w:rPr>
        <w:t xml:space="preserve">Mongoose Appeal.  </w:t>
      </w:r>
      <w:r w:rsidRPr="005C6C09">
        <w:t>Mongoose filed a single</w:t>
      </w:r>
      <w:r w:rsidR="00AC3F40">
        <w:t>-</w:t>
      </w:r>
      <w:r w:rsidRPr="005C6C09">
        <w:t>party appeal on July 31, 2022</w:t>
      </w:r>
      <w:r w:rsidR="00405A70">
        <w:t>,</w:t>
      </w:r>
      <w:r w:rsidR="00931FB7">
        <w:t xml:space="preserve"> asking the Bureau to order the RPC to restore the </w:t>
      </w:r>
      <w:r w:rsidR="00A05A25">
        <w:t xml:space="preserve">disallowed amount of </w:t>
      </w:r>
      <w:r w:rsidR="00931FB7">
        <w:t>$69,686</w:t>
      </w:r>
      <w:r w:rsidRPr="005C6C09">
        <w:t>.</w:t>
      </w:r>
      <w:r>
        <w:rPr>
          <w:rStyle w:val="FootnoteReference"/>
        </w:rPr>
        <w:footnoteReference w:id="27"/>
      </w:r>
      <w:r>
        <w:t xml:space="preserve">  Mongoose </w:t>
      </w:r>
      <w:r w:rsidR="00BD79B6">
        <w:t xml:space="preserve">believes </w:t>
      </w:r>
      <w:r>
        <w:t xml:space="preserve">that the two antennas </w:t>
      </w:r>
      <w:r w:rsidR="00DE5105">
        <w:t>at issue</w:t>
      </w:r>
      <w:r>
        <w:t xml:space="preserve"> (IDs 2.6A and 2.6B) should be classified as LMBEA</w:t>
      </w:r>
      <w:r w:rsidR="00DE5105">
        <w:t>s</w:t>
      </w:r>
      <w:r>
        <w:t xml:space="preserve"> instead of Receive-Only ES Multi-feed Antennas.</w:t>
      </w:r>
      <w:r>
        <w:rPr>
          <w:rStyle w:val="FootnoteReference"/>
        </w:rPr>
        <w:footnoteReference w:id="28"/>
      </w:r>
      <w:r>
        <w:t xml:space="preserve">  </w:t>
      </w:r>
      <w:r w:rsidRPr="008D7D91" w:rsidR="004C3A3B">
        <w:t xml:space="preserve">In </w:t>
      </w:r>
      <w:r w:rsidRPr="008D7D91" w:rsidR="00522B40">
        <w:t xml:space="preserve">support of </w:t>
      </w:r>
      <w:r w:rsidRPr="008D7D91" w:rsidR="004C3A3B">
        <w:t xml:space="preserve">its claim, </w:t>
      </w:r>
      <w:r w:rsidRPr="008D7D91">
        <w:t xml:space="preserve">Mongoose </w:t>
      </w:r>
      <w:r w:rsidRPr="008D7D91" w:rsidR="00B96BC4">
        <w:t xml:space="preserve">argues that the </w:t>
      </w:r>
      <w:r w:rsidRPr="008D7D91" w:rsidR="00B34E04">
        <w:rPr>
          <w:i/>
          <w:iCs/>
        </w:rPr>
        <w:t xml:space="preserve">Final </w:t>
      </w:r>
      <w:r w:rsidRPr="008D7D91" w:rsidR="00B96BC4">
        <w:rPr>
          <w:i/>
          <w:iCs/>
        </w:rPr>
        <w:t>Cost Catalog</w:t>
      </w:r>
      <w:r w:rsidRPr="008D7D91" w:rsidR="00DB3E28">
        <w:rPr>
          <w:i/>
          <w:iCs/>
        </w:rPr>
        <w:t xml:space="preserve"> Public Notice</w:t>
      </w:r>
      <w:r w:rsidRPr="008D7D91" w:rsidR="00B96BC4">
        <w:t xml:space="preserve"> did not specify that only C-band </w:t>
      </w:r>
      <w:r w:rsidRPr="008D7D91" w:rsidR="00AB62E4">
        <w:t>feeds</w:t>
      </w:r>
      <w:r w:rsidRPr="008D7D91" w:rsidR="00B96BC4">
        <w:t xml:space="preserve"> should be counted </w:t>
      </w:r>
      <w:r w:rsidR="00105D5B">
        <w:t xml:space="preserve">in assessing </w:t>
      </w:r>
      <w:r w:rsidR="00A40B58">
        <w:t>whether or not an antenna should be classified as</w:t>
      </w:r>
      <w:r w:rsidRPr="008D7D91" w:rsidR="00105D5B">
        <w:t xml:space="preserve"> </w:t>
      </w:r>
      <w:r w:rsidRPr="008D7D91" w:rsidR="00B96BC4">
        <w:t>a LMBEA, and c</w:t>
      </w:r>
      <w:r w:rsidRPr="008D7D91" w:rsidR="00AB62E4">
        <w:t xml:space="preserve">ontends </w:t>
      </w:r>
      <w:r w:rsidRPr="008D7D91" w:rsidR="00B96BC4">
        <w:t xml:space="preserve">that only one </w:t>
      </w:r>
      <w:r w:rsidRPr="008D7D91" w:rsidR="00AB62E4">
        <w:t xml:space="preserve">feed per antenna </w:t>
      </w:r>
      <w:r w:rsidRPr="008D7D91" w:rsidR="00B96BC4">
        <w:t xml:space="preserve">must </w:t>
      </w:r>
      <w:r w:rsidRPr="008D7D91" w:rsidR="00ED1787">
        <w:t>receive</w:t>
      </w:r>
      <w:r w:rsidRPr="008D7D91" w:rsidR="00B96BC4">
        <w:t xml:space="preserve"> C-band</w:t>
      </w:r>
      <w:r w:rsidRPr="008D7D91" w:rsidR="00AB62E4">
        <w:t xml:space="preserve"> </w:t>
      </w:r>
      <w:r w:rsidRPr="008D7D91" w:rsidR="00ED1787">
        <w:t xml:space="preserve">signals </w:t>
      </w:r>
      <w:r w:rsidRPr="008D7D91" w:rsidR="00AB62E4">
        <w:t>for the antenna to qualify for a particular lump sum category.</w:t>
      </w:r>
      <w:r>
        <w:rPr>
          <w:rStyle w:val="FootnoteReference"/>
        </w:rPr>
        <w:footnoteReference w:id="29"/>
      </w:r>
      <w:r w:rsidR="00AB62E4">
        <w:t xml:space="preserve">  Mongoose asserts that there are </w:t>
      </w:r>
      <w:r>
        <w:t xml:space="preserve">two potential approaches </w:t>
      </w:r>
      <w:r w:rsidR="00B96BC4">
        <w:t xml:space="preserve">for </w:t>
      </w:r>
      <w:r>
        <w:t xml:space="preserve">determining the </w:t>
      </w:r>
      <w:r w:rsidR="004723B1">
        <w:t xml:space="preserve">appropriate </w:t>
      </w:r>
      <w:r>
        <w:t>lump sum categor</w:t>
      </w:r>
      <w:r w:rsidR="00AB62E4">
        <w:t xml:space="preserve">ies </w:t>
      </w:r>
      <w:r w:rsidR="004524C3">
        <w:t>for</w:t>
      </w:r>
      <w:r w:rsidR="00AB62E4">
        <w:t xml:space="preserve"> its</w:t>
      </w:r>
      <w:r>
        <w:t xml:space="preserve"> earth station antennas</w:t>
      </w:r>
      <w:r w:rsidR="00AB62E4">
        <w:t xml:space="preserve"> and, under either approach, it is entitled to the </w:t>
      </w:r>
      <w:r w:rsidR="00D23BB6">
        <w:t xml:space="preserve">full </w:t>
      </w:r>
      <w:r w:rsidR="00AB62E4">
        <w:t>requested reimbursement</w:t>
      </w:r>
      <w:r w:rsidR="00DA69B6">
        <w:t xml:space="preserve"> amount</w:t>
      </w:r>
      <w:r w:rsidR="009719E1">
        <w:t xml:space="preserve"> because the two antennas at issue </w:t>
      </w:r>
      <w:r w:rsidR="00F16C04">
        <w:t>w</w:t>
      </w:r>
      <w:r w:rsidR="009719E1">
        <w:t>ould be classified as LMBEAs</w:t>
      </w:r>
      <w:r w:rsidR="00931FB7">
        <w:t>.</w:t>
      </w:r>
      <w:r>
        <w:rPr>
          <w:rStyle w:val="FootnoteReference"/>
        </w:rPr>
        <w:footnoteReference w:id="30"/>
      </w:r>
      <w:r w:rsidR="00931FB7">
        <w:t xml:space="preserve"> </w:t>
      </w:r>
      <w:r w:rsidR="00AA1F86">
        <w:t xml:space="preserve"> </w:t>
      </w:r>
      <w:r w:rsidR="00D2126F">
        <w:t>Under</w:t>
      </w:r>
      <w:r w:rsidR="00AB62E4">
        <w:t xml:space="preserve"> </w:t>
      </w:r>
      <w:r w:rsidR="00D177BC">
        <w:t>its</w:t>
      </w:r>
      <w:r w:rsidR="00931FB7">
        <w:t xml:space="preserve"> </w:t>
      </w:r>
      <w:r>
        <w:t>“Innate Antenna Approach”</w:t>
      </w:r>
      <w:r w:rsidR="00D177BC">
        <w:t xml:space="preserve"> Mongoose claims</w:t>
      </w:r>
      <w:r w:rsidR="00405A70">
        <w:t xml:space="preserve"> that</w:t>
      </w:r>
      <w:r>
        <w:t xml:space="preserve"> </w:t>
      </w:r>
      <w:r w:rsidR="002F4C08">
        <w:t xml:space="preserve">to be classified as </w:t>
      </w:r>
      <w:r>
        <w:t xml:space="preserve">a </w:t>
      </w:r>
      <w:r w:rsidR="009B2FC9">
        <w:t>LMBEA</w:t>
      </w:r>
      <w:r w:rsidR="002F4C08">
        <w:t xml:space="preserve"> an</w:t>
      </w:r>
      <w:r w:rsidR="00137E2B">
        <w:t xml:space="preserve"> antenna</w:t>
      </w:r>
      <w:r>
        <w:t xml:space="preserve"> </w:t>
      </w:r>
      <w:r w:rsidR="00931FB7">
        <w:t xml:space="preserve">need only have </w:t>
      </w:r>
      <w:r>
        <w:t>an innate ability</w:t>
      </w:r>
      <w:r w:rsidR="00B9396B">
        <w:t xml:space="preserve"> to receive </w:t>
      </w:r>
      <w:r w:rsidR="00ED086C">
        <w:t xml:space="preserve">five </w:t>
      </w:r>
      <w:r w:rsidR="00F179F6">
        <w:t xml:space="preserve">or more </w:t>
      </w:r>
      <w:r w:rsidR="00ED086C">
        <w:t>feed</w:t>
      </w:r>
      <w:r w:rsidR="00070656">
        <w:t xml:space="preserve">s, at least one of which </w:t>
      </w:r>
      <w:r w:rsidR="00E26DE5">
        <w:t>is receiving in</w:t>
      </w:r>
      <w:r w:rsidR="00070656">
        <w:t xml:space="preserve"> the C-band, even if the antenna</w:t>
      </w:r>
      <w:r>
        <w:t xml:space="preserve"> </w:t>
      </w:r>
      <w:r w:rsidR="00070656">
        <w:t>is not configured to have the</w:t>
      </w:r>
      <w:r>
        <w:t xml:space="preserve"> active capability of receiving</w:t>
      </w:r>
      <w:r w:rsidR="00FC6D4D">
        <w:t xml:space="preserve"> more than one</w:t>
      </w:r>
      <w:r>
        <w:t xml:space="preserve"> C-band signal</w:t>
      </w:r>
      <w:r w:rsidR="00931FB7">
        <w:t>.</w:t>
      </w:r>
      <w:r>
        <w:rPr>
          <w:rStyle w:val="FootnoteReference"/>
        </w:rPr>
        <w:footnoteReference w:id="31"/>
      </w:r>
      <w:r w:rsidR="00931FB7">
        <w:t xml:space="preserve">  </w:t>
      </w:r>
      <w:r w:rsidR="00D2126F">
        <w:t>Alternatively</w:t>
      </w:r>
      <w:r w:rsidR="00657BAB">
        <w:t>,</w:t>
      </w:r>
      <w:r w:rsidR="00931FB7">
        <w:t xml:space="preserve"> </w:t>
      </w:r>
      <w:r w:rsidR="00D177BC">
        <w:t>under</w:t>
      </w:r>
      <w:r>
        <w:t xml:space="preserve"> </w:t>
      </w:r>
      <w:r w:rsidR="00D177BC">
        <w:t>its</w:t>
      </w:r>
      <w:r>
        <w:t xml:space="preserve"> “Beam Counting Approach</w:t>
      </w:r>
      <w:r w:rsidR="00D177BC">
        <w:t>,</w:t>
      </w:r>
      <w:r>
        <w:t xml:space="preserve">” </w:t>
      </w:r>
      <w:r w:rsidR="00D177BC">
        <w:t xml:space="preserve">Mongoose asserts that </w:t>
      </w:r>
      <w:r>
        <w:t xml:space="preserve">all types of feeds mounted on an antenna </w:t>
      </w:r>
      <w:r w:rsidR="00D177BC">
        <w:t xml:space="preserve">must be counted towards the antenna classification </w:t>
      </w:r>
      <w:r>
        <w:t xml:space="preserve">regardless of whether </w:t>
      </w:r>
      <w:r w:rsidR="000528B9">
        <w:t xml:space="preserve">those feeds </w:t>
      </w:r>
      <w:r>
        <w:t>receive C-band signals.</w:t>
      </w:r>
      <w:r>
        <w:rPr>
          <w:rStyle w:val="FootnoteReference"/>
        </w:rPr>
        <w:footnoteReference w:id="32"/>
      </w:r>
      <w:r w:rsidR="004C3A3B">
        <w:t xml:space="preserve">  </w:t>
      </w:r>
    </w:p>
    <w:p w:rsidR="002D3DFC" w:rsidP="00E03775" w14:paraId="21CAB054" w14:textId="71B95BA2">
      <w:pPr>
        <w:pStyle w:val="ParaNum"/>
      </w:pPr>
      <w:r>
        <w:t xml:space="preserve">To the extent the Bureau finds </w:t>
      </w:r>
      <w:r w:rsidR="003477A7">
        <w:t xml:space="preserve">neither of </w:t>
      </w:r>
      <w:r>
        <w:t>these approaches valid, Mongoose requests</w:t>
      </w:r>
      <w:r w:rsidR="0013194A">
        <w:t xml:space="preserve"> </w:t>
      </w:r>
      <w:r>
        <w:t>in the alternative a ruling that it is entitled to set its own “</w:t>
      </w:r>
      <w:r w:rsidR="00535B94">
        <w:t>b</w:t>
      </w:r>
      <w:r>
        <w:t xml:space="preserve">enchmark </w:t>
      </w:r>
      <w:r w:rsidR="00535B94">
        <w:t>d</w:t>
      </w:r>
      <w:r>
        <w:t>ate” as the date on which the status of its antennas should be evaluated.</w:t>
      </w:r>
      <w:r>
        <w:rPr>
          <w:rStyle w:val="FootnoteReference"/>
        </w:rPr>
        <w:footnoteReference w:id="33"/>
      </w:r>
      <w:r>
        <w:t xml:space="preserve">  </w:t>
      </w:r>
      <w:r w:rsidR="00487B31">
        <w:t xml:space="preserve">While </w:t>
      </w:r>
      <w:r w:rsidR="00A50B7C">
        <w:t xml:space="preserve">Mongoose </w:t>
      </w:r>
      <w:r w:rsidR="0004760B">
        <w:t xml:space="preserve">disputes use of this concept in </w:t>
      </w:r>
      <w:r w:rsidR="00E92B27">
        <w:t xml:space="preserve">the RPC </w:t>
      </w:r>
      <w:r w:rsidR="0084649C">
        <w:t>D</w:t>
      </w:r>
      <w:r w:rsidR="0004760B">
        <w:t xml:space="preserve">ecisional </w:t>
      </w:r>
      <w:r w:rsidR="0084649C">
        <w:t>M</w:t>
      </w:r>
      <w:r w:rsidR="0004760B">
        <w:t>emorandum</w:t>
      </w:r>
      <w:r w:rsidR="000877FA">
        <w:t xml:space="preserve">, </w:t>
      </w:r>
      <w:r w:rsidR="00945AEA">
        <w:t xml:space="preserve">and </w:t>
      </w:r>
      <w:r w:rsidR="000877FA">
        <w:t>not</w:t>
      </w:r>
      <w:r w:rsidR="00945AEA">
        <w:t>es</w:t>
      </w:r>
      <w:r w:rsidR="000877FA">
        <w:t xml:space="preserve"> that the Commission did not </w:t>
      </w:r>
      <w:r w:rsidR="00902053">
        <w:t xml:space="preserve">itself </w:t>
      </w:r>
      <w:r w:rsidR="000877FA">
        <w:t>establish a benchmark date</w:t>
      </w:r>
      <w:r w:rsidR="00487B31">
        <w:t xml:space="preserve">, </w:t>
      </w:r>
      <w:r w:rsidR="0084649C">
        <w:t xml:space="preserve">Mongoose </w:t>
      </w:r>
      <w:r w:rsidR="008C2E58">
        <w:t>contends</w:t>
      </w:r>
      <w:r w:rsidR="00BF6158">
        <w:t xml:space="preserve"> </w:t>
      </w:r>
      <w:r w:rsidR="002226F1">
        <w:t xml:space="preserve">in any event </w:t>
      </w:r>
      <w:r w:rsidR="00BF6158">
        <w:t xml:space="preserve">that April 19, 2018 (the date for determining </w:t>
      </w:r>
      <w:r w:rsidR="002B2406">
        <w:t>i</w:t>
      </w:r>
      <w:r w:rsidR="00BF6158">
        <w:t xml:space="preserve">ncumbent </w:t>
      </w:r>
      <w:r w:rsidR="002B2406">
        <w:t>e</w:t>
      </w:r>
      <w:r w:rsidR="00BF6158">
        <w:t xml:space="preserve">arth </w:t>
      </w:r>
      <w:r w:rsidR="002B2406">
        <w:t>s</w:t>
      </w:r>
      <w:r w:rsidR="00BF6158">
        <w:t>tation status for the C-band transition) is the appropriate date, rather than August 12, 2020</w:t>
      </w:r>
      <w:r w:rsidR="00A86431">
        <w:t xml:space="preserve"> (the date of Mongoose’s lump sum election</w:t>
      </w:r>
      <w:r w:rsidR="002226F1">
        <w:t xml:space="preserve"> </w:t>
      </w:r>
      <w:r w:rsidR="000111C7">
        <w:t xml:space="preserve">as </w:t>
      </w:r>
      <w:r w:rsidR="002226F1">
        <w:t xml:space="preserve">used in the </w:t>
      </w:r>
      <w:r w:rsidR="00E92B27">
        <w:t xml:space="preserve">RPC </w:t>
      </w:r>
      <w:r w:rsidR="002226F1">
        <w:t>Decisional Memorandum</w:t>
      </w:r>
      <w:r w:rsidR="00223562">
        <w:t>)</w:t>
      </w:r>
      <w:r w:rsidR="00BF6158">
        <w:t>.</w:t>
      </w:r>
      <w:r>
        <w:rPr>
          <w:rStyle w:val="FootnoteReference"/>
        </w:rPr>
        <w:footnoteReference w:id="34"/>
      </w:r>
      <w:r w:rsidR="00BF6158">
        <w:t xml:space="preserve">  </w:t>
      </w:r>
    </w:p>
    <w:p w:rsidR="005602A6" w:rsidRPr="005602A6" w:rsidP="005602A6" w14:paraId="0C3D5096" w14:textId="6429D31A">
      <w:pPr>
        <w:widowControl/>
        <w:numPr>
          <w:ilvl w:val="0"/>
          <w:numId w:val="2"/>
        </w:numPr>
        <w:tabs>
          <w:tab w:val="clear" w:pos="1080"/>
          <w:tab w:val="num" w:pos="1440"/>
        </w:tabs>
        <w:snapToGrid w:val="0"/>
        <w:spacing w:after="120"/>
        <w:rPr>
          <w:szCs w:val="22"/>
        </w:rPr>
      </w:pPr>
      <w:r w:rsidRPr="00125FFB">
        <w:rPr>
          <w:i/>
          <w:iCs/>
        </w:rPr>
        <w:t>RPC Response</w:t>
      </w:r>
      <w:r>
        <w:t xml:space="preserve">.  </w:t>
      </w:r>
      <w:r w:rsidR="00A17B5E">
        <w:t xml:space="preserve">The RPC filed its response, including a copy of </w:t>
      </w:r>
      <w:r w:rsidR="00E92B27">
        <w:t xml:space="preserve">the RPC </w:t>
      </w:r>
      <w:r w:rsidR="00EB7ED1">
        <w:t>D</w:t>
      </w:r>
      <w:r w:rsidR="00A17B5E">
        <w:t xml:space="preserve">ecisional </w:t>
      </w:r>
      <w:r w:rsidR="00EB7ED1">
        <w:t>M</w:t>
      </w:r>
      <w:r w:rsidR="00A17B5E">
        <w:t>emorandum, on August 22, 2022,</w:t>
      </w:r>
      <w:r>
        <w:rPr>
          <w:rStyle w:val="FootnoteReference"/>
        </w:rPr>
        <w:footnoteReference w:id="35"/>
      </w:r>
      <w:r w:rsidR="002E23FD">
        <w:t xml:space="preserve"> </w:t>
      </w:r>
      <w:r>
        <w:rPr>
          <w:szCs w:val="22"/>
        </w:rPr>
        <w:t>stating that</w:t>
      </w:r>
      <w:r w:rsidRPr="005602A6">
        <w:rPr>
          <w:szCs w:val="22"/>
        </w:rPr>
        <w:t xml:space="preserve"> there is no factual dispute between the parties that the two relevant antennas each had only one C-band feed</w:t>
      </w:r>
      <w:r w:rsidR="00E1617B">
        <w:rPr>
          <w:szCs w:val="22"/>
        </w:rPr>
        <w:t>, and</w:t>
      </w:r>
      <w:r w:rsidR="009D7BCC">
        <w:rPr>
          <w:szCs w:val="22"/>
        </w:rPr>
        <w:t xml:space="preserve"> </w:t>
      </w:r>
      <w:r w:rsidR="001E602B">
        <w:rPr>
          <w:szCs w:val="22"/>
        </w:rPr>
        <w:t>as such</w:t>
      </w:r>
      <w:r w:rsidR="00E1617B">
        <w:rPr>
          <w:szCs w:val="22"/>
        </w:rPr>
        <w:t>,</w:t>
      </w:r>
      <w:r w:rsidRPr="005602A6">
        <w:rPr>
          <w:szCs w:val="22"/>
        </w:rPr>
        <w:t xml:space="preserve"> </w:t>
      </w:r>
      <w:r w:rsidR="008424A4">
        <w:rPr>
          <w:szCs w:val="22"/>
        </w:rPr>
        <w:t>Mongoose is</w:t>
      </w:r>
      <w:r w:rsidRPr="005602A6">
        <w:rPr>
          <w:szCs w:val="22"/>
        </w:rPr>
        <w:t xml:space="preserve"> not eligible for the lump sum payment for LMBEAs.</w:t>
      </w:r>
      <w:r>
        <w:rPr>
          <w:rStyle w:val="FootnoteReference"/>
          <w:szCs w:val="22"/>
        </w:rPr>
        <w:footnoteReference w:id="36"/>
      </w:r>
      <w:r w:rsidRPr="005602A6">
        <w:rPr>
          <w:szCs w:val="22"/>
        </w:rPr>
        <w:t xml:space="preserve">  The RPC specifically rebuts Mongoose’s “</w:t>
      </w:r>
      <w:r w:rsidR="006E4457">
        <w:rPr>
          <w:szCs w:val="22"/>
        </w:rPr>
        <w:t>I</w:t>
      </w:r>
      <w:r w:rsidRPr="005602A6">
        <w:rPr>
          <w:szCs w:val="22"/>
        </w:rPr>
        <w:t xml:space="preserve">nnate </w:t>
      </w:r>
      <w:r w:rsidR="006E4457">
        <w:rPr>
          <w:szCs w:val="22"/>
        </w:rPr>
        <w:t>A</w:t>
      </w:r>
      <w:r w:rsidRPr="005602A6">
        <w:rPr>
          <w:szCs w:val="22"/>
        </w:rPr>
        <w:t>ntenna</w:t>
      </w:r>
      <w:r w:rsidR="006E4457">
        <w:rPr>
          <w:szCs w:val="22"/>
        </w:rPr>
        <w:t xml:space="preserve"> Approach,</w:t>
      </w:r>
      <w:r w:rsidRPr="005602A6">
        <w:rPr>
          <w:szCs w:val="22"/>
        </w:rPr>
        <w:t xml:space="preserve">” stating that it is not enough that the antennas </w:t>
      </w:r>
      <w:r w:rsidRPr="005602A6">
        <w:rPr>
          <w:i/>
          <w:iCs/>
          <w:szCs w:val="22"/>
        </w:rPr>
        <w:t xml:space="preserve">could </w:t>
      </w:r>
      <w:r w:rsidRPr="005602A6">
        <w:rPr>
          <w:szCs w:val="22"/>
        </w:rPr>
        <w:t xml:space="preserve">be modified to add more C-Band feeds as </w:t>
      </w:r>
      <w:r w:rsidR="007C6759">
        <w:rPr>
          <w:szCs w:val="22"/>
        </w:rPr>
        <w:t>reimbursing</w:t>
      </w:r>
      <w:r w:rsidRPr="005602A6">
        <w:rPr>
          <w:szCs w:val="22"/>
        </w:rPr>
        <w:t xml:space="preserve"> “innate abilities” would have an </w:t>
      </w:r>
      <w:r w:rsidR="001A5EEA">
        <w:rPr>
          <w:szCs w:val="22"/>
        </w:rPr>
        <w:t>“</w:t>
      </w:r>
      <w:r w:rsidRPr="005602A6">
        <w:rPr>
          <w:szCs w:val="22"/>
        </w:rPr>
        <w:t>indeterminate impact on both the length and costs of the C-band relocation program</w:t>
      </w:r>
      <w:r w:rsidR="0047712E">
        <w:rPr>
          <w:szCs w:val="22"/>
        </w:rPr>
        <w:t>.</w:t>
      </w:r>
      <w:r w:rsidR="00C67481">
        <w:rPr>
          <w:szCs w:val="22"/>
        </w:rPr>
        <w:t>”</w:t>
      </w:r>
      <w:r>
        <w:rPr>
          <w:rStyle w:val="FootnoteReference"/>
          <w:szCs w:val="22"/>
        </w:rPr>
        <w:footnoteReference w:id="37"/>
      </w:r>
      <w:r w:rsidR="008E613C">
        <w:rPr>
          <w:szCs w:val="22"/>
        </w:rPr>
        <w:t xml:space="preserve"> </w:t>
      </w:r>
      <w:r w:rsidRPr="005602A6">
        <w:rPr>
          <w:szCs w:val="22"/>
        </w:rPr>
        <w:t xml:space="preserve"> </w:t>
      </w:r>
      <w:r w:rsidR="0047712E">
        <w:rPr>
          <w:szCs w:val="22"/>
        </w:rPr>
        <w:t xml:space="preserve">The RPC further </w:t>
      </w:r>
      <w:r w:rsidRPr="005602A6">
        <w:rPr>
          <w:szCs w:val="22"/>
        </w:rPr>
        <w:t xml:space="preserve">rejects </w:t>
      </w:r>
      <w:r w:rsidR="0047712E">
        <w:rPr>
          <w:szCs w:val="22"/>
        </w:rPr>
        <w:t>Mongoose’s</w:t>
      </w:r>
      <w:r w:rsidRPr="005602A6">
        <w:rPr>
          <w:szCs w:val="22"/>
        </w:rPr>
        <w:t xml:space="preserve"> “</w:t>
      </w:r>
      <w:r w:rsidR="006E4457">
        <w:rPr>
          <w:szCs w:val="22"/>
        </w:rPr>
        <w:t>B</w:t>
      </w:r>
      <w:r w:rsidRPr="005602A6">
        <w:rPr>
          <w:szCs w:val="22"/>
        </w:rPr>
        <w:t xml:space="preserve">eam </w:t>
      </w:r>
      <w:r w:rsidR="006E4457">
        <w:rPr>
          <w:szCs w:val="22"/>
        </w:rPr>
        <w:t>C</w:t>
      </w:r>
      <w:r w:rsidRPr="005602A6">
        <w:rPr>
          <w:szCs w:val="22"/>
        </w:rPr>
        <w:t xml:space="preserve">ounting </w:t>
      </w:r>
      <w:r w:rsidR="006E4457">
        <w:rPr>
          <w:szCs w:val="22"/>
        </w:rPr>
        <w:t>A</w:t>
      </w:r>
      <w:r w:rsidRPr="005602A6">
        <w:rPr>
          <w:szCs w:val="22"/>
        </w:rPr>
        <w:t>pproach</w:t>
      </w:r>
      <w:r w:rsidR="006E4457">
        <w:rPr>
          <w:szCs w:val="22"/>
        </w:rPr>
        <w:t>”</w:t>
      </w:r>
      <w:r w:rsidRPr="005602A6">
        <w:rPr>
          <w:szCs w:val="22"/>
        </w:rPr>
        <w:t xml:space="preserve"> by noting that non-C-band feeds </w:t>
      </w:r>
      <w:r w:rsidR="00095BD6">
        <w:rPr>
          <w:szCs w:val="22"/>
        </w:rPr>
        <w:t>“</w:t>
      </w:r>
      <w:r w:rsidRPr="005602A6">
        <w:rPr>
          <w:szCs w:val="22"/>
        </w:rPr>
        <w:t>are not directly used to transition incumbent earth stations to the upper 200 MHz of the C-Band,” and the Commission made clear that lump sum payments are limited to C-band equipment and services.</w:t>
      </w:r>
      <w:r>
        <w:rPr>
          <w:rStyle w:val="FootnoteReference"/>
          <w:szCs w:val="22"/>
        </w:rPr>
        <w:footnoteReference w:id="38"/>
      </w:r>
      <w:r>
        <w:rPr>
          <w:szCs w:val="22"/>
        </w:rPr>
        <w:t xml:space="preserve">  </w:t>
      </w:r>
      <w:r w:rsidRPr="005602A6">
        <w:rPr>
          <w:szCs w:val="22"/>
        </w:rPr>
        <w:t>The RPC also asserts that it properly selected a “</w:t>
      </w:r>
      <w:r w:rsidR="003713E8">
        <w:rPr>
          <w:szCs w:val="22"/>
        </w:rPr>
        <w:t>b</w:t>
      </w:r>
      <w:r w:rsidRPr="005602A6">
        <w:rPr>
          <w:szCs w:val="22"/>
        </w:rPr>
        <w:t xml:space="preserve">enchmark </w:t>
      </w:r>
      <w:r w:rsidR="003713E8">
        <w:rPr>
          <w:szCs w:val="22"/>
        </w:rPr>
        <w:t>d</w:t>
      </w:r>
      <w:r w:rsidRPr="005602A6">
        <w:rPr>
          <w:szCs w:val="22"/>
        </w:rPr>
        <w:t xml:space="preserve">ate” corresponding to the date of </w:t>
      </w:r>
      <w:r w:rsidR="007B175D">
        <w:rPr>
          <w:szCs w:val="22"/>
        </w:rPr>
        <w:t>Mongoose’s</w:t>
      </w:r>
      <w:r w:rsidRPr="005602A6">
        <w:rPr>
          <w:szCs w:val="22"/>
        </w:rPr>
        <w:t xml:space="preserve"> lump sum election.</w:t>
      </w:r>
      <w:r>
        <w:rPr>
          <w:rStyle w:val="FootnoteReference"/>
          <w:szCs w:val="22"/>
        </w:rPr>
        <w:footnoteReference w:id="39"/>
      </w:r>
      <w:r w:rsidRPr="005602A6">
        <w:rPr>
          <w:szCs w:val="22"/>
        </w:rPr>
        <w:t xml:space="preserve">  Finally, the RPC </w:t>
      </w:r>
      <w:r w:rsidR="000A62B9">
        <w:rPr>
          <w:szCs w:val="22"/>
        </w:rPr>
        <w:t>notes</w:t>
      </w:r>
      <w:r w:rsidRPr="005602A6">
        <w:rPr>
          <w:szCs w:val="22"/>
        </w:rPr>
        <w:t xml:space="preserve"> that when Mongoose chose to file an irrevocable lump sum </w:t>
      </w:r>
      <w:r w:rsidR="000A62B9">
        <w:rPr>
          <w:szCs w:val="22"/>
        </w:rPr>
        <w:t>election</w:t>
      </w:r>
      <w:r w:rsidRPr="005602A6">
        <w:rPr>
          <w:szCs w:val="22"/>
        </w:rPr>
        <w:t xml:space="preserve">, it assumed the risk that the </w:t>
      </w:r>
      <w:r w:rsidR="005C45E3">
        <w:rPr>
          <w:szCs w:val="22"/>
        </w:rPr>
        <w:t>resulting</w:t>
      </w:r>
      <w:r w:rsidRPr="005602A6">
        <w:rPr>
          <w:szCs w:val="22"/>
        </w:rPr>
        <w:t xml:space="preserve"> payment might not cover all relocation costs, and it is therefore irrelevant whether Ku-band equipment is reimbursable.</w:t>
      </w:r>
      <w:r>
        <w:rPr>
          <w:rStyle w:val="FootnoteReference"/>
          <w:szCs w:val="22"/>
        </w:rPr>
        <w:footnoteReference w:id="40"/>
      </w:r>
      <w:r w:rsidRPr="005602A6">
        <w:rPr>
          <w:szCs w:val="22"/>
        </w:rPr>
        <w:t xml:space="preserve">  </w:t>
      </w:r>
    </w:p>
    <w:p w:rsidR="002D3DFC" w:rsidP="005602A6" w14:paraId="3FFC99AF" w14:textId="51F70310">
      <w:pPr>
        <w:pStyle w:val="ParaNum"/>
        <w:widowControl/>
        <w:snapToGrid w:val="0"/>
      </w:pPr>
      <w:r>
        <w:rPr>
          <w:i/>
          <w:iCs/>
        </w:rPr>
        <w:t xml:space="preserve">Further </w:t>
      </w:r>
      <w:r w:rsidR="00B82E4E">
        <w:rPr>
          <w:i/>
          <w:iCs/>
        </w:rPr>
        <w:t>Responsive Pleadings</w:t>
      </w:r>
      <w:r w:rsidR="00AE6F0A">
        <w:rPr>
          <w:i/>
          <w:iCs/>
        </w:rPr>
        <w:t xml:space="preserve">.  </w:t>
      </w:r>
      <w:r w:rsidR="009B4F04">
        <w:t>Mongoose filed its reply on August 29, 2022</w:t>
      </w:r>
      <w:r w:rsidR="00A962E0">
        <w:t>,</w:t>
      </w:r>
      <w:r w:rsidR="002226F1">
        <w:t xml:space="preserve"> reiterating </w:t>
      </w:r>
      <w:r w:rsidR="00F967DD">
        <w:t>the primary points raised in its appeal</w:t>
      </w:r>
      <w:r w:rsidR="00E6612E">
        <w:t xml:space="preserve"> and </w:t>
      </w:r>
      <w:r w:rsidR="00D569B5">
        <w:t xml:space="preserve">rebutting </w:t>
      </w:r>
      <w:r w:rsidR="00E6612E">
        <w:t>the RPC</w:t>
      </w:r>
      <w:r w:rsidR="00D569B5">
        <w:t>’s response</w:t>
      </w:r>
      <w:r w:rsidR="009B4F04">
        <w:t>.</w:t>
      </w:r>
      <w:r>
        <w:rPr>
          <w:rStyle w:val="FootnoteReference"/>
        </w:rPr>
        <w:footnoteReference w:id="41"/>
      </w:r>
      <w:r w:rsidR="009B4F04">
        <w:t xml:space="preserve"> </w:t>
      </w:r>
      <w:r w:rsidR="00E0605C">
        <w:t xml:space="preserve"> The RPC supplement</w:t>
      </w:r>
      <w:r w:rsidR="00D569B5">
        <w:t>ed</w:t>
      </w:r>
      <w:r w:rsidR="00E0605C">
        <w:t xml:space="preserve"> its response </w:t>
      </w:r>
      <w:r w:rsidR="00D569B5">
        <w:t>with a</w:t>
      </w:r>
      <w:r w:rsidR="00A962E0">
        <w:t>n</w:t>
      </w:r>
      <w:r w:rsidR="00D569B5">
        <w:t xml:space="preserve"> </w:t>
      </w:r>
      <w:r w:rsidR="00A962E0">
        <w:t>attestation</w:t>
      </w:r>
      <w:r w:rsidR="00D569B5">
        <w:t xml:space="preserve"> </w:t>
      </w:r>
      <w:r w:rsidR="00E0605C">
        <w:t xml:space="preserve">on </w:t>
      </w:r>
      <w:r w:rsidR="00C76EB7">
        <w:t>September 2, 2022.</w:t>
      </w:r>
      <w:r>
        <w:rPr>
          <w:rStyle w:val="FootnoteReference"/>
        </w:rPr>
        <w:footnoteReference w:id="42"/>
      </w:r>
    </w:p>
    <w:p w:rsidR="00E25CC0" w:rsidP="00E25CC0" w14:paraId="78D39C92" w14:textId="7FA1BD3B">
      <w:pPr>
        <w:pStyle w:val="Heading1"/>
      </w:pPr>
      <w:r>
        <w:t>Discussion</w:t>
      </w:r>
    </w:p>
    <w:p w:rsidR="0098059C" w:rsidP="004238B6" w14:paraId="0E9DC93F" w14:textId="77777777">
      <w:pPr>
        <w:pStyle w:val="ParaNum"/>
      </w:pPr>
      <w:r>
        <w:t>At the outset, we reiterate that the Commission designated an independent clearinghouse to manage, pursuant to Commission rules and oversight,</w:t>
      </w:r>
      <w:r w:rsidRPr="007238F2">
        <w:t xml:space="preserve"> the cost-related aspects of the </w:t>
      </w:r>
      <w:r>
        <w:t xml:space="preserve">C-band </w:t>
      </w:r>
      <w:r w:rsidRPr="007238F2">
        <w:t>transition</w:t>
      </w:r>
      <w:r>
        <w:t xml:space="preserve"> and charged it with conducting the initial review and processing of cost reimbursement claims.  This remit affords the RPC with flexibility to request information from claimants and </w:t>
      </w:r>
      <w:r w:rsidR="004238B6">
        <w:t xml:space="preserve">to </w:t>
      </w:r>
      <w:r>
        <w:t>assess the unique facts and circumstances associated with each claim before it</w:t>
      </w:r>
      <w:r w:rsidR="00CB2009">
        <w:t>, including the verification of any information contained in an underlying lump sum election</w:t>
      </w:r>
      <w:r>
        <w:t xml:space="preserve">.  The RPC remains subject to both </w:t>
      </w:r>
      <w:r w:rsidR="00273C85">
        <w:t xml:space="preserve">the </w:t>
      </w:r>
      <w:r>
        <w:t>Commission</w:t>
      </w:r>
      <w:r w:rsidR="00273C85">
        <w:t>’s</w:t>
      </w:r>
      <w:r>
        <w:t xml:space="preserve"> rules and oversight, and eligible parties may dispute the RPC’s decisions and</w:t>
      </w:r>
      <w:r w:rsidR="00E55A91">
        <w:t>,</w:t>
      </w:r>
      <w:r>
        <w:t xml:space="preserve"> subject to certain procedural requirements, appeal such decisions to the Bureau.  </w:t>
      </w:r>
    </w:p>
    <w:p w:rsidR="002511BB" w:rsidRPr="00CC4BD7" w:rsidP="004238B6" w14:paraId="2A850DE2" w14:textId="4049C1D0">
      <w:pPr>
        <w:pStyle w:val="ParaNum"/>
      </w:pPr>
      <w:r>
        <w:t xml:space="preserve">Here, we find that Mongoose satisfied the </w:t>
      </w:r>
      <w:r w:rsidR="00657E11">
        <w:t xml:space="preserve">necessary </w:t>
      </w:r>
      <w:r>
        <w:t xml:space="preserve">procedural requirements </w:t>
      </w:r>
      <w:r w:rsidR="00273C85">
        <w:t xml:space="preserve">by </w:t>
      </w:r>
      <w:r>
        <w:t>timely fil</w:t>
      </w:r>
      <w:r w:rsidR="00273C85">
        <w:t>ing</w:t>
      </w:r>
      <w:r>
        <w:t xml:space="preserve"> both a notice of objection with the RPC and a single-party </w:t>
      </w:r>
      <w:r w:rsidR="00422399">
        <w:t xml:space="preserve">dispute </w:t>
      </w:r>
      <w:r>
        <w:t>appeal with the Bureau.</w:t>
      </w:r>
      <w:r>
        <w:rPr>
          <w:rStyle w:val="FootnoteReference"/>
        </w:rPr>
        <w:footnoteReference w:id="43"/>
      </w:r>
      <w:r>
        <w:t xml:space="preserve">  In the </w:t>
      </w:r>
      <w:r w:rsidRPr="00CB2009" w:rsidR="004238B6">
        <w:rPr>
          <w:i/>
          <w:iCs/>
        </w:rPr>
        <w:t>RPC</w:t>
      </w:r>
      <w:r w:rsidR="004238B6">
        <w:t xml:space="preserve"> </w:t>
      </w:r>
      <w:r w:rsidRPr="00587B22">
        <w:rPr>
          <w:i/>
          <w:iCs/>
        </w:rPr>
        <w:t>Appeals Procedures Public Notice</w:t>
      </w:r>
      <w:r>
        <w:t xml:space="preserve">, the Bureau established that the burden of proof for a single-party </w:t>
      </w:r>
      <w:r>
        <w:t xml:space="preserve">dispute </w:t>
      </w:r>
      <w:r w:rsidR="00273C85">
        <w:t xml:space="preserve">appeal </w:t>
      </w:r>
      <w:r>
        <w:t xml:space="preserve">lies </w:t>
      </w:r>
      <w:r w:rsidR="00E55A91">
        <w:t xml:space="preserve">with </w:t>
      </w:r>
      <w:r>
        <w:t>the appealing party to demonstrate that the RPC decision was incorrect.</w:t>
      </w:r>
      <w:r>
        <w:rPr>
          <w:rStyle w:val="FootnoteReference"/>
        </w:rPr>
        <w:footnoteReference w:id="44"/>
      </w:r>
      <w:r>
        <w:t xml:space="preserve">  As further discussed below, </w:t>
      </w:r>
      <w:r w:rsidR="00273C85">
        <w:t>w</w:t>
      </w:r>
      <w:r w:rsidR="00DB3CE4">
        <w:t xml:space="preserve">e deny Mongoose’s appeal because it </w:t>
      </w:r>
      <w:r w:rsidR="00AD29D7">
        <w:t xml:space="preserve">has </w:t>
      </w:r>
      <w:r w:rsidR="00DB3CE4">
        <w:t xml:space="preserve">not </w:t>
      </w:r>
      <w:r w:rsidR="00AD29D7">
        <w:t xml:space="preserve">met its burden of proof </w:t>
      </w:r>
      <w:r w:rsidR="0065221E">
        <w:t xml:space="preserve">in </w:t>
      </w:r>
      <w:r w:rsidR="00DB3CE4">
        <w:t>demonstrat</w:t>
      </w:r>
      <w:r w:rsidR="0065221E">
        <w:t>ing</w:t>
      </w:r>
      <w:r w:rsidR="00DB3CE4">
        <w:t xml:space="preserve"> that the RPC erred in </w:t>
      </w:r>
      <w:r w:rsidR="005C6101">
        <w:t xml:space="preserve">its </w:t>
      </w:r>
      <w:r w:rsidR="005C1D70">
        <w:t>classification of</w:t>
      </w:r>
      <w:r w:rsidR="00501894">
        <w:t>,</w:t>
      </w:r>
      <w:r w:rsidR="005C1D70">
        <w:t xml:space="preserve"> </w:t>
      </w:r>
      <w:r w:rsidR="008E78D9">
        <w:t xml:space="preserve">and </w:t>
      </w:r>
      <w:r w:rsidR="00DB3CE4">
        <w:t>reimbursement for</w:t>
      </w:r>
      <w:r w:rsidR="008E78D9">
        <w:t>,</w:t>
      </w:r>
      <w:r w:rsidR="00DB3CE4">
        <w:t xml:space="preserve"> the two antennas at issue.  </w:t>
      </w:r>
      <w:r w:rsidR="00B52A9C">
        <w:t>B</w:t>
      </w:r>
      <w:r w:rsidR="00553490">
        <w:t>ased on the record before the Bureau,</w:t>
      </w:r>
      <w:r w:rsidR="00256E70">
        <w:t xml:space="preserve"> </w:t>
      </w:r>
      <w:r w:rsidR="00422399">
        <w:t xml:space="preserve">we </w:t>
      </w:r>
      <w:r w:rsidR="00A962E0">
        <w:t xml:space="preserve">separately and independently </w:t>
      </w:r>
      <w:r w:rsidR="00422399">
        <w:t xml:space="preserve">find that </w:t>
      </w:r>
      <w:r w:rsidR="00256E70">
        <w:t xml:space="preserve">the RPC </w:t>
      </w:r>
      <w:r w:rsidR="00BA04C9">
        <w:t xml:space="preserve">both </w:t>
      </w:r>
      <w:r w:rsidR="00256E70">
        <w:t>correctly interpreted</w:t>
      </w:r>
      <w:r w:rsidR="00660013">
        <w:t xml:space="preserve"> the </w:t>
      </w:r>
      <w:r w:rsidR="00E55A91">
        <w:t xml:space="preserve">relevant </w:t>
      </w:r>
      <w:r w:rsidR="00660013">
        <w:t xml:space="preserve">Commission </w:t>
      </w:r>
      <w:r w:rsidR="00106EFE">
        <w:t xml:space="preserve">rules, </w:t>
      </w:r>
      <w:r w:rsidR="00660013">
        <w:t>guidance</w:t>
      </w:r>
      <w:r w:rsidR="00106EFE">
        <w:t>, and policies</w:t>
      </w:r>
      <w:r w:rsidR="00660013">
        <w:t xml:space="preserve"> and applied </w:t>
      </w:r>
      <w:r w:rsidR="00106EFE">
        <w:t xml:space="preserve">them </w:t>
      </w:r>
      <w:r w:rsidR="00660013">
        <w:t xml:space="preserve">to the </w:t>
      </w:r>
      <w:r w:rsidR="005128BC">
        <w:t>antennas in question</w:t>
      </w:r>
      <w:r w:rsidR="00256E70">
        <w:t xml:space="preserve">.  </w:t>
      </w:r>
      <w:r w:rsidR="00D42764">
        <w:t xml:space="preserve">Thus, </w:t>
      </w:r>
      <w:r w:rsidR="00D307A8">
        <w:t xml:space="preserve">Mongoose’s appeal is without merit.  </w:t>
      </w:r>
      <w:r w:rsidR="000A42BE">
        <w:t xml:space="preserve">We further find that Mongoose’s procedural arguments are unavailing.  </w:t>
      </w:r>
    </w:p>
    <w:p w:rsidR="00F9340F" w:rsidP="0054591A" w14:paraId="6E20877C" w14:textId="68A98AC1">
      <w:pPr>
        <w:pStyle w:val="Heading2"/>
      </w:pPr>
      <w:r>
        <w:t xml:space="preserve">Mongoose </w:t>
      </w:r>
      <w:r w:rsidR="008C1D7F">
        <w:t xml:space="preserve">Has </w:t>
      </w:r>
      <w:r w:rsidR="00217555">
        <w:t>Fail</w:t>
      </w:r>
      <w:r w:rsidR="008C1D7F">
        <w:t>ed</w:t>
      </w:r>
      <w:r w:rsidR="00217555">
        <w:t xml:space="preserve"> to </w:t>
      </w:r>
      <w:r w:rsidR="00CC4BD7">
        <w:t>Demonstrate that the RPC Decision is in Error</w:t>
      </w:r>
    </w:p>
    <w:p w:rsidR="00D532CE" w:rsidP="00D25C80" w14:paraId="56A26EF1" w14:textId="33947AE4">
      <w:pPr>
        <w:pStyle w:val="ParaNum"/>
      </w:pPr>
      <w:r>
        <w:t>The key question presented in Mongoose’s appeal is what is the correct lump sum categorization for the two earth station antennas in question</w:t>
      </w:r>
      <w:r w:rsidR="00D25C80">
        <w:t>—</w:t>
      </w:r>
      <w:r>
        <w:t xml:space="preserve">LMBEAs or Receive-Only ES Multi-feed Antennas.  </w:t>
      </w:r>
      <w:r w:rsidR="003D0362">
        <w:t xml:space="preserve">Both Mongoose and the RPC agree that the antennas in question have one C-band feed </w:t>
      </w:r>
      <w:r w:rsidR="00422399">
        <w:t xml:space="preserve">each </w:t>
      </w:r>
      <w:r w:rsidR="003D0362">
        <w:t>and multiple Ku-band feeds.</w:t>
      </w:r>
      <w:r>
        <w:rPr>
          <w:rStyle w:val="FootnoteReference"/>
        </w:rPr>
        <w:footnoteReference w:id="45"/>
      </w:r>
      <w:r w:rsidR="003D0362">
        <w:t xml:space="preserve">  </w:t>
      </w:r>
      <w:r>
        <w:t xml:space="preserve">While Mongoose’s lump sum election </w:t>
      </w:r>
      <w:r w:rsidR="00FF0954">
        <w:t>claimed these antennas as LMBEAs</w:t>
      </w:r>
      <w:r>
        <w:t>,</w:t>
      </w:r>
      <w:r>
        <w:rPr>
          <w:rStyle w:val="FootnoteReference"/>
        </w:rPr>
        <w:footnoteReference w:id="46"/>
      </w:r>
      <w:r>
        <w:t xml:space="preserve"> upon </w:t>
      </w:r>
      <w:r w:rsidR="00C64F1D">
        <w:t xml:space="preserve">review of Mongoose’s </w:t>
      </w:r>
      <w:r w:rsidR="008A7943">
        <w:t xml:space="preserve">reimbursement </w:t>
      </w:r>
      <w:r w:rsidR="00C64F1D">
        <w:t>claim</w:t>
      </w:r>
      <w:r w:rsidR="00422399">
        <w:t>, lump sum election,</w:t>
      </w:r>
      <w:r w:rsidR="00C64F1D">
        <w:t xml:space="preserve"> and additional supporting materials provided by the claimant, the RPC determined as part of its </w:t>
      </w:r>
      <w:r w:rsidR="00422399">
        <w:t>claim</w:t>
      </w:r>
      <w:r w:rsidR="00E406D7">
        <w:t>s</w:t>
      </w:r>
      <w:r w:rsidR="00422399">
        <w:t xml:space="preserve"> review and </w:t>
      </w:r>
      <w:r w:rsidR="00C64F1D">
        <w:t xml:space="preserve">lump sum verification process that the latter category was </w:t>
      </w:r>
      <w:r w:rsidR="0046789D">
        <w:t>the correct one</w:t>
      </w:r>
      <w:r w:rsidR="00C64F1D">
        <w:t>.</w:t>
      </w:r>
      <w:r>
        <w:rPr>
          <w:rStyle w:val="FootnoteReference"/>
        </w:rPr>
        <w:footnoteReference w:id="47"/>
      </w:r>
      <w:r w:rsidR="00C64F1D">
        <w:t xml:space="preserve">  </w:t>
      </w:r>
      <w:r w:rsidR="0046789D">
        <w:t>In making this determination, the RPC stated that it “considers C-band feeds receiving signals from C-band orbital slots for the purpose of determining which antenna category from the Cost Catalog applies to a claim” and it “does not consider equipment that is not directly used to transition incumbent earth stations to the upper 200 MHz of the C-band.”</w:t>
      </w:r>
      <w:r>
        <w:rPr>
          <w:rStyle w:val="FootnoteReference"/>
        </w:rPr>
        <w:footnoteReference w:id="48"/>
      </w:r>
      <w:r w:rsidR="0046789D">
        <w:t xml:space="preserve">  </w:t>
      </w:r>
      <w:r w:rsidR="003342D9">
        <w:t xml:space="preserve">In support of its view, the RPC cited </w:t>
      </w:r>
      <w:r w:rsidR="004F2974">
        <w:t xml:space="preserve">multiple instances of </w:t>
      </w:r>
      <w:r w:rsidR="001C5736">
        <w:t xml:space="preserve">Commission guidance that reimbursement should only be sought for </w:t>
      </w:r>
      <w:r w:rsidR="001B3F7C">
        <w:t xml:space="preserve">reasonable </w:t>
      </w:r>
      <w:r w:rsidR="001C5736">
        <w:t xml:space="preserve">costs </w:t>
      </w:r>
      <w:r w:rsidR="00181BDD">
        <w:t>necessary</w:t>
      </w:r>
      <w:r w:rsidR="001C5736">
        <w:t xml:space="preserve"> to </w:t>
      </w:r>
      <w:r w:rsidR="00181BDD">
        <w:t xml:space="preserve">effectuate </w:t>
      </w:r>
      <w:r w:rsidR="00C95191">
        <w:t>the C-band transition.</w:t>
      </w:r>
      <w:r>
        <w:rPr>
          <w:rStyle w:val="FootnoteReference"/>
        </w:rPr>
        <w:footnoteReference w:id="49"/>
      </w:r>
      <w:r w:rsidR="003342D9">
        <w:t xml:space="preserve">  </w:t>
      </w:r>
    </w:p>
    <w:p w:rsidR="003342D9" w:rsidP="001C33F3" w14:paraId="5E437EBE" w14:textId="6EB83F4A">
      <w:pPr>
        <w:pStyle w:val="ParaNum"/>
        <w:widowControl/>
      </w:pPr>
      <w:r>
        <w:t xml:space="preserve">In its appeal, </w:t>
      </w:r>
      <w:r>
        <w:t xml:space="preserve">Mongoose </w:t>
      </w:r>
      <w:r w:rsidR="00B4473F">
        <w:t>challenge</w:t>
      </w:r>
      <w:r>
        <w:t>s</w:t>
      </w:r>
      <w:r w:rsidR="00B4473F">
        <w:t xml:space="preserve"> the RPC’s determination by </w:t>
      </w:r>
      <w:r>
        <w:t>suggest</w:t>
      </w:r>
      <w:r w:rsidR="00B4473F">
        <w:t>ing</w:t>
      </w:r>
      <w:r>
        <w:t xml:space="preserve"> two alternative </w:t>
      </w:r>
      <w:r w:rsidR="00271EE9">
        <w:t>rationales</w:t>
      </w:r>
      <w:r w:rsidR="007C1989">
        <w:t>,</w:t>
      </w:r>
      <w:r w:rsidR="00271EE9">
        <w:t xml:space="preserve"> neither of which is supported by Commission </w:t>
      </w:r>
      <w:r w:rsidR="0005424D">
        <w:t>r</w:t>
      </w:r>
      <w:r w:rsidR="009052E6">
        <w:t xml:space="preserve">ules, </w:t>
      </w:r>
      <w:r w:rsidR="00271EE9">
        <w:t>guidance</w:t>
      </w:r>
      <w:r w:rsidR="0005184F">
        <w:t>, or policies</w:t>
      </w:r>
      <w:r w:rsidR="00271EE9">
        <w:t xml:space="preserve">.  </w:t>
      </w:r>
      <w:r w:rsidR="00395E68">
        <w:t>First</w:t>
      </w:r>
      <w:r w:rsidR="00271EE9">
        <w:t>,</w:t>
      </w:r>
      <w:r>
        <w:t xml:space="preserve"> Mongoose asserts that</w:t>
      </w:r>
      <w:r w:rsidR="00442B9B">
        <w:t xml:space="preserve"> pursuant to</w:t>
      </w:r>
      <w:r>
        <w:t xml:space="preserve"> </w:t>
      </w:r>
      <w:r w:rsidR="007C1989">
        <w:t xml:space="preserve">its </w:t>
      </w:r>
      <w:r>
        <w:t>“Innate Antenna Approach</w:t>
      </w:r>
      <w:r w:rsidR="00271EE9">
        <w:t>,</w:t>
      </w:r>
      <w:r>
        <w:t xml:space="preserve">” </w:t>
      </w:r>
      <w:r w:rsidR="00442B9B">
        <w:t xml:space="preserve">the appropriate test </w:t>
      </w:r>
      <w:r w:rsidR="00FC1EEB">
        <w:t>for whether the antennas at issue should be classified as LMBEAs is whether they</w:t>
      </w:r>
      <w:r>
        <w:t xml:space="preserve"> have </w:t>
      </w:r>
      <w:r w:rsidR="00FC1EEB">
        <w:t xml:space="preserve">the </w:t>
      </w:r>
      <w:r>
        <w:t>ability</w:t>
      </w:r>
      <w:r w:rsidR="00EB551D">
        <w:t xml:space="preserve"> to</w:t>
      </w:r>
      <w:r w:rsidR="00FC1EEB">
        <w:t xml:space="preserve"> receive</w:t>
      </w:r>
      <w:r>
        <w:t xml:space="preserve"> </w:t>
      </w:r>
      <w:r w:rsidR="00794C51">
        <w:t>five feeds</w:t>
      </w:r>
      <w:r w:rsidR="00E355B2">
        <w:t xml:space="preserve"> or more</w:t>
      </w:r>
      <w:r w:rsidR="00794C51">
        <w:t xml:space="preserve">, at least one of which </w:t>
      </w:r>
      <w:r w:rsidR="00AC3B62">
        <w:t>is</w:t>
      </w:r>
      <w:r w:rsidR="00697F03">
        <w:t xml:space="preserve"> </w:t>
      </w:r>
      <w:r w:rsidR="00794C51">
        <w:t xml:space="preserve">in the </w:t>
      </w:r>
      <w:r>
        <w:t>C-band</w:t>
      </w:r>
      <w:r w:rsidR="00794C51">
        <w:t xml:space="preserve">, even </w:t>
      </w:r>
      <w:r w:rsidR="00FC1EEB">
        <w:t>i</w:t>
      </w:r>
      <w:r w:rsidR="00794C51">
        <w:t>f</w:t>
      </w:r>
      <w:r w:rsidR="00FC1EEB">
        <w:t xml:space="preserve"> </w:t>
      </w:r>
      <w:r w:rsidR="00884D6A">
        <w:t>the</w:t>
      </w:r>
      <w:r w:rsidR="00794C51">
        <w:t xml:space="preserve"> antenna </w:t>
      </w:r>
      <w:r w:rsidR="00884D6A">
        <w:t>was not</w:t>
      </w:r>
      <w:r w:rsidR="00794C51">
        <w:t xml:space="preserve"> configured to have the active </w:t>
      </w:r>
      <w:r w:rsidR="00981A66">
        <w:t>ability to receive</w:t>
      </w:r>
      <w:r w:rsidR="00794C51">
        <w:t xml:space="preserve"> </w:t>
      </w:r>
      <w:r w:rsidR="00AA1F30">
        <w:t>more than one</w:t>
      </w:r>
      <w:r w:rsidR="003D08B4">
        <w:t xml:space="preserve"> C-band signal</w:t>
      </w:r>
      <w:r>
        <w:t>.</w:t>
      </w:r>
      <w:r>
        <w:rPr>
          <w:rStyle w:val="FootnoteReference"/>
        </w:rPr>
        <w:footnoteReference w:id="50"/>
      </w:r>
      <w:r>
        <w:t xml:space="preserve">  </w:t>
      </w:r>
      <w:r w:rsidR="00947A81">
        <w:t>We disagree.  Nothing in the Commission’s rules</w:t>
      </w:r>
      <w:r w:rsidR="002B2FD7">
        <w:t xml:space="preserve"> </w:t>
      </w:r>
      <w:r w:rsidR="00AA1E2C">
        <w:t xml:space="preserve">or </w:t>
      </w:r>
      <w:r w:rsidR="00BA6104">
        <w:t>guidance</w:t>
      </w:r>
      <w:r w:rsidR="00AA1E2C">
        <w:t xml:space="preserve"> </w:t>
      </w:r>
      <w:r w:rsidR="002B2FD7">
        <w:t>support</w:t>
      </w:r>
      <w:r w:rsidR="00354125">
        <w:t>s</w:t>
      </w:r>
      <w:r w:rsidR="002B2FD7">
        <w:t xml:space="preserve"> the position </w:t>
      </w:r>
      <w:r>
        <w:t>that the</w:t>
      </w:r>
      <w:r w:rsidR="00652534">
        <w:t xml:space="preserve"> fact that the</w:t>
      </w:r>
      <w:r>
        <w:t xml:space="preserve"> antennas at issue </w:t>
      </w:r>
      <w:r>
        <w:rPr>
          <w:i/>
          <w:iCs/>
        </w:rPr>
        <w:t xml:space="preserve">could </w:t>
      </w:r>
      <w:r>
        <w:t xml:space="preserve">be modified to add more C-band feeds </w:t>
      </w:r>
      <w:r w:rsidR="00652534">
        <w:t>justifies classification as LMBEAs</w:t>
      </w:r>
      <w:r>
        <w:t xml:space="preserve">, </w:t>
      </w:r>
      <w:r w:rsidR="00652534">
        <w:t xml:space="preserve">and in fact </w:t>
      </w:r>
      <w:r w:rsidR="00A44806">
        <w:t xml:space="preserve">such position would </w:t>
      </w:r>
      <w:r w:rsidR="00527348">
        <w:t>directly conflict with the Commission’s stated goal</w:t>
      </w:r>
      <w:r w:rsidR="00C63EF2">
        <w:t xml:space="preserve"> </w:t>
      </w:r>
      <w:r w:rsidR="00527348">
        <w:t xml:space="preserve">of tailoring reimbursements to those reasonable costs necessary to transition </w:t>
      </w:r>
      <w:r w:rsidRPr="00527348" w:rsidR="00527348">
        <w:rPr>
          <w:i/>
          <w:iCs/>
        </w:rPr>
        <w:t>existing</w:t>
      </w:r>
      <w:r w:rsidR="00527348">
        <w:t xml:space="preserve"> C-band operations.</w:t>
      </w:r>
      <w:r>
        <w:rPr>
          <w:rStyle w:val="FootnoteReference"/>
        </w:rPr>
        <w:footnoteReference w:id="51"/>
      </w:r>
      <w:r w:rsidR="00527348">
        <w:t xml:space="preserve">  Mongoose’s proposed </w:t>
      </w:r>
      <w:r w:rsidR="0044627F">
        <w:t xml:space="preserve">interpretation of the Commission’s rules </w:t>
      </w:r>
      <w:r w:rsidR="00E610B9">
        <w:t xml:space="preserve">and </w:t>
      </w:r>
      <w:r w:rsidR="00BA6104">
        <w:t>guidance</w:t>
      </w:r>
      <w:r w:rsidR="00E610B9">
        <w:t xml:space="preserve"> </w:t>
      </w:r>
      <w:r>
        <w:t xml:space="preserve">would </w:t>
      </w:r>
      <w:r w:rsidR="00527348">
        <w:t xml:space="preserve">also </w:t>
      </w:r>
      <w:r w:rsidR="00626C61">
        <w:t>substantially</w:t>
      </w:r>
      <w:r w:rsidR="007C1989">
        <w:t xml:space="preserve"> increase the</w:t>
      </w:r>
      <w:r>
        <w:t xml:space="preserve"> costs associated with the C-band </w:t>
      </w:r>
      <w:r w:rsidR="00271EE9">
        <w:t>transition</w:t>
      </w:r>
      <w:r w:rsidR="00527348">
        <w:t>, and run</w:t>
      </w:r>
      <w:r w:rsidR="00FD0E5B">
        <w:t>s</w:t>
      </w:r>
      <w:r w:rsidR="00527348">
        <w:t xml:space="preserve"> counter to the Commission’s stated </w:t>
      </w:r>
      <w:r w:rsidR="00A962E0">
        <w:t xml:space="preserve">intent </w:t>
      </w:r>
      <w:r w:rsidR="00527348">
        <w:t>to avoid gold plating in the reimbursement process</w:t>
      </w:r>
      <w:r>
        <w:t>.</w:t>
      </w:r>
      <w:r>
        <w:rPr>
          <w:rStyle w:val="FootnoteReference"/>
        </w:rPr>
        <w:footnoteReference w:id="52"/>
      </w:r>
      <w:r>
        <w:t xml:space="preserve">  As an alternative, Mongoose </w:t>
      </w:r>
      <w:r w:rsidR="00271EE9">
        <w:t xml:space="preserve">argues </w:t>
      </w:r>
      <w:r>
        <w:t xml:space="preserve">that the antennas at issue could be categorized as LMBEAs utilizing </w:t>
      </w:r>
      <w:r w:rsidR="00271EE9">
        <w:t xml:space="preserve">a </w:t>
      </w:r>
      <w:r>
        <w:t>“Beam Counting Approach” whereby every type of feed mounted on an antenna would be counted regardless of whether they receive C-band signals.</w:t>
      </w:r>
      <w:r>
        <w:rPr>
          <w:rStyle w:val="FootnoteReference"/>
        </w:rPr>
        <w:footnoteReference w:id="53"/>
      </w:r>
      <w:r>
        <w:t xml:space="preserve">  This approach </w:t>
      </w:r>
      <w:r w:rsidR="00626C61">
        <w:t>likewise</w:t>
      </w:r>
      <w:r w:rsidR="000565D9">
        <w:t xml:space="preserve"> conflicts</w:t>
      </w:r>
      <w:r w:rsidR="00626C61">
        <w:t xml:space="preserve"> </w:t>
      </w:r>
      <w:r w:rsidR="004F2974">
        <w:t xml:space="preserve">with </w:t>
      </w:r>
      <w:r w:rsidR="00626C61">
        <w:t xml:space="preserve">the </w:t>
      </w:r>
      <w:r>
        <w:t>Commission</w:t>
      </w:r>
      <w:r w:rsidR="00626C61">
        <w:t xml:space="preserve">’s goals </w:t>
      </w:r>
      <w:r w:rsidR="004F2974">
        <w:t xml:space="preserve">for this transition </w:t>
      </w:r>
      <w:r w:rsidR="00626C61">
        <w:t xml:space="preserve">as </w:t>
      </w:r>
      <w:r>
        <w:t xml:space="preserve">it would allow for reimbursement of relocation costs associated </w:t>
      </w:r>
      <w:r w:rsidRPr="00D24DB9">
        <w:rPr>
          <w:i/>
          <w:iCs/>
        </w:rPr>
        <w:t>not only</w:t>
      </w:r>
      <w:r>
        <w:t xml:space="preserve"> with C-band equipment and services </w:t>
      </w:r>
      <w:r w:rsidRPr="00D24DB9">
        <w:rPr>
          <w:i/>
          <w:iCs/>
        </w:rPr>
        <w:t>but also</w:t>
      </w:r>
      <w:r>
        <w:t xml:space="preserve"> Ku-band equipment and services—</w:t>
      </w:r>
      <w:r w:rsidR="00271EE9">
        <w:t xml:space="preserve">the latter </w:t>
      </w:r>
      <w:r>
        <w:t xml:space="preserve">of which are </w:t>
      </w:r>
      <w:r w:rsidR="00303AE7">
        <w:t>not</w:t>
      </w:r>
      <w:r>
        <w:t xml:space="preserve"> necessary </w:t>
      </w:r>
      <w:r w:rsidR="0021468B">
        <w:t xml:space="preserve">for </w:t>
      </w:r>
      <w:r>
        <w:t>the transition of existing operations out of the lower 300 megahertz of the C-band.</w:t>
      </w:r>
      <w:r>
        <w:rPr>
          <w:rStyle w:val="FootnoteReference"/>
        </w:rPr>
        <w:footnoteReference w:id="54"/>
      </w:r>
      <w:r>
        <w:t xml:space="preserve">  </w:t>
      </w:r>
      <w:r w:rsidR="000565D9">
        <w:t>The</w:t>
      </w:r>
      <w:r w:rsidR="0021468B">
        <w:t>se</w:t>
      </w:r>
      <w:r w:rsidR="000565D9">
        <w:t xml:space="preserve"> alternative rationales </w:t>
      </w:r>
      <w:r w:rsidR="00A00410">
        <w:t xml:space="preserve">leading to </w:t>
      </w:r>
      <w:r w:rsidR="0021468B">
        <w:t>Mongoose’s</w:t>
      </w:r>
      <w:r w:rsidR="00A00410">
        <w:t xml:space="preserve"> preferred outcome</w:t>
      </w:r>
      <w:r w:rsidR="00532799">
        <w:t>—</w:t>
      </w:r>
      <w:r w:rsidR="00206B91">
        <w:t>which</w:t>
      </w:r>
      <w:r w:rsidR="000565D9">
        <w:t xml:space="preserve"> are unsupported and run counter to the Commission’s </w:t>
      </w:r>
      <w:r w:rsidR="00206B91">
        <w:t>rules</w:t>
      </w:r>
      <w:r w:rsidR="002D17A8">
        <w:t xml:space="preserve">, </w:t>
      </w:r>
      <w:r w:rsidR="00BA6104">
        <w:t>guidance</w:t>
      </w:r>
      <w:r w:rsidR="002D17A8">
        <w:t>,</w:t>
      </w:r>
      <w:r w:rsidR="00206B91">
        <w:t xml:space="preserve"> and </w:t>
      </w:r>
      <w:r w:rsidR="000565D9">
        <w:t>stated policy goals for the C-band transition—</w:t>
      </w:r>
      <w:r w:rsidR="008B11A9">
        <w:t>represent</w:t>
      </w:r>
      <w:r w:rsidR="000565D9">
        <w:t xml:space="preserve"> insufficient grounds to </w:t>
      </w:r>
      <w:r>
        <w:t>demonstrat</w:t>
      </w:r>
      <w:r w:rsidR="000565D9">
        <w:t>e</w:t>
      </w:r>
      <w:r>
        <w:t xml:space="preserve"> </w:t>
      </w:r>
      <w:r w:rsidR="00E92B27">
        <w:t>error</w:t>
      </w:r>
      <w:r w:rsidR="000565D9">
        <w:t xml:space="preserve"> in </w:t>
      </w:r>
      <w:r w:rsidR="00E92B27">
        <w:t xml:space="preserve">the RPC </w:t>
      </w:r>
      <w:r w:rsidR="00532799">
        <w:t>D</w:t>
      </w:r>
      <w:r w:rsidR="000565D9">
        <w:t>ecision</w:t>
      </w:r>
      <w:r w:rsidR="00532799">
        <w:t>al Memorandum</w:t>
      </w:r>
      <w:r>
        <w:t>.</w:t>
      </w:r>
      <w:r>
        <w:rPr>
          <w:rStyle w:val="FootnoteReference"/>
        </w:rPr>
        <w:footnoteReference w:id="55"/>
      </w:r>
      <w:r w:rsidR="000565D9">
        <w:t xml:space="preserve">  </w:t>
      </w:r>
    </w:p>
    <w:p w:rsidR="006D2250" w:rsidP="00C753BB" w14:paraId="354D7658" w14:textId="0BA9D961">
      <w:pPr>
        <w:pStyle w:val="ParaNum"/>
      </w:pPr>
      <w:r>
        <w:t xml:space="preserve">In its Reply, </w:t>
      </w:r>
      <w:r w:rsidR="00464261">
        <w:t xml:space="preserve">Mongoose further suggests </w:t>
      </w:r>
      <w:r w:rsidR="00762E74">
        <w:t xml:space="preserve">in support of its “Innate Antenna Approach” </w:t>
      </w:r>
      <w:r w:rsidR="00464261">
        <w:t xml:space="preserve">that the RPC’s determination was faulty </w:t>
      </w:r>
      <w:r>
        <w:t xml:space="preserve">in </w:t>
      </w:r>
      <w:r w:rsidR="00762E74">
        <w:t xml:space="preserve">misunderstanding the unique configuration of Mongoose’s antennas that allows Mongoose to add, move, or remove a </w:t>
      </w:r>
      <w:r w:rsidR="005977D1">
        <w:t xml:space="preserve">feed’s </w:t>
      </w:r>
      <w:r w:rsidR="00762E74">
        <w:t>orbital slot in</w:t>
      </w:r>
      <w:r w:rsidR="00227819">
        <w:t xml:space="preserve"> a</w:t>
      </w:r>
      <w:r w:rsidR="00762E74">
        <w:t xml:space="preserve"> short </w:t>
      </w:r>
      <w:r w:rsidR="00227819">
        <w:t>perio</w:t>
      </w:r>
      <w:r w:rsidR="00E47100">
        <w:t>d</w:t>
      </w:r>
      <w:r w:rsidR="00227819">
        <w:t xml:space="preserve"> of time</w:t>
      </w:r>
      <w:r w:rsidR="00762E74">
        <w:t>.</w:t>
      </w:r>
      <w:r>
        <w:rPr>
          <w:rStyle w:val="FootnoteReference"/>
        </w:rPr>
        <w:footnoteReference w:id="56"/>
      </w:r>
      <w:r w:rsidR="00762E74">
        <w:t xml:space="preserve"> </w:t>
      </w:r>
      <w:r>
        <w:t xml:space="preserve"> </w:t>
      </w:r>
      <w:r w:rsidRPr="00E431A8" w:rsidR="00E431A8">
        <w:rPr>
          <w:szCs w:val="22"/>
        </w:rPr>
        <w:t>Mongoose specifies that it “</w:t>
      </w:r>
      <w:r w:rsidRPr="00F609E0" w:rsidR="00E431A8">
        <w:rPr>
          <w:szCs w:val="22"/>
        </w:rPr>
        <w:t>has configured each</w:t>
      </w:r>
      <w:r w:rsidR="00E47100">
        <w:rPr>
          <w:szCs w:val="22"/>
        </w:rPr>
        <w:t xml:space="preserve"> [antenna]</w:t>
      </w:r>
      <w:r w:rsidRPr="00F609E0" w:rsidR="00E431A8">
        <w:rPr>
          <w:szCs w:val="22"/>
        </w:rPr>
        <w:t xml:space="preserve"> to simultaneously receive up to seven C-band orbital slots, thirteen Ku-band orbital slots, and a wide variety of combinations of the bands.”</w:t>
      </w:r>
      <w:r>
        <w:rPr>
          <w:rStyle w:val="FootnoteReference"/>
          <w:szCs w:val="22"/>
        </w:rPr>
        <w:footnoteReference w:id="57"/>
      </w:r>
      <w:r w:rsidRPr="00F609E0" w:rsidR="00E431A8">
        <w:rPr>
          <w:sz w:val="20"/>
        </w:rPr>
        <w:t xml:space="preserve"> </w:t>
      </w:r>
      <w:r w:rsidRPr="00F609E0">
        <w:rPr>
          <w:sz w:val="20"/>
        </w:rPr>
        <w:t xml:space="preserve"> </w:t>
      </w:r>
      <w:r w:rsidRPr="00535DF5" w:rsidR="00451922">
        <w:rPr>
          <w:szCs w:val="22"/>
        </w:rPr>
        <w:t>Based on the record before the Bureau, we find</w:t>
      </w:r>
      <w:r w:rsidR="00451922">
        <w:rPr>
          <w:szCs w:val="22"/>
        </w:rPr>
        <w:t xml:space="preserve"> these assertions to be both unsupported and irrelevant as both Mongoose and the RPC are in agreement on the specific configuration of the antennas at the time of </w:t>
      </w:r>
      <w:r w:rsidR="00451922">
        <w:rPr>
          <w:szCs w:val="22"/>
        </w:rPr>
        <w:t>Mongoose’s lump sum election</w:t>
      </w:r>
      <w:r w:rsidR="00D0307E">
        <w:rPr>
          <w:szCs w:val="22"/>
        </w:rPr>
        <w:t>, which only included one C-band feed</w:t>
      </w:r>
      <w:r w:rsidR="00B3227C">
        <w:rPr>
          <w:szCs w:val="22"/>
        </w:rPr>
        <w:t xml:space="preserve"> on each antenna</w:t>
      </w:r>
      <w:r w:rsidR="00451922">
        <w:rPr>
          <w:szCs w:val="22"/>
        </w:rPr>
        <w:t>.</w:t>
      </w:r>
      <w:r>
        <w:rPr>
          <w:rStyle w:val="FootnoteReference"/>
          <w:szCs w:val="22"/>
        </w:rPr>
        <w:footnoteReference w:id="58"/>
      </w:r>
      <w:r w:rsidR="00451922">
        <w:rPr>
          <w:szCs w:val="22"/>
        </w:rPr>
        <w:t xml:space="preserve">  To the extent that Mongoose believed that unique considerations</w:t>
      </w:r>
      <w:r w:rsidR="003040BB">
        <w:rPr>
          <w:szCs w:val="22"/>
        </w:rPr>
        <w:t xml:space="preserve"> existed</w:t>
      </w:r>
      <w:r w:rsidR="00451922">
        <w:rPr>
          <w:szCs w:val="22"/>
        </w:rPr>
        <w:t xml:space="preserve"> involving its incumbent earth stations antennas that </w:t>
      </w:r>
      <w:r w:rsidR="003040BB">
        <w:rPr>
          <w:szCs w:val="22"/>
        </w:rPr>
        <w:t xml:space="preserve">might impact its eventual reimbursement claim, it had the option to pursue </w:t>
      </w:r>
      <w:r w:rsidR="00563516">
        <w:rPr>
          <w:szCs w:val="22"/>
        </w:rPr>
        <w:t xml:space="preserve">reimbursement of </w:t>
      </w:r>
      <w:r w:rsidR="003040BB">
        <w:rPr>
          <w:szCs w:val="22"/>
        </w:rPr>
        <w:t>its actual costs in lieu of a lump sum amount.</w:t>
      </w:r>
      <w:r>
        <w:rPr>
          <w:rStyle w:val="FootnoteReference"/>
          <w:szCs w:val="22"/>
        </w:rPr>
        <w:footnoteReference w:id="59"/>
      </w:r>
      <w:r w:rsidR="003040BB">
        <w:rPr>
          <w:szCs w:val="22"/>
        </w:rPr>
        <w:t xml:space="preserve"> </w:t>
      </w:r>
      <w:r w:rsidR="00451922">
        <w:rPr>
          <w:szCs w:val="22"/>
        </w:rPr>
        <w:t xml:space="preserve"> </w:t>
      </w:r>
      <w:r>
        <w:t xml:space="preserve">The Commission repeatedly cautioned </w:t>
      </w:r>
      <w:r w:rsidR="00563516">
        <w:t xml:space="preserve">incumbent earth station operators </w:t>
      </w:r>
      <w:r>
        <w:t xml:space="preserve">that electing for lump sum payments </w:t>
      </w:r>
      <w:r w:rsidR="00511652">
        <w:t>wa</w:t>
      </w:r>
      <w:r>
        <w:t>s an irrevocable choice, and that if chosen, the incumbent “takes on the risk that the lump sum will be insufficient to cover all its relocation costs.”</w:t>
      </w:r>
      <w:r>
        <w:rPr>
          <w:rStyle w:val="FootnoteReference"/>
        </w:rPr>
        <w:footnoteReference w:id="60"/>
      </w:r>
      <w:r>
        <w:t xml:space="preserve">  The Commission also reminded incumbents that if their transitions are more complex or the “average, estimated costs” are not reflective of their particular transition, the incumbent </w:t>
      </w:r>
      <w:r w:rsidRPr="00663AEF" w:rsidR="000C3624">
        <w:t xml:space="preserve">could </w:t>
      </w:r>
      <w:r w:rsidRPr="00663AEF">
        <w:t>choose</w:t>
      </w:r>
      <w:r>
        <w:rPr>
          <w:i/>
          <w:iCs/>
        </w:rPr>
        <w:t xml:space="preserve"> </w:t>
      </w:r>
      <w:r>
        <w:t>to seek reimbursement for their actual relocation costs rather than electing the lump sum.</w:t>
      </w:r>
      <w:r>
        <w:rPr>
          <w:rStyle w:val="FootnoteReference"/>
        </w:rPr>
        <w:footnoteReference w:id="61"/>
      </w:r>
      <w:r>
        <w:t xml:space="preserve">  Mongoose </w:t>
      </w:r>
      <w:r w:rsidR="003040BB">
        <w:t xml:space="preserve">thus had </w:t>
      </w:r>
      <w:r>
        <w:t>the choice to determine the best way to seek reimbursement for its C-band transition costs</w:t>
      </w:r>
      <w:r w:rsidR="003040BB">
        <w:t>, a point it concedes in its appeal</w:t>
      </w:r>
      <w:r>
        <w:t>.</w:t>
      </w:r>
      <w:r>
        <w:rPr>
          <w:rStyle w:val="FootnoteReference"/>
        </w:rPr>
        <w:footnoteReference w:id="62"/>
      </w:r>
      <w:r w:rsidRPr="00AD79AD" w:rsidR="003040BB">
        <w:t xml:space="preserve"> </w:t>
      </w:r>
      <w:r>
        <w:t xml:space="preserve"> </w:t>
      </w:r>
      <w:r w:rsidRPr="00AD79AD">
        <w:t xml:space="preserve">Mongoose </w:t>
      </w:r>
      <w:r w:rsidR="003040BB">
        <w:t>opted</w:t>
      </w:r>
      <w:r w:rsidRPr="00AD79AD" w:rsidR="003040BB">
        <w:t xml:space="preserve"> </w:t>
      </w:r>
      <w:r w:rsidRPr="00AD79AD">
        <w:t>to make a</w:t>
      </w:r>
      <w:r w:rsidR="00511652">
        <w:t>n irrevocable</w:t>
      </w:r>
      <w:r w:rsidRPr="00AD79AD">
        <w:t xml:space="preserve"> lump sum election, which is subject to validation by the RPC, and </w:t>
      </w:r>
      <w:r w:rsidR="003040BB">
        <w:t xml:space="preserve">in doing so it </w:t>
      </w:r>
      <w:r w:rsidRPr="00AD79AD">
        <w:t xml:space="preserve">assumed the risk that </w:t>
      </w:r>
      <w:r w:rsidR="003040BB">
        <w:t xml:space="preserve">some or </w:t>
      </w:r>
      <w:r w:rsidRPr="00AD79AD">
        <w:t xml:space="preserve">all of its potential </w:t>
      </w:r>
      <w:r w:rsidR="003040BB">
        <w:t xml:space="preserve">transition </w:t>
      </w:r>
      <w:r w:rsidRPr="00AD79AD">
        <w:t xml:space="preserve">costs may not be covered by the </w:t>
      </w:r>
      <w:r w:rsidR="00FD0E5B">
        <w:t>reimbursement</w:t>
      </w:r>
      <w:r w:rsidR="003040BB">
        <w:t xml:space="preserve"> </w:t>
      </w:r>
      <w:r w:rsidR="00563516">
        <w:t xml:space="preserve">claim </w:t>
      </w:r>
      <w:r w:rsidRPr="00AD79AD">
        <w:t xml:space="preserve">amount </w:t>
      </w:r>
      <w:r w:rsidR="003040BB">
        <w:t xml:space="preserve">approved </w:t>
      </w:r>
      <w:r w:rsidRPr="00AD79AD">
        <w:t>by the RPC</w:t>
      </w:r>
      <w:r>
        <w:t xml:space="preserve">.  </w:t>
      </w:r>
      <w:r w:rsidR="004C3235">
        <w:t xml:space="preserve">In sum, </w:t>
      </w:r>
      <w:r w:rsidR="00563516">
        <w:t xml:space="preserve">Mongoose has </w:t>
      </w:r>
      <w:r w:rsidR="00966DC3">
        <w:t xml:space="preserve">neither </w:t>
      </w:r>
      <w:r w:rsidR="00563516">
        <w:t>demonstrate</w:t>
      </w:r>
      <w:r w:rsidR="004C3235">
        <w:t>d</w:t>
      </w:r>
      <w:r w:rsidR="00563516">
        <w:t xml:space="preserve"> a </w:t>
      </w:r>
      <w:r w:rsidR="004C3235">
        <w:t xml:space="preserve">rationale </w:t>
      </w:r>
      <w:r w:rsidR="00966DC3">
        <w:t>n</w:t>
      </w:r>
      <w:r w:rsidR="004C3235">
        <w:t xml:space="preserve">or </w:t>
      </w:r>
      <w:r w:rsidR="00966DC3">
        <w:t xml:space="preserve">a </w:t>
      </w:r>
      <w:r w:rsidR="00563516">
        <w:t xml:space="preserve">factual error </w:t>
      </w:r>
      <w:r w:rsidR="00547B7B">
        <w:t xml:space="preserve">in </w:t>
      </w:r>
      <w:r w:rsidR="00E92B27">
        <w:t xml:space="preserve">the RPC </w:t>
      </w:r>
      <w:r w:rsidR="00547B7B">
        <w:t>Decisional Memorandum</w:t>
      </w:r>
      <w:r w:rsidR="004C3235">
        <w:t>, and thus failed to</w:t>
      </w:r>
      <w:r w:rsidR="00547B7B">
        <w:t xml:space="preserve"> me</w:t>
      </w:r>
      <w:r w:rsidR="004C3235">
        <w:t>e</w:t>
      </w:r>
      <w:r w:rsidR="00547B7B">
        <w:t xml:space="preserve">t </w:t>
      </w:r>
      <w:r w:rsidR="00464261">
        <w:t>the applicable burden of proof standard in its appeal.</w:t>
      </w:r>
    </w:p>
    <w:p w:rsidR="00630D77" w:rsidRPr="00F57C6A" w:rsidP="0054591A" w14:paraId="2C7A7213" w14:textId="0254DE94">
      <w:pPr>
        <w:pStyle w:val="Heading2"/>
      </w:pPr>
      <w:r w:rsidRPr="00F57C6A">
        <w:t xml:space="preserve">The RPC </w:t>
      </w:r>
      <w:r w:rsidR="009D65ED">
        <w:t>Properly Classified Mongoose’s Antennas</w:t>
      </w:r>
      <w:r w:rsidR="008F1E57">
        <w:t xml:space="preserve"> Based on Commission Guidance</w:t>
      </w:r>
      <w:r w:rsidRPr="00F57C6A">
        <w:t xml:space="preserve"> </w:t>
      </w:r>
    </w:p>
    <w:p w:rsidR="00EC3161" w:rsidRPr="00EC3161" w:rsidP="00AC6B17" w14:paraId="0AD86AC3" w14:textId="578294E2">
      <w:pPr>
        <w:pStyle w:val="ParaNum"/>
      </w:pPr>
      <w:r>
        <w:t xml:space="preserve">We </w:t>
      </w:r>
      <w:r w:rsidR="00B1177E">
        <w:t xml:space="preserve">separately and independently </w:t>
      </w:r>
      <w:r>
        <w:t xml:space="preserve">find that the RPC </w:t>
      </w:r>
      <w:r w:rsidR="008F1E57">
        <w:t>acted</w:t>
      </w:r>
      <w:r>
        <w:t xml:space="preserve"> in accordance with Commission </w:t>
      </w:r>
      <w:r w:rsidR="00EE0E20">
        <w:t xml:space="preserve">rules, </w:t>
      </w:r>
      <w:r w:rsidR="00966DC3">
        <w:t>guidance</w:t>
      </w:r>
      <w:r w:rsidR="009D06E3">
        <w:t>,</w:t>
      </w:r>
      <w:r w:rsidR="00966DC3">
        <w:t xml:space="preserve"> and </w:t>
      </w:r>
      <w:r>
        <w:t xml:space="preserve">policies </w:t>
      </w:r>
      <w:r w:rsidR="001F7E53">
        <w:t xml:space="preserve">in </w:t>
      </w:r>
      <w:r w:rsidR="00E92B27">
        <w:t xml:space="preserve">the RPC </w:t>
      </w:r>
      <w:r w:rsidR="001F7E53">
        <w:t xml:space="preserve">Decisional Memorandum with respect to Mongoose’s claim for the two antennas in question.  </w:t>
      </w:r>
      <w:r w:rsidR="00C11DC8">
        <w:t>Specifically, the RPC correctly</w:t>
      </w:r>
      <w:r w:rsidR="00072A65">
        <w:t xml:space="preserve"> interpreted </w:t>
      </w:r>
      <w:r w:rsidR="00644FCE">
        <w:t xml:space="preserve">Commission statements evidencing its intent that reimbursements be limited to those reasonable costs necessary to transition </w:t>
      </w:r>
      <w:r w:rsidRPr="008E613C" w:rsidR="00644FCE">
        <w:t>existing</w:t>
      </w:r>
      <w:r w:rsidR="00644FCE">
        <w:t xml:space="preserve"> C-band operations.</w:t>
      </w:r>
      <w:r>
        <w:rPr>
          <w:rStyle w:val="FootnoteReference"/>
        </w:rPr>
        <w:footnoteReference w:id="63"/>
      </w:r>
      <w:r w:rsidR="00C11DC8">
        <w:t xml:space="preserve"> </w:t>
      </w:r>
      <w:r w:rsidR="001F7E53">
        <w:t xml:space="preserve"> </w:t>
      </w:r>
      <w:r w:rsidR="00644FCE">
        <w:t>In an effort to combat fraud, waste, and abuse, the Commission “defined clearly the migration in this context as the costs of transitioning C-band services to the upper 200 megahertz of the band (e.g., reporting, retuning, and replacing antennas, and installing filters and compression hardware).”</w:t>
      </w:r>
      <w:r>
        <w:rPr>
          <w:rStyle w:val="FootnoteReference"/>
        </w:rPr>
        <w:footnoteReference w:id="64"/>
      </w:r>
      <w:r w:rsidR="00F44B65">
        <w:t xml:space="preserve">  Further, the </w:t>
      </w:r>
      <w:r w:rsidRPr="009719E1" w:rsidR="00091BC8">
        <w:rPr>
          <w:i/>
          <w:iCs/>
        </w:rPr>
        <w:t>Final Cost Catalog</w:t>
      </w:r>
      <w:r w:rsidR="00091BC8">
        <w:rPr>
          <w:i/>
          <w:iCs/>
        </w:rPr>
        <w:t xml:space="preserve"> </w:t>
      </w:r>
      <w:r w:rsidRPr="00125FFB" w:rsidR="00091BC8">
        <w:rPr>
          <w:i/>
          <w:iCs/>
        </w:rPr>
        <w:t>Public Notice</w:t>
      </w:r>
      <w:r w:rsidRPr="00095EB5" w:rsidR="00091BC8">
        <w:t xml:space="preserve"> </w:t>
      </w:r>
      <w:r w:rsidR="00F44B65">
        <w:t>specified that “</w:t>
      </w:r>
      <w:r w:rsidRPr="00095EB5" w:rsidR="00005233">
        <w:t>lump sum payment amounts are based on the average, estimated costs of</w:t>
      </w:r>
      <w:r w:rsidR="00005233">
        <w:t xml:space="preserve"> </w:t>
      </w:r>
      <w:r w:rsidRPr="00095EB5" w:rsidR="00005233">
        <w:t>transitioning incumbent earth stations to the upper 200 megahertz of the C-band</w:t>
      </w:r>
      <w:r w:rsidR="00091BC8">
        <w:t>.”</w:t>
      </w:r>
      <w:r>
        <w:rPr>
          <w:rStyle w:val="FootnoteReference"/>
        </w:rPr>
        <w:footnoteReference w:id="65"/>
      </w:r>
      <w:r w:rsidR="00091BC8">
        <w:t xml:space="preserve">  </w:t>
      </w:r>
      <w:r w:rsidR="00085E78">
        <w:t xml:space="preserve">This rationale necessarily extends to selection and verification of the appropriate lump sum category for </w:t>
      </w:r>
      <w:r w:rsidR="00FD0E5B">
        <w:t xml:space="preserve">specific </w:t>
      </w:r>
      <w:r w:rsidR="00085E78">
        <w:t xml:space="preserve">incumbent earth station equipment, otherwise it would lead to unintended results by effectively allowing reimbursement for non-C-band equipment, such as that used by Mongoose to receive Ku-band services.  </w:t>
      </w:r>
      <w:r w:rsidR="009F1BD7">
        <w:t xml:space="preserve">We therefore find that the RPC correctly </w:t>
      </w:r>
      <w:r w:rsidR="00992F67">
        <w:t>interpreted</w:t>
      </w:r>
      <w:r w:rsidR="009F1BD7">
        <w:t xml:space="preserve"> </w:t>
      </w:r>
      <w:r w:rsidR="002006FB">
        <w:t xml:space="preserve">this </w:t>
      </w:r>
      <w:r w:rsidR="002006FB">
        <w:t>precedent by</w:t>
      </w:r>
      <w:r w:rsidR="00C40A51">
        <w:t xml:space="preserve"> only considering the active C-band feeds on the two antennas in question for lump sum classification purposes</w:t>
      </w:r>
      <w:r w:rsidR="00992F67">
        <w:t xml:space="preserve">, and </w:t>
      </w:r>
      <w:r w:rsidR="002B652E">
        <w:t>categorizing them as</w:t>
      </w:r>
      <w:r w:rsidR="00350CCB">
        <w:t xml:space="preserve"> </w:t>
      </w:r>
      <w:r w:rsidR="00457EDB">
        <w:t>Receive-Only ES Multi-feed Antennas</w:t>
      </w:r>
      <w:r w:rsidR="002B652E">
        <w:t>.</w:t>
      </w:r>
      <w:r w:rsidR="00457EDB">
        <w:t xml:space="preserve"> </w:t>
      </w:r>
    </w:p>
    <w:p w:rsidR="00AC6B17" w:rsidP="00AC6B17" w14:paraId="4274676B" w14:textId="205F2C3B">
      <w:pPr>
        <w:pStyle w:val="ParaNum"/>
      </w:pPr>
      <w:r>
        <w:t xml:space="preserve">We further find that use of a “benchmark date” in </w:t>
      </w:r>
      <w:r w:rsidR="00E92B27">
        <w:t xml:space="preserve">the RPC </w:t>
      </w:r>
      <w:r>
        <w:t>Decisional Memorandum was an appropriate best practice to prevent waste, fraud, and abuse</w:t>
      </w:r>
      <w:r w:rsidR="00DD0905">
        <w:t xml:space="preserve"> as part of its claims review and lump sum verification process</w:t>
      </w:r>
      <w:r>
        <w:t>.</w:t>
      </w:r>
      <w:r>
        <w:rPr>
          <w:rStyle w:val="FootnoteReference"/>
        </w:rPr>
        <w:footnoteReference w:id="66"/>
      </w:r>
      <w:r>
        <w:t xml:space="preserve">  </w:t>
      </w:r>
      <w:r w:rsidR="00603B2C">
        <w:t>Specifically, t</w:t>
      </w:r>
      <w:r>
        <w:t xml:space="preserve">he RPC utilized </w:t>
      </w:r>
      <w:r w:rsidR="00CF43AF">
        <w:t xml:space="preserve">as </w:t>
      </w:r>
      <w:r w:rsidR="00EF5009">
        <w:t>the</w:t>
      </w:r>
      <w:r w:rsidR="00CF43AF">
        <w:t xml:space="preserve"> reference point for its review of Mongoose’s reimbursement claim and lump sum election </w:t>
      </w:r>
      <w:r>
        <w:t>the date when the lump sum election was submitted to the Commission—August 12, 2020—</w:t>
      </w:r>
      <w:r w:rsidR="00B31EEF">
        <w:t xml:space="preserve">at which time </w:t>
      </w:r>
      <w:r>
        <w:t>Mongoose certif</w:t>
      </w:r>
      <w:r w:rsidR="0054591A">
        <w:t>ied</w:t>
      </w:r>
      <w:r>
        <w:t xml:space="preserve"> that its election was true and accurate.</w:t>
      </w:r>
      <w:r>
        <w:rPr>
          <w:rStyle w:val="FootnoteReference"/>
        </w:rPr>
        <w:footnoteReference w:id="67"/>
      </w:r>
      <w:r>
        <w:t xml:space="preserve">  </w:t>
      </w:r>
      <w:r w:rsidR="00B31EEF">
        <w:t xml:space="preserve">As part of its review of </w:t>
      </w:r>
      <w:r w:rsidR="0081474E">
        <w:t>lump sum elections</w:t>
      </w:r>
      <w:r w:rsidR="00AF0899">
        <w:t xml:space="preserve"> and related reimbursement claims</w:t>
      </w:r>
      <w:r w:rsidR="0081474E">
        <w:t>, the</w:t>
      </w:r>
      <w:r w:rsidR="0054591A">
        <w:t xml:space="preserve"> RPC was</w:t>
      </w:r>
      <w:r w:rsidR="0081474E">
        <w:t xml:space="preserve"> charged with</w:t>
      </w:r>
      <w:r w:rsidR="0054591A">
        <w:t xml:space="preserve"> verifying that Mongoose’s certification was true and accurate</w:t>
      </w:r>
      <w:r w:rsidR="00603B2C">
        <w:t>,</w:t>
      </w:r>
      <w:r w:rsidR="0054591A">
        <w:t xml:space="preserve"> that its lump sum election complied with all of the Commission requirements at the time it was submitted to the Commission</w:t>
      </w:r>
      <w:r w:rsidR="00603B2C">
        <w:t xml:space="preserve">, and that the corresponding reimbursement claim </w:t>
      </w:r>
      <w:r w:rsidR="00542FAB">
        <w:t xml:space="preserve">for such equipment </w:t>
      </w:r>
      <w:r w:rsidR="00603B2C">
        <w:t xml:space="preserve">was </w:t>
      </w:r>
      <w:r w:rsidR="001B4515">
        <w:t>reasonable and necessary to the C-band transition</w:t>
      </w:r>
      <w:r w:rsidR="0054591A">
        <w:t>.</w:t>
      </w:r>
      <w:r>
        <w:rPr>
          <w:rStyle w:val="FootnoteReference"/>
        </w:rPr>
        <w:footnoteReference w:id="68"/>
      </w:r>
      <w:r w:rsidR="0054591A">
        <w:t xml:space="preserve">  </w:t>
      </w:r>
    </w:p>
    <w:p w:rsidR="00D829B4" w:rsidP="00081C1D" w14:paraId="4ABBEA0E" w14:textId="1F035235">
      <w:pPr>
        <w:pStyle w:val="ParaNum"/>
      </w:pPr>
      <w:r>
        <w:t xml:space="preserve">Mongoose contends that </w:t>
      </w:r>
      <w:r w:rsidRPr="00CF2726">
        <w:t>the RPC</w:t>
      </w:r>
      <w:r>
        <w:t xml:space="preserve"> made an arbitrary, </w:t>
      </w:r>
      <w:r w:rsidRPr="00780478">
        <w:rPr>
          <w:i/>
          <w:iCs/>
        </w:rPr>
        <w:t>ex post facto</w:t>
      </w:r>
      <w:r>
        <w:t xml:space="preserve"> decision </w:t>
      </w:r>
      <w:r w:rsidR="001B4515">
        <w:t>beyond its authority by</w:t>
      </w:r>
      <w:r>
        <w:t xml:space="preserve"> establish</w:t>
      </w:r>
      <w:r w:rsidR="001B4515">
        <w:t>ing</w:t>
      </w:r>
      <w:r>
        <w:t xml:space="preserve"> a benchmark date</w:t>
      </w:r>
      <w:r w:rsidR="001B4515">
        <w:t>,</w:t>
      </w:r>
      <w:r>
        <w:t xml:space="preserve"> </w:t>
      </w:r>
      <w:r w:rsidR="001B4515">
        <w:t xml:space="preserve">suggesting that </w:t>
      </w:r>
      <w:r>
        <w:t>the RPC</w:t>
      </w:r>
      <w:r w:rsidRPr="00CF2726">
        <w:t xml:space="preserve"> invented this concept because it interpret</w:t>
      </w:r>
      <w:r>
        <w:t xml:space="preserve">ed </w:t>
      </w:r>
      <w:r w:rsidRPr="00CF2726">
        <w:t xml:space="preserve">the </w:t>
      </w:r>
      <w:r w:rsidRPr="00535B94">
        <w:rPr>
          <w:i/>
          <w:iCs/>
        </w:rPr>
        <w:t>Final Cost Catalog</w:t>
      </w:r>
      <w:r w:rsidR="00926B70">
        <w:rPr>
          <w:i/>
          <w:iCs/>
        </w:rPr>
        <w:t xml:space="preserve"> Public Notice</w:t>
      </w:r>
      <w:r w:rsidRPr="00535B94">
        <w:rPr>
          <w:i/>
          <w:iCs/>
        </w:rPr>
        <w:t xml:space="preserve"> </w:t>
      </w:r>
      <w:r>
        <w:t>to require</w:t>
      </w:r>
      <w:r w:rsidRPr="00CF2726">
        <w:t xml:space="preserve"> that an incumbent </w:t>
      </w:r>
      <w:r w:rsidR="00542FAB">
        <w:t xml:space="preserve">earth station </w:t>
      </w:r>
      <w:r w:rsidRPr="00CF2726">
        <w:t xml:space="preserve">antenna’s lump sum category be determined by </w:t>
      </w:r>
      <w:r w:rsidR="001B4515">
        <w:t>its</w:t>
      </w:r>
      <w:r w:rsidRPr="00CF2726">
        <w:t xml:space="preserve"> active feed configuration on a particular date.</w:t>
      </w:r>
      <w:r>
        <w:rPr>
          <w:rStyle w:val="FootnoteReference"/>
        </w:rPr>
        <w:footnoteReference w:id="69"/>
      </w:r>
      <w:r>
        <w:t xml:space="preserve">  </w:t>
      </w:r>
      <w:r w:rsidR="00603B2C">
        <w:t xml:space="preserve">In the alternative, </w:t>
      </w:r>
      <w:r>
        <w:t xml:space="preserve">Mongoose </w:t>
      </w:r>
      <w:r w:rsidR="009327E1">
        <w:t xml:space="preserve">proposes </w:t>
      </w:r>
      <w:r>
        <w:t>that April 19, 2018 (the date</w:t>
      </w:r>
      <w:r w:rsidR="005E31ED">
        <w:t xml:space="preserve"> the Commission set</w:t>
      </w:r>
      <w:r>
        <w:t xml:space="preserve"> for determining </w:t>
      </w:r>
      <w:r w:rsidR="00CF43AF">
        <w:t>i</w:t>
      </w:r>
      <w:r>
        <w:t xml:space="preserve">ncumbent </w:t>
      </w:r>
      <w:r w:rsidR="00CF43AF">
        <w:t>e</w:t>
      </w:r>
      <w:r>
        <w:t xml:space="preserve">arth </w:t>
      </w:r>
      <w:r w:rsidR="00CF43AF">
        <w:t>s</w:t>
      </w:r>
      <w:r>
        <w:t xml:space="preserve">tation status for the C-band transition) is the </w:t>
      </w:r>
      <w:r w:rsidR="00603B2C">
        <w:t xml:space="preserve">more </w:t>
      </w:r>
      <w:r>
        <w:t xml:space="preserve">appropriate </w:t>
      </w:r>
      <w:r w:rsidR="00542FAB">
        <w:t xml:space="preserve">benchmark </w:t>
      </w:r>
      <w:r>
        <w:t>date.</w:t>
      </w:r>
      <w:r>
        <w:rPr>
          <w:rStyle w:val="FootnoteReference"/>
        </w:rPr>
        <w:footnoteReference w:id="70"/>
      </w:r>
      <w:r>
        <w:t xml:space="preserve">  We </w:t>
      </w:r>
      <w:r>
        <w:t xml:space="preserve">disagree </w:t>
      </w:r>
      <w:r w:rsidR="001B4515">
        <w:t xml:space="preserve">and </w:t>
      </w:r>
      <w:r>
        <w:t xml:space="preserve">find Mongoose’s </w:t>
      </w:r>
      <w:r w:rsidR="00542FAB">
        <w:t xml:space="preserve">attempt </w:t>
      </w:r>
      <w:r>
        <w:t xml:space="preserve">to </w:t>
      </w:r>
      <w:r w:rsidR="00542FAB">
        <w:t xml:space="preserve">point </w:t>
      </w:r>
      <w:r w:rsidR="002757FF">
        <w:t xml:space="preserve">to </w:t>
      </w:r>
      <w:r>
        <w:t>past configurations of its equipment</w:t>
      </w:r>
      <w:r w:rsidR="000B1A79">
        <w:t xml:space="preserve">, which </w:t>
      </w:r>
      <w:r w:rsidR="00810DBA">
        <w:t xml:space="preserve">it </w:t>
      </w:r>
      <w:r w:rsidR="00672BC1">
        <w:t>suggests</w:t>
      </w:r>
      <w:r w:rsidR="000B1A79">
        <w:t xml:space="preserve"> incorporated multiple C-band feeds,</w:t>
      </w:r>
      <w:r>
        <w:t xml:space="preserve"> </w:t>
      </w:r>
      <w:r w:rsidR="00926B65">
        <w:t xml:space="preserve">as </w:t>
      </w:r>
      <w:r w:rsidR="00542FAB">
        <w:t xml:space="preserve">both </w:t>
      </w:r>
      <w:r>
        <w:t xml:space="preserve">unpersuasive </w:t>
      </w:r>
      <w:r w:rsidR="00542FAB">
        <w:t>and irrelevant</w:t>
      </w:r>
      <w:r w:rsidR="002757FF">
        <w:t>, and in no way demonstrat</w:t>
      </w:r>
      <w:r w:rsidR="008C010E">
        <w:t>es</w:t>
      </w:r>
      <w:r w:rsidR="002757FF">
        <w:t xml:space="preserve"> </w:t>
      </w:r>
      <w:r w:rsidR="00E92B27">
        <w:t>an error</w:t>
      </w:r>
      <w:r w:rsidR="002757FF">
        <w:t xml:space="preserve"> in </w:t>
      </w:r>
      <w:r w:rsidR="00E92B27">
        <w:t xml:space="preserve">the RPC </w:t>
      </w:r>
      <w:r w:rsidR="002757FF">
        <w:t>Decisional Memorandum</w:t>
      </w:r>
      <w:r w:rsidR="00542FAB">
        <w:t>.  T</w:t>
      </w:r>
      <w:r>
        <w:t xml:space="preserve">he configuration of </w:t>
      </w:r>
      <w:r w:rsidR="00542FAB">
        <w:t>M</w:t>
      </w:r>
      <w:r>
        <w:t xml:space="preserve">ongoose’s equipment </w:t>
      </w:r>
      <w:r w:rsidR="00542FAB">
        <w:t xml:space="preserve">on the date of its lump sum election </w:t>
      </w:r>
      <w:r>
        <w:t>is not in dispute</w:t>
      </w:r>
      <w:r w:rsidR="00911C8E">
        <w:t xml:space="preserve">, and Mongoose </w:t>
      </w:r>
      <w:r w:rsidR="002757FF">
        <w:t xml:space="preserve">certified to </w:t>
      </w:r>
      <w:r w:rsidR="00E70C65">
        <w:t xml:space="preserve">this point </w:t>
      </w:r>
      <w:r w:rsidR="002757FF">
        <w:t>both</w:t>
      </w:r>
      <w:r w:rsidR="00E70581">
        <w:t xml:space="preserve"> </w:t>
      </w:r>
      <w:r w:rsidR="006570B6">
        <w:t>in terms of</w:t>
      </w:r>
      <w:r w:rsidR="00856116">
        <w:t xml:space="preserve"> </w:t>
      </w:r>
      <w:r w:rsidR="002757FF">
        <w:t xml:space="preserve">the accuracy of its election and the truthfulness of the information contained </w:t>
      </w:r>
      <w:r w:rsidR="00911C8E">
        <w:t>in its appeal</w:t>
      </w:r>
      <w:r>
        <w:t>.</w:t>
      </w:r>
      <w:r>
        <w:rPr>
          <w:rStyle w:val="FootnoteReference"/>
        </w:rPr>
        <w:footnoteReference w:id="71"/>
      </w:r>
      <w:r>
        <w:t xml:space="preserve">  </w:t>
      </w:r>
      <w:r w:rsidR="00911C8E">
        <w:t xml:space="preserve">As such, </w:t>
      </w:r>
      <w:r w:rsidR="002757FF">
        <w:t xml:space="preserve">we find that </w:t>
      </w:r>
      <w:r w:rsidR="00881542">
        <w:t xml:space="preserve">the RPC’s </w:t>
      </w:r>
      <w:r w:rsidR="00911C8E">
        <w:t xml:space="preserve">use of </w:t>
      </w:r>
      <w:r w:rsidR="00881542">
        <w:t xml:space="preserve">Mongoose’s lump sum election date as </w:t>
      </w:r>
      <w:r w:rsidR="00911C8E">
        <w:t>a benchmark</w:t>
      </w:r>
      <w:r w:rsidR="00E70581">
        <w:t xml:space="preserve"> </w:t>
      </w:r>
      <w:r w:rsidR="00926B65">
        <w:t xml:space="preserve">was a reasonable and appropriate best practice in </w:t>
      </w:r>
      <w:r w:rsidR="00881542">
        <w:t xml:space="preserve">verifying Mongoose’s lump sum election and processing the related </w:t>
      </w:r>
      <w:r w:rsidR="00926B65">
        <w:t xml:space="preserve">reimbursement claim, </w:t>
      </w:r>
      <w:r w:rsidR="00FD0E5B">
        <w:t xml:space="preserve">as part of the RPC’s </w:t>
      </w:r>
      <w:r w:rsidR="00686624">
        <w:t xml:space="preserve">designated role </w:t>
      </w:r>
      <w:r w:rsidR="00346A61">
        <w:t xml:space="preserve">and remit to </w:t>
      </w:r>
      <w:r w:rsidR="00926B65">
        <w:t>prevent waste, fraud, and abuse in the C-band transition reimbursement process.</w:t>
      </w:r>
      <w:r>
        <w:rPr>
          <w:rStyle w:val="FootnoteReference"/>
        </w:rPr>
        <w:footnoteReference w:id="72"/>
      </w:r>
    </w:p>
    <w:p w:rsidR="00217555" w:rsidP="0054591A" w14:paraId="101D4F7C" w14:textId="34F09B80">
      <w:pPr>
        <w:pStyle w:val="Heading2"/>
      </w:pPr>
      <w:r>
        <w:t>Mongoose’s Procedural Issues are Unavailing</w:t>
      </w:r>
    </w:p>
    <w:p w:rsidR="00217555" w:rsidP="0089323D" w14:paraId="0C692C75" w14:textId="0A1FB1D7">
      <w:pPr>
        <w:pStyle w:val="ParaNum"/>
      </w:pPr>
      <w:r>
        <w:rPr>
          <w:i/>
          <w:iCs/>
        </w:rPr>
        <w:t xml:space="preserve">Pre-decisional Communications.  </w:t>
      </w:r>
      <w:r w:rsidR="009A6EBA">
        <w:t xml:space="preserve">Mongoose points to </w:t>
      </w:r>
      <w:r w:rsidR="008C1A29">
        <w:t xml:space="preserve">pre-decisional </w:t>
      </w:r>
      <w:r w:rsidR="009A6EBA">
        <w:t>communications between itself and the</w:t>
      </w:r>
      <w:r w:rsidR="00D90EF5">
        <w:t xml:space="preserve"> RPC</w:t>
      </w:r>
      <w:r w:rsidR="008C1A29">
        <w:t xml:space="preserve"> to suggest confusion and error in the RPC’s decision making processes</w:t>
      </w:r>
      <w:r w:rsidR="00E53407">
        <w:t>.</w:t>
      </w:r>
      <w:r>
        <w:rPr>
          <w:rStyle w:val="FootnoteReference"/>
        </w:rPr>
        <w:footnoteReference w:id="73"/>
      </w:r>
      <w:r w:rsidR="00E53407">
        <w:t xml:space="preserve">  </w:t>
      </w:r>
      <w:r w:rsidR="008C1A29">
        <w:t xml:space="preserve">We </w:t>
      </w:r>
      <w:r w:rsidR="0088445B">
        <w:t xml:space="preserve">find that any </w:t>
      </w:r>
      <w:r w:rsidR="008C1A29">
        <w:t xml:space="preserve">pre-decisional </w:t>
      </w:r>
      <w:r w:rsidR="0088445B">
        <w:t>communications between the RPC and Mongoose</w:t>
      </w:r>
      <w:r w:rsidR="004C40C0">
        <w:t>,</w:t>
      </w:r>
      <w:r w:rsidR="0088445B">
        <w:t xml:space="preserve"> </w:t>
      </w:r>
      <w:r w:rsidR="00D742C4">
        <w:t xml:space="preserve">which </w:t>
      </w:r>
      <w:r w:rsidR="0088445B">
        <w:t xml:space="preserve">are </w:t>
      </w:r>
      <w:r w:rsidR="00035E64">
        <w:t xml:space="preserve">an </w:t>
      </w:r>
      <w:r w:rsidR="006C6455">
        <w:t xml:space="preserve">expected </w:t>
      </w:r>
      <w:r w:rsidR="00456CCD">
        <w:t>part of the claims review process</w:t>
      </w:r>
      <w:r w:rsidR="000A3F79">
        <w:t>,</w:t>
      </w:r>
      <w:r>
        <w:rPr>
          <w:rStyle w:val="FootnoteReference"/>
        </w:rPr>
        <w:footnoteReference w:id="74"/>
      </w:r>
      <w:r w:rsidR="000A3F79">
        <w:t xml:space="preserve"> </w:t>
      </w:r>
      <w:r w:rsidR="004E70F2">
        <w:t>are</w:t>
      </w:r>
      <w:r w:rsidR="002E59DF">
        <w:t xml:space="preserve"> </w:t>
      </w:r>
      <w:r w:rsidR="00035E64">
        <w:t xml:space="preserve">ultimately </w:t>
      </w:r>
      <w:r w:rsidR="0088445B">
        <w:t>not dispositive</w:t>
      </w:r>
      <w:r w:rsidR="00E92B27">
        <w:t xml:space="preserve"> </w:t>
      </w:r>
      <w:r w:rsidR="00773677">
        <w:t xml:space="preserve">as to </w:t>
      </w:r>
      <w:r w:rsidR="009D6369">
        <w:t xml:space="preserve">the </w:t>
      </w:r>
      <w:r w:rsidR="00073255">
        <w:t>resolution</w:t>
      </w:r>
      <w:r w:rsidR="006637F6">
        <w:t xml:space="preserve"> of Mongoose’s reimbursement claim</w:t>
      </w:r>
      <w:r w:rsidR="002E59DF">
        <w:t>.  We further find</w:t>
      </w:r>
      <w:r w:rsidR="006637F6">
        <w:t xml:space="preserve"> </w:t>
      </w:r>
      <w:r w:rsidR="00E92B27">
        <w:t xml:space="preserve">that the RPC Decisional Memorandum reflects </w:t>
      </w:r>
      <w:r w:rsidR="00F9391E">
        <w:t xml:space="preserve">the RPC’s </w:t>
      </w:r>
      <w:r w:rsidR="00E92B27">
        <w:t xml:space="preserve">formal determination in this </w:t>
      </w:r>
      <w:r w:rsidR="00686624">
        <w:t>matter</w:t>
      </w:r>
      <w:r w:rsidR="0088445B">
        <w:t>.</w:t>
      </w:r>
      <w:r w:rsidR="002B12C6">
        <w:t xml:space="preserve">  </w:t>
      </w:r>
      <w:r w:rsidR="008C1A29">
        <w:t>In any event</w:t>
      </w:r>
      <w:r w:rsidR="001E5B0A">
        <w:t xml:space="preserve">, </w:t>
      </w:r>
      <w:r w:rsidR="008C1A29">
        <w:t xml:space="preserve">for the reasons articulated above, </w:t>
      </w:r>
      <w:r w:rsidR="001E5B0A">
        <w:t xml:space="preserve">Mongoose </w:t>
      </w:r>
      <w:r w:rsidR="008C1A29">
        <w:t xml:space="preserve">has </w:t>
      </w:r>
      <w:r w:rsidR="001E5B0A">
        <w:t>fail</w:t>
      </w:r>
      <w:r w:rsidR="008C1A29">
        <w:t>ed</w:t>
      </w:r>
      <w:r w:rsidR="001E5B0A">
        <w:t xml:space="preserve"> to demonstrate that the RPC </w:t>
      </w:r>
      <w:r w:rsidR="00E92B27">
        <w:t xml:space="preserve">Decisional Memorandum </w:t>
      </w:r>
      <w:r w:rsidR="001E5B0A">
        <w:t xml:space="preserve">was </w:t>
      </w:r>
      <w:r w:rsidR="008C1A29">
        <w:t>in error</w:t>
      </w:r>
      <w:r w:rsidR="001E5B0A">
        <w:t xml:space="preserve">. </w:t>
      </w:r>
    </w:p>
    <w:p w:rsidR="00C12FD6" w:rsidP="00217555" w14:paraId="33200899" w14:textId="6AD77098">
      <w:pPr>
        <w:pStyle w:val="ParaNum"/>
      </w:pPr>
      <w:r>
        <w:rPr>
          <w:i/>
          <w:iCs/>
        </w:rPr>
        <w:t xml:space="preserve">Attestation.  </w:t>
      </w:r>
      <w:r w:rsidR="0077614D">
        <w:t xml:space="preserve">In its reply, Mongoose points out that the RPC failed to adhere to </w:t>
      </w:r>
      <w:r w:rsidRPr="00981377" w:rsidR="0077614D">
        <w:t xml:space="preserve">the </w:t>
      </w:r>
      <w:r w:rsidRPr="00926B65" w:rsidR="00926B65">
        <w:rPr>
          <w:i/>
          <w:iCs/>
        </w:rPr>
        <w:t>RPC</w:t>
      </w:r>
      <w:r w:rsidR="00926B65">
        <w:t xml:space="preserve"> </w:t>
      </w:r>
      <w:r w:rsidRPr="00981377" w:rsidR="0077614D">
        <w:rPr>
          <w:i/>
          <w:iCs/>
        </w:rPr>
        <w:t xml:space="preserve">Appeals Procedures Public Notice </w:t>
      </w:r>
      <w:r w:rsidRPr="00981377" w:rsidR="0077614D">
        <w:t>whe</w:t>
      </w:r>
      <w:r w:rsidR="0077614D">
        <w:t>n the RPC submitted its response without an attestation.</w:t>
      </w:r>
      <w:r>
        <w:rPr>
          <w:rStyle w:val="FootnoteReference"/>
        </w:rPr>
        <w:footnoteReference w:id="75"/>
      </w:r>
      <w:r w:rsidR="00981377">
        <w:t xml:space="preserve">  </w:t>
      </w:r>
      <w:r w:rsidR="006458CD">
        <w:t>We find that the RPC did not act in bad faith</w:t>
      </w:r>
      <w:r w:rsidR="002C0FF1">
        <w:t xml:space="preserve"> </w:t>
      </w:r>
      <w:r w:rsidR="006458CD">
        <w:t xml:space="preserve">and promptly cured </w:t>
      </w:r>
      <w:r w:rsidR="00926B65">
        <w:t xml:space="preserve">what Mongoose itself acknowledges was </w:t>
      </w:r>
      <w:r w:rsidR="00E92B27">
        <w:t xml:space="preserve">likely </w:t>
      </w:r>
      <w:r w:rsidR="00926B65">
        <w:t xml:space="preserve">an </w:t>
      </w:r>
      <w:r w:rsidR="006458CD">
        <w:t xml:space="preserve">“unintentional[] </w:t>
      </w:r>
      <w:r w:rsidR="006458CD">
        <w:t>omi</w:t>
      </w:r>
      <w:r w:rsidR="006458CD">
        <w:t>[</w:t>
      </w:r>
      <w:r w:rsidR="006458CD">
        <w:t>ssion</w:t>
      </w:r>
      <w:r w:rsidR="006458CD">
        <w:t>]”</w:t>
      </w:r>
      <w:r>
        <w:rPr>
          <w:rStyle w:val="FootnoteReference"/>
        </w:rPr>
        <w:footnoteReference w:id="76"/>
      </w:r>
      <w:r w:rsidR="006458CD">
        <w:t xml:space="preserve"> </w:t>
      </w:r>
      <w:r w:rsidR="00926B65">
        <w:t>by filing</w:t>
      </w:r>
      <w:r w:rsidR="006458CD">
        <w:t xml:space="preserve"> a supplement to </w:t>
      </w:r>
      <w:r w:rsidR="00926B65">
        <w:t xml:space="preserve">the RPC’s </w:t>
      </w:r>
      <w:r w:rsidR="006458CD">
        <w:t>response.</w:t>
      </w:r>
      <w:r>
        <w:rPr>
          <w:rStyle w:val="FootnoteReference"/>
        </w:rPr>
        <w:footnoteReference w:id="77"/>
      </w:r>
      <w:r w:rsidR="006458CD">
        <w:t xml:space="preserve"> </w:t>
      </w:r>
    </w:p>
    <w:p w:rsidR="00E25CC0" w:rsidP="00E25CC0" w14:paraId="33FF85E0" w14:textId="4B882628">
      <w:pPr>
        <w:pStyle w:val="Heading1"/>
      </w:pPr>
      <w:r>
        <w:t>ordering clauses</w:t>
      </w:r>
    </w:p>
    <w:p w:rsidR="00202C1E" w:rsidRPr="009D3EA4" w:rsidP="009D3EA4" w14:paraId="26D6DBAB" w14:textId="4A8F2DCE">
      <w:pPr>
        <w:pStyle w:val="ParaNum"/>
      </w:pPr>
      <w:r w:rsidRPr="009D3EA4">
        <w:t>A</w:t>
      </w:r>
      <w:r w:rsidRPr="009D3EA4">
        <w:t>CCORDINGLY, IT IS ORDERED, that,</w:t>
      </w:r>
      <w:r w:rsidRPr="009D3EA4">
        <w:t xml:space="preserve"> </w:t>
      </w:r>
      <w:r w:rsidRPr="009D3EA4">
        <w:t>pursuant to sections 1, 4(i), 4(j), 5, and 303(r) of the Communications Act of 1934, as amended, 47 U.S.C. §§ 151, 154(i), 154(j), 155, 303(r), and the authority delegated pursuant to sections 0.131 and 0.331 of the Commission’s rules, 47 CFR §§ 0.131, 0.331</w:t>
      </w:r>
      <w:r w:rsidR="00E37B06">
        <w:t>,</w:t>
      </w:r>
      <w:r w:rsidR="00AC0F92">
        <w:t xml:space="preserve"> and the </w:t>
      </w:r>
      <w:r w:rsidR="00AC0F92">
        <w:rPr>
          <w:i/>
          <w:iCs/>
        </w:rPr>
        <w:t>3.7 GHz Report and Order</w:t>
      </w:r>
      <w:r w:rsidRPr="009D3EA4">
        <w:t>,</w:t>
      </w:r>
      <w:r w:rsidRPr="009D3EA4">
        <w:t xml:space="preserve"> the </w:t>
      </w:r>
      <w:r w:rsidRPr="009D3EA4">
        <w:t>Appeal</w:t>
      </w:r>
      <w:r w:rsidRPr="009D3EA4">
        <w:t xml:space="preserve"> submitted by </w:t>
      </w:r>
      <w:r w:rsidRPr="009D3EA4">
        <w:t>Mongoose Works, Ltd. is DENIED.</w:t>
      </w:r>
    </w:p>
    <w:p w:rsidR="002A3E93" w:rsidRPr="00DC5C50" w:rsidP="002A3E93" w14:paraId="1F1B78E0" w14:textId="61EA7790">
      <w:pPr>
        <w:pStyle w:val="ParaNum"/>
      </w:pPr>
      <w:r>
        <w:t>This</w:t>
      </w:r>
      <w:r w:rsidR="00167EC6">
        <w:t xml:space="preserve"> </w:t>
      </w:r>
      <w:r w:rsidR="0003337A">
        <w:t>Memorandum Opinion and Order</w:t>
      </w:r>
      <w:r w:rsidR="00202C1E">
        <w:t xml:space="preserve"> is effective upon release.</w:t>
      </w:r>
      <w:r>
        <w:t xml:space="preserve"> </w:t>
      </w:r>
    </w:p>
    <w:p w:rsidR="000C34A3" w:rsidP="000C34A3" w14:paraId="265BAA1B" w14:textId="77777777">
      <w:pPr>
        <w:pStyle w:val="ParaNum"/>
        <w:numPr>
          <w:ilvl w:val="0"/>
          <w:numId w:val="0"/>
        </w:numPr>
      </w:pPr>
    </w:p>
    <w:p w:rsidR="000C34A3" w:rsidP="000C34A3" w14:paraId="5892376D" w14:textId="24A47D05">
      <w:pPr>
        <w:pStyle w:val="ParaNum"/>
        <w:numPr>
          <w:ilvl w:val="0"/>
          <w:numId w:val="0"/>
        </w:numPr>
        <w:tabs>
          <w:tab w:val="left" w:pos="4320"/>
        </w:tabs>
        <w:ind w:firstLine="720"/>
      </w:pPr>
      <w:r>
        <w:tab/>
        <w:t>FEDERAL COMMUNICATIONS COMMISSION</w:t>
      </w:r>
    </w:p>
    <w:p w:rsidR="000C34A3" w:rsidP="000C34A3" w14:paraId="555CDE50" w14:textId="1D419999">
      <w:pPr>
        <w:pStyle w:val="ParaNum"/>
        <w:numPr>
          <w:ilvl w:val="0"/>
          <w:numId w:val="0"/>
        </w:numPr>
        <w:tabs>
          <w:tab w:val="left" w:pos="4320"/>
        </w:tabs>
        <w:ind w:firstLine="720"/>
      </w:pPr>
    </w:p>
    <w:p w:rsidR="009D3EA4" w:rsidP="000C34A3" w14:paraId="78AE439E" w14:textId="5064F7B6">
      <w:pPr>
        <w:pStyle w:val="ParaNum"/>
        <w:numPr>
          <w:ilvl w:val="0"/>
          <w:numId w:val="0"/>
        </w:numPr>
        <w:tabs>
          <w:tab w:val="left" w:pos="4320"/>
        </w:tabs>
        <w:ind w:firstLine="720"/>
      </w:pPr>
    </w:p>
    <w:p w:rsidR="00C054E9" w:rsidP="00BA45D4" w14:paraId="74E9AD19" w14:textId="2B57CA9F">
      <w:pPr>
        <w:pStyle w:val="ParaNum"/>
        <w:numPr>
          <w:ilvl w:val="0"/>
          <w:numId w:val="0"/>
        </w:numPr>
        <w:tabs>
          <w:tab w:val="left" w:pos="4320"/>
        </w:tabs>
        <w:spacing w:after="0"/>
        <w:ind w:firstLine="720"/>
      </w:pPr>
      <w:r>
        <w:tab/>
      </w:r>
      <w:r w:rsidRPr="00C054E9">
        <w:t>Joel Taubenblatt</w:t>
      </w:r>
      <w:r w:rsidR="00BA45D4">
        <w:t xml:space="preserve"> </w:t>
      </w:r>
    </w:p>
    <w:p w:rsidR="009D3EA4" w:rsidP="00626D35" w14:paraId="1C36F723" w14:textId="073AD486">
      <w:pPr>
        <w:pStyle w:val="ParaNum"/>
        <w:numPr>
          <w:ilvl w:val="0"/>
          <w:numId w:val="0"/>
        </w:numPr>
        <w:tabs>
          <w:tab w:val="left" w:pos="4320"/>
        </w:tabs>
        <w:spacing w:after="0"/>
        <w:ind w:firstLine="720"/>
      </w:pPr>
      <w:r>
        <w:tab/>
      </w:r>
      <w:r w:rsidRPr="00C054E9" w:rsidR="00BA45D4">
        <w:t>Chief</w:t>
      </w:r>
      <w:r w:rsidR="00BA45D4">
        <w:t xml:space="preserve">, </w:t>
      </w:r>
      <w:r>
        <w:t>Wireless Telecommunications Bureau</w:t>
      </w:r>
    </w:p>
    <w:p w:rsidR="000C34A3" w:rsidP="000C34A3" w14:paraId="5EC30DCF" w14:textId="77777777">
      <w:pPr>
        <w:pStyle w:val="ParaNum"/>
        <w:numPr>
          <w:ilvl w:val="0"/>
          <w:numId w:val="0"/>
        </w:numPr>
        <w:tabs>
          <w:tab w:val="left" w:pos="4320"/>
        </w:tabs>
        <w:ind w:firstLine="720"/>
      </w:pPr>
    </w:p>
    <w:p w:rsidR="00E25CC0" w:rsidRPr="00E25CC0" w:rsidP="000C34A3" w14:paraId="02B412FC" w14:textId="77777777">
      <w:pPr>
        <w:pStyle w:val="ParaNum"/>
        <w:numPr>
          <w:ilvl w:val="0"/>
          <w:numId w:val="0"/>
        </w:num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76CF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105C2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A4303" w14:paraId="5D63A330" w14:textId="75C3EC9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C1AB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6495" w14:paraId="745D9D2D" w14:textId="77777777">
      <w:r>
        <w:separator/>
      </w:r>
    </w:p>
  </w:footnote>
  <w:footnote w:type="continuationSeparator" w:id="1">
    <w:p w:rsidR="002D6495" w:rsidP="00C721AC" w14:paraId="7D8F1685" w14:textId="77777777">
      <w:pPr>
        <w:spacing w:before="120"/>
        <w:rPr>
          <w:sz w:val="20"/>
        </w:rPr>
      </w:pPr>
      <w:r>
        <w:rPr>
          <w:sz w:val="20"/>
        </w:rPr>
        <w:t xml:space="preserve">(Continued from previous page)  </w:t>
      </w:r>
      <w:r>
        <w:rPr>
          <w:sz w:val="20"/>
        </w:rPr>
        <w:separator/>
      </w:r>
    </w:p>
  </w:footnote>
  <w:footnote w:type="continuationNotice" w:id="2">
    <w:p w:rsidR="002D6495" w:rsidP="00C721AC" w14:paraId="7B3B250F" w14:textId="77777777">
      <w:pPr>
        <w:jc w:val="right"/>
        <w:rPr>
          <w:sz w:val="20"/>
        </w:rPr>
      </w:pPr>
      <w:r>
        <w:rPr>
          <w:sz w:val="20"/>
        </w:rPr>
        <w:t>(continued….)</w:t>
      </w:r>
    </w:p>
  </w:footnote>
  <w:footnote w:id="3">
    <w:p w:rsidR="00E15242" w14:paraId="1F8E996D" w14:textId="33930B41">
      <w:pPr>
        <w:pStyle w:val="FootnoteText"/>
      </w:pPr>
      <w:r>
        <w:rPr>
          <w:rStyle w:val="FootnoteReference"/>
        </w:rPr>
        <w:footnoteRef/>
      </w:r>
      <w:r>
        <w:t xml:space="preserve"> </w:t>
      </w:r>
      <w:r w:rsidRPr="002D3DFC">
        <w:t>Mongoose Appeal of RPC Decision, WT Docket No. 21-333, File No. 1</w:t>
      </w:r>
      <w:r>
        <w:t xml:space="preserve"> </w:t>
      </w:r>
      <w:r w:rsidRPr="002D3DFC">
        <w:t xml:space="preserve">(filed Aug. 1, 2022) (Mongoose Appeal).  </w:t>
      </w:r>
    </w:p>
  </w:footnote>
  <w:footnote w:id="4">
    <w:p w:rsidR="00E16A01" w14:paraId="05C88CBB" w14:textId="3C85B097">
      <w:pPr>
        <w:pStyle w:val="FootnoteText"/>
      </w:pPr>
      <w:r>
        <w:rPr>
          <w:rStyle w:val="FootnoteReference"/>
        </w:rPr>
        <w:footnoteRef/>
      </w:r>
      <w:r>
        <w:t xml:space="preserve"> Mongoose Works, Ltd. Lump Sum Election for 3.7-4.2 GHz Band Relocation Expenses, IB Docket No. 20-205 (filed Aug. 12, 2020) (Mongoose Lump Sum Election).</w:t>
      </w:r>
    </w:p>
  </w:footnote>
  <w:footnote w:id="5">
    <w:p w:rsidR="007F7DFD" w:rsidRPr="00B45E64" w:rsidP="007F7DFD" w14:paraId="4A296C44" w14:textId="77777777">
      <w:pPr>
        <w:pStyle w:val="FootnoteText"/>
      </w:pPr>
      <w:r w:rsidRPr="00CF3201">
        <w:rPr>
          <w:rStyle w:val="FootnoteReference"/>
        </w:rPr>
        <w:footnoteRef/>
      </w:r>
      <w:r w:rsidRPr="00CF3201">
        <w:t xml:space="preserve"> Response of Relocation Payment Clearinghouse LLC, WT Docket No. 21-333, File No. 1 (filed Aug. 22, 2022) (RPC Response); </w:t>
      </w:r>
      <w:r w:rsidRPr="00CF3201">
        <w:rPr>
          <w:i/>
          <w:iCs/>
        </w:rPr>
        <w:t xml:space="preserve">see also id. </w:t>
      </w:r>
      <w:r w:rsidRPr="00CF3201">
        <w:t>at Appx. Tab 5 (RPC Decisional Memorandum).</w:t>
      </w:r>
      <w:r>
        <w:t xml:space="preserve">   </w:t>
      </w:r>
    </w:p>
  </w:footnote>
  <w:footnote w:id="6">
    <w:p w:rsidR="00A0467C" w:rsidP="00A0467C" w14:paraId="67AB6908" w14:textId="2342FEA7">
      <w:pPr>
        <w:pStyle w:val="FootnoteText"/>
      </w:pPr>
      <w:r w:rsidRPr="00B45E64">
        <w:rPr>
          <w:rStyle w:val="FootnoteReference"/>
        </w:rPr>
        <w:footnoteRef/>
      </w:r>
      <w:r w:rsidRPr="00B45E64">
        <w:t xml:space="preserve"> </w:t>
      </w:r>
      <w:r w:rsidR="00185FE1">
        <w:rPr>
          <w:i/>
          <w:iCs/>
        </w:rPr>
        <w:t>Expanding Flexible Use of the 3.7 to 4.2 GHz Band</w:t>
      </w:r>
      <w:r w:rsidR="00185FE1">
        <w:t xml:space="preserve">, GN Docket No. 18-122, Report and Order and Order of Proposed Modification, 35 FCC </w:t>
      </w:r>
      <w:r w:rsidR="00185FE1">
        <w:t>Rcd</w:t>
      </w:r>
      <w:r w:rsidR="00185FE1">
        <w:t xml:space="preserve"> 2343, 2345, para. 4 (2020) (</w:t>
      </w:r>
      <w:r w:rsidRPr="00B45E64" w:rsidR="00185FE1">
        <w:rPr>
          <w:i/>
          <w:iCs/>
        </w:rPr>
        <w:t>3.7 GHz Report and Order</w:t>
      </w:r>
      <w:r w:rsidR="00185FE1">
        <w:t>)</w:t>
      </w:r>
      <w:r w:rsidRPr="00663AEF" w:rsidR="003474EB">
        <w:t>,</w:t>
      </w:r>
      <w:r w:rsidR="003474EB">
        <w:rPr>
          <w:i/>
          <w:iCs/>
        </w:rPr>
        <w:t xml:space="preserve"> appeal and petition for review dismissed sub nom. PSSI Global Services, L.L.C. v. FCC</w:t>
      </w:r>
      <w:r w:rsidRPr="00663AEF" w:rsidR="003474EB">
        <w:t>,</w:t>
      </w:r>
      <w:r w:rsidR="003474EB">
        <w:rPr>
          <w:i/>
          <w:iCs/>
        </w:rPr>
        <w:t xml:space="preserve"> </w:t>
      </w:r>
      <w:r w:rsidR="003474EB">
        <w:t>983 F.3d 1 (D.C. Cir. 2020)</w:t>
      </w:r>
      <w:r w:rsidR="00185FE1">
        <w:t>.</w:t>
      </w:r>
    </w:p>
  </w:footnote>
  <w:footnote w:id="7">
    <w:p w:rsidR="00A0467C" w:rsidP="00A0467C" w14:paraId="35E944EE" w14:textId="1FB26A0B">
      <w:pPr>
        <w:pStyle w:val="FootnoteText"/>
      </w:pPr>
      <w:r>
        <w:rPr>
          <w:rStyle w:val="FootnoteReference"/>
        </w:rPr>
        <w:footnoteRef/>
      </w:r>
      <w:r>
        <w:t xml:space="preserve"> </w:t>
      </w:r>
      <w:r w:rsidR="00B50B61">
        <w:rPr>
          <w:i/>
          <w:iCs/>
        </w:rPr>
        <w:t>3.7 GHz Report and Order</w:t>
      </w:r>
      <w:r w:rsidR="00B50B61">
        <w:t xml:space="preserve">, 35 FCC </w:t>
      </w:r>
      <w:r w:rsidR="00B50B61">
        <w:t>Rcd</w:t>
      </w:r>
      <w:r w:rsidR="00B50B61">
        <w:rPr>
          <w:i/>
          <w:iCs/>
        </w:rPr>
        <w:t xml:space="preserve"> </w:t>
      </w:r>
      <w:r>
        <w:t xml:space="preserve">at 2391, 2465-66, paras. 111, 326; 47 CFR § 27.4.  The </w:t>
      </w:r>
      <w:r>
        <w:rPr>
          <w:i/>
          <w:iCs/>
        </w:rPr>
        <w:t xml:space="preserve">3.7 GHz Band Report and Order </w:t>
      </w:r>
      <w:r>
        <w:t xml:space="preserve">defines the incumbents that will be eligible to </w:t>
      </w:r>
      <w:bookmarkStart w:id="0" w:name="_Hlk43828054"/>
      <w:r>
        <w:t>be reimbursed for</w:t>
      </w:r>
      <w:bookmarkEnd w:id="0"/>
      <w:r>
        <w:t xml:space="preserve"> their reasonable relocation costs.  </w:t>
      </w:r>
      <w:bookmarkStart w:id="1" w:name="_Hlk37840202"/>
      <w:r>
        <w:t xml:space="preserve">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xml:space="preserve">, 35 FCC </w:t>
      </w:r>
      <w:r>
        <w:t>Rcd</w:t>
      </w:r>
      <w:r>
        <w:rPr>
          <w:i/>
          <w:iCs/>
        </w:rPr>
        <w:t xml:space="preserve"> </w:t>
      </w:r>
      <w:r>
        <w:t>at 2392, para. 116; 47 CFR § 27.1411(b)(3</w:t>
      </w:r>
      <w:r w:rsidRPr="00F31B8B">
        <w:t>).  Incumbent Fixed Service licensees are defined as “[i]</w:t>
      </w:r>
      <w:r w:rsidRPr="00F31B8B">
        <w:t>ncumbent</w:t>
      </w:r>
      <w:r w:rsidRPr="00F31B8B">
        <w:t xml:space="preserve"> licensees of point-to-point Fixed Service links that relocate out of the 3.7-4.2 GHz band by December 5, 2023.”  </w:t>
      </w:r>
      <w:r w:rsidRPr="00071314">
        <w:rPr>
          <w:i/>
          <w:iCs/>
        </w:rPr>
        <w:t>3.7 GHz Report and Order</w:t>
      </w:r>
      <w:r w:rsidRPr="00071314">
        <w:t xml:space="preserve">, 35 FCC </w:t>
      </w:r>
      <w:r w:rsidRPr="00071314">
        <w:t>Rcd</w:t>
      </w:r>
      <w:r w:rsidRPr="00F31B8B">
        <w:rPr>
          <w:i/>
          <w:iCs/>
        </w:rPr>
        <w:t xml:space="preserve"> </w:t>
      </w:r>
      <w:r w:rsidRPr="00F31B8B">
        <w:t>at 2465, para. 326.</w:t>
      </w:r>
      <w:r>
        <w:t xml:space="preserve">  </w:t>
      </w:r>
      <w:bookmarkEnd w:id="1"/>
      <w:r>
        <w:t>The process by which costs will be determined to be reimbursable is defined in 47 CFR § 2</w:t>
      </w:r>
      <w:r w:rsidR="00C406F0">
        <w:t>7</w:t>
      </w:r>
      <w:r>
        <w:t>.1416.</w:t>
      </w:r>
    </w:p>
  </w:footnote>
  <w:footnote w:id="8">
    <w:p w:rsidR="008F14C4" w:rsidP="008F14C4" w14:paraId="1241968F" w14:textId="11D36831">
      <w:pPr>
        <w:pStyle w:val="FootnoteText"/>
      </w:pPr>
      <w:r>
        <w:rPr>
          <w:rStyle w:val="FootnoteReference"/>
        </w:rPr>
        <w:footnoteRef/>
      </w:r>
      <w:r>
        <w:t xml:space="preserve"> </w:t>
      </w:r>
      <w:r w:rsidRPr="00587591" w:rsidR="004A0159">
        <w:rPr>
          <w:i/>
          <w:iCs/>
        </w:rPr>
        <w:t xml:space="preserve">3.7 GHz </w:t>
      </w:r>
      <w:r w:rsidR="004A0159">
        <w:rPr>
          <w:i/>
          <w:iCs/>
        </w:rPr>
        <w:t>Report and Order</w:t>
      </w:r>
      <w:r w:rsidR="004A0159">
        <w:t xml:space="preserve">, </w:t>
      </w:r>
      <w:r w:rsidRPr="008E618F" w:rsidR="004A0159">
        <w:t xml:space="preserve">35 FCC </w:t>
      </w:r>
      <w:r w:rsidRPr="008E618F" w:rsidR="004A0159">
        <w:t>Rcd</w:t>
      </w:r>
      <w:r w:rsidR="004A0159">
        <w:t xml:space="preserve"> </w:t>
      </w:r>
      <w:r>
        <w:t xml:space="preserve">at 2427-28, paras. 202-203.  </w:t>
      </w:r>
      <w:r w:rsidR="00097962">
        <w:t xml:space="preserve">The </w:t>
      </w:r>
      <w:r w:rsidRPr="003B6A37" w:rsidR="00097962">
        <w:rPr>
          <w:i/>
        </w:rPr>
        <w:t xml:space="preserve">3.7 GHz Report and Order </w:t>
      </w:r>
      <w:r w:rsidR="00097962">
        <w:t xml:space="preserve">directed the Bureau to “announce the lump sum that will be available per incumbent earth station as well as the process for electing lump sum payments,” and </w:t>
      </w:r>
      <w:r w:rsidR="00C04DA8">
        <w:t>to</w:t>
      </w:r>
      <w:r w:rsidR="00097962">
        <w:t xml:space="preserve"> identify lump sum amounts for various classes of earth stations as appropriate.</w:t>
      </w:r>
      <w:r w:rsidR="00A17D41">
        <w:t xml:space="preserve">  </w:t>
      </w:r>
      <w:r w:rsidR="00A17D41">
        <w:rPr>
          <w:i/>
          <w:iCs/>
        </w:rPr>
        <w:t>See id.</w:t>
      </w:r>
      <w:r w:rsidR="00A17D41">
        <w:t xml:space="preserve"> at 2428, para. 203.</w:t>
      </w:r>
    </w:p>
  </w:footnote>
  <w:footnote w:id="9">
    <w:p w:rsidR="00233762" w14:paraId="57A28A4F" w14:textId="0D728ED2">
      <w:pPr>
        <w:pStyle w:val="FootnoteText"/>
      </w:pPr>
      <w:r>
        <w:rPr>
          <w:rStyle w:val="FootnoteReference"/>
        </w:rPr>
        <w:footnoteRef/>
      </w:r>
      <w:r>
        <w:t xml:space="preserve"> </w:t>
      </w:r>
      <w:r w:rsidR="00573CE9">
        <w:rPr>
          <w:i/>
          <w:iCs/>
        </w:rPr>
        <w:t xml:space="preserve">Id. </w:t>
      </w:r>
      <w:r>
        <w:t xml:space="preserve"> at 2446, para. 255; 47 CFR § 2</w:t>
      </w:r>
      <w:r w:rsidR="00C406F0">
        <w:t>7</w:t>
      </w:r>
      <w:r>
        <w:t xml:space="preserve">.1414.  A search committee appointed by the Commission selected </w:t>
      </w:r>
      <w:r w:rsidRPr="00125FFB">
        <w:t>CohnReznick</w:t>
      </w:r>
      <w:r w:rsidRPr="00125FFB">
        <w:t xml:space="preserve"> LLP and</w:t>
      </w:r>
      <w:r>
        <w:t xml:space="preserve"> </w:t>
      </w:r>
      <w:r w:rsidRPr="00125FFB">
        <w:t xml:space="preserve">subcontractors Squire Patton Boggs (US) LLP, and </w:t>
      </w:r>
      <w:r w:rsidRPr="00125FFB">
        <w:t>Intellicom</w:t>
      </w:r>
      <w:r w:rsidRPr="00125FFB">
        <w:t xml:space="preserve"> Technologies, Inc., to serve as the </w:t>
      </w:r>
      <w:r>
        <w:t xml:space="preserve">clearinghouse; </w:t>
      </w:r>
      <w:r w:rsidRPr="00413C7A">
        <w:t>the Bureau</w:t>
      </w:r>
      <w:r>
        <w:t xml:space="preserve"> subsequently</w:t>
      </w:r>
      <w:r w:rsidRPr="00413C7A">
        <w:t xml:space="preserve"> determine</w:t>
      </w:r>
      <w:r>
        <w:t>d</w:t>
      </w:r>
      <w:r w:rsidRPr="00413C7A">
        <w:t xml:space="preserve"> that</w:t>
      </w:r>
      <w:r>
        <w:t xml:space="preserve"> </w:t>
      </w:r>
      <w:r w:rsidRPr="00413C7A">
        <w:t xml:space="preserve">the </w:t>
      </w:r>
      <w:r>
        <w:t xml:space="preserve">search committee’s </w:t>
      </w:r>
      <w:r w:rsidRPr="00413C7A">
        <w:t xml:space="preserve">selection </w:t>
      </w:r>
      <w:r w:rsidRPr="00125FFB">
        <w:t>satisfie</w:t>
      </w:r>
      <w:r>
        <w:t>d</w:t>
      </w:r>
      <w:r w:rsidRPr="00125FFB">
        <w:t xml:space="preserve"> the criteria set forth in section 27.1414 of the Commission’s rules and described</w:t>
      </w:r>
      <w:r>
        <w:t xml:space="preserve"> </w:t>
      </w:r>
      <w:r w:rsidRPr="00125FFB">
        <w:t xml:space="preserve">in the </w:t>
      </w:r>
      <w:r w:rsidRPr="00125FFB">
        <w:rPr>
          <w:i/>
          <w:iCs/>
        </w:rPr>
        <w:t>3.7 GHz Report and Order</w:t>
      </w:r>
      <w:r w:rsidRPr="00125FFB">
        <w:t>.</w:t>
      </w:r>
      <w:r>
        <w:t xml:space="preserve">  </w:t>
      </w:r>
      <w:r>
        <w:rPr>
          <w:i/>
          <w:iCs/>
        </w:rPr>
        <w:t>Expanding Flexible Use of the 3.7 to 4.2 GHz Band</w:t>
      </w:r>
      <w:r>
        <w:t xml:space="preserve">, GN Docket No. 18-122, Order, 35 FCC </w:t>
      </w:r>
      <w:r>
        <w:t>Rcd</w:t>
      </w:r>
      <w:r>
        <w:t xml:space="preserve"> 11859 (2020)</w:t>
      </w:r>
      <w:r w:rsidR="00C573D0">
        <w:rPr>
          <w:i/>
          <w:iCs/>
        </w:rPr>
        <w:t>; s</w:t>
      </w:r>
      <w:r w:rsidRPr="00125FFB">
        <w:rPr>
          <w:i/>
          <w:iCs/>
        </w:rPr>
        <w:t>ee</w:t>
      </w:r>
      <w:r w:rsidRPr="00125FFB">
        <w:t xml:space="preserve"> 47 CFR § 27.1414</w:t>
      </w:r>
      <w:r>
        <w:t xml:space="preserve">; </w:t>
      </w:r>
      <w:r w:rsidRPr="00413C7A">
        <w:rPr>
          <w:i/>
          <w:iCs/>
        </w:rPr>
        <w:t>3.7 GHz Report and Order</w:t>
      </w:r>
      <w:r>
        <w:t xml:space="preserve">, 35 FCC </w:t>
      </w:r>
      <w:r>
        <w:t>Rcd</w:t>
      </w:r>
      <w:r>
        <w:rPr>
          <w:i/>
          <w:iCs/>
        </w:rPr>
        <w:t xml:space="preserve"> </w:t>
      </w:r>
      <w:r>
        <w:t xml:space="preserve">at </w:t>
      </w:r>
      <w:r w:rsidRPr="00125FFB">
        <w:t>2450-52, paras. 273-80</w:t>
      </w:r>
      <w:r>
        <w:t>.</w:t>
      </w:r>
    </w:p>
  </w:footnote>
  <w:footnote w:id="10">
    <w:p w:rsidR="00233762" w14:paraId="44F3B0D4" w14:textId="4C6C3BFC">
      <w:pPr>
        <w:pStyle w:val="FootnoteText"/>
      </w:pPr>
      <w:r>
        <w:rPr>
          <w:rStyle w:val="FootnoteReference"/>
        </w:rPr>
        <w:footnoteRef/>
      </w:r>
      <w:r>
        <w:t xml:space="preserve"> </w:t>
      </w:r>
      <w:r>
        <w:rPr>
          <w:i/>
          <w:iCs/>
        </w:rPr>
        <w:t xml:space="preserve">See </w:t>
      </w:r>
      <w:r w:rsidRPr="00587591">
        <w:rPr>
          <w:i/>
          <w:iCs/>
        </w:rPr>
        <w:t xml:space="preserve">3.7 GHz </w:t>
      </w:r>
      <w:r>
        <w:rPr>
          <w:i/>
          <w:iCs/>
        </w:rPr>
        <w:t>Report and Order</w:t>
      </w:r>
      <w:r>
        <w:t xml:space="preserve">, </w:t>
      </w:r>
      <w:r w:rsidRPr="008E618F">
        <w:t xml:space="preserve">35 FCC </w:t>
      </w:r>
      <w:r w:rsidRPr="008E618F">
        <w:t>Rcd</w:t>
      </w:r>
      <w:r>
        <w:rPr>
          <w:i/>
          <w:iCs/>
        </w:rPr>
        <w:t xml:space="preserve"> </w:t>
      </w:r>
      <w:r>
        <w:t xml:space="preserve">at 2448, para. 262; 47 CFR </w:t>
      </w:r>
      <w:r w:rsidRPr="005A61AE">
        <w:t>§ </w:t>
      </w:r>
      <w:r>
        <w:t>27.1416(a).</w:t>
      </w:r>
    </w:p>
  </w:footnote>
  <w:footnote w:id="11">
    <w:p w:rsidR="00233762" w14:paraId="05B3C7EE" w14:textId="09D8DFEC">
      <w:pPr>
        <w:pStyle w:val="FootnoteText"/>
      </w:pPr>
      <w:r>
        <w:rPr>
          <w:rStyle w:val="FootnoteReference"/>
        </w:rPr>
        <w:footnoteRef/>
      </w:r>
      <w:r>
        <w:t xml:space="preserve"> 47 CFR § 2</w:t>
      </w:r>
      <w:r w:rsidR="00C406F0">
        <w:t>7</w:t>
      </w:r>
      <w:r>
        <w:t xml:space="preserve">.1416(a).  The Commission engaged a third-party contractor, RKF Engineering Solutions, LLC, to assist FCC staff in developing a cost catalog.  After soliciting and considering public comments, on July 31, 2020, the Bureau released the </w:t>
      </w:r>
      <w:r w:rsidRPr="00BF5373">
        <w:rPr>
          <w:i/>
          <w:iCs/>
        </w:rPr>
        <w:t>Final Cost Catalog Public Notice</w:t>
      </w:r>
      <w:r>
        <w:t xml:space="preserve">.  </w:t>
      </w:r>
      <w:r>
        <w:rPr>
          <w:i/>
          <w:iCs/>
        </w:rPr>
        <w:t>Wireless Telecommunications Bureau Releases Final Cost Category Schedule for 3.7-4.2 GHz Band Relocation Expenses and Announces Process and Deadline for Lump Sum Elections</w:t>
      </w:r>
      <w:r>
        <w:t>, GN Docket No. 18-122</w:t>
      </w:r>
      <w:r w:rsidR="003A5519">
        <w:t>,</w:t>
      </w:r>
      <w:r w:rsidR="0089135A">
        <w:t xml:space="preserve"> IB Docket No. 20-205</w:t>
      </w:r>
      <w:r>
        <w:t xml:space="preserve">, Public Notice, 35 FCC </w:t>
      </w:r>
      <w:r>
        <w:t>Rcd</w:t>
      </w:r>
      <w:r>
        <w:t xml:space="preserve"> 7967, 7972-75, paras. 9-13 (2020) (</w:t>
      </w:r>
      <w:r>
        <w:rPr>
          <w:i/>
          <w:iCs/>
        </w:rPr>
        <w:t>Final Cost Catalog Public Notice</w:t>
      </w:r>
      <w:r>
        <w:t>).</w:t>
      </w:r>
    </w:p>
  </w:footnote>
  <w:footnote w:id="12">
    <w:p w:rsidR="00233762" w14:paraId="48116DA9" w14:textId="7AF9AC38">
      <w:pPr>
        <w:pStyle w:val="FootnoteText"/>
      </w:pPr>
      <w:r>
        <w:rPr>
          <w:rStyle w:val="FootnoteReference"/>
        </w:rPr>
        <w:footnoteRef/>
      </w:r>
      <w:r>
        <w:t xml:space="preserve"> </w:t>
      </w:r>
      <w:r>
        <w:rPr>
          <w:i/>
          <w:iCs/>
        </w:rPr>
        <w:t>See 3.7 GHz Report and Order</w:t>
      </w:r>
      <w:r>
        <w:t xml:space="preserve">, 35 FCC </w:t>
      </w:r>
      <w:r>
        <w:t>Rcd</w:t>
      </w:r>
      <w:r>
        <w:rPr>
          <w:i/>
          <w:iCs/>
        </w:rPr>
        <w:t xml:space="preserve"> </w:t>
      </w:r>
      <w:r>
        <w:t>at 2447-48, paras. 260-62</w:t>
      </w:r>
      <w:r w:rsidR="004329D8">
        <w:t xml:space="preserve">; </w:t>
      </w:r>
      <w:r w:rsidR="00D57657">
        <w:rPr>
          <w:i/>
          <w:iCs/>
        </w:rPr>
        <w:t xml:space="preserve">Final Cost Catalog Public Notice, </w:t>
      </w:r>
      <w:r w:rsidR="00D57657">
        <w:t xml:space="preserve">35 FCC </w:t>
      </w:r>
      <w:r w:rsidR="00D57657">
        <w:t>Rcd</w:t>
      </w:r>
      <w:r w:rsidR="00D57657">
        <w:t xml:space="preserve"> at </w:t>
      </w:r>
      <w:r w:rsidR="00701C84">
        <w:t>7968</w:t>
      </w:r>
      <w:r w:rsidR="004130B7">
        <w:t>, para. 2</w:t>
      </w:r>
      <w:r w:rsidR="00690180">
        <w:t>.</w:t>
      </w:r>
    </w:p>
  </w:footnote>
  <w:footnote w:id="13">
    <w:p w:rsidR="00233762" w14:paraId="3ECF0F3B" w14:textId="5606D848">
      <w:pPr>
        <w:pStyle w:val="FootnoteText"/>
      </w:pPr>
      <w:r>
        <w:rPr>
          <w:rStyle w:val="FootnoteReference"/>
        </w:rPr>
        <w:footnoteRef/>
      </w:r>
      <w:r>
        <w:t xml:space="preserve"> The original lump sum election filing deadline of August 31, 2020 was later extended to September 14, 2020.  </w:t>
      </w:r>
      <w:r>
        <w:rPr>
          <w:i/>
          <w:iCs/>
        </w:rPr>
        <w:t>Expanding Flexible Use of the 3.7 to 4.2 GHz Band</w:t>
      </w:r>
      <w:r>
        <w:t>, GN Docket No. 18-122</w:t>
      </w:r>
      <w:r w:rsidR="008219A8">
        <w:t>,</w:t>
      </w:r>
      <w:r>
        <w:t xml:space="preserve"> IB Docket No. 20-205, Order, 35 FCC </w:t>
      </w:r>
      <w:r>
        <w:t>Rcd</w:t>
      </w:r>
      <w:r>
        <w:t xml:space="preserve"> 8856 (2020).</w:t>
      </w:r>
    </w:p>
  </w:footnote>
  <w:footnote w:id="14">
    <w:p w:rsidR="00E057D2" w:rsidRPr="004E1AD0" w14:paraId="0B1344D0" w14:textId="2FE3F755">
      <w:pPr>
        <w:pStyle w:val="FootnoteText"/>
      </w:pPr>
      <w:r>
        <w:rPr>
          <w:rStyle w:val="FootnoteReference"/>
        </w:rPr>
        <w:footnoteRef/>
      </w:r>
      <w:r>
        <w:t xml:space="preserve"> </w:t>
      </w:r>
      <w:r w:rsidR="001E5A1E">
        <w:rPr>
          <w:i/>
          <w:iCs/>
        </w:rPr>
        <w:t>Final Cost Catalog Public Notice</w:t>
      </w:r>
      <w:r w:rsidR="004E1AD0">
        <w:rPr>
          <w:i/>
          <w:iCs/>
        </w:rPr>
        <w:t xml:space="preserve">, </w:t>
      </w:r>
      <w:r w:rsidR="004E1AD0">
        <w:t xml:space="preserve">35 FCC </w:t>
      </w:r>
      <w:r w:rsidR="004E1AD0">
        <w:t>Rcd</w:t>
      </w:r>
      <w:r w:rsidR="004E1AD0">
        <w:t xml:space="preserve"> at </w:t>
      </w:r>
      <w:r w:rsidR="00A71E29">
        <w:t>7991</w:t>
      </w:r>
      <w:r w:rsidR="009C2E3A">
        <w:t>, para. 40.</w:t>
      </w:r>
    </w:p>
  </w:footnote>
  <w:footnote w:id="15">
    <w:p w:rsidR="00561073" w14:paraId="56730C0D" w14:textId="480809F9">
      <w:pPr>
        <w:pStyle w:val="FootnoteText"/>
      </w:pPr>
      <w:r>
        <w:rPr>
          <w:rStyle w:val="FootnoteReference"/>
        </w:rPr>
        <w:footnoteRef/>
      </w:r>
      <w:r>
        <w:t xml:space="preserve"> </w:t>
      </w:r>
      <w:r w:rsidR="00461331">
        <w:t>47 CFR § 2</w:t>
      </w:r>
      <w:r w:rsidR="00AC2130">
        <w:t>7</w:t>
      </w:r>
      <w:r w:rsidR="00461331">
        <w:t>.1416</w:t>
      </w:r>
      <w:r w:rsidR="00714B63">
        <w:t xml:space="preserve">.  </w:t>
      </w:r>
      <w:r w:rsidR="009D5247">
        <w:t xml:space="preserve">The Commission identified a “need to establish measures to prevent waste, fraud, and abuse with respect to reimbursement disbursements” and as a result specifically allocated to the clearinghouse responsibility for collecting from all incumbents seeking reimbursement “a showing of their relocation costs for the transition as well as a demonstration of the reasonableness of those costs.”  </w:t>
      </w:r>
      <w:r w:rsidR="009D5247">
        <w:rPr>
          <w:i/>
          <w:iCs/>
        </w:rPr>
        <w:t>3.7 GHz Report and Order</w:t>
      </w:r>
      <w:r w:rsidR="009D5247">
        <w:t xml:space="preserve">, 35 FCC </w:t>
      </w:r>
      <w:r w:rsidR="009D5247">
        <w:t>Rcd</w:t>
      </w:r>
      <w:r w:rsidR="009D5247">
        <w:t xml:space="preserve"> at 2447, para. 260</w:t>
      </w:r>
      <w:r w:rsidR="00656AE6">
        <w:t xml:space="preserve">.  </w:t>
      </w:r>
      <w:r w:rsidR="00583910">
        <w:rPr>
          <w:i/>
          <w:iCs/>
        </w:rPr>
        <w:t>S</w:t>
      </w:r>
      <w:r w:rsidRPr="00371961" w:rsidR="00583910">
        <w:rPr>
          <w:i/>
          <w:iCs/>
        </w:rPr>
        <w:t>ee</w:t>
      </w:r>
      <w:r w:rsidR="00656AE6">
        <w:rPr>
          <w:i/>
          <w:iCs/>
        </w:rPr>
        <w:t xml:space="preserve"> also</w:t>
      </w:r>
      <w:r w:rsidRPr="00371961" w:rsidR="00583910">
        <w:t xml:space="preserve"> C-band RPC, </w:t>
      </w:r>
      <w:r w:rsidR="00583910">
        <w:rPr>
          <w:i/>
          <w:iCs/>
        </w:rPr>
        <w:t xml:space="preserve">RPC </w:t>
      </w:r>
      <w:r w:rsidR="008F48C7">
        <w:rPr>
          <w:i/>
          <w:iCs/>
        </w:rPr>
        <w:t>C-band Handbook</w:t>
      </w:r>
      <w:r w:rsidR="00583910">
        <w:rPr>
          <w:i/>
          <w:iCs/>
        </w:rPr>
        <w:t xml:space="preserve"> (version </w:t>
      </w:r>
      <w:r w:rsidR="00F279FF">
        <w:rPr>
          <w:i/>
          <w:iCs/>
        </w:rPr>
        <w:t>1</w:t>
      </w:r>
      <w:r w:rsidR="00583910">
        <w:rPr>
          <w:i/>
          <w:iCs/>
        </w:rPr>
        <w:t>.</w:t>
      </w:r>
      <w:r w:rsidR="00F279FF">
        <w:rPr>
          <w:i/>
          <w:iCs/>
        </w:rPr>
        <w:t>5</w:t>
      </w:r>
      <w:r w:rsidR="00583910">
        <w:rPr>
          <w:i/>
          <w:iCs/>
        </w:rPr>
        <w:t>)</w:t>
      </w:r>
      <w:r w:rsidRPr="00371961" w:rsidR="00583910">
        <w:t xml:space="preserve">, available at </w:t>
      </w:r>
      <w:hyperlink r:id="rId1" w:history="1">
        <w:r w:rsidRPr="007F1AF1" w:rsidR="00583910">
          <w:rPr>
            <w:rStyle w:val="Hyperlink"/>
          </w:rPr>
          <w:t>https://cbandrpc.com/resources/</w:t>
        </w:r>
      </w:hyperlink>
      <w:r w:rsidRPr="00535DF5" w:rsidR="00F279FF">
        <w:rPr>
          <w:rStyle w:val="Hyperlink"/>
          <w:u w:val="none"/>
        </w:rPr>
        <w:t xml:space="preserve"> </w:t>
      </w:r>
      <w:r w:rsidRPr="00535DF5" w:rsidR="00F279FF">
        <w:rPr>
          <w:rStyle w:val="Hyperlink"/>
          <w:color w:val="auto"/>
          <w:u w:val="none"/>
        </w:rPr>
        <w:t>(RPC Handbook).</w:t>
      </w:r>
      <w:r w:rsidR="009D5247">
        <w:rPr>
          <w:rStyle w:val="Hyperlink"/>
          <w:color w:val="auto"/>
        </w:rPr>
        <w:t xml:space="preserve">  </w:t>
      </w:r>
      <w:r w:rsidR="009D5247">
        <w:t xml:space="preserve">  </w:t>
      </w:r>
    </w:p>
  </w:footnote>
  <w:footnote w:id="16">
    <w:p w:rsidR="009D5247" w:rsidP="009D5247" w14:paraId="363A7240" w14:textId="01063895">
      <w:pPr>
        <w:pStyle w:val="FootnoteText"/>
      </w:pPr>
      <w:r>
        <w:rPr>
          <w:rStyle w:val="FootnoteReference"/>
        </w:rPr>
        <w:footnoteRef/>
      </w:r>
      <w:r>
        <w:t xml:space="preserve"> </w:t>
      </w:r>
      <w:r>
        <w:rPr>
          <w:i/>
          <w:iCs/>
        </w:rPr>
        <w:t>3.7 GHz Report and Order</w:t>
      </w:r>
      <w:r>
        <w:t xml:space="preserve">, 35 FCC </w:t>
      </w:r>
      <w:r>
        <w:t>Rcd</w:t>
      </w:r>
      <w:r>
        <w:t xml:space="preserve"> at 2447, para. 260; </w:t>
      </w:r>
      <w:r w:rsidRPr="00641A54">
        <w:rPr>
          <w:i/>
          <w:iCs/>
        </w:rPr>
        <w:t>see also</w:t>
      </w:r>
      <w:r>
        <w:t xml:space="preserve"> 47 CFR § 2</w:t>
      </w:r>
      <w:r w:rsidR="00C277C3">
        <w:t>7</w:t>
      </w:r>
      <w:r>
        <w:t>.1416.</w:t>
      </w:r>
    </w:p>
  </w:footnote>
  <w:footnote w:id="17">
    <w:p w:rsidR="00820373" w14:paraId="1B1C6845" w14:textId="322E8ED8">
      <w:pPr>
        <w:pStyle w:val="FootnoteText"/>
      </w:pPr>
      <w:r>
        <w:rPr>
          <w:rStyle w:val="FootnoteReference"/>
        </w:rPr>
        <w:footnoteRef/>
      </w:r>
      <w:r>
        <w:t xml:space="preserve"> </w:t>
      </w:r>
      <w:r w:rsidRPr="007F1AF1">
        <w:t>47 CFR § 27.1421</w:t>
      </w:r>
      <w:r>
        <w:t>(a)</w:t>
      </w:r>
      <w:r w:rsidR="0027765D">
        <w:t>-(c)</w:t>
      </w:r>
      <w:r w:rsidR="00FF4C6C">
        <w:t xml:space="preserve">. </w:t>
      </w:r>
      <w:r w:rsidR="00C85A6A">
        <w:t xml:space="preserve"> </w:t>
      </w:r>
      <w:r w:rsidR="00ED42A6">
        <w:rPr>
          <w:i/>
          <w:iCs/>
        </w:rPr>
        <w:t>S</w:t>
      </w:r>
      <w:r w:rsidRPr="00371961" w:rsidR="00DC63C8">
        <w:rPr>
          <w:i/>
          <w:iCs/>
        </w:rPr>
        <w:t>ee</w:t>
      </w:r>
      <w:r w:rsidR="00ED42A6">
        <w:rPr>
          <w:i/>
          <w:iCs/>
        </w:rPr>
        <w:t xml:space="preserve"> also</w:t>
      </w:r>
      <w:r w:rsidRPr="00371961" w:rsidR="00DC63C8">
        <w:t xml:space="preserve"> C-band RPC, </w:t>
      </w:r>
      <w:r w:rsidRPr="00371961" w:rsidR="00DC63C8">
        <w:rPr>
          <w:i/>
          <w:iCs/>
        </w:rPr>
        <w:t>Dispute Resolution Plan</w:t>
      </w:r>
      <w:r w:rsidR="00DC63C8">
        <w:rPr>
          <w:i/>
          <w:iCs/>
        </w:rPr>
        <w:t xml:space="preserve"> (version 2.0)</w:t>
      </w:r>
      <w:r w:rsidRPr="00371961" w:rsidR="00DC63C8">
        <w:t xml:space="preserve">, available at </w:t>
      </w:r>
      <w:hyperlink r:id="rId1" w:history="1">
        <w:r w:rsidRPr="007F1AF1" w:rsidR="00DC63C8">
          <w:rPr>
            <w:rStyle w:val="Hyperlink"/>
          </w:rPr>
          <w:t>https://cbandrpc.com/resources/</w:t>
        </w:r>
      </w:hyperlink>
      <w:r w:rsidRPr="007F1AF1" w:rsidR="00DC63C8">
        <w:t xml:space="preserve"> (RPC DRP)</w:t>
      </w:r>
      <w:r w:rsidR="00DC63C8">
        <w:t>.</w:t>
      </w:r>
    </w:p>
  </w:footnote>
  <w:footnote w:id="18">
    <w:p w:rsidR="00C74BC0" w14:paraId="2029E89B" w14:textId="582EAA64">
      <w:pPr>
        <w:pStyle w:val="FootnoteText"/>
      </w:pPr>
      <w:r>
        <w:rPr>
          <w:rStyle w:val="FootnoteReference"/>
        </w:rPr>
        <w:footnoteRef/>
      </w:r>
      <w:r>
        <w:t xml:space="preserve"> </w:t>
      </w:r>
      <w:r w:rsidRPr="007F1AF1">
        <w:t>47 CFR § 27.1421</w:t>
      </w:r>
      <w:r>
        <w:t>(b).</w:t>
      </w:r>
    </w:p>
  </w:footnote>
  <w:footnote w:id="19">
    <w:p w:rsidR="00B242E6" w14:paraId="5FA00C1D" w14:textId="26BC2B8F">
      <w:pPr>
        <w:pStyle w:val="FootnoteText"/>
      </w:pPr>
      <w:r>
        <w:rPr>
          <w:rStyle w:val="FootnoteReference"/>
        </w:rPr>
        <w:footnoteRef/>
      </w:r>
      <w:r>
        <w:t xml:space="preserve"> </w:t>
      </w:r>
      <w:r w:rsidRPr="007F1AF1" w:rsidR="00F86A55">
        <w:t>47 CFR § 27.1421</w:t>
      </w:r>
      <w:r w:rsidR="00F86A55">
        <w:t xml:space="preserve">(c).  </w:t>
      </w:r>
      <w:r w:rsidRPr="00AA58E9">
        <w:t xml:space="preserve">The Bureau released the </w:t>
      </w:r>
      <w:r w:rsidRPr="004238B6" w:rsidR="00F73D64">
        <w:rPr>
          <w:i/>
          <w:iCs/>
        </w:rPr>
        <w:t xml:space="preserve">RPC </w:t>
      </w:r>
      <w:r w:rsidRPr="00AA58E9">
        <w:rPr>
          <w:i/>
          <w:iCs/>
        </w:rPr>
        <w:t xml:space="preserve">Appeals Procedures Public Notice </w:t>
      </w:r>
      <w:r w:rsidRPr="00AA58E9">
        <w:t xml:space="preserve">on March 21, 2022, which established the procedures for the filing and processing of challenges to decisions made by the </w:t>
      </w:r>
      <w:r w:rsidR="00FA2D7D">
        <w:t>clearinghouse</w:t>
      </w:r>
      <w:r w:rsidRPr="00AA58E9">
        <w:t>.</w:t>
      </w:r>
      <w:r>
        <w:t xml:space="preserve">  </w:t>
      </w:r>
      <w:r>
        <w:rPr>
          <w:i/>
          <w:iCs/>
        </w:rPr>
        <w:t>Wireless Telecommunications Bureau Announces Procedures for Appeals of Relocation Payment Clearinghouse Decisions</w:t>
      </w:r>
      <w:r>
        <w:t>, WT Docket No. 21-333, Public Notice, DA 22-300 (WTB Mar. 21, 2022) (</w:t>
      </w:r>
      <w:r w:rsidRPr="004238B6" w:rsidR="00F73D64">
        <w:rPr>
          <w:i/>
          <w:iCs/>
        </w:rPr>
        <w:t xml:space="preserve">RPC </w:t>
      </w:r>
      <w:r w:rsidRPr="00295013">
        <w:rPr>
          <w:i/>
          <w:iCs/>
        </w:rPr>
        <w:t>Appeals Procedures Public Notice</w:t>
      </w:r>
      <w:r>
        <w:t>).</w:t>
      </w:r>
    </w:p>
  </w:footnote>
  <w:footnote w:id="20">
    <w:p w:rsidR="0042665C" w14:paraId="4002ABFE" w14:textId="49C2475B">
      <w:pPr>
        <w:pStyle w:val="FootnoteText"/>
      </w:pPr>
      <w:r>
        <w:rPr>
          <w:rStyle w:val="FootnoteReference"/>
        </w:rPr>
        <w:footnoteRef/>
      </w:r>
      <w:r>
        <w:t xml:space="preserve"> </w:t>
      </w:r>
      <w:r w:rsidR="003507C0">
        <w:t>Mongoose Lump Sum Election</w:t>
      </w:r>
      <w:r>
        <w:t xml:space="preserve">. </w:t>
      </w:r>
      <w:r w:rsidR="00AC7407">
        <w:t xml:space="preserve"> </w:t>
      </w:r>
      <w:r w:rsidRPr="002D3DFC" w:rsidR="007C2529">
        <w:t xml:space="preserve">Mongoose </w:t>
      </w:r>
      <w:r w:rsidR="007C2529">
        <w:t xml:space="preserve">also </w:t>
      </w:r>
      <w:r w:rsidRPr="002D3DFC" w:rsidR="007C2529">
        <w:t xml:space="preserve">has two antennas which it </w:t>
      </w:r>
      <w:r w:rsidR="007B7122">
        <w:t>identified</w:t>
      </w:r>
      <w:r w:rsidR="008F4763">
        <w:t xml:space="preserve"> in that filing</w:t>
      </w:r>
      <w:r w:rsidR="007B7122">
        <w:t xml:space="preserve"> but </w:t>
      </w:r>
      <w:r w:rsidR="007C2529">
        <w:t>excluded from its</w:t>
      </w:r>
      <w:r w:rsidRPr="002D3DFC" w:rsidR="007C2529">
        <w:t xml:space="preserve"> lump sum election because they are not used for C-Band reception.  </w:t>
      </w:r>
      <w:r w:rsidR="000B27AA">
        <w:rPr>
          <w:i/>
          <w:iCs/>
        </w:rPr>
        <w:t xml:space="preserve">Id. </w:t>
      </w:r>
      <w:r w:rsidR="000B27AA">
        <w:t xml:space="preserve">at </w:t>
      </w:r>
      <w:r w:rsidR="00DB1FCE">
        <w:t>1-</w:t>
      </w:r>
      <w:r w:rsidR="000B27AA">
        <w:t>3</w:t>
      </w:r>
      <w:r w:rsidR="0004526B">
        <w:t>, Appendix A</w:t>
      </w:r>
      <w:r w:rsidR="000B27AA">
        <w:t xml:space="preserve"> (</w:t>
      </w:r>
      <w:r w:rsidR="008024DD">
        <w:t>listing</w:t>
      </w:r>
      <w:r w:rsidR="003D6DE9">
        <w:t xml:space="preserve"> </w:t>
      </w:r>
      <w:r w:rsidR="000B27AA">
        <w:t>antenna IDs 1.8 and T90</w:t>
      </w:r>
      <w:r w:rsidR="0026798C">
        <w:t xml:space="preserve"> as “not eligible”</w:t>
      </w:r>
      <w:r w:rsidR="000B27AA">
        <w:t>)</w:t>
      </w:r>
      <w:r w:rsidR="00DA3B61">
        <w:t>;</w:t>
      </w:r>
      <w:r w:rsidR="00041605">
        <w:t xml:space="preserve"> </w:t>
      </w:r>
      <w:r w:rsidR="00DA3B61">
        <w:t>Mongoose Appeal at 9</w:t>
      </w:r>
      <w:r w:rsidR="002E3800">
        <w:t xml:space="preserve"> (“</w:t>
      </w:r>
      <w:r w:rsidRPr="00663AEF" w:rsidR="005C3181">
        <w:t>Two antennas are exclusively used to receive Ku-band signals</w:t>
      </w:r>
      <w:r w:rsidR="005C3181">
        <w:t xml:space="preserve"> </w:t>
      </w:r>
      <w:r w:rsidRPr="00663AEF" w:rsidR="005C3181">
        <w:t>and Mongoose disqualified these antennas for lump sum payments</w:t>
      </w:r>
      <w:r w:rsidRPr="005C3181" w:rsidR="000B27AA">
        <w:t>.</w:t>
      </w:r>
      <w:r w:rsidR="005C3181">
        <w:t>”).</w:t>
      </w:r>
      <w:r w:rsidR="000B27AA">
        <w:t xml:space="preserve">  </w:t>
      </w:r>
      <w:r w:rsidRPr="002D3DFC" w:rsidR="007C2529">
        <w:t>Six of the</w:t>
      </w:r>
      <w:r w:rsidR="007C2529">
        <w:t xml:space="preserve"> eight antennas which Mongoose did include in its election</w:t>
      </w:r>
      <w:r w:rsidRPr="002D3DFC" w:rsidR="007C2529">
        <w:t xml:space="preserve"> exclusively receive C-band signals</w:t>
      </w:r>
      <w:r w:rsidR="007C2529">
        <w:t>,</w:t>
      </w:r>
      <w:r w:rsidRPr="002D3DFC" w:rsidR="007C2529">
        <w:t xml:space="preserve"> while the other two are used to receive both C-band and Ku-band signals.  </w:t>
      </w:r>
      <w:r w:rsidRPr="002D3DFC" w:rsidR="007C2529">
        <w:rPr>
          <w:i/>
          <w:iCs/>
        </w:rPr>
        <w:t>See</w:t>
      </w:r>
      <w:r w:rsidRPr="002D3DFC" w:rsidR="007C2529">
        <w:t xml:space="preserve"> </w:t>
      </w:r>
      <w:r w:rsidRPr="00495254" w:rsidR="00D350DE">
        <w:rPr>
          <w:i/>
          <w:iCs/>
        </w:rPr>
        <w:t>id</w:t>
      </w:r>
      <w:r w:rsidR="00495254">
        <w:t>.</w:t>
      </w:r>
      <w:r w:rsidRPr="002D3DFC" w:rsidR="007C2529">
        <w:t xml:space="preserve"> at 10-12</w:t>
      </w:r>
      <w:r w:rsidR="00336831">
        <w:t xml:space="preserve">.  </w:t>
      </w:r>
      <w:r w:rsidR="00605FC8">
        <w:t>Because</w:t>
      </w:r>
      <w:r w:rsidR="00421215">
        <w:t xml:space="preserve"> Mongoose acknowledges that </w:t>
      </w:r>
      <w:r w:rsidR="00560F0D">
        <w:t xml:space="preserve">two of its antennas </w:t>
      </w:r>
      <w:r w:rsidR="00E74936">
        <w:t xml:space="preserve">are </w:t>
      </w:r>
      <w:r w:rsidR="00974AD2">
        <w:t>only used for Ku</w:t>
      </w:r>
      <w:r w:rsidR="00E74936">
        <w:t>-band reception</w:t>
      </w:r>
      <w:r w:rsidR="00605FC8">
        <w:t xml:space="preserve">, the </w:t>
      </w:r>
      <w:r w:rsidR="00C94489">
        <w:t>Space</w:t>
      </w:r>
      <w:r w:rsidR="00336831">
        <w:t xml:space="preserve"> Bureau will remove th</w:t>
      </w:r>
      <w:r w:rsidR="00E74936">
        <w:t>os</w:t>
      </w:r>
      <w:r w:rsidR="00336831">
        <w:t xml:space="preserve">e two antennas </w:t>
      </w:r>
      <w:r w:rsidR="001330AA">
        <w:t xml:space="preserve">not used for C-band reception </w:t>
      </w:r>
      <w:r w:rsidR="00336831">
        <w:t xml:space="preserve">from </w:t>
      </w:r>
      <w:r w:rsidR="00FC1DE3">
        <w:t>its</w:t>
      </w:r>
      <w:r w:rsidR="00336831">
        <w:t xml:space="preserve"> incumbent earth station list when the next update is released.  </w:t>
      </w:r>
    </w:p>
  </w:footnote>
  <w:footnote w:id="21">
    <w:p w:rsidR="002D3DFC" w14:paraId="09E3E321" w14:textId="704F108C">
      <w:pPr>
        <w:pStyle w:val="FootnoteText"/>
      </w:pPr>
      <w:r>
        <w:rPr>
          <w:rStyle w:val="FootnoteReference"/>
        </w:rPr>
        <w:footnoteRef/>
      </w:r>
      <w:r>
        <w:t xml:space="preserve"> </w:t>
      </w:r>
      <w:r w:rsidRPr="002D3DFC" w:rsidR="0042665C">
        <w:t xml:space="preserve">Mongoose Appeal at </w:t>
      </w:r>
      <w:r w:rsidR="00037D63">
        <w:t xml:space="preserve">3, </w:t>
      </w:r>
      <w:r w:rsidR="0042665C">
        <w:t>11</w:t>
      </w:r>
      <w:r w:rsidR="00007887">
        <w:t>;</w:t>
      </w:r>
      <w:r w:rsidR="004B4C86">
        <w:t xml:space="preserve"> RPC Decisional Memorandum at 1.</w:t>
      </w:r>
    </w:p>
  </w:footnote>
  <w:footnote w:id="22">
    <w:p w:rsidR="008367AD" w14:paraId="7C2F294D" w14:textId="7F5BED3F">
      <w:pPr>
        <w:pStyle w:val="FootnoteText"/>
      </w:pPr>
      <w:r>
        <w:rPr>
          <w:rStyle w:val="FootnoteReference"/>
        </w:rPr>
        <w:footnoteRef/>
      </w:r>
      <w:r>
        <w:t xml:space="preserve"> </w:t>
      </w:r>
      <w:r w:rsidR="00DE5105">
        <w:t xml:space="preserve">Mongoose Lump Sum Election at 3, </w:t>
      </w:r>
      <w:r w:rsidR="008F0EFF">
        <w:t>App</w:t>
      </w:r>
      <w:r w:rsidR="00BF7ED1">
        <w:t>x A</w:t>
      </w:r>
      <w:r w:rsidR="00007887">
        <w:t>;</w:t>
      </w:r>
      <w:r w:rsidR="00BF02A1">
        <w:t xml:space="preserve"> </w:t>
      </w:r>
      <w:r w:rsidR="009E42FB">
        <w:t>RPC Decisional Memorandum at 1.</w:t>
      </w:r>
    </w:p>
  </w:footnote>
  <w:footnote w:id="23">
    <w:p w:rsidR="0042665C" w:rsidRPr="0042665C" w14:paraId="43160B13" w14:textId="293462D1">
      <w:pPr>
        <w:pStyle w:val="FootnoteText"/>
      </w:pPr>
      <w:r>
        <w:rPr>
          <w:rStyle w:val="FootnoteReference"/>
        </w:rPr>
        <w:footnoteRef/>
      </w:r>
      <w:r>
        <w:t xml:space="preserve"> </w:t>
      </w:r>
      <w:r w:rsidR="004527AA">
        <w:t>RPC Decisional Memorandum</w:t>
      </w:r>
      <w:r w:rsidR="000A767D">
        <w:t xml:space="preserve"> at 1</w:t>
      </w:r>
      <w:r w:rsidR="004527AA">
        <w:t xml:space="preserve">; </w:t>
      </w:r>
      <w:r w:rsidRPr="00663AEF" w:rsidR="004527AA">
        <w:rPr>
          <w:i/>
          <w:iCs/>
        </w:rPr>
        <w:t>see also</w:t>
      </w:r>
      <w:r w:rsidR="004527AA">
        <w:t xml:space="preserve"> </w:t>
      </w:r>
      <w:r w:rsidRPr="002D3DFC">
        <w:t>Mongoose Appeal at</w:t>
      </w:r>
      <w:r>
        <w:t xml:space="preserve"> 14, Appx. I</w:t>
      </w:r>
      <w:r w:rsidR="00CB6C1D">
        <w:t xml:space="preserve">. </w:t>
      </w:r>
      <w:r>
        <w:t xml:space="preserve">  </w:t>
      </w:r>
    </w:p>
  </w:footnote>
  <w:footnote w:id="24">
    <w:p w:rsidR="00DA4FB6" w14:paraId="42011230" w14:textId="5CE59349">
      <w:pPr>
        <w:pStyle w:val="FootnoteText"/>
      </w:pPr>
      <w:r>
        <w:rPr>
          <w:rStyle w:val="FootnoteReference"/>
        </w:rPr>
        <w:footnoteRef/>
      </w:r>
      <w:r w:rsidRPr="00DC3F70" w:rsidR="00DC3F70">
        <w:t xml:space="preserve"> </w:t>
      </w:r>
      <w:r w:rsidR="00DC3F70">
        <w:t>RPC Decisional Memorandum at 1</w:t>
      </w:r>
      <w:r>
        <w:t xml:space="preserve">. </w:t>
      </w:r>
    </w:p>
  </w:footnote>
  <w:footnote w:id="25">
    <w:p w:rsidR="00241B0B" w14:paraId="74F94216" w14:textId="1B493E75">
      <w:pPr>
        <w:pStyle w:val="FootnoteText"/>
      </w:pPr>
      <w:r>
        <w:rPr>
          <w:rStyle w:val="FootnoteReference"/>
        </w:rPr>
        <w:footnoteRef/>
      </w:r>
      <w:r>
        <w:t xml:space="preserve"> </w:t>
      </w:r>
      <w:r w:rsidRPr="002D3DFC">
        <w:t>Mongoose Appeal at</w:t>
      </w:r>
      <w:r>
        <w:t xml:space="preserve"> 1</w:t>
      </w:r>
      <w:r w:rsidR="008663DB">
        <w:t>4</w:t>
      </w:r>
      <w:r>
        <w:t xml:space="preserve">; </w:t>
      </w:r>
      <w:r>
        <w:rPr>
          <w:i/>
          <w:iCs/>
        </w:rPr>
        <w:t xml:space="preserve">see also </w:t>
      </w:r>
      <w:r w:rsidRPr="002D3DFC">
        <w:t>Mongoose Appeal</w:t>
      </w:r>
      <w:r>
        <w:t xml:space="preserve">, Appx. J.  </w:t>
      </w:r>
      <w:r w:rsidRPr="005C6C09">
        <w:t xml:space="preserve">No </w:t>
      </w:r>
      <w:r w:rsidRPr="00696BBE" w:rsidR="007A1C6B">
        <w:t xml:space="preserve">3.7 GHz Service </w:t>
      </w:r>
      <w:r w:rsidRPr="005C6C09">
        <w:t xml:space="preserve">licensees </w:t>
      </w:r>
      <w:r>
        <w:t>joined</w:t>
      </w:r>
      <w:r w:rsidRPr="005C6C09">
        <w:t xml:space="preserve"> Mongoose’s dispute</w:t>
      </w:r>
      <w:r>
        <w:t>.</w:t>
      </w:r>
    </w:p>
  </w:footnote>
  <w:footnote w:id="26">
    <w:p w:rsidR="00DE5105" w14:paraId="4A500F5C" w14:textId="0504FBC9">
      <w:pPr>
        <w:pStyle w:val="FootnoteText"/>
      </w:pPr>
      <w:r>
        <w:rPr>
          <w:rStyle w:val="FootnoteReference"/>
        </w:rPr>
        <w:footnoteRef/>
      </w:r>
      <w:r>
        <w:t xml:space="preserve"> </w:t>
      </w:r>
      <w:r w:rsidRPr="00DF649B" w:rsidR="00DF649B">
        <w:rPr>
          <w:i/>
          <w:iCs/>
        </w:rPr>
        <w:t>Id</w:t>
      </w:r>
      <w:r w:rsidR="00DF649B">
        <w:t>.</w:t>
      </w:r>
      <w:r>
        <w:t xml:space="preserve"> at 14.</w:t>
      </w:r>
    </w:p>
  </w:footnote>
  <w:footnote w:id="27">
    <w:p w:rsidR="002D3DFC" w14:paraId="7FD327DE" w14:textId="34AC5291">
      <w:pPr>
        <w:pStyle w:val="FootnoteText"/>
      </w:pPr>
      <w:r>
        <w:rPr>
          <w:rStyle w:val="FootnoteReference"/>
        </w:rPr>
        <w:footnoteRef/>
      </w:r>
      <w:r>
        <w:t xml:space="preserve"> </w:t>
      </w:r>
      <w:r w:rsidRPr="00DF649B" w:rsidR="00DF649B">
        <w:rPr>
          <w:i/>
          <w:iCs/>
        </w:rPr>
        <w:t>Id</w:t>
      </w:r>
      <w:r w:rsidR="00DF649B">
        <w:t>.</w:t>
      </w:r>
      <w:r w:rsidR="00471D9F">
        <w:t xml:space="preserve"> at </w:t>
      </w:r>
      <w:r w:rsidR="00944B73">
        <w:t>4</w:t>
      </w:r>
      <w:r w:rsidRPr="002D3DFC">
        <w:t xml:space="preserve">.  </w:t>
      </w:r>
    </w:p>
  </w:footnote>
  <w:footnote w:id="28">
    <w:p w:rsidR="002D3DFC" w14:paraId="2230D776" w14:textId="30401F0E">
      <w:pPr>
        <w:pStyle w:val="FootnoteText"/>
      </w:pPr>
      <w:r>
        <w:rPr>
          <w:rStyle w:val="FootnoteReference"/>
        </w:rPr>
        <w:footnoteRef/>
      </w:r>
      <w:r>
        <w:t xml:space="preserve"> </w:t>
      </w:r>
      <w:r w:rsidRPr="00DF649B" w:rsidR="00DF649B">
        <w:rPr>
          <w:i/>
          <w:iCs/>
        </w:rPr>
        <w:t>Id</w:t>
      </w:r>
      <w:r w:rsidR="00DF649B">
        <w:t>.</w:t>
      </w:r>
      <w:r w:rsidRPr="002D3DFC">
        <w:t xml:space="preserve"> at 10-12</w:t>
      </w:r>
      <w:r w:rsidR="008663DB">
        <w:t>.</w:t>
      </w:r>
    </w:p>
  </w:footnote>
  <w:footnote w:id="29">
    <w:p w:rsidR="00EF4866" w14:paraId="320D7B41" w14:textId="61B850DC">
      <w:pPr>
        <w:pStyle w:val="FootnoteText"/>
      </w:pPr>
      <w:r>
        <w:rPr>
          <w:rStyle w:val="FootnoteReference"/>
        </w:rPr>
        <w:footnoteRef/>
      </w:r>
      <w:r>
        <w:t xml:space="preserve"> </w:t>
      </w:r>
      <w:r w:rsidRPr="00DF649B" w:rsidR="00DF649B">
        <w:rPr>
          <w:i/>
          <w:iCs/>
        </w:rPr>
        <w:t>Id</w:t>
      </w:r>
      <w:r w:rsidR="00DF649B">
        <w:t>.</w:t>
      </w:r>
      <w:r w:rsidRPr="002D3DFC" w:rsidR="00F92A74">
        <w:t xml:space="preserve"> at 1</w:t>
      </w:r>
      <w:r w:rsidR="00767BA7">
        <w:t>6</w:t>
      </w:r>
      <w:r w:rsidRPr="002D3DFC" w:rsidR="00F92A74">
        <w:t>-1</w:t>
      </w:r>
      <w:r w:rsidR="00767BA7">
        <w:t>7</w:t>
      </w:r>
      <w:r w:rsidR="00F92A74">
        <w:t>.</w:t>
      </w:r>
    </w:p>
  </w:footnote>
  <w:footnote w:id="30">
    <w:p w:rsidR="00AA1F86" w:rsidP="00AA1F86" w14:paraId="3687AE89" w14:textId="70F46063">
      <w:pPr>
        <w:pStyle w:val="FootnoteText"/>
      </w:pPr>
      <w:r>
        <w:rPr>
          <w:rStyle w:val="FootnoteReference"/>
        </w:rPr>
        <w:footnoteRef/>
      </w:r>
      <w:r>
        <w:t xml:space="preserve"> </w:t>
      </w:r>
      <w:r w:rsidRPr="00DF649B" w:rsidR="00DF649B">
        <w:rPr>
          <w:i/>
          <w:iCs/>
        </w:rPr>
        <w:t>Id</w:t>
      </w:r>
      <w:r w:rsidR="00DF649B">
        <w:t>.</w:t>
      </w:r>
      <w:r>
        <w:t xml:space="preserve"> at </w:t>
      </w:r>
      <w:r w:rsidR="00647428">
        <w:t>15-2</w:t>
      </w:r>
      <w:r w:rsidR="00C92A8A">
        <w:t>5</w:t>
      </w:r>
      <w:r>
        <w:t>.</w:t>
      </w:r>
    </w:p>
  </w:footnote>
  <w:footnote w:id="31">
    <w:p w:rsidR="00657BAB" w14:paraId="0DCDFC2D" w14:textId="2EC12570">
      <w:pPr>
        <w:pStyle w:val="FootnoteText"/>
      </w:pPr>
      <w:r>
        <w:rPr>
          <w:rStyle w:val="FootnoteReference"/>
        </w:rPr>
        <w:footnoteRef/>
      </w:r>
      <w:r>
        <w:t xml:space="preserve"> </w:t>
      </w:r>
      <w:r w:rsidRPr="00DF649B" w:rsidR="00DF649B">
        <w:rPr>
          <w:i/>
          <w:iCs/>
        </w:rPr>
        <w:t>Id</w:t>
      </w:r>
      <w:r w:rsidR="00DF649B">
        <w:t>.</w:t>
      </w:r>
      <w:r>
        <w:t xml:space="preserve"> at 16-2</w:t>
      </w:r>
      <w:r w:rsidR="00A025A9">
        <w:t>1</w:t>
      </w:r>
      <w:r w:rsidR="00B248C7">
        <w:t xml:space="preserve"> (“The Cost Catalo</w:t>
      </w:r>
      <w:r w:rsidR="00C67481">
        <w:t xml:space="preserve">g . . . </w:t>
      </w:r>
      <w:r w:rsidR="00B248C7">
        <w:t>makes the important distinction that a multi-beam antenna ‘</w:t>
      </w:r>
      <w:r w:rsidRPr="00227F34" w:rsidR="00B248C7">
        <w:rPr>
          <w:i/>
          <w:iCs/>
        </w:rPr>
        <w:t>can</w:t>
      </w:r>
      <w:r w:rsidR="00B248C7">
        <w:t xml:space="preserve"> [emphasis added] receive signals from multiple orbital slots</w:t>
      </w:r>
      <w:r w:rsidR="00C67481">
        <w:t xml:space="preserve"> . . .</w:t>
      </w:r>
      <w:r w:rsidR="00B248C7">
        <w:t>’ vs. a single-fee</w:t>
      </w:r>
      <w:r w:rsidR="00430EE4">
        <w:t>d</w:t>
      </w:r>
      <w:r w:rsidR="00B248C7">
        <w:t xml:space="preserve"> antenna </w:t>
      </w:r>
      <w:r w:rsidR="009A0598">
        <w:t>is one ‘receiving a signal…</w:t>
      </w:r>
      <w:r w:rsidR="00430EE4">
        <w:t>’</w:t>
      </w:r>
      <w:r w:rsidR="009A0598">
        <w:t xml:space="preserve"> and a multi-feed antenna ‘receives two polarization</w:t>
      </w:r>
      <w:r w:rsidR="000862BC">
        <w:t>s</w:t>
      </w:r>
      <w:r w:rsidR="009A0598">
        <w:t>.’  Thus the multi-beam antenna classification on</w:t>
      </w:r>
      <w:r w:rsidR="00430EE4">
        <w:t>ly</w:t>
      </w:r>
      <w:r w:rsidR="009A0598">
        <w:t xml:space="preserve"> requires a</w:t>
      </w:r>
      <w:r w:rsidR="00C67481">
        <w:t>[n]</w:t>
      </w:r>
      <w:r w:rsidR="009A0598">
        <w:t xml:space="preserve"> innate ability, rather than an active capability.”)</w:t>
      </w:r>
      <w:r>
        <w:t>.</w:t>
      </w:r>
      <w:r w:rsidRPr="002D3DFC">
        <w:t xml:space="preserve">  </w:t>
      </w:r>
      <w:r w:rsidRPr="00663AEF" w:rsidR="002C60F6">
        <w:rPr>
          <w:i/>
          <w:iCs/>
        </w:rPr>
        <w:t>See id</w:t>
      </w:r>
      <w:r w:rsidR="002C60F6">
        <w:t xml:space="preserve">. at </w:t>
      </w:r>
      <w:r w:rsidR="007A7C16">
        <w:t xml:space="preserve">20 (“The actual frequency bands received are not important, </w:t>
      </w:r>
      <w:r w:rsidR="006A6D0A">
        <w:t>as long as at least one is in the C-band.”).</w:t>
      </w:r>
    </w:p>
  </w:footnote>
  <w:footnote w:id="32">
    <w:p w:rsidR="002D3DFC" w14:paraId="434FF6DA" w14:textId="40802CB4">
      <w:pPr>
        <w:pStyle w:val="FootnoteText"/>
      </w:pPr>
      <w:r>
        <w:rPr>
          <w:rStyle w:val="FootnoteReference"/>
        </w:rPr>
        <w:footnoteRef/>
      </w:r>
      <w:r>
        <w:t xml:space="preserve"> </w:t>
      </w:r>
      <w:r w:rsidRPr="00DF649B" w:rsidR="00DF649B">
        <w:rPr>
          <w:i/>
          <w:iCs/>
        </w:rPr>
        <w:t>Id</w:t>
      </w:r>
      <w:r w:rsidR="00DF649B">
        <w:t>.</w:t>
      </w:r>
      <w:r w:rsidR="00DC5B17">
        <w:t xml:space="preserve"> at </w:t>
      </w:r>
      <w:r w:rsidR="00C56A3F">
        <w:t>22</w:t>
      </w:r>
      <w:r w:rsidR="004460ED">
        <w:t>-2</w:t>
      </w:r>
      <w:r w:rsidR="00C56A3F">
        <w:t>5</w:t>
      </w:r>
      <w:r w:rsidR="004460ED">
        <w:t>.</w:t>
      </w:r>
      <w:r w:rsidRPr="002D3DFC" w:rsidR="00DC5B17">
        <w:t xml:space="preserve">  </w:t>
      </w:r>
    </w:p>
  </w:footnote>
  <w:footnote w:id="33">
    <w:p w:rsidR="002D3DFC" w14:paraId="704224B7" w14:textId="5C4DB4C8">
      <w:pPr>
        <w:pStyle w:val="FootnoteText"/>
      </w:pPr>
      <w:r>
        <w:rPr>
          <w:rStyle w:val="FootnoteReference"/>
        </w:rPr>
        <w:footnoteRef/>
      </w:r>
      <w:r>
        <w:t xml:space="preserve"> </w:t>
      </w:r>
      <w:r w:rsidRPr="00DF649B" w:rsidR="00DF649B">
        <w:rPr>
          <w:i/>
          <w:iCs/>
        </w:rPr>
        <w:t>Id</w:t>
      </w:r>
      <w:r w:rsidR="00DF649B">
        <w:t>.</w:t>
      </w:r>
      <w:r w:rsidR="00DC5B17">
        <w:t xml:space="preserve"> at </w:t>
      </w:r>
      <w:r w:rsidR="00CB234D">
        <w:t xml:space="preserve">24, </w:t>
      </w:r>
      <w:r w:rsidR="00780478">
        <w:t>31-3</w:t>
      </w:r>
      <w:r w:rsidR="00517B03">
        <w:t>7</w:t>
      </w:r>
      <w:r w:rsidR="00780478">
        <w:t>.</w:t>
      </w:r>
      <w:r w:rsidRPr="002D3DFC" w:rsidR="00DC5B17">
        <w:t xml:space="preserve">  </w:t>
      </w:r>
    </w:p>
  </w:footnote>
  <w:footnote w:id="34">
    <w:p w:rsidR="00BF6158" w14:paraId="7D47773F" w14:textId="717A8B78">
      <w:pPr>
        <w:pStyle w:val="FootnoteText"/>
      </w:pPr>
      <w:r>
        <w:rPr>
          <w:rStyle w:val="FootnoteReference"/>
        </w:rPr>
        <w:footnoteRef/>
      </w:r>
      <w:r>
        <w:t xml:space="preserve"> </w:t>
      </w:r>
      <w:r w:rsidRPr="00DF649B" w:rsidR="00DF649B">
        <w:rPr>
          <w:i/>
          <w:iCs/>
        </w:rPr>
        <w:t>Id</w:t>
      </w:r>
      <w:r w:rsidR="00DF649B">
        <w:t>.</w:t>
      </w:r>
      <w:r>
        <w:t xml:space="preserve"> at </w:t>
      </w:r>
      <w:r w:rsidR="00AE1D5D">
        <w:t xml:space="preserve">24, </w:t>
      </w:r>
      <w:r>
        <w:t>31-3</w:t>
      </w:r>
      <w:r w:rsidR="00AF0DEF">
        <w:t>7</w:t>
      </w:r>
      <w:r>
        <w:t>.</w:t>
      </w:r>
      <w:r w:rsidRPr="002D3DFC">
        <w:t xml:space="preserve">  </w:t>
      </w:r>
    </w:p>
  </w:footnote>
  <w:footnote w:id="35">
    <w:p w:rsidR="00A17B5E" w:rsidP="00A17B5E" w14:paraId="7BD918A9" w14:textId="29A0E363">
      <w:pPr>
        <w:pStyle w:val="FootnoteText"/>
      </w:pPr>
      <w:r>
        <w:rPr>
          <w:rStyle w:val="FootnoteReference"/>
        </w:rPr>
        <w:footnoteRef/>
      </w:r>
      <w:r>
        <w:t xml:space="preserve"> RPC Response. </w:t>
      </w:r>
      <w:r w:rsidR="00A359A1">
        <w:t xml:space="preserve"> </w:t>
      </w:r>
      <w:r w:rsidR="00445787">
        <w:t>The Bureau issued a public notice establishing the pleading cycle for the Mongoose Appeal on August 10, 2022.</w:t>
      </w:r>
      <w:r w:rsidR="00A359A1">
        <w:t xml:space="preserve">  </w:t>
      </w:r>
      <w:r w:rsidR="00A359A1">
        <w:rPr>
          <w:i/>
          <w:iCs/>
        </w:rPr>
        <w:t>Pleading Cycle Established for C-Band Relocation Payment Clearinghouse Single Party Appeal</w:t>
      </w:r>
      <w:r w:rsidR="00A359A1">
        <w:t>, WT Docket No. 21-333, Public Notice, DA 22-845 (WTB Aug. 10, 2022).</w:t>
      </w:r>
    </w:p>
  </w:footnote>
  <w:footnote w:id="36">
    <w:p w:rsidR="005602A6" w:rsidRPr="00B02662" w:rsidP="005602A6" w14:paraId="549D8BDD" w14:textId="1D4C62A2">
      <w:pPr>
        <w:pStyle w:val="FootnoteText"/>
      </w:pPr>
      <w:r w:rsidRPr="00B02662">
        <w:rPr>
          <w:rStyle w:val="FootnoteReference"/>
        </w:rPr>
        <w:footnoteRef/>
      </w:r>
      <w:r w:rsidRPr="00B02662">
        <w:t xml:space="preserve"> </w:t>
      </w:r>
      <w:r w:rsidRPr="00B02662">
        <w:rPr>
          <w:i/>
          <w:iCs/>
        </w:rPr>
        <w:t xml:space="preserve">See </w:t>
      </w:r>
      <w:r w:rsidRPr="00B02662">
        <w:t xml:space="preserve">RPC Response at </w:t>
      </w:r>
      <w:r w:rsidR="00E1617B">
        <w:t>7</w:t>
      </w:r>
      <w:r w:rsidRPr="00B02662">
        <w:t>-11.</w:t>
      </w:r>
    </w:p>
  </w:footnote>
  <w:footnote w:id="37">
    <w:p w:rsidR="005602A6" w:rsidRPr="00B02662" w:rsidP="005602A6" w14:paraId="3B0B8032" w14:textId="4E97CC76">
      <w:pPr>
        <w:pStyle w:val="FootnoteText"/>
      </w:pPr>
      <w:r w:rsidRPr="00B02662">
        <w:rPr>
          <w:rStyle w:val="FootnoteReference"/>
        </w:rPr>
        <w:footnoteRef/>
      </w:r>
      <w:r w:rsidRPr="00B02662">
        <w:t xml:space="preserve"> </w:t>
      </w:r>
      <w:r w:rsidRPr="00B02662">
        <w:rPr>
          <w:i/>
          <w:iCs/>
        </w:rPr>
        <w:t xml:space="preserve">See </w:t>
      </w:r>
      <w:r w:rsidRPr="00DF649B" w:rsidR="00DF649B">
        <w:rPr>
          <w:i/>
          <w:iCs/>
        </w:rPr>
        <w:t>id</w:t>
      </w:r>
      <w:r w:rsidR="00DF649B">
        <w:t>.</w:t>
      </w:r>
      <w:r w:rsidRPr="00B02662">
        <w:t xml:space="preserve"> at 9-10.</w:t>
      </w:r>
    </w:p>
  </w:footnote>
  <w:footnote w:id="38">
    <w:p w:rsidR="005602A6" w:rsidRPr="00B02662" w:rsidP="005602A6" w14:paraId="4341BFA7" w14:textId="0822A90A">
      <w:pPr>
        <w:pStyle w:val="FootnoteText"/>
      </w:pPr>
      <w:r w:rsidRPr="00B02662">
        <w:rPr>
          <w:rStyle w:val="FootnoteReference"/>
        </w:rPr>
        <w:footnoteRef/>
      </w:r>
      <w:r w:rsidRPr="00B02662">
        <w:t xml:space="preserve"> </w:t>
      </w:r>
      <w:r w:rsidRPr="00B02662">
        <w:rPr>
          <w:i/>
          <w:iCs/>
        </w:rPr>
        <w:t xml:space="preserve">See </w:t>
      </w:r>
      <w:r w:rsidRPr="00DF649B" w:rsidR="00DF649B">
        <w:rPr>
          <w:i/>
          <w:iCs/>
        </w:rPr>
        <w:t>id</w:t>
      </w:r>
      <w:r w:rsidR="00DF649B">
        <w:t>.</w:t>
      </w:r>
      <w:r w:rsidRPr="00B02662">
        <w:t xml:space="preserve"> at 10-11, n.37; </w:t>
      </w:r>
      <w:r w:rsidRPr="00B02662">
        <w:rPr>
          <w:i/>
          <w:iCs/>
        </w:rPr>
        <w:t xml:space="preserve">see also </w:t>
      </w:r>
      <w:r w:rsidR="0089135A">
        <w:rPr>
          <w:i/>
          <w:iCs/>
        </w:rPr>
        <w:t>id.</w:t>
      </w:r>
      <w:r w:rsidRPr="00B02662">
        <w:t xml:space="preserve"> at 6, 8 (</w:t>
      </w:r>
      <w:r w:rsidRPr="00B02662">
        <w:rPr>
          <w:i/>
          <w:iCs/>
        </w:rPr>
        <w:t>citing</w:t>
      </w:r>
      <w:r w:rsidRPr="00B02662">
        <w:t xml:space="preserve"> </w:t>
      </w:r>
      <w:r w:rsidRPr="00D25C80" w:rsidR="00E6334D">
        <w:rPr>
          <w:i/>
          <w:iCs/>
        </w:rPr>
        <w:t>International Bureau Identifies Earth Station Antennas on C-band Incumbent List That May Be Inactive Or Otherwise Not Operational On The 3.7 GHz Band</w:t>
      </w:r>
      <w:r w:rsidRPr="003759B0" w:rsidR="00E6334D">
        <w:t xml:space="preserve">, </w:t>
      </w:r>
      <w:r w:rsidRPr="00D25C80" w:rsidR="00E6334D">
        <w:t xml:space="preserve">IB Docket No. 20-205, </w:t>
      </w:r>
      <w:r w:rsidRPr="003759B0" w:rsidR="00E6334D">
        <w:t>Public Notice</w:t>
      </w:r>
      <w:r w:rsidRPr="001B378B" w:rsidR="00E6334D">
        <w:t xml:space="preserve">, 36 FCC </w:t>
      </w:r>
      <w:r w:rsidRPr="001B378B" w:rsidR="00E6334D">
        <w:t>Rcd</w:t>
      </w:r>
      <w:r w:rsidRPr="001B378B" w:rsidR="00E6334D">
        <w:t xml:space="preserve"> 13925, 13927 (2021)</w:t>
      </w:r>
      <w:r w:rsidR="00E6334D">
        <w:t xml:space="preserve"> (</w:t>
      </w:r>
      <w:r w:rsidRPr="00DE409C" w:rsidR="00E6334D">
        <w:rPr>
          <w:i/>
          <w:iCs/>
        </w:rPr>
        <w:t>IB Inactive Incumbent Earth Station PN</w:t>
      </w:r>
      <w:r w:rsidR="00E6334D">
        <w:t>)</w:t>
      </w:r>
      <w:r w:rsidRPr="00B02662">
        <w:t xml:space="preserve">; </w:t>
      </w:r>
      <w:r w:rsidR="00161A17">
        <w:rPr>
          <w:i/>
          <w:iCs/>
        </w:rPr>
        <w:t>Final Cost Catalog Public Notice</w:t>
      </w:r>
      <w:r w:rsidRPr="00B02662">
        <w:t xml:space="preserve">, 35 FCC </w:t>
      </w:r>
      <w:r w:rsidRPr="00B02662">
        <w:t>Rcd</w:t>
      </w:r>
      <w:r w:rsidRPr="00B02662">
        <w:t xml:space="preserve"> at 7975, para. 14, n.57; </w:t>
      </w:r>
      <w:r w:rsidR="00091DB1">
        <w:rPr>
          <w:i/>
          <w:iCs/>
        </w:rPr>
        <w:t>3.7 GHz Report and Order</w:t>
      </w:r>
      <w:r w:rsidRPr="00B02662">
        <w:t xml:space="preserve">, 35 FCC </w:t>
      </w:r>
      <w:r w:rsidRPr="00B02662">
        <w:t>Rcd</w:t>
      </w:r>
      <w:r w:rsidRPr="00B02662">
        <w:t xml:space="preserve"> at 2423, para. 194).</w:t>
      </w:r>
    </w:p>
  </w:footnote>
  <w:footnote w:id="39">
    <w:p w:rsidR="005602A6" w:rsidRPr="00B02662" w:rsidP="005602A6" w14:paraId="4C623A11" w14:textId="77777777">
      <w:pPr>
        <w:pStyle w:val="FootnoteText"/>
      </w:pPr>
      <w:r w:rsidRPr="00B02662">
        <w:rPr>
          <w:rStyle w:val="FootnoteReference"/>
        </w:rPr>
        <w:footnoteRef/>
      </w:r>
      <w:r w:rsidRPr="00B02662">
        <w:t xml:space="preserve"> </w:t>
      </w:r>
      <w:r w:rsidRPr="00B02662">
        <w:rPr>
          <w:i/>
          <w:iCs/>
        </w:rPr>
        <w:t xml:space="preserve">See </w:t>
      </w:r>
      <w:r w:rsidRPr="00B02662">
        <w:t>RPC Response at 11-13.</w:t>
      </w:r>
    </w:p>
  </w:footnote>
  <w:footnote w:id="40">
    <w:p w:rsidR="005602A6" w:rsidRPr="00B02662" w:rsidP="005602A6" w14:paraId="23CF9949" w14:textId="0F300B3F">
      <w:pPr>
        <w:pStyle w:val="FootnoteText"/>
      </w:pPr>
      <w:r w:rsidRPr="00B02662">
        <w:rPr>
          <w:rStyle w:val="FootnoteReference"/>
        </w:rPr>
        <w:footnoteRef/>
      </w:r>
      <w:r w:rsidRPr="00B02662">
        <w:t xml:space="preserve"> </w:t>
      </w:r>
      <w:r w:rsidRPr="00B02662">
        <w:rPr>
          <w:i/>
          <w:iCs/>
        </w:rPr>
        <w:t xml:space="preserve">See </w:t>
      </w:r>
      <w:r w:rsidRPr="00DF649B" w:rsidR="00DF649B">
        <w:rPr>
          <w:i/>
          <w:iCs/>
        </w:rPr>
        <w:t>id</w:t>
      </w:r>
      <w:r w:rsidR="00DF649B">
        <w:t>.</w:t>
      </w:r>
      <w:r w:rsidRPr="00B02662">
        <w:t xml:space="preserve"> at 13, n.50 (“As the RPC Decisional Memorandum noted, the FCC expressly cautioned incumbent earth station operators making a lump sum election that they assumed the risk that the lump sum payment might not cover all of their relocation costs.”).</w:t>
      </w:r>
    </w:p>
  </w:footnote>
  <w:footnote w:id="41">
    <w:p w:rsidR="009B4F04" w14:paraId="279C1FA0" w14:textId="6D05BD91">
      <w:pPr>
        <w:pStyle w:val="FootnoteText"/>
      </w:pPr>
      <w:r>
        <w:rPr>
          <w:rStyle w:val="FootnoteReference"/>
        </w:rPr>
        <w:footnoteRef/>
      </w:r>
      <w:r>
        <w:t xml:space="preserve"> </w:t>
      </w:r>
      <w:r w:rsidR="00FC703F">
        <w:t>Mongoose Reply to Relocation Payment Clearinghouse, WT Docket No. 21-333, File No. 1 (Aug. 29, 2022) (Mongoose Reply)</w:t>
      </w:r>
      <w:r>
        <w:t xml:space="preserve">. </w:t>
      </w:r>
    </w:p>
  </w:footnote>
  <w:footnote w:id="42">
    <w:p w:rsidR="001D6C2D" w14:paraId="5C9AB21C" w14:textId="10465EC9">
      <w:pPr>
        <w:pStyle w:val="FootnoteText"/>
      </w:pPr>
      <w:r>
        <w:rPr>
          <w:rStyle w:val="FootnoteReference"/>
        </w:rPr>
        <w:footnoteRef/>
      </w:r>
      <w:r>
        <w:t xml:space="preserve"> </w:t>
      </w:r>
      <w:r w:rsidR="00381904">
        <w:t>Relocation Payment Clearinghouse LLC Supplement, WT Docket No. 21-333, File No. 1 (Sept. 2, 2022) (RPC Supplement).</w:t>
      </w:r>
    </w:p>
  </w:footnote>
  <w:footnote w:id="43">
    <w:p w:rsidR="00587B22" w:rsidP="00587B22" w14:paraId="50D7F2D7" w14:textId="71114E39">
      <w:pPr>
        <w:pStyle w:val="FootnoteText"/>
      </w:pPr>
      <w:r>
        <w:rPr>
          <w:rStyle w:val="FootnoteReference"/>
        </w:rPr>
        <w:footnoteRef/>
      </w:r>
      <w:r>
        <w:t xml:space="preserve"> </w:t>
      </w:r>
      <w:r w:rsidRPr="002D3DFC" w:rsidR="006623B9">
        <w:t>Mongoose Appeal at</w:t>
      </w:r>
      <w:r w:rsidR="006623B9">
        <w:t xml:space="preserve"> 14, Appx. J.</w:t>
      </w:r>
    </w:p>
  </w:footnote>
  <w:footnote w:id="44">
    <w:p w:rsidR="00587B22" w:rsidP="00587B22" w14:paraId="078C0803" w14:textId="17AFE7CD">
      <w:pPr>
        <w:pStyle w:val="FootnoteText"/>
      </w:pPr>
      <w:r>
        <w:rPr>
          <w:rStyle w:val="FootnoteReference"/>
        </w:rPr>
        <w:footnoteRef/>
      </w:r>
      <w:r>
        <w:t xml:space="preserve"> </w:t>
      </w:r>
      <w:r w:rsidRPr="00587AD3" w:rsidR="00587AD3">
        <w:rPr>
          <w:i/>
          <w:iCs/>
        </w:rPr>
        <w:t xml:space="preserve">RPC </w:t>
      </w:r>
      <w:r w:rsidRPr="00295013">
        <w:rPr>
          <w:i/>
          <w:iCs/>
        </w:rPr>
        <w:t>Appeals Procedures Public Notice</w:t>
      </w:r>
      <w:r>
        <w:t xml:space="preserve"> at 3.  </w:t>
      </w:r>
    </w:p>
  </w:footnote>
  <w:footnote w:id="45">
    <w:p w:rsidR="003D0362" w14:paraId="740E2B94" w14:textId="641297BC">
      <w:pPr>
        <w:pStyle w:val="FootnoteText"/>
      </w:pPr>
      <w:r>
        <w:rPr>
          <w:rStyle w:val="FootnoteReference"/>
        </w:rPr>
        <w:footnoteRef/>
      </w:r>
      <w:r w:rsidR="00DA58AA">
        <w:t xml:space="preserve"> </w:t>
      </w:r>
      <w:r>
        <w:t>Mongoose specified that</w:t>
      </w:r>
      <w:r w:rsidR="00A40BF0">
        <w:t xml:space="preserve"> as of October 15, 2021</w:t>
      </w:r>
      <w:r w:rsidR="008F197A">
        <w:t>,</w:t>
      </w:r>
      <w:r>
        <w:t xml:space="preserve"> these antennas “simultaneously </w:t>
      </w:r>
      <w:r>
        <w:t>receiv</w:t>
      </w:r>
      <w:r>
        <w:t xml:space="preserve">[e] signals from nine orbital slots, one in the C-band and eight in the Ku-band.”  Mongoose Appeal at 12.  </w:t>
      </w:r>
      <w:r w:rsidR="005E0234">
        <w:t>The RPC</w:t>
      </w:r>
      <w:r>
        <w:t xml:space="preserve"> Decisional Memorandum stated that the two antennas at issue each only had “one C-band feed receiving two polarizations from one C-band orbital slot and multiple Ku-band feeds.”  RPC Decisional Memorandum at 1</w:t>
      </w:r>
      <w:r w:rsidR="004E388A">
        <w:t xml:space="preserve"> (noting that the RPC requested photographs of the antennas on October 6, 2021 </w:t>
      </w:r>
      <w:r w:rsidR="007730B2">
        <w:t xml:space="preserve">and </w:t>
      </w:r>
      <w:r w:rsidR="004E388A">
        <w:t>that</w:t>
      </w:r>
      <w:r w:rsidR="00795C9A">
        <w:t>,</w:t>
      </w:r>
      <w:r w:rsidR="004E388A">
        <w:t xml:space="preserve"> </w:t>
      </w:r>
      <w:r w:rsidR="00B673E2">
        <w:t>as depicted in those photographs</w:t>
      </w:r>
      <w:r w:rsidR="00795C9A">
        <w:t>,</w:t>
      </w:r>
      <w:r w:rsidR="00B673E2">
        <w:t xml:space="preserve"> the antennas had only one C-band feed each)</w:t>
      </w:r>
      <w:r w:rsidR="004D0C2D">
        <w:t xml:space="preserve">; </w:t>
      </w:r>
      <w:r w:rsidR="004D0C2D">
        <w:rPr>
          <w:i/>
          <w:iCs/>
        </w:rPr>
        <w:t xml:space="preserve">see also </w:t>
      </w:r>
      <w:r w:rsidR="004D0C2D">
        <w:t>RPC Response at 7</w:t>
      </w:r>
      <w:r w:rsidR="00F96A27">
        <w:t>-8</w:t>
      </w:r>
      <w:r w:rsidR="004D0C2D">
        <w:t xml:space="preserve"> (stating that Mongoose acknowledge</w:t>
      </w:r>
      <w:r w:rsidR="00CD154F">
        <w:t>d</w:t>
      </w:r>
      <w:r w:rsidR="004D0C2D">
        <w:t xml:space="preserve"> that “at the time of the lump sum filing the feed configurations of [the antennas] were that each was receiving one C-band orbital location and 8 Ku-band orbital locations”).</w:t>
      </w:r>
    </w:p>
  </w:footnote>
  <w:footnote w:id="46">
    <w:p w:rsidR="003D0362" w14:paraId="72F73CF3" w14:textId="5F3CC037">
      <w:pPr>
        <w:pStyle w:val="FootnoteText"/>
      </w:pPr>
      <w:r>
        <w:rPr>
          <w:rStyle w:val="FootnoteReference"/>
        </w:rPr>
        <w:footnoteRef/>
      </w:r>
      <w:r>
        <w:t xml:space="preserve"> Mongoose Lump Sum Election at 3; </w:t>
      </w:r>
      <w:r>
        <w:rPr>
          <w:i/>
          <w:iCs/>
        </w:rPr>
        <w:t xml:space="preserve">see also </w:t>
      </w:r>
      <w:r>
        <w:t xml:space="preserve">Mongoose Appeal at 10-12.  </w:t>
      </w:r>
    </w:p>
  </w:footnote>
  <w:footnote w:id="47">
    <w:p w:rsidR="003D0362" w:rsidRPr="00114BE2" w:rsidP="003D0362" w14:paraId="269FD022" w14:textId="6869E17A">
      <w:pPr>
        <w:pStyle w:val="FootnoteText"/>
      </w:pPr>
      <w:r>
        <w:rPr>
          <w:rStyle w:val="FootnoteReference"/>
        </w:rPr>
        <w:footnoteRef/>
      </w:r>
      <w:r>
        <w:t xml:space="preserve"> </w:t>
      </w:r>
      <w:r>
        <w:rPr>
          <w:i/>
          <w:iCs/>
        </w:rPr>
        <w:t xml:space="preserve">See </w:t>
      </w:r>
      <w:r>
        <w:t xml:space="preserve">RPC Decisional Memorandum at 1, 3-4; </w:t>
      </w:r>
      <w:r>
        <w:rPr>
          <w:i/>
          <w:iCs/>
        </w:rPr>
        <w:t xml:space="preserve">see also </w:t>
      </w:r>
      <w:r>
        <w:t>RPC Response at 7-11.</w:t>
      </w:r>
    </w:p>
  </w:footnote>
  <w:footnote w:id="48">
    <w:p w:rsidR="0046789D" w:rsidP="0046789D" w14:paraId="0CFEB55A" w14:textId="3853ECC0">
      <w:pPr>
        <w:pStyle w:val="FootnoteText"/>
      </w:pPr>
      <w:r>
        <w:rPr>
          <w:rStyle w:val="FootnoteReference"/>
        </w:rPr>
        <w:footnoteRef/>
      </w:r>
      <w:r>
        <w:t xml:space="preserve"> RPC Decisional Memorandum at 4 (</w:t>
      </w:r>
      <w:r>
        <w:rPr>
          <w:i/>
          <w:iCs/>
        </w:rPr>
        <w:t>citing 3.7 GHz Report and Order</w:t>
      </w:r>
      <w:r>
        <w:t xml:space="preserve">, 35 FCC </w:t>
      </w:r>
      <w:r>
        <w:t>Rcd</w:t>
      </w:r>
      <w:r>
        <w:t xml:space="preserve"> at </w:t>
      </w:r>
      <w:r w:rsidRPr="0083045D">
        <w:t>2428</w:t>
      </w:r>
      <w:r>
        <w:t xml:space="preserve">; </w:t>
      </w:r>
      <w:r>
        <w:rPr>
          <w:i/>
          <w:iCs/>
        </w:rPr>
        <w:t>Final Cost Catalog Public Notice</w:t>
      </w:r>
      <w:r>
        <w:t xml:space="preserve">, 35 FCC </w:t>
      </w:r>
      <w:r>
        <w:t>Rcd</w:t>
      </w:r>
      <w:r>
        <w:t xml:space="preserve"> at 7976, para. 16).</w:t>
      </w:r>
    </w:p>
  </w:footnote>
  <w:footnote w:id="49">
    <w:p w:rsidR="003342D9" w:rsidRPr="001205C7" w:rsidP="003342D9" w14:paraId="5ABC0A04" w14:textId="460289ED">
      <w:pPr>
        <w:pStyle w:val="FootnoteText"/>
      </w:pPr>
      <w:r>
        <w:rPr>
          <w:rStyle w:val="FootnoteReference"/>
        </w:rPr>
        <w:footnoteRef/>
      </w:r>
      <w:r>
        <w:t xml:space="preserve"> </w:t>
      </w:r>
      <w:r w:rsidRPr="00D0260F" w:rsidR="007E6A5D">
        <w:rPr>
          <w:i/>
          <w:iCs/>
        </w:rPr>
        <w:t>See</w:t>
      </w:r>
      <w:r w:rsidR="007E6A5D">
        <w:t xml:space="preserve"> RPC Response at </w:t>
      </w:r>
      <w:r w:rsidR="001C5736">
        <w:t>5, 8</w:t>
      </w:r>
      <w:r w:rsidR="007E6A5D">
        <w:t>-1</w:t>
      </w:r>
      <w:r w:rsidR="008407C5">
        <w:t>1</w:t>
      </w:r>
      <w:r w:rsidR="001205C7">
        <w:t>;</w:t>
      </w:r>
      <w:r w:rsidR="007E6A5D">
        <w:t xml:space="preserve"> </w:t>
      </w:r>
      <w:r w:rsidR="00533BDA">
        <w:rPr>
          <w:i/>
          <w:iCs/>
        </w:rPr>
        <w:t xml:space="preserve">see also </w:t>
      </w:r>
      <w:r w:rsidR="00304CDD">
        <w:rPr>
          <w:i/>
          <w:iCs/>
        </w:rPr>
        <w:t>3.7 GHz Report and Order</w:t>
      </w:r>
      <w:r w:rsidR="00304CDD">
        <w:t xml:space="preserve">, 35 </w:t>
      </w:r>
      <w:r w:rsidRPr="0040583A" w:rsidR="00304CDD">
        <w:t xml:space="preserve">FCC </w:t>
      </w:r>
      <w:r w:rsidRPr="0040583A" w:rsidR="00304CDD">
        <w:t>Rcd</w:t>
      </w:r>
      <w:r w:rsidRPr="0040583A" w:rsidR="00304CDD">
        <w:t xml:space="preserve"> at 2423</w:t>
      </w:r>
      <w:r w:rsidR="00304CDD">
        <w:t>, 24</w:t>
      </w:r>
      <w:r w:rsidR="001C5736">
        <w:t>27, 24</w:t>
      </w:r>
      <w:r w:rsidR="00304CDD">
        <w:t>28</w:t>
      </w:r>
      <w:r w:rsidRPr="0040583A" w:rsidR="00304CDD">
        <w:t>, para</w:t>
      </w:r>
      <w:r w:rsidR="00A008AB">
        <w:t>s</w:t>
      </w:r>
      <w:r w:rsidRPr="0040583A" w:rsidR="00304CDD">
        <w:t>. 194</w:t>
      </w:r>
      <w:r w:rsidR="00304CDD">
        <w:t>, 204</w:t>
      </w:r>
      <w:r w:rsidR="009C1CEA">
        <w:t>, n.547</w:t>
      </w:r>
      <w:r w:rsidR="001C5736">
        <w:t xml:space="preserve"> </w:t>
      </w:r>
      <w:r w:rsidRPr="001B378B" w:rsidR="00ED3034">
        <w:t>(“In contrast, we do not</w:t>
      </w:r>
      <w:r w:rsidR="001B378B">
        <w:t xml:space="preserve"> </w:t>
      </w:r>
      <w:r w:rsidRPr="001B378B" w:rsidR="00ED3034">
        <w:t>anticipate allowing reimbursement for equipment upgrades beyond what is necessary to clear the</w:t>
      </w:r>
      <w:r w:rsidR="001B378B">
        <w:t xml:space="preserve"> </w:t>
      </w:r>
      <w:r w:rsidRPr="001B378B" w:rsidR="00ED3034">
        <w:t xml:space="preserve">band. </w:t>
      </w:r>
      <w:r w:rsidR="00533BDA">
        <w:t xml:space="preserve"> </w:t>
      </w:r>
      <w:r w:rsidRPr="001B378B" w:rsidR="00ED3034">
        <w:t>For example, if an incumbent builds additional functionalities into replacement equipment</w:t>
      </w:r>
      <w:r w:rsidR="00ED3034">
        <w:t xml:space="preserve"> </w:t>
      </w:r>
      <w:r w:rsidRPr="001B378B" w:rsidR="00ED3034">
        <w:t>that are not needed to facilitate the swift transition of the band, it must reasonably allocate the</w:t>
      </w:r>
      <w:r w:rsidR="00ED3034">
        <w:t xml:space="preserve"> </w:t>
      </w:r>
      <w:r w:rsidRPr="001B378B" w:rsidR="00ED3034">
        <w:t>incremental costs of such additional functionalities to itself and only seek reimbursement for the</w:t>
      </w:r>
      <w:r w:rsidR="00ED3034">
        <w:t xml:space="preserve"> </w:t>
      </w:r>
      <w:r w:rsidRPr="001B378B" w:rsidR="00ED3034">
        <w:t>costs reasonably allocated to the needed relocation”</w:t>
      </w:r>
      <w:r w:rsidR="004355BC">
        <w:t xml:space="preserve"> </w:t>
      </w:r>
      <w:r w:rsidR="001B378B">
        <w:t>a</w:t>
      </w:r>
      <w:r w:rsidR="004355BC">
        <w:t xml:space="preserve">nd </w:t>
      </w:r>
      <w:r w:rsidRPr="00095EB5" w:rsidR="001C5736">
        <w:t>“</w:t>
      </w:r>
      <w:r w:rsidR="00533BDA">
        <w:t>[w]</w:t>
      </w:r>
      <w:r w:rsidRPr="00095EB5" w:rsidR="001C5736">
        <w:t>e stress that lump sum payments will only be calculated for the costs of</w:t>
      </w:r>
      <w:r w:rsidR="001C5736">
        <w:t xml:space="preserve"> </w:t>
      </w:r>
      <w:r w:rsidRPr="00095EB5" w:rsidR="001C5736">
        <w:t>transitioning to the upper 200 megahertz.”)</w:t>
      </w:r>
      <w:r w:rsidR="00533BDA">
        <w:t>;</w:t>
      </w:r>
      <w:r w:rsidRPr="00304CDD" w:rsidR="00304CDD">
        <w:rPr>
          <w:i/>
          <w:iCs/>
        </w:rPr>
        <w:t xml:space="preserve"> </w:t>
      </w:r>
      <w:r w:rsidR="004355BC">
        <w:rPr>
          <w:i/>
          <w:iCs/>
        </w:rPr>
        <w:t>Final Cost Catalog Public Notice</w:t>
      </w:r>
      <w:r w:rsidR="004355BC">
        <w:t xml:space="preserve">, 35 FCC </w:t>
      </w:r>
      <w:r w:rsidR="004355BC">
        <w:t>Rcd</w:t>
      </w:r>
      <w:r w:rsidR="004355BC">
        <w:t xml:space="preserve"> </w:t>
      </w:r>
      <w:r w:rsidRPr="00566921" w:rsidR="004355BC">
        <w:t>at 7975</w:t>
      </w:r>
      <w:r w:rsidR="004355BC">
        <w:t>-76</w:t>
      </w:r>
      <w:r w:rsidRPr="00566921" w:rsidR="004355BC">
        <w:t>, para</w:t>
      </w:r>
      <w:r w:rsidR="00A008AB">
        <w:t>s</w:t>
      </w:r>
      <w:r w:rsidRPr="00566921" w:rsidR="004355BC">
        <w:t>. 14</w:t>
      </w:r>
      <w:r w:rsidR="00D114F3">
        <w:t xml:space="preserve">, n.57, </w:t>
      </w:r>
      <w:r w:rsidR="004355BC">
        <w:t xml:space="preserve">16 </w:t>
      </w:r>
      <w:r w:rsidRPr="00095EB5" w:rsidR="004355BC">
        <w:t>(</w:t>
      </w:r>
      <w:r w:rsidRPr="00B94231" w:rsidR="00D114F3">
        <w:t>“</w:t>
      </w:r>
      <w:r w:rsidR="00D114F3">
        <w:t>[W]e would expect that</w:t>
      </w:r>
      <w:r w:rsidR="00D25C80">
        <w:t xml:space="preserve"> . . .</w:t>
      </w:r>
      <w:r w:rsidR="00C95191">
        <w:t xml:space="preserve"> </w:t>
      </w:r>
      <w:r w:rsidR="00D114F3">
        <w:t>s</w:t>
      </w:r>
      <w:r w:rsidRPr="002837CD" w:rsidR="00D114F3">
        <w:t>atellite operators [with non-C-band transponders] would</w:t>
      </w:r>
      <w:r w:rsidR="00D114F3">
        <w:t xml:space="preserve"> </w:t>
      </w:r>
      <w:r w:rsidRPr="002837CD" w:rsidR="00D114F3">
        <w:t>‘reasonably allocate the incremental costs of’ any functionalities ‘that are not needed to facilitate</w:t>
      </w:r>
      <w:r w:rsidR="00D114F3">
        <w:t xml:space="preserve"> </w:t>
      </w:r>
      <w:r w:rsidRPr="002837CD" w:rsidR="00D114F3">
        <w:t>the swift transition of the band’ to themselves and ‘only seek reimbursement for the costs</w:t>
      </w:r>
      <w:r w:rsidR="00D114F3">
        <w:t xml:space="preserve"> </w:t>
      </w:r>
      <w:r w:rsidRPr="002837CD" w:rsidR="00D114F3">
        <w:t>reasonably allocated to the needed relocation’”</w:t>
      </w:r>
      <w:r w:rsidR="00D114F3">
        <w:t xml:space="preserve"> and </w:t>
      </w:r>
      <w:r w:rsidRPr="00095EB5" w:rsidR="004355BC">
        <w:t>“</w:t>
      </w:r>
      <w:r w:rsidR="00533BDA">
        <w:t>[c]</w:t>
      </w:r>
      <w:r w:rsidRPr="00095EB5" w:rsidR="004355BC">
        <w:t>onsistent</w:t>
      </w:r>
      <w:r w:rsidRPr="00095EB5" w:rsidR="004355BC">
        <w:t xml:space="preserve"> with the </w:t>
      </w:r>
      <w:r w:rsidRPr="00D0260F" w:rsidR="004355BC">
        <w:rPr>
          <w:i/>
          <w:iCs/>
        </w:rPr>
        <w:t>3.7 GHz Report and Order</w:t>
      </w:r>
      <w:r w:rsidRPr="00095EB5" w:rsidR="004355BC">
        <w:t>, the lump sum payment amounts are based on the average, estimated costs of</w:t>
      </w:r>
      <w:r w:rsidR="004355BC">
        <w:t xml:space="preserve"> </w:t>
      </w:r>
      <w:r w:rsidRPr="00095EB5" w:rsidR="004355BC">
        <w:t>transitioning incumbent earth stations to the upper 200 megahertz of the C-band”</w:t>
      </w:r>
      <w:r w:rsidRPr="00B94231" w:rsidR="004355BC">
        <w:t>).</w:t>
      </w:r>
      <w:r w:rsidRPr="00B94231" w:rsidR="001B378B">
        <w:t xml:space="preserve">  </w:t>
      </w:r>
      <w:r w:rsidR="001205C7">
        <w:t>T</w:t>
      </w:r>
      <w:r w:rsidRPr="001B378B" w:rsidR="001205C7">
        <w:t>he RPC</w:t>
      </w:r>
      <w:r w:rsidR="00ED3034">
        <w:t xml:space="preserve"> </w:t>
      </w:r>
      <w:r w:rsidR="001205C7">
        <w:t xml:space="preserve">also </w:t>
      </w:r>
      <w:r w:rsidRPr="001B378B" w:rsidR="001205C7">
        <w:t xml:space="preserve">noted the </w:t>
      </w:r>
      <w:r w:rsidR="00FC3873">
        <w:t xml:space="preserve">then </w:t>
      </w:r>
      <w:r w:rsidRPr="001B378B" w:rsidR="001205C7">
        <w:t>International Bureau’s statement that “antennas that operate in other bands but do not</w:t>
      </w:r>
      <w:r w:rsidR="00ED3034">
        <w:t xml:space="preserve"> </w:t>
      </w:r>
      <w:r w:rsidRPr="001B378B" w:rsidR="001205C7">
        <w:t>receive in the 3.7 GHz band would not qualify for incumbent status under the C-band transition</w:t>
      </w:r>
      <w:r w:rsidR="001B378B">
        <w:t xml:space="preserve"> </w:t>
      </w:r>
      <w:r w:rsidRPr="001B378B" w:rsidR="001205C7">
        <w:t>rules.”</w:t>
      </w:r>
      <w:r w:rsidR="001205C7">
        <w:t xml:space="preserve">  </w:t>
      </w:r>
      <w:r w:rsidRPr="00DE409C" w:rsidR="00B424A3">
        <w:rPr>
          <w:i/>
          <w:iCs/>
        </w:rPr>
        <w:t>IB Inactive Incumbent Earth Station PN</w:t>
      </w:r>
      <w:r w:rsidRPr="001B378B" w:rsidR="001205C7">
        <w:t xml:space="preserve">, 36 FCC </w:t>
      </w:r>
      <w:r w:rsidRPr="001B378B" w:rsidR="001205C7">
        <w:t>Rcd</w:t>
      </w:r>
      <w:r w:rsidRPr="001B378B" w:rsidR="001205C7">
        <w:t xml:space="preserve"> </w:t>
      </w:r>
      <w:r w:rsidR="00633523">
        <w:t>at</w:t>
      </w:r>
      <w:r w:rsidRPr="001B378B" w:rsidR="001205C7">
        <w:t xml:space="preserve"> 13927</w:t>
      </w:r>
      <w:r w:rsidR="00C4562D">
        <w:t>; RPC Response at 6</w:t>
      </w:r>
      <w:r w:rsidR="00B94231">
        <w:t xml:space="preserve">  </w:t>
      </w:r>
    </w:p>
  </w:footnote>
  <w:footnote w:id="50">
    <w:p w:rsidR="003342D9" w:rsidP="003342D9" w14:paraId="5C6E6097" w14:textId="5EFB0210">
      <w:pPr>
        <w:pStyle w:val="FootnoteText"/>
      </w:pPr>
      <w:r>
        <w:rPr>
          <w:rStyle w:val="FootnoteReference"/>
        </w:rPr>
        <w:footnoteRef/>
      </w:r>
      <w:r>
        <w:t xml:space="preserve"> </w:t>
      </w:r>
      <w:r>
        <w:rPr>
          <w:i/>
          <w:iCs/>
        </w:rPr>
        <w:t xml:space="preserve">See </w:t>
      </w:r>
      <w:r>
        <w:t>Mongoose Appeal at 1</w:t>
      </w:r>
      <w:r w:rsidR="007E0283">
        <w:t>6</w:t>
      </w:r>
      <w:r>
        <w:t>-</w:t>
      </w:r>
      <w:r w:rsidR="007E0283">
        <w:t>21</w:t>
      </w:r>
      <w:r>
        <w:t xml:space="preserve">.  </w:t>
      </w:r>
    </w:p>
  </w:footnote>
  <w:footnote w:id="51">
    <w:p w:rsidR="00181BDD" w14:paraId="4AA47027" w14:textId="7B9365D5">
      <w:pPr>
        <w:pStyle w:val="FootnoteText"/>
      </w:pPr>
      <w:r>
        <w:rPr>
          <w:rStyle w:val="FootnoteReference"/>
        </w:rPr>
        <w:footnoteRef/>
      </w:r>
      <w:r>
        <w:t xml:space="preserve"> </w:t>
      </w:r>
      <w:r w:rsidR="003A3AD3">
        <w:rPr>
          <w:i/>
          <w:iCs/>
        </w:rPr>
        <w:t>3.7 GHz Report and Order</w:t>
      </w:r>
      <w:r w:rsidR="003A3AD3">
        <w:t xml:space="preserve">, 35 </w:t>
      </w:r>
      <w:r w:rsidRPr="0040583A" w:rsidR="003A3AD3">
        <w:t xml:space="preserve">FCC </w:t>
      </w:r>
      <w:r w:rsidRPr="0040583A" w:rsidR="003A3AD3">
        <w:t>Rcd</w:t>
      </w:r>
      <w:r w:rsidRPr="0040583A" w:rsidR="003A3AD3">
        <w:t xml:space="preserve"> at </w:t>
      </w:r>
      <w:r w:rsidR="003A3AD3">
        <w:t>2428</w:t>
      </w:r>
      <w:r w:rsidRPr="0040583A" w:rsidR="003A3AD3">
        <w:t xml:space="preserve">, para. </w:t>
      </w:r>
      <w:r w:rsidR="003A3AD3">
        <w:t xml:space="preserve">204 (“We reiterate that compensable relocation costs are only those that are reasonable and needed to transition </w:t>
      </w:r>
      <w:r w:rsidRPr="003C2727" w:rsidR="003A3AD3">
        <w:rPr>
          <w:i/>
          <w:iCs/>
        </w:rPr>
        <w:t>existing</w:t>
      </w:r>
      <w:r w:rsidR="003A3AD3">
        <w:t xml:space="preserve"> operations in the contiguous United States out of the lower 300 megahertz of the C-band.”).</w:t>
      </w:r>
    </w:p>
  </w:footnote>
  <w:footnote w:id="52">
    <w:p w:rsidR="003342D9" w:rsidP="003342D9" w14:paraId="117C5DB2" w14:textId="2D19E1D9">
      <w:pPr>
        <w:pStyle w:val="FootnoteText"/>
      </w:pPr>
      <w:r>
        <w:rPr>
          <w:rStyle w:val="FootnoteReference"/>
        </w:rPr>
        <w:footnoteRef/>
      </w:r>
      <w:r>
        <w:t xml:space="preserve"> </w:t>
      </w:r>
      <w:r>
        <w:rPr>
          <w:i/>
          <w:iCs/>
        </w:rPr>
        <w:t xml:space="preserve">See </w:t>
      </w:r>
      <w:r>
        <w:t>RPC Response at 9-10</w:t>
      </w:r>
      <w:r w:rsidR="003A3AD3">
        <w:t>;</w:t>
      </w:r>
      <w:r>
        <w:t xml:space="preserve"> </w:t>
      </w:r>
      <w:r w:rsidR="003A3AD3">
        <w:rPr>
          <w:i/>
          <w:iCs/>
        </w:rPr>
        <w:t>3.7 GHz Report and Order</w:t>
      </w:r>
      <w:r w:rsidR="003A3AD3">
        <w:t xml:space="preserve">, 35 </w:t>
      </w:r>
      <w:r w:rsidRPr="0040583A" w:rsidR="003A3AD3">
        <w:t xml:space="preserve">FCC </w:t>
      </w:r>
      <w:r w:rsidRPr="0040583A" w:rsidR="003A3AD3">
        <w:t>Rcd</w:t>
      </w:r>
      <w:r w:rsidRPr="0040583A" w:rsidR="003A3AD3">
        <w:t xml:space="preserve"> at </w:t>
      </w:r>
      <w:r w:rsidR="003A3AD3">
        <w:t>2423</w:t>
      </w:r>
      <w:r w:rsidRPr="0040583A" w:rsidR="003A3AD3">
        <w:t xml:space="preserve">, para. </w:t>
      </w:r>
      <w:r w:rsidR="003A3AD3">
        <w:t>195 (“Let us be clear: Incumbents will not receive more reimbursement than necessary, and we require that, to qualify for reimbursement, all relocation costs must be reasonable.”).</w:t>
      </w:r>
    </w:p>
  </w:footnote>
  <w:footnote w:id="53">
    <w:p w:rsidR="003342D9" w:rsidP="003342D9" w14:paraId="6B232B29" w14:textId="1844430E">
      <w:pPr>
        <w:pStyle w:val="FootnoteText"/>
      </w:pPr>
      <w:r>
        <w:rPr>
          <w:rStyle w:val="FootnoteReference"/>
        </w:rPr>
        <w:footnoteRef/>
      </w:r>
      <w:r>
        <w:t xml:space="preserve"> </w:t>
      </w:r>
      <w:r>
        <w:rPr>
          <w:i/>
          <w:iCs/>
        </w:rPr>
        <w:t xml:space="preserve">See </w:t>
      </w:r>
      <w:r>
        <w:t xml:space="preserve">Mongoose Appeal at </w:t>
      </w:r>
      <w:r w:rsidR="00532F4F">
        <w:t>22</w:t>
      </w:r>
      <w:r>
        <w:t>-2</w:t>
      </w:r>
      <w:r w:rsidR="00532F4F">
        <w:t>5</w:t>
      </w:r>
      <w:r>
        <w:t xml:space="preserve">.  </w:t>
      </w:r>
    </w:p>
  </w:footnote>
  <w:footnote w:id="54">
    <w:p w:rsidR="003342D9" w:rsidP="003342D9" w14:paraId="3F3BB842" w14:textId="7E9E65B5">
      <w:pPr>
        <w:pStyle w:val="FootnoteText"/>
      </w:pPr>
      <w:r>
        <w:rPr>
          <w:rStyle w:val="FootnoteReference"/>
        </w:rPr>
        <w:footnoteRef/>
      </w:r>
      <w:r>
        <w:t xml:space="preserve"> </w:t>
      </w:r>
      <w:r>
        <w:rPr>
          <w:i/>
          <w:iCs/>
        </w:rPr>
        <w:t>See 3.7 GHz Report and Order</w:t>
      </w:r>
      <w:r>
        <w:t xml:space="preserve">, 35 FCC </w:t>
      </w:r>
      <w:r>
        <w:t>Rcd</w:t>
      </w:r>
      <w:r>
        <w:t xml:space="preserve"> at </w:t>
      </w:r>
      <w:r w:rsidRPr="0083045D">
        <w:t>2</w:t>
      </w:r>
      <w:r>
        <w:t>422-23, 2426, 2</w:t>
      </w:r>
      <w:r w:rsidRPr="0083045D">
        <w:t>428</w:t>
      </w:r>
      <w:r>
        <w:t xml:space="preserve">, paras. 193-4, 200, 204; </w:t>
      </w:r>
      <w:r>
        <w:rPr>
          <w:i/>
          <w:iCs/>
        </w:rPr>
        <w:t>Final Cost Catalog Public Notice</w:t>
      </w:r>
      <w:r>
        <w:t xml:space="preserve">, 35 FCC </w:t>
      </w:r>
      <w:r>
        <w:t>Rcd</w:t>
      </w:r>
      <w:r>
        <w:t xml:space="preserve"> at 7975-7976, paras. 14</w:t>
      </w:r>
      <w:r w:rsidR="00344095">
        <w:t>,</w:t>
      </w:r>
      <w:r>
        <w:t xml:space="preserve"> n.57, 16; </w:t>
      </w:r>
      <w:r>
        <w:rPr>
          <w:i/>
          <w:iCs/>
        </w:rPr>
        <w:t xml:space="preserve">see generally </w:t>
      </w:r>
      <w:r w:rsidRPr="00DE409C" w:rsidR="00DE409C">
        <w:rPr>
          <w:i/>
          <w:iCs/>
        </w:rPr>
        <w:t>IB Inactive Incumbent Earth Station PN</w:t>
      </w:r>
      <w:r>
        <w:t xml:space="preserve">, 36 FCC </w:t>
      </w:r>
      <w:r>
        <w:t>Rcd</w:t>
      </w:r>
      <w:r>
        <w:t xml:space="preserve"> </w:t>
      </w:r>
      <w:r w:rsidR="00DE409C">
        <w:t>at</w:t>
      </w:r>
      <w:r>
        <w:t xml:space="preserve"> 13927.  </w:t>
      </w:r>
    </w:p>
  </w:footnote>
  <w:footnote w:id="55">
    <w:p w:rsidR="005341E7" w14:paraId="40CCA2BA" w14:textId="0DCD1E3F">
      <w:pPr>
        <w:pStyle w:val="FootnoteText"/>
      </w:pPr>
      <w:r>
        <w:rPr>
          <w:rStyle w:val="FootnoteReference"/>
        </w:rPr>
        <w:footnoteRef/>
      </w:r>
      <w:r>
        <w:t xml:space="preserve"> Contrary to Mongoose’s assertion, it is not incumbent on the RPC to </w:t>
      </w:r>
      <w:r w:rsidRPr="00D0260F">
        <w:t xml:space="preserve">show that its </w:t>
      </w:r>
      <w:r>
        <w:t>rationale</w:t>
      </w:r>
      <w:r w:rsidRPr="00D0260F">
        <w:t xml:space="preserve"> is the only valid </w:t>
      </w:r>
      <w:r>
        <w:t xml:space="preserve">one, as that would effectively reverse the burden of proof standard established in the </w:t>
      </w:r>
      <w:r w:rsidRPr="00587AD3">
        <w:rPr>
          <w:i/>
          <w:iCs/>
        </w:rPr>
        <w:t xml:space="preserve">RPC </w:t>
      </w:r>
      <w:r w:rsidRPr="00295013">
        <w:rPr>
          <w:i/>
          <w:iCs/>
        </w:rPr>
        <w:t>Appeals Procedures Public Notice</w:t>
      </w:r>
      <w:r>
        <w:t xml:space="preserve">.  Mongoose Reply at </w:t>
      </w:r>
      <w:r w:rsidR="00FA5123">
        <w:t>5</w:t>
      </w:r>
      <w:r>
        <w:t>-</w:t>
      </w:r>
      <w:r w:rsidR="00997788">
        <w:t>8</w:t>
      </w:r>
      <w:r>
        <w:t>.  In any event, Mongoose’s two proposed rationales directly conflict with the Commission’s stated goals for the C-band transition</w:t>
      </w:r>
      <w:r w:rsidR="00533BDA">
        <w:t xml:space="preserve"> reimbursement process</w:t>
      </w:r>
      <w:r>
        <w:t xml:space="preserve">, and thus are not valid alternatives to the RPC’s rationale as Mongoose suggests.  </w:t>
      </w:r>
      <w:r w:rsidRPr="00D0260F">
        <w:rPr>
          <w:i/>
          <w:iCs/>
        </w:rPr>
        <w:t>Id</w:t>
      </w:r>
      <w:r w:rsidR="007D5278">
        <w:t xml:space="preserve"> at 9-12</w:t>
      </w:r>
      <w:r>
        <w:t>.</w:t>
      </w:r>
    </w:p>
  </w:footnote>
  <w:footnote w:id="56">
    <w:p w:rsidR="00762E74" w14:paraId="5DB7872F" w14:textId="2B3AAFAE">
      <w:pPr>
        <w:pStyle w:val="FootnoteText"/>
      </w:pPr>
      <w:r>
        <w:rPr>
          <w:rStyle w:val="FootnoteReference"/>
        </w:rPr>
        <w:footnoteRef/>
      </w:r>
      <w:r>
        <w:t xml:space="preserve"> Mongoose Reply at 9.</w:t>
      </w:r>
    </w:p>
  </w:footnote>
  <w:footnote w:id="57">
    <w:p w:rsidR="00E431A8" w14:paraId="4F90F1F3" w14:textId="6AE2766C">
      <w:pPr>
        <w:pStyle w:val="FootnoteText"/>
      </w:pPr>
      <w:r>
        <w:rPr>
          <w:rStyle w:val="FootnoteReference"/>
        </w:rPr>
        <w:footnoteRef/>
      </w:r>
      <w:r>
        <w:t xml:space="preserve"> </w:t>
      </w:r>
      <w:r w:rsidRPr="00771060" w:rsidR="00771060">
        <w:rPr>
          <w:i/>
          <w:iCs/>
        </w:rPr>
        <w:t>Id</w:t>
      </w:r>
      <w:r w:rsidR="00771060">
        <w:t>.</w:t>
      </w:r>
      <w:r>
        <w:t xml:space="preserve"> at 9 </w:t>
      </w:r>
      <w:r w:rsidRPr="00E431A8">
        <w:t>(“</w:t>
      </w:r>
      <w:r w:rsidRPr="00F609E0">
        <w:t>From early 2017 through mid-summer 2020 each was configured with</w:t>
      </w:r>
      <w:r>
        <w:t xml:space="preserve"> </w:t>
      </w:r>
      <w:r w:rsidRPr="00F609E0">
        <w:t>feeds to simultaneously receive from two C-band and six Ku-band orbital slots.</w:t>
      </w:r>
      <w:r w:rsidR="00D25C80">
        <w:t xml:space="preserve"> </w:t>
      </w:r>
      <w:r w:rsidRPr="00F609E0">
        <w:t xml:space="preserve"> Subsequently each was changed to simultaneously receive from one C-band and eight Ku-band orbital slots.</w:t>
      </w:r>
      <w:r>
        <w:t>”).</w:t>
      </w:r>
    </w:p>
  </w:footnote>
  <w:footnote w:id="58">
    <w:p w:rsidR="002757FF" w14:paraId="1EBB0368" w14:textId="6F15ED51">
      <w:pPr>
        <w:pStyle w:val="FootnoteText"/>
      </w:pPr>
      <w:r>
        <w:rPr>
          <w:rStyle w:val="FootnoteReference"/>
        </w:rPr>
        <w:footnoteRef/>
      </w:r>
      <w:r>
        <w:t xml:space="preserve"> </w:t>
      </w:r>
      <w:r w:rsidR="008B0205">
        <w:t xml:space="preserve">Mongoose Lump Sum Election at 4, Appx. A; </w:t>
      </w:r>
      <w:r w:rsidR="000B635A">
        <w:t>Mongoose Appeal at 12</w:t>
      </w:r>
      <w:r w:rsidR="008B0205">
        <w:t>, 20</w:t>
      </w:r>
      <w:r w:rsidR="000B635A">
        <w:t>; RPC Decisional Memorandum at 1; RPC Response at 7-8.</w:t>
      </w:r>
    </w:p>
  </w:footnote>
  <w:footnote w:id="59">
    <w:p w:rsidR="003040BB" w14:paraId="0F144A06" w14:textId="328170F2">
      <w:pPr>
        <w:pStyle w:val="FootnoteText"/>
      </w:pPr>
      <w:r>
        <w:rPr>
          <w:rStyle w:val="FootnoteReference"/>
        </w:rPr>
        <w:footnoteRef/>
      </w:r>
      <w:r>
        <w:t xml:space="preserve"> In an effort to give incumbent earth station operators flexibility in the transition process, the Commission gave operators a choice—incumbents could either “</w:t>
      </w:r>
      <w:r w:rsidRPr="00EB5F3A">
        <w:t>accept reimbursement for the reasonable relocation costs by maintaining satellite reception or they may accept a lump sum reimbursement for all of their incumbent earth stations based on the average, estimated costs of relocating all of their incumbent earth stations</w:t>
      </w:r>
      <w:r>
        <w:t xml:space="preserve">.”  </w:t>
      </w:r>
      <w:r>
        <w:rPr>
          <w:i/>
          <w:iCs/>
        </w:rPr>
        <w:t>3.7 GHz Report and Order</w:t>
      </w:r>
      <w:r>
        <w:t xml:space="preserve">, 35 FCC </w:t>
      </w:r>
      <w:r>
        <w:t>Rcd</w:t>
      </w:r>
      <w:r>
        <w:t xml:space="preserve"> at </w:t>
      </w:r>
      <w:r w:rsidRPr="0083045D">
        <w:t>242</w:t>
      </w:r>
      <w:r>
        <w:t>7, para. 202.</w:t>
      </w:r>
    </w:p>
  </w:footnote>
  <w:footnote w:id="60">
    <w:p w:rsidR="006D2250" w:rsidP="006D2250" w14:paraId="4C80089B" w14:textId="77777777">
      <w:pPr>
        <w:pStyle w:val="FootnoteText"/>
      </w:pPr>
      <w:r>
        <w:rPr>
          <w:rStyle w:val="FootnoteReference"/>
        </w:rPr>
        <w:footnoteRef/>
      </w:r>
      <w:r>
        <w:t xml:space="preserve"> </w:t>
      </w:r>
      <w:r>
        <w:rPr>
          <w:i/>
          <w:iCs/>
        </w:rPr>
        <w:t>3.7 GHz Report and Order</w:t>
      </w:r>
      <w:r>
        <w:t xml:space="preserve">, 35 FCC </w:t>
      </w:r>
      <w:r>
        <w:t>Rcd</w:t>
      </w:r>
      <w:r>
        <w:t xml:space="preserve"> at </w:t>
      </w:r>
      <w:r w:rsidRPr="0083045D">
        <w:t>242</w:t>
      </w:r>
      <w:r>
        <w:t xml:space="preserve">7, para. 202; </w:t>
      </w:r>
      <w:r>
        <w:rPr>
          <w:i/>
          <w:iCs/>
        </w:rPr>
        <w:t>Final Cost Catalog Public Notice</w:t>
      </w:r>
      <w:r>
        <w:t xml:space="preserve">, 35 FCC </w:t>
      </w:r>
      <w:r>
        <w:t>Rcd</w:t>
      </w:r>
      <w:r>
        <w:t xml:space="preserve"> at 7990, para. 36.</w:t>
      </w:r>
    </w:p>
  </w:footnote>
  <w:footnote w:id="61">
    <w:p w:rsidR="006D2250" w:rsidP="006D2250" w14:paraId="66D6EF7C" w14:textId="77777777">
      <w:pPr>
        <w:pStyle w:val="FootnoteText"/>
      </w:pPr>
      <w:r>
        <w:rPr>
          <w:rStyle w:val="FootnoteReference"/>
        </w:rPr>
        <w:footnoteRef/>
      </w:r>
      <w:r>
        <w:t xml:space="preserve"> </w:t>
      </w:r>
      <w:r>
        <w:rPr>
          <w:i/>
          <w:iCs/>
        </w:rPr>
        <w:t>3.7 GHz Report and Order</w:t>
      </w:r>
      <w:r>
        <w:t xml:space="preserve">, 35 FCC </w:t>
      </w:r>
      <w:r>
        <w:t>Rcd</w:t>
      </w:r>
      <w:r>
        <w:t xml:space="preserve"> at </w:t>
      </w:r>
      <w:r w:rsidRPr="0083045D">
        <w:t>242</w:t>
      </w:r>
      <w:r>
        <w:t xml:space="preserve">7, para. 202; </w:t>
      </w:r>
      <w:r>
        <w:rPr>
          <w:i/>
          <w:iCs/>
        </w:rPr>
        <w:t>Final Cost Catalog Public Notice</w:t>
      </w:r>
      <w:r>
        <w:t xml:space="preserve">, 35 FCC </w:t>
      </w:r>
      <w:r>
        <w:t>Rcd</w:t>
      </w:r>
      <w:r>
        <w:t xml:space="preserve"> at 7990, para. 36.</w:t>
      </w:r>
    </w:p>
  </w:footnote>
  <w:footnote w:id="62">
    <w:p w:rsidR="003040BB" w:rsidRPr="002D09F6" w:rsidP="003040BB" w14:paraId="7E2FEBA0" w14:textId="68FD7F30">
      <w:pPr>
        <w:pStyle w:val="FootnoteText"/>
      </w:pPr>
      <w:r>
        <w:rPr>
          <w:rStyle w:val="FootnoteReference"/>
        </w:rPr>
        <w:footnoteRef/>
      </w:r>
      <w:r>
        <w:t xml:space="preserve"> </w:t>
      </w:r>
      <w:r w:rsidR="0003337C">
        <w:t>Mongoose Appeal at 10</w:t>
      </w:r>
      <w:r>
        <w:t xml:space="preserve">, Appx. B, at 92 (“If Mongoose had chosen the actual cost route instead of a lump sum payment, Mongoose, the RPC, and the overlay licensees would have endured a lengthy, complex, and potentially adversarial path of engineering, accounting, and legal filings to ultimately arrive at Mongoose's true transition costs.”).  </w:t>
      </w:r>
    </w:p>
  </w:footnote>
  <w:footnote w:id="63">
    <w:p w:rsidR="00644FCE" w14:paraId="6017EE25" w14:textId="18E3AF03">
      <w:pPr>
        <w:pStyle w:val="FootnoteText"/>
      </w:pPr>
      <w:r>
        <w:rPr>
          <w:rStyle w:val="FootnoteReference"/>
        </w:rPr>
        <w:footnoteRef/>
      </w:r>
      <w:r>
        <w:t xml:space="preserve"> </w:t>
      </w:r>
      <w:r>
        <w:rPr>
          <w:i/>
          <w:iCs/>
        </w:rPr>
        <w:t>3.7 GHz Report and Order</w:t>
      </w:r>
      <w:r>
        <w:t xml:space="preserve">, 35 </w:t>
      </w:r>
      <w:r w:rsidRPr="0040583A">
        <w:t xml:space="preserve">FCC </w:t>
      </w:r>
      <w:r w:rsidRPr="0040583A">
        <w:t>Rcd</w:t>
      </w:r>
      <w:r w:rsidRPr="0040583A">
        <w:t xml:space="preserve"> at </w:t>
      </w:r>
      <w:r>
        <w:t>2428</w:t>
      </w:r>
      <w:r w:rsidRPr="0040583A">
        <w:t xml:space="preserve">, para. </w:t>
      </w:r>
      <w:r>
        <w:t>204.</w:t>
      </w:r>
    </w:p>
  </w:footnote>
  <w:footnote w:id="64">
    <w:p w:rsidR="00644FCE" w:rsidP="00644FCE" w14:paraId="016EDC2B" w14:textId="652D5BA7">
      <w:pPr>
        <w:pStyle w:val="FootnoteText"/>
      </w:pPr>
      <w:r>
        <w:rPr>
          <w:rStyle w:val="FootnoteReference"/>
        </w:rPr>
        <w:footnoteRef/>
      </w:r>
      <w:r>
        <w:t xml:space="preserve"> </w:t>
      </w:r>
      <w:r w:rsidR="008B139C">
        <w:rPr>
          <w:i/>
          <w:iCs/>
        </w:rPr>
        <w:t>Id.</w:t>
      </w:r>
      <w:r w:rsidRPr="0040583A">
        <w:t xml:space="preserve"> at 242</w:t>
      </w:r>
      <w:r>
        <w:t>6</w:t>
      </w:r>
      <w:r w:rsidRPr="0040583A">
        <w:t xml:space="preserve">, </w:t>
      </w:r>
      <w:r>
        <w:t>n.539</w:t>
      </w:r>
      <w:r w:rsidRPr="0040583A">
        <w:t>.</w:t>
      </w:r>
      <w:r>
        <w:t xml:space="preserve">  </w:t>
      </w:r>
    </w:p>
  </w:footnote>
  <w:footnote w:id="65">
    <w:p w:rsidR="008E613C" w:rsidRPr="008E613C" w14:paraId="57C2A41A" w14:textId="119A6DDA">
      <w:pPr>
        <w:pStyle w:val="FootnoteText"/>
      </w:pPr>
      <w:r>
        <w:rPr>
          <w:rStyle w:val="FootnoteReference"/>
        </w:rPr>
        <w:footnoteRef/>
      </w:r>
      <w:r>
        <w:t xml:space="preserve"> </w:t>
      </w:r>
      <w:r>
        <w:rPr>
          <w:i/>
          <w:iCs/>
        </w:rPr>
        <w:t>Final Cost Catalog Public Notice</w:t>
      </w:r>
      <w:r>
        <w:t xml:space="preserve">, 35 FCC </w:t>
      </w:r>
      <w:r>
        <w:t>Rcd</w:t>
      </w:r>
      <w:r>
        <w:t xml:space="preserve"> at</w:t>
      </w:r>
      <w:r w:rsidR="00856116">
        <w:t xml:space="preserve"> 7976, para. 16.</w:t>
      </w:r>
    </w:p>
  </w:footnote>
  <w:footnote w:id="66">
    <w:p w:rsidR="00EC3161" w:rsidP="00EC3161" w14:paraId="4458447E" w14:textId="77777777">
      <w:pPr>
        <w:pStyle w:val="FootnoteText"/>
      </w:pPr>
      <w:r>
        <w:rPr>
          <w:rStyle w:val="FootnoteReference"/>
        </w:rPr>
        <w:footnoteRef/>
      </w:r>
      <w:r>
        <w:t xml:space="preserve"> </w:t>
      </w:r>
      <w:r>
        <w:rPr>
          <w:i/>
          <w:iCs/>
        </w:rPr>
        <w:t>3.7 GHz Report and Order</w:t>
      </w:r>
      <w:r>
        <w:t xml:space="preserve">, 35 FCC </w:t>
      </w:r>
      <w:r>
        <w:t>Rcd</w:t>
      </w:r>
      <w:r>
        <w:t xml:space="preserve"> at </w:t>
      </w:r>
      <w:r w:rsidRPr="0083045D">
        <w:t>24</w:t>
      </w:r>
      <w:r>
        <w:t>51, para. 276.</w:t>
      </w:r>
    </w:p>
  </w:footnote>
  <w:footnote w:id="67">
    <w:p w:rsidR="00EC3161" w:rsidP="00EC3161" w14:paraId="3867E8CE" w14:textId="2AC188B7">
      <w:pPr>
        <w:pStyle w:val="FootnoteText"/>
      </w:pPr>
      <w:r>
        <w:rPr>
          <w:rStyle w:val="FootnoteReference"/>
        </w:rPr>
        <w:footnoteRef/>
      </w:r>
      <w:r>
        <w:t xml:space="preserve"> </w:t>
      </w:r>
      <w:r w:rsidR="0054591A">
        <w:t xml:space="preserve">RPC Decisional Memorandum at 4; </w:t>
      </w:r>
      <w:r w:rsidR="0054591A">
        <w:rPr>
          <w:i/>
          <w:iCs/>
        </w:rPr>
        <w:t xml:space="preserve">see also </w:t>
      </w:r>
      <w:r w:rsidR="0054591A">
        <w:t>RPC Re</w:t>
      </w:r>
      <w:r w:rsidR="00E139C5">
        <w:t>sponse</w:t>
      </w:r>
      <w:r w:rsidR="0054591A">
        <w:t xml:space="preserve"> at 11.  While Mongoose asserts that there was </w:t>
      </w:r>
      <w:r w:rsidR="001B4515">
        <w:t xml:space="preserve">pre-decisional </w:t>
      </w:r>
      <w:r w:rsidR="0054591A">
        <w:t xml:space="preserve">confusion by RPC staff regarding the applicable </w:t>
      </w:r>
      <w:r w:rsidR="00CF43AF">
        <w:t xml:space="preserve">benchmark </w:t>
      </w:r>
      <w:r w:rsidR="0054591A">
        <w:t xml:space="preserve">date, we do not find this persuasive in showing </w:t>
      </w:r>
      <w:r w:rsidR="00E92B27">
        <w:t>an error as</w:t>
      </w:r>
      <w:r w:rsidR="00CF43AF">
        <w:t xml:space="preserve"> the</w:t>
      </w:r>
      <w:r w:rsidR="001B4515">
        <w:t xml:space="preserve"> </w:t>
      </w:r>
      <w:r w:rsidR="00CF43AF">
        <w:t xml:space="preserve">RPC </w:t>
      </w:r>
      <w:r w:rsidR="001B4515">
        <w:t>Decisional Memorandum</w:t>
      </w:r>
      <w:r w:rsidR="00CF43AF">
        <w:t xml:space="preserve"> was clear in its use of Mongoose’s </w:t>
      </w:r>
      <w:r w:rsidR="00542FAB">
        <w:t xml:space="preserve">lump sum </w:t>
      </w:r>
      <w:r w:rsidR="00CF43AF">
        <w:t>election date as the relevant reference point</w:t>
      </w:r>
      <w:r w:rsidR="0054591A">
        <w:t xml:space="preserve">.  </w:t>
      </w:r>
      <w:r w:rsidRPr="00B02662" w:rsidR="0054591A">
        <w:t>Mongoose Appeal at 3</w:t>
      </w:r>
      <w:r w:rsidR="0054591A">
        <w:t>0</w:t>
      </w:r>
      <w:r w:rsidRPr="00B02662" w:rsidR="0054591A">
        <w:t>-36</w:t>
      </w:r>
      <w:r w:rsidR="00CF43AF">
        <w:t>;</w:t>
      </w:r>
      <w:r w:rsidR="00BB49C3">
        <w:t xml:space="preserve"> </w:t>
      </w:r>
      <w:r w:rsidR="00542FAB">
        <w:t xml:space="preserve">RPC Decisional Memorandum at </w:t>
      </w:r>
      <w:r w:rsidR="000B635A">
        <w:t>4.</w:t>
      </w:r>
    </w:p>
  </w:footnote>
  <w:footnote w:id="68">
    <w:p w:rsidR="0054591A" w:rsidP="0054591A" w14:paraId="16100920" w14:textId="5DA69777">
      <w:pPr>
        <w:pStyle w:val="FootnoteText"/>
      </w:pPr>
      <w:r>
        <w:rPr>
          <w:rStyle w:val="FootnoteReference"/>
        </w:rPr>
        <w:footnoteRef/>
      </w:r>
      <w:r>
        <w:t xml:space="preserve"> Mongoose Lump Sum Election at </w:t>
      </w:r>
      <w:r w:rsidR="00677868">
        <w:t>3</w:t>
      </w:r>
      <w:r>
        <w:t>-</w:t>
      </w:r>
      <w:r w:rsidR="002520AC">
        <w:t>4, Appx. A</w:t>
      </w:r>
      <w:r>
        <w:t>; RPC Re</w:t>
      </w:r>
      <w:r w:rsidR="00E139C5">
        <w:t>sponse</w:t>
      </w:r>
      <w:r>
        <w:t xml:space="preserve"> at </w:t>
      </w:r>
      <w:r w:rsidR="00214D6C">
        <w:t>2</w:t>
      </w:r>
      <w:r>
        <w:t xml:space="preserve">.  </w:t>
      </w:r>
    </w:p>
  </w:footnote>
  <w:footnote w:id="69">
    <w:p w:rsidR="0054591A" w:rsidP="0054591A" w14:paraId="259F428B" w14:textId="40F9EA20">
      <w:pPr>
        <w:pStyle w:val="FootnoteText"/>
      </w:pPr>
      <w:r>
        <w:rPr>
          <w:rStyle w:val="FootnoteReference"/>
        </w:rPr>
        <w:footnoteRef/>
      </w:r>
      <w:r>
        <w:t xml:space="preserve"> </w:t>
      </w:r>
      <w:r w:rsidRPr="00B02662">
        <w:t xml:space="preserve">Mongoose Appeal at </w:t>
      </w:r>
      <w:r w:rsidR="005C3EA0">
        <w:t>24</w:t>
      </w:r>
      <w:r w:rsidR="007B6076">
        <w:t>-25</w:t>
      </w:r>
      <w:r w:rsidR="005C3EA0">
        <w:t xml:space="preserve">, </w:t>
      </w:r>
      <w:r>
        <w:t xml:space="preserve">27, </w:t>
      </w:r>
      <w:r w:rsidRPr="00B02662">
        <w:t>3</w:t>
      </w:r>
      <w:r>
        <w:t>0</w:t>
      </w:r>
      <w:r w:rsidRPr="00B02662">
        <w:t>-36</w:t>
      </w:r>
      <w:r w:rsidR="001B2C59">
        <w:t>, 72</w:t>
      </w:r>
      <w:r w:rsidRPr="00B02662">
        <w:t>.</w:t>
      </w:r>
    </w:p>
  </w:footnote>
  <w:footnote w:id="70">
    <w:p w:rsidR="00D829B4" w14:paraId="6C2B6C20" w14:textId="6EDED103">
      <w:pPr>
        <w:pStyle w:val="FootnoteText"/>
      </w:pPr>
      <w:r>
        <w:rPr>
          <w:rStyle w:val="FootnoteReference"/>
        </w:rPr>
        <w:footnoteRef/>
      </w:r>
      <w:r w:rsidR="001B4515">
        <w:t>Mongoose claims that</w:t>
      </w:r>
      <w:r w:rsidR="00EC4391">
        <w:t xml:space="preserve"> because the Commission did not “recognize[] or assign[] a Benchmark Dat</w:t>
      </w:r>
      <w:r w:rsidR="002D6C52">
        <w:t xml:space="preserve">e . . . </w:t>
      </w:r>
      <w:r w:rsidR="00545891">
        <w:t xml:space="preserve">only Mongoose is allowed to designate its Benchmark Date.” </w:t>
      </w:r>
      <w:r w:rsidR="001B4515">
        <w:t xml:space="preserve"> </w:t>
      </w:r>
      <w:r w:rsidR="00BD5BD9">
        <w:t xml:space="preserve">Mongoose Appeal at 24.  </w:t>
      </w:r>
      <w:r w:rsidR="00545891">
        <w:t xml:space="preserve">According to Mongoose, </w:t>
      </w:r>
      <w:r w:rsidR="00445876">
        <w:t>o</w:t>
      </w:r>
      <w:r w:rsidR="001B4515">
        <w:t xml:space="preserve">n April 19, 2018, the two antennas at issue “each fielded two C-band and six Ku-band feeds” which would allow their classification as “Small Multi-beam ES Antennas,” thereby reducing Mongoose’s original claim from $356,052 to $336,496, and entitle Mongoose to an additional $50,130 above the amount it has already received. </w:t>
      </w:r>
      <w:r w:rsidR="00842BFA">
        <w:t xml:space="preserve"> </w:t>
      </w:r>
      <w:r w:rsidR="00BD5BD9">
        <w:rPr>
          <w:i/>
          <w:iCs/>
        </w:rPr>
        <w:t xml:space="preserve">Id. </w:t>
      </w:r>
      <w:r w:rsidR="001B4515">
        <w:t>at 24-25, 27, 30-36, 72.</w:t>
      </w:r>
      <w:r w:rsidRPr="002D3DFC" w:rsidR="001B4515">
        <w:t xml:space="preserve">  </w:t>
      </w:r>
    </w:p>
  </w:footnote>
  <w:footnote w:id="71">
    <w:p w:rsidR="00D829B4" w14:paraId="44D72605" w14:textId="7F606E0F">
      <w:pPr>
        <w:pStyle w:val="FootnoteText"/>
      </w:pPr>
      <w:r>
        <w:rPr>
          <w:rStyle w:val="FootnoteReference"/>
        </w:rPr>
        <w:footnoteRef/>
      </w:r>
      <w:r>
        <w:t xml:space="preserve"> </w:t>
      </w:r>
      <w:r w:rsidR="00926B65">
        <w:t xml:space="preserve">Indeed, both parties agree that when the lump sum election was filed only one C-band feed was active on each of the antennas at issue.  </w:t>
      </w:r>
      <w:r>
        <w:t>Mongoose Lump Sum Election at 4</w:t>
      </w:r>
      <w:r w:rsidR="008B6147">
        <w:t>, Appx. A</w:t>
      </w:r>
      <w:r>
        <w:t xml:space="preserve">; </w:t>
      </w:r>
      <w:r w:rsidRPr="0016581C" w:rsidR="00B81DF0">
        <w:t>Mongoose Appeal</w:t>
      </w:r>
      <w:r w:rsidR="00B81DF0">
        <w:t xml:space="preserve"> at</w:t>
      </w:r>
      <w:r w:rsidRPr="0016581C" w:rsidR="00B81DF0">
        <w:t xml:space="preserve"> </w:t>
      </w:r>
      <w:r w:rsidR="00B81DF0">
        <w:t xml:space="preserve">12, 20; </w:t>
      </w:r>
      <w:r w:rsidR="00357A42">
        <w:t xml:space="preserve">RPC Decisional Memorandum at 1; </w:t>
      </w:r>
      <w:r>
        <w:t>RPC Re</w:t>
      </w:r>
      <w:r w:rsidR="00E139C5">
        <w:t>sponse</w:t>
      </w:r>
      <w:r>
        <w:t xml:space="preserve"> at </w:t>
      </w:r>
      <w:r w:rsidR="00D03E8B">
        <w:t>7</w:t>
      </w:r>
      <w:r w:rsidR="00486F23">
        <w:t>-8</w:t>
      </w:r>
      <w:r w:rsidRPr="0016581C" w:rsidR="002D09F6">
        <w:t>.</w:t>
      </w:r>
      <w:r>
        <w:t xml:space="preserve"> </w:t>
      </w:r>
    </w:p>
  </w:footnote>
  <w:footnote w:id="72">
    <w:p w:rsidR="008C1A29" w14:paraId="76F9D4D4" w14:textId="3F5D5FB4">
      <w:pPr>
        <w:pStyle w:val="FootnoteText"/>
      </w:pPr>
      <w:r>
        <w:rPr>
          <w:rStyle w:val="FootnoteReference"/>
        </w:rPr>
        <w:footnoteRef/>
      </w:r>
      <w:r>
        <w:t xml:space="preserve"> </w:t>
      </w:r>
      <w:r>
        <w:rPr>
          <w:i/>
          <w:iCs/>
        </w:rPr>
        <w:t>3.7 GHz Report and Order</w:t>
      </w:r>
      <w:r>
        <w:t xml:space="preserve">, 35 FCC </w:t>
      </w:r>
      <w:r>
        <w:t>Rcd</w:t>
      </w:r>
      <w:r>
        <w:t xml:space="preserve"> at 2447, para. 260 (“The Clearinghouse shall review reimbursement requests to determine whether they are reasonable and to ensure they comply with the requirements adopted in this Report and Order. The Clearinghouse shall give parties the opportunity to supplement any reimbursement claims that the Clearinghouse deems deficient.”); </w:t>
      </w:r>
      <w:r>
        <w:rPr>
          <w:i/>
          <w:iCs/>
        </w:rPr>
        <w:t xml:space="preserve">id. </w:t>
      </w:r>
      <w:r>
        <w:t xml:space="preserve">at 2448, para. 262 (“If the Clearinghouse determines that the amount sought for reimbursement is unreasonable, it shall notify the party of the amount it deems eligible for reimbursement.”); </w:t>
      </w:r>
      <w:r>
        <w:rPr>
          <w:i/>
          <w:iCs/>
        </w:rPr>
        <w:t xml:space="preserve">id. </w:t>
      </w:r>
      <w:r>
        <w:t xml:space="preserve">at </w:t>
      </w:r>
      <w:r w:rsidRPr="0083045D">
        <w:t>2</w:t>
      </w:r>
      <w:r>
        <w:t>449, paras. 268-9 (the Clearinghouse will serve “in an administrative role and in a function similar to a special master in a judicial proceeding” and “may mediate any disputes regarding cost estimates or payments that may arise in the course of band reconfiguration; or refer the disputant parties to alternative dispute resolution fora.”).</w:t>
      </w:r>
      <w:r w:rsidR="00047F42">
        <w:t xml:space="preserve"> </w:t>
      </w:r>
      <w:r w:rsidRPr="00663AEF" w:rsidR="00047F42">
        <w:rPr>
          <w:i/>
          <w:iCs/>
        </w:rPr>
        <w:t>See</w:t>
      </w:r>
      <w:r w:rsidR="00047F42">
        <w:t xml:space="preserve"> 47 CFR § 27.1416.  </w:t>
      </w:r>
    </w:p>
  </w:footnote>
  <w:footnote w:id="73">
    <w:p w:rsidR="00E53407" w14:paraId="103E69A8" w14:textId="316B3474">
      <w:pPr>
        <w:pStyle w:val="FootnoteText"/>
      </w:pPr>
      <w:r>
        <w:rPr>
          <w:rStyle w:val="FootnoteReference"/>
        </w:rPr>
        <w:footnoteRef/>
      </w:r>
      <w:r>
        <w:t xml:space="preserve"> Mongoose Appeal at </w:t>
      </w:r>
      <w:r w:rsidR="00B31FAC">
        <w:t>3</w:t>
      </w:r>
      <w:r w:rsidR="00FF4BA4">
        <w:t>8</w:t>
      </w:r>
      <w:r w:rsidR="002B12C6">
        <w:t>-</w:t>
      </w:r>
      <w:r w:rsidR="00CF37DF">
        <w:t>44</w:t>
      </w:r>
      <w:r w:rsidR="00C96116">
        <w:t>, App</w:t>
      </w:r>
      <w:r w:rsidR="00EC463A">
        <w:t>endices</w:t>
      </w:r>
      <w:r w:rsidR="00C96116">
        <w:t xml:space="preserve"> A</w:t>
      </w:r>
      <w:r w:rsidR="002B12C6">
        <w:t>, B.</w:t>
      </w:r>
    </w:p>
  </w:footnote>
  <w:footnote w:id="74">
    <w:p w:rsidR="00E83AD0" w:rsidP="00E83AD0" w14:paraId="6F3A3E49" w14:textId="77777777">
      <w:pPr>
        <w:pStyle w:val="FootnoteText"/>
      </w:pPr>
      <w:r>
        <w:rPr>
          <w:rStyle w:val="FootnoteReference"/>
        </w:rPr>
        <w:footnoteRef/>
      </w:r>
      <w:r>
        <w:t xml:space="preserve"> Indeed, the Commission directed the clearinghouse to “give parties the opportunity to supplement any reimbursement claims that the Relocation Payment Clearinghouse deems deficient.”  </w:t>
      </w:r>
      <w:r>
        <w:rPr>
          <w:i/>
          <w:iCs/>
        </w:rPr>
        <w:t xml:space="preserve">See </w:t>
      </w:r>
      <w:r>
        <w:t xml:space="preserve">47 CFR § 27.1416(a); </w:t>
      </w:r>
      <w:r>
        <w:rPr>
          <w:i/>
          <w:iCs/>
        </w:rPr>
        <w:t>3.7 GHz Report and Order</w:t>
      </w:r>
      <w:r>
        <w:t xml:space="preserve">, 35 FCC </w:t>
      </w:r>
      <w:r>
        <w:t>Rcd</w:t>
      </w:r>
      <w:r>
        <w:rPr>
          <w:i/>
          <w:iCs/>
        </w:rPr>
        <w:t xml:space="preserve"> </w:t>
      </w:r>
      <w:r>
        <w:t>at 2447, paras. 260.</w:t>
      </w:r>
    </w:p>
  </w:footnote>
  <w:footnote w:id="75">
    <w:p w:rsidR="0077614D" w:rsidRPr="0077614D" w14:paraId="5FDC0C85" w14:textId="286F10AB">
      <w:pPr>
        <w:pStyle w:val="FootnoteText"/>
      </w:pPr>
      <w:r>
        <w:rPr>
          <w:rStyle w:val="FootnoteReference"/>
        </w:rPr>
        <w:footnoteRef/>
      </w:r>
      <w:r>
        <w:t xml:space="preserve"> Mongoose Reply at 48; </w:t>
      </w:r>
      <w:r>
        <w:rPr>
          <w:i/>
          <w:iCs/>
        </w:rPr>
        <w:t xml:space="preserve">see also </w:t>
      </w:r>
      <w:r>
        <w:t xml:space="preserve">RPC Response. </w:t>
      </w:r>
    </w:p>
  </w:footnote>
  <w:footnote w:id="76">
    <w:p w:rsidR="006458CD" w14:paraId="5EE09620" w14:textId="42F6B1A3">
      <w:pPr>
        <w:pStyle w:val="FootnoteText"/>
      </w:pPr>
      <w:r>
        <w:rPr>
          <w:rStyle w:val="FootnoteReference"/>
        </w:rPr>
        <w:footnoteRef/>
      </w:r>
      <w:r>
        <w:t xml:space="preserve"> </w:t>
      </w:r>
      <w:r w:rsidR="00926B65">
        <w:t xml:space="preserve">47 CFR § 1.17; </w:t>
      </w:r>
      <w:r w:rsidR="00926B65">
        <w:rPr>
          <w:i/>
          <w:iCs/>
        </w:rPr>
        <w:t xml:space="preserve">see also </w:t>
      </w:r>
      <w:r w:rsidRPr="00981377" w:rsidR="00926B65">
        <w:rPr>
          <w:i/>
          <w:iCs/>
        </w:rPr>
        <w:t>Appeals Procedures Public Notice</w:t>
      </w:r>
      <w:r w:rsidR="00926B65">
        <w:t xml:space="preserve"> at 5-6.  </w:t>
      </w:r>
      <w:r w:rsidR="00EC463A">
        <w:t>Mongoose stated that</w:t>
      </w:r>
      <w:r w:rsidRPr="00EC463A" w:rsidR="00EC463A">
        <w:t xml:space="preserve"> </w:t>
      </w:r>
      <w:r w:rsidR="00F56C0A">
        <w:t xml:space="preserve">ordinarily </w:t>
      </w:r>
      <w:r w:rsidR="00EC463A">
        <w:t xml:space="preserve">“it would be sensible to assume [the attestation] was unintentionally omitted.”  </w:t>
      </w:r>
      <w:r>
        <w:t>Mongoose Reply at 48</w:t>
      </w:r>
      <w:r w:rsidR="00EC463A">
        <w:t>.</w:t>
      </w:r>
    </w:p>
  </w:footnote>
  <w:footnote w:id="77">
    <w:p w:rsidR="006458CD" w14:paraId="1D091155" w14:textId="4977C30E">
      <w:pPr>
        <w:pStyle w:val="FootnoteText"/>
      </w:pPr>
      <w:r>
        <w:rPr>
          <w:rStyle w:val="FootnoteReference"/>
        </w:rPr>
        <w:footnoteRef/>
      </w:r>
      <w:r>
        <w:t xml:space="preserve"> </w:t>
      </w:r>
      <w:r w:rsidR="00C76EB7">
        <w:t>RPC</w:t>
      </w:r>
      <w:r>
        <w:t xml:space="preserve"> Supplement</w:t>
      </w:r>
      <w:r w:rsidR="00C76EB7">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7651" w:rsidP="00867651" w14:paraId="6BD293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67651" w14:paraId="710BB7F3" w14:textId="01B99B27">
    <w:pPr>
      <w:pStyle w:val="Header"/>
    </w:pPr>
    <w:r>
      <w:tab/>
      <w:t>Federal Communications Commission</w:t>
    </w:r>
    <w:r>
      <w:tab/>
    </w:r>
    <w:r w:rsidR="00BD41CA">
      <w:t>DA 2</w:t>
    </w:r>
    <w:r w:rsidR="00867651">
      <w:t>3</w:t>
    </w:r>
    <w:r w:rsidR="00BD41CA">
      <w:t>-</w:t>
    </w:r>
    <w:r w:rsidR="0005382F">
      <w:t>824</w:t>
    </w:r>
  </w:p>
  <w:p w:rsidR="00D25FB5" w14:paraId="699CE208" w14:textId="132896A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4298376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67651" w14:paraId="6A6291A9" w14:textId="3473713E">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7E3E8B">
      <w:rPr>
        <w:spacing w:val="-2"/>
      </w:rPr>
      <w:t>DA 2</w:t>
    </w:r>
    <w:r w:rsidR="00867651">
      <w:rPr>
        <w:spacing w:val="-2"/>
      </w:rPr>
      <w:t>3</w:t>
    </w:r>
    <w:r w:rsidR="007E3E8B">
      <w:rPr>
        <w:spacing w:val="-2"/>
      </w:rPr>
      <w:t>-</w:t>
    </w:r>
    <w:r w:rsidR="0005382F">
      <w:rPr>
        <w:spacing w:val="-2"/>
      </w:rPr>
      <w:t>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81A4EEE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E4F4F69"/>
    <w:multiLevelType w:val="hybridMultilevel"/>
    <w:tmpl w:val="D93088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FB1F83"/>
    <w:multiLevelType w:val="hybridMultilevel"/>
    <w:tmpl w:val="2D16F1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8"/>
    <w:lvlOverride w:ilvl="0">
      <w:startOverride w:val="1"/>
    </w:lvlOverride>
  </w:num>
  <w:num w:numId="8">
    <w:abstractNumId w:val="7"/>
  </w:num>
  <w:num w:numId="9">
    <w:abstractNumId w:val="5"/>
  </w:num>
  <w:num w:numId="10">
    <w:abstractNumId w:val="8"/>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A2"/>
    <w:rsid w:val="00000747"/>
    <w:rsid w:val="00001A8A"/>
    <w:rsid w:val="00005233"/>
    <w:rsid w:val="00007887"/>
    <w:rsid w:val="000111C7"/>
    <w:rsid w:val="00011398"/>
    <w:rsid w:val="00012467"/>
    <w:rsid w:val="00012510"/>
    <w:rsid w:val="000149CC"/>
    <w:rsid w:val="000161C4"/>
    <w:rsid w:val="0001721D"/>
    <w:rsid w:val="00021A4E"/>
    <w:rsid w:val="0002235A"/>
    <w:rsid w:val="00023BCB"/>
    <w:rsid w:val="00024415"/>
    <w:rsid w:val="0002725D"/>
    <w:rsid w:val="0003337A"/>
    <w:rsid w:val="0003337C"/>
    <w:rsid w:val="000348C5"/>
    <w:rsid w:val="00035E64"/>
    <w:rsid w:val="00036039"/>
    <w:rsid w:val="00037D63"/>
    <w:rsid w:val="00037F90"/>
    <w:rsid w:val="00041605"/>
    <w:rsid w:val="000419B8"/>
    <w:rsid w:val="0004526B"/>
    <w:rsid w:val="0004760B"/>
    <w:rsid w:val="00047F42"/>
    <w:rsid w:val="000504BB"/>
    <w:rsid w:val="00051663"/>
    <w:rsid w:val="000517DE"/>
    <w:rsid w:val="0005184F"/>
    <w:rsid w:val="000528B9"/>
    <w:rsid w:val="0005326B"/>
    <w:rsid w:val="0005382F"/>
    <w:rsid w:val="0005424D"/>
    <w:rsid w:val="000565D9"/>
    <w:rsid w:val="00062A6B"/>
    <w:rsid w:val="0006464E"/>
    <w:rsid w:val="000662B1"/>
    <w:rsid w:val="00070656"/>
    <w:rsid w:val="00071314"/>
    <w:rsid w:val="00072A65"/>
    <w:rsid w:val="00072E21"/>
    <w:rsid w:val="00073255"/>
    <w:rsid w:val="00074A84"/>
    <w:rsid w:val="000806CF"/>
    <w:rsid w:val="00081AF4"/>
    <w:rsid w:val="00081C1D"/>
    <w:rsid w:val="00082719"/>
    <w:rsid w:val="00082A39"/>
    <w:rsid w:val="000843F2"/>
    <w:rsid w:val="00085E78"/>
    <w:rsid w:val="000862BC"/>
    <w:rsid w:val="000875BF"/>
    <w:rsid w:val="000877FA"/>
    <w:rsid w:val="00091BC8"/>
    <w:rsid w:val="00091DB1"/>
    <w:rsid w:val="0009337F"/>
    <w:rsid w:val="000935B2"/>
    <w:rsid w:val="00093ADD"/>
    <w:rsid w:val="00095BD6"/>
    <w:rsid w:val="00095EB5"/>
    <w:rsid w:val="00096D8C"/>
    <w:rsid w:val="00097962"/>
    <w:rsid w:val="00097E16"/>
    <w:rsid w:val="000A2E51"/>
    <w:rsid w:val="000A3F79"/>
    <w:rsid w:val="000A42BE"/>
    <w:rsid w:val="000A62B9"/>
    <w:rsid w:val="000A74A1"/>
    <w:rsid w:val="000A767D"/>
    <w:rsid w:val="000B1A79"/>
    <w:rsid w:val="000B2619"/>
    <w:rsid w:val="000B27AA"/>
    <w:rsid w:val="000B3CF3"/>
    <w:rsid w:val="000B4FCF"/>
    <w:rsid w:val="000B635A"/>
    <w:rsid w:val="000C01D0"/>
    <w:rsid w:val="000C09B6"/>
    <w:rsid w:val="000C0B65"/>
    <w:rsid w:val="000C34A3"/>
    <w:rsid w:val="000C3624"/>
    <w:rsid w:val="000C5566"/>
    <w:rsid w:val="000C7A2D"/>
    <w:rsid w:val="000D0BD5"/>
    <w:rsid w:val="000D110E"/>
    <w:rsid w:val="000D2A64"/>
    <w:rsid w:val="000D6798"/>
    <w:rsid w:val="000D67A7"/>
    <w:rsid w:val="000E05FE"/>
    <w:rsid w:val="000E1B89"/>
    <w:rsid w:val="000E2911"/>
    <w:rsid w:val="000E3D42"/>
    <w:rsid w:val="000E59AD"/>
    <w:rsid w:val="000E6836"/>
    <w:rsid w:val="000E6E44"/>
    <w:rsid w:val="000F03F1"/>
    <w:rsid w:val="000F0910"/>
    <w:rsid w:val="000F2686"/>
    <w:rsid w:val="000F615F"/>
    <w:rsid w:val="001025FB"/>
    <w:rsid w:val="00105D5B"/>
    <w:rsid w:val="00106095"/>
    <w:rsid w:val="00106EFE"/>
    <w:rsid w:val="00114BE2"/>
    <w:rsid w:val="001205C7"/>
    <w:rsid w:val="001213E3"/>
    <w:rsid w:val="00122BD5"/>
    <w:rsid w:val="001259EE"/>
    <w:rsid w:val="00125FFB"/>
    <w:rsid w:val="001314F4"/>
    <w:rsid w:val="0013194A"/>
    <w:rsid w:val="001330AA"/>
    <w:rsid w:val="001337FF"/>
    <w:rsid w:val="00133F79"/>
    <w:rsid w:val="001343A5"/>
    <w:rsid w:val="00134A55"/>
    <w:rsid w:val="00137255"/>
    <w:rsid w:val="00137E2B"/>
    <w:rsid w:val="00137F94"/>
    <w:rsid w:val="00142E12"/>
    <w:rsid w:val="00143A6E"/>
    <w:rsid w:val="001441B0"/>
    <w:rsid w:val="00145394"/>
    <w:rsid w:val="001459D1"/>
    <w:rsid w:val="0015145C"/>
    <w:rsid w:val="0016132A"/>
    <w:rsid w:val="00161A17"/>
    <w:rsid w:val="001630C8"/>
    <w:rsid w:val="0016581C"/>
    <w:rsid w:val="001677BE"/>
    <w:rsid w:val="00167EC6"/>
    <w:rsid w:val="001712DE"/>
    <w:rsid w:val="001777A4"/>
    <w:rsid w:val="001805FA"/>
    <w:rsid w:val="00181BDD"/>
    <w:rsid w:val="00181E91"/>
    <w:rsid w:val="001844F3"/>
    <w:rsid w:val="001847C0"/>
    <w:rsid w:val="00185FE1"/>
    <w:rsid w:val="00187631"/>
    <w:rsid w:val="00194A66"/>
    <w:rsid w:val="001975F7"/>
    <w:rsid w:val="001A0820"/>
    <w:rsid w:val="001A0855"/>
    <w:rsid w:val="001A0EC4"/>
    <w:rsid w:val="001A14D9"/>
    <w:rsid w:val="001A1BCE"/>
    <w:rsid w:val="001A470D"/>
    <w:rsid w:val="001A5EEA"/>
    <w:rsid w:val="001A679F"/>
    <w:rsid w:val="001A7EE1"/>
    <w:rsid w:val="001B2C59"/>
    <w:rsid w:val="001B32BB"/>
    <w:rsid w:val="001B378B"/>
    <w:rsid w:val="001B3F7C"/>
    <w:rsid w:val="001B4515"/>
    <w:rsid w:val="001B6F32"/>
    <w:rsid w:val="001B738C"/>
    <w:rsid w:val="001C22E7"/>
    <w:rsid w:val="001C2C45"/>
    <w:rsid w:val="001C33F3"/>
    <w:rsid w:val="001C3E33"/>
    <w:rsid w:val="001C4B99"/>
    <w:rsid w:val="001C5332"/>
    <w:rsid w:val="001C5736"/>
    <w:rsid w:val="001D125E"/>
    <w:rsid w:val="001D2765"/>
    <w:rsid w:val="001D4A51"/>
    <w:rsid w:val="001D6BCF"/>
    <w:rsid w:val="001D6C2D"/>
    <w:rsid w:val="001D70C2"/>
    <w:rsid w:val="001E01CA"/>
    <w:rsid w:val="001E24C3"/>
    <w:rsid w:val="001E5A1E"/>
    <w:rsid w:val="001E5B0A"/>
    <w:rsid w:val="001E602B"/>
    <w:rsid w:val="001E6CFF"/>
    <w:rsid w:val="001F038F"/>
    <w:rsid w:val="001F1CE6"/>
    <w:rsid w:val="001F7E53"/>
    <w:rsid w:val="002006FB"/>
    <w:rsid w:val="002024DA"/>
    <w:rsid w:val="00202C1E"/>
    <w:rsid w:val="0020673E"/>
    <w:rsid w:val="00206908"/>
    <w:rsid w:val="00206B91"/>
    <w:rsid w:val="0021144C"/>
    <w:rsid w:val="002121F0"/>
    <w:rsid w:val="0021468B"/>
    <w:rsid w:val="00214D6C"/>
    <w:rsid w:val="00217555"/>
    <w:rsid w:val="00217C79"/>
    <w:rsid w:val="00220956"/>
    <w:rsid w:val="00222118"/>
    <w:rsid w:val="002226F1"/>
    <w:rsid w:val="00223562"/>
    <w:rsid w:val="00226D11"/>
    <w:rsid w:val="00227819"/>
    <w:rsid w:val="00227F34"/>
    <w:rsid w:val="002307B5"/>
    <w:rsid w:val="00233762"/>
    <w:rsid w:val="0023421B"/>
    <w:rsid w:val="00234705"/>
    <w:rsid w:val="00237389"/>
    <w:rsid w:val="00237966"/>
    <w:rsid w:val="00241B0B"/>
    <w:rsid w:val="002511BB"/>
    <w:rsid w:val="002520AC"/>
    <w:rsid w:val="00256E70"/>
    <w:rsid w:val="0025754C"/>
    <w:rsid w:val="00260A20"/>
    <w:rsid w:val="002650B2"/>
    <w:rsid w:val="00265442"/>
    <w:rsid w:val="0026798C"/>
    <w:rsid w:val="00270696"/>
    <w:rsid w:val="00271EE9"/>
    <w:rsid w:val="00273C85"/>
    <w:rsid w:val="002740A5"/>
    <w:rsid w:val="002757FF"/>
    <w:rsid w:val="00275CF5"/>
    <w:rsid w:val="0027765D"/>
    <w:rsid w:val="00280296"/>
    <w:rsid w:val="0028301F"/>
    <w:rsid w:val="002837CD"/>
    <w:rsid w:val="00285017"/>
    <w:rsid w:val="002904A5"/>
    <w:rsid w:val="00291B48"/>
    <w:rsid w:val="00293C5A"/>
    <w:rsid w:val="00295013"/>
    <w:rsid w:val="00297D48"/>
    <w:rsid w:val="002A2D2E"/>
    <w:rsid w:val="002A35FA"/>
    <w:rsid w:val="002A3D32"/>
    <w:rsid w:val="002A3E93"/>
    <w:rsid w:val="002B0D36"/>
    <w:rsid w:val="002B12C6"/>
    <w:rsid w:val="002B13DB"/>
    <w:rsid w:val="002B2406"/>
    <w:rsid w:val="002B2FD7"/>
    <w:rsid w:val="002B38CC"/>
    <w:rsid w:val="002B652E"/>
    <w:rsid w:val="002C00E8"/>
    <w:rsid w:val="002C0FF1"/>
    <w:rsid w:val="002C1428"/>
    <w:rsid w:val="002C1A51"/>
    <w:rsid w:val="002C39CA"/>
    <w:rsid w:val="002C5989"/>
    <w:rsid w:val="002C60F6"/>
    <w:rsid w:val="002D09F6"/>
    <w:rsid w:val="002D17A8"/>
    <w:rsid w:val="002D3DFC"/>
    <w:rsid w:val="002D4E51"/>
    <w:rsid w:val="002D6495"/>
    <w:rsid w:val="002D6C52"/>
    <w:rsid w:val="002E09FF"/>
    <w:rsid w:val="002E1020"/>
    <w:rsid w:val="002E1905"/>
    <w:rsid w:val="002E23FD"/>
    <w:rsid w:val="002E3220"/>
    <w:rsid w:val="002E3800"/>
    <w:rsid w:val="002E59DF"/>
    <w:rsid w:val="002F1BBE"/>
    <w:rsid w:val="002F2C43"/>
    <w:rsid w:val="002F4C08"/>
    <w:rsid w:val="002F54B0"/>
    <w:rsid w:val="00302395"/>
    <w:rsid w:val="00303AE7"/>
    <w:rsid w:val="003040BB"/>
    <w:rsid w:val="00304CDD"/>
    <w:rsid w:val="003059B0"/>
    <w:rsid w:val="00305D45"/>
    <w:rsid w:val="00306AF3"/>
    <w:rsid w:val="00311415"/>
    <w:rsid w:val="00312159"/>
    <w:rsid w:val="00312F3E"/>
    <w:rsid w:val="00321166"/>
    <w:rsid w:val="00323053"/>
    <w:rsid w:val="00325FC4"/>
    <w:rsid w:val="0032653A"/>
    <w:rsid w:val="00327060"/>
    <w:rsid w:val="00330955"/>
    <w:rsid w:val="003342D9"/>
    <w:rsid w:val="00334E31"/>
    <w:rsid w:val="0033524F"/>
    <w:rsid w:val="00335C31"/>
    <w:rsid w:val="00336831"/>
    <w:rsid w:val="00336E9C"/>
    <w:rsid w:val="0034296E"/>
    <w:rsid w:val="00343749"/>
    <w:rsid w:val="00344095"/>
    <w:rsid w:val="00345B61"/>
    <w:rsid w:val="00346A61"/>
    <w:rsid w:val="003474EB"/>
    <w:rsid w:val="003477A7"/>
    <w:rsid w:val="003507C0"/>
    <w:rsid w:val="003509C9"/>
    <w:rsid w:val="00350CCB"/>
    <w:rsid w:val="0035200F"/>
    <w:rsid w:val="003533CA"/>
    <w:rsid w:val="00354125"/>
    <w:rsid w:val="00357A42"/>
    <w:rsid w:val="003660ED"/>
    <w:rsid w:val="00370DF1"/>
    <w:rsid w:val="003713E8"/>
    <w:rsid w:val="00371961"/>
    <w:rsid w:val="003759B0"/>
    <w:rsid w:val="00381904"/>
    <w:rsid w:val="00382573"/>
    <w:rsid w:val="003844A4"/>
    <w:rsid w:val="00386B90"/>
    <w:rsid w:val="00391251"/>
    <w:rsid w:val="0039221B"/>
    <w:rsid w:val="00394FDA"/>
    <w:rsid w:val="00395E68"/>
    <w:rsid w:val="003A3AD3"/>
    <w:rsid w:val="003A44D7"/>
    <w:rsid w:val="003A4CB4"/>
    <w:rsid w:val="003A5519"/>
    <w:rsid w:val="003A5B0D"/>
    <w:rsid w:val="003B0550"/>
    <w:rsid w:val="003B1076"/>
    <w:rsid w:val="003B3853"/>
    <w:rsid w:val="003B4C81"/>
    <w:rsid w:val="003B56B2"/>
    <w:rsid w:val="003B694F"/>
    <w:rsid w:val="003B6A37"/>
    <w:rsid w:val="003C2727"/>
    <w:rsid w:val="003C313C"/>
    <w:rsid w:val="003C31F4"/>
    <w:rsid w:val="003C3D51"/>
    <w:rsid w:val="003D0362"/>
    <w:rsid w:val="003D08B4"/>
    <w:rsid w:val="003D0E5D"/>
    <w:rsid w:val="003D29C4"/>
    <w:rsid w:val="003D3229"/>
    <w:rsid w:val="003D6DE9"/>
    <w:rsid w:val="003D76AC"/>
    <w:rsid w:val="003E1C57"/>
    <w:rsid w:val="003E5A40"/>
    <w:rsid w:val="003F009D"/>
    <w:rsid w:val="003F0304"/>
    <w:rsid w:val="003F0C30"/>
    <w:rsid w:val="003F13DE"/>
    <w:rsid w:val="003F171C"/>
    <w:rsid w:val="003F5272"/>
    <w:rsid w:val="00403BA7"/>
    <w:rsid w:val="004042E7"/>
    <w:rsid w:val="0040433A"/>
    <w:rsid w:val="00404956"/>
    <w:rsid w:val="0040583A"/>
    <w:rsid w:val="00405A70"/>
    <w:rsid w:val="00407FEF"/>
    <w:rsid w:val="00411B83"/>
    <w:rsid w:val="00412FC5"/>
    <w:rsid w:val="004130B7"/>
    <w:rsid w:val="00413950"/>
    <w:rsid w:val="00413C7A"/>
    <w:rsid w:val="0041604E"/>
    <w:rsid w:val="004204BE"/>
    <w:rsid w:val="00421215"/>
    <w:rsid w:val="00422276"/>
    <w:rsid w:val="00422399"/>
    <w:rsid w:val="00422E49"/>
    <w:rsid w:val="004238B6"/>
    <w:rsid w:val="004242F1"/>
    <w:rsid w:val="0042665C"/>
    <w:rsid w:val="00427785"/>
    <w:rsid w:val="00430EE4"/>
    <w:rsid w:val="004329D8"/>
    <w:rsid w:val="00433BA9"/>
    <w:rsid w:val="004355BC"/>
    <w:rsid w:val="004424BA"/>
    <w:rsid w:val="00442B9B"/>
    <w:rsid w:val="00442D26"/>
    <w:rsid w:val="00445787"/>
    <w:rsid w:val="00445876"/>
    <w:rsid w:val="00445A00"/>
    <w:rsid w:val="004460ED"/>
    <w:rsid w:val="0044627F"/>
    <w:rsid w:val="00451922"/>
    <w:rsid w:val="00451B0F"/>
    <w:rsid w:val="004524C3"/>
    <w:rsid w:val="004527AA"/>
    <w:rsid w:val="00456CCD"/>
    <w:rsid w:val="00457EDB"/>
    <w:rsid w:val="00457EFF"/>
    <w:rsid w:val="00461331"/>
    <w:rsid w:val="004622A2"/>
    <w:rsid w:val="00464261"/>
    <w:rsid w:val="0046476E"/>
    <w:rsid w:val="004666A1"/>
    <w:rsid w:val="0046789D"/>
    <w:rsid w:val="0047104E"/>
    <w:rsid w:val="00471D9F"/>
    <w:rsid w:val="00471EB2"/>
    <w:rsid w:val="004721B8"/>
    <w:rsid w:val="004723B1"/>
    <w:rsid w:val="00472BE3"/>
    <w:rsid w:val="004759C8"/>
    <w:rsid w:val="0047712E"/>
    <w:rsid w:val="00481C15"/>
    <w:rsid w:val="00482EA4"/>
    <w:rsid w:val="00484EFA"/>
    <w:rsid w:val="00486F23"/>
    <w:rsid w:val="00487B31"/>
    <w:rsid w:val="00495254"/>
    <w:rsid w:val="0049764C"/>
    <w:rsid w:val="004A0159"/>
    <w:rsid w:val="004A0B2B"/>
    <w:rsid w:val="004A3C47"/>
    <w:rsid w:val="004A6551"/>
    <w:rsid w:val="004A6C26"/>
    <w:rsid w:val="004A73F0"/>
    <w:rsid w:val="004B02D4"/>
    <w:rsid w:val="004B4C86"/>
    <w:rsid w:val="004B4DF5"/>
    <w:rsid w:val="004C1260"/>
    <w:rsid w:val="004C2EE3"/>
    <w:rsid w:val="004C3235"/>
    <w:rsid w:val="004C3A3B"/>
    <w:rsid w:val="004C40C0"/>
    <w:rsid w:val="004D0C2D"/>
    <w:rsid w:val="004D0F4B"/>
    <w:rsid w:val="004D1CA5"/>
    <w:rsid w:val="004D26B8"/>
    <w:rsid w:val="004D5A3F"/>
    <w:rsid w:val="004D7A9D"/>
    <w:rsid w:val="004E0486"/>
    <w:rsid w:val="004E1AD0"/>
    <w:rsid w:val="004E1C05"/>
    <w:rsid w:val="004E388A"/>
    <w:rsid w:val="004E477B"/>
    <w:rsid w:val="004E4A22"/>
    <w:rsid w:val="004E5251"/>
    <w:rsid w:val="004E57DC"/>
    <w:rsid w:val="004E68A5"/>
    <w:rsid w:val="004E698C"/>
    <w:rsid w:val="004E70F2"/>
    <w:rsid w:val="004F1260"/>
    <w:rsid w:val="004F2974"/>
    <w:rsid w:val="004F711E"/>
    <w:rsid w:val="00501894"/>
    <w:rsid w:val="00505850"/>
    <w:rsid w:val="005058F3"/>
    <w:rsid w:val="00511652"/>
    <w:rsid w:val="00511968"/>
    <w:rsid w:val="005128BC"/>
    <w:rsid w:val="00515D8D"/>
    <w:rsid w:val="00516B45"/>
    <w:rsid w:val="00517B03"/>
    <w:rsid w:val="00520DF9"/>
    <w:rsid w:val="00522B40"/>
    <w:rsid w:val="00524FF4"/>
    <w:rsid w:val="00527348"/>
    <w:rsid w:val="0052794F"/>
    <w:rsid w:val="00527BFE"/>
    <w:rsid w:val="0053013B"/>
    <w:rsid w:val="0053214D"/>
    <w:rsid w:val="00532799"/>
    <w:rsid w:val="00532F4F"/>
    <w:rsid w:val="00533BDA"/>
    <w:rsid w:val="005341E7"/>
    <w:rsid w:val="00535B94"/>
    <w:rsid w:val="00535DF5"/>
    <w:rsid w:val="00536C36"/>
    <w:rsid w:val="005409E3"/>
    <w:rsid w:val="005421C8"/>
    <w:rsid w:val="00542FAB"/>
    <w:rsid w:val="00545891"/>
    <w:rsid w:val="0054591A"/>
    <w:rsid w:val="00545CB2"/>
    <w:rsid w:val="00547B7B"/>
    <w:rsid w:val="00551DFA"/>
    <w:rsid w:val="00552405"/>
    <w:rsid w:val="00552BA2"/>
    <w:rsid w:val="00553490"/>
    <w:rsid w:val="0055614C"/>
    <w:rsid w:val="00556CFB"/>
    <w:rsid w:val="005602A6"/>
    <w:rsid w:val="00560F0D"/>
    <w:rsid w:val="00561073"/>
    <w:rsid w:val="00563516"/>
    <w:rsid w:val="00566921"/>
    <w:rsid w:val="00566D06"/>
    <w:rsid w:val="00573CE9"/>
    <w:rsid w:val="0057581F"/>
    <w:rsid w:val="00583910"/>
    <w:rsid w:val="00587591"/>
    <w:rsid w:val="00587AD3"/>
    <w:rsid w:val="00587B22"/>
    <w:rsid w:val="00594588"/>
    <w:rsid w:val="005977D1"/>
    <w:rsid w:val="005A06B8"/>
    <w:rsid w:val="005A17CB"/>
    <w:rsid w:val="005A2984"/>
    <w:rsid w:val="005A575E"/>
    <w:rsid w:val="005A5981"/>
    <w:rsid w:val="005A61AE"/>
    <w:rsid w:val="005B0357"/>
    <w:rsid w:val="005B2AF1"/>
    <w:rsid w:val="005B33D9"/>
    <w:rsid w:val="005B5E07"/>
    <w:rsid w:val="005C1D70"/>
    <w:rsid w:val="005C3181"/>
    <w:rsid w:val="005C37CF"/>
    <w:rsid w:val="005C3EA0"/>
    <w:rsid w:val="005C45E3"/>
    <w:rsid w:val="005C6101"/>
    <w:rsid w:val="005C6AD4"/>
    <w:rsid w:val="005C6C09"/>
    <w:rsid w:val="005D0D5A"/>
    <w:rsid w:val="005D333B"/>
    <w:rsid w:val="005E007B"/>
    <w:rsid w:val="005E0234"/>
    <w:rsid w:val="005E14C2"/>
    <w:rsid w:val="005E31ED"/>
    <w:rsid w:val="005E3A9C"/>
    <w:rsid w:val="005E7203"/>
    <w:rsid w:val="005F181E"/>
    <w:rsid w:val="005F39F4"/>
    <w:rsid w:val="00602FF4"/>
    <w:rsid w:val="00603B2C"/>
    <w:rsid w:val="00605FC8"/>
    <w:rsid w:val="00606BEA"/>
    <w:rsid w:val="00606D5F"/>
    <w:rsid w:val="00607BA5"/>
    <w:rsid w:val="0061180A"/>
    <w:rsid w:val="00612CB4"/>
    <w:rsid w:val="00613C39"/>
    <w:rsid w:val="00614BE0"/>
    <w:rsid w:val="00615CED"/>
    <w:rsid w:val="00617A69"/>
    <w:rsid w:val="006239DB"/>
    <w:rsid w:val="006250A8"/>
    <w:rsid w:val="00625E62"/>
    <w:rsid w:val="00626AE5"/>
    <w:rsid w:val="00626C61"/>
    <w:rsid w:val="00626D35"/>
    <w:rsid w:val="00626EB6"/>
    <w:rsid w:val="00627A52"/>
    <w:rsid w:val="00630D77"/>
    <w:rsid w:val="00631378"/>
    <w:rsid w:val="00633523"/>
    <w:rsid w:val="00633BA7"/>
    <w:rsid w:val="006365C0"/>
    <w:rsid w:val="00641A54"/>
    <w:rsid w:val="00643CB6"/>
    <w:rsid w:val="00644FCE"/>
    <w:rsid w:val="006458CD"/>
    <w:rsid w:val="00647428"/>
    <w:rsid w:val="00650278"/>
    <w:rsid w:val="006503AC"/>
    <w:rsid w:val="0065221E"/>
    <w:rsid w:val="00652534"/>
    <w:rsid w:val="00654970"/>
    <w:rsid w:val="00655D03"/>
    <w:rsid w:val="00656AE6"/>
    <w:rsid w:val="006570B6"/>
    <w:rsid w:val="006571E1"/>
    <w:rsid w:val="00657BAB"/>
    <w:rsid w:val="00657E11"/>
    <w:rsid w:val="00660013"/>
    <w:rsid w:val="006600FC"/>
    <w:rsid w:val="006621F8"/>
    <w:rsid w:val="006623B9"/>
    <w:rsid w:val="006637F6"/>
    <w:rsid w:val="00663AEF"/>
    <w:rsid w:val="00666D53"/>
    <w:rsid w:val="00670A89"/>
    <w:rsid w:val="00672BC1"/>
    <w:rsid w:val="00677868"/>
    <w:rsid w:val="00677C96"/>
    <w:rsid w:val="00681047"/>
    <w:rsid w:val="00683388"/>
    <w:rsid w:val="00683F84"/>
    <w:rsid w:val="00686624"/>
    <w:rsid w:val="00687577"/>
    <w:rsid w:val="00690180"/>
    <w:rsid w:val="00690B2B"/>
    <w:rsid w:val="00693CA0"/>
    <w:rsid w:val="00696BBE"/>
    <w:rsid w:val="00697F03"/>
    <w:rsid w:val="006A30EC"/>
    <w:rsid w:val="006A5DE5"/>
    <w:rsid w:val="006A6A81"/>
    <w:rsid w:val="006A6C21"/>
    <w:rsid w:val="006A6D0A"/>
    <w:rsid w:val="006C0725"/>
    <w:rsid w:val="006C4FC4"/>
    <w:rsid w:val="006C6455"/>
    <w:rsid w:val="006D0B8E"/>
    <w:rsid w:val="006D2250"/>
    <w:rsid w:val="006E4457"/>
    <w:rsid w:val="006F1579"/>
    <w:rsid w:val="006F7393"/>
    <w:rsid w:val="00701C84"/>
    <w:rsid w:val="0070224F"/>
    <w:rsid w:val="00703596"/>
    <w:rsid w:val="00705D4D"/>
    <w:rsid w:val="00706037"/>
    <w:rsid w:val="00706A4C"/>
    <w:rsid w:val="007115F7"/>
    <w:rsid w:val="00714B63"/>
    <w:rsid w:val="00715313"/>
    <w:rsid w:val="00715B48"/>
    <w:rsid w:val="007212E4"/>
    <w:rsid w:val="0072297B"/>
    <w:rsid w:val="0072369B"/>
    <w:rsid w:val="007238F2"/>
    <w:rsid w:val="00726D3A"/>
    <w:rsid w:val="007273C3"/>
    <w:rsid w:val="00732C3D"/>
    <w:rsid w:val="00734BCC"/>
    <w:rsid w:val="0073754C"/>
    <w:rsid w:val="0074226D"/>
    <w:rsid w:val="00742AD9"/>
    <w:rsid w:val="00744845"/>
    <w:rsid w:val="007453E6"/>
    <w:rsid w:val="00747E5E"/>
    <w:rsid w:val="00751814"/>
    <w:rsid w:val="00756026"/>
    <w:rsid w:val="00762E74"/>
    <w:rsid w:val="007653DE"/>
    <w:rsid w:val="00766BA5"/>
    <w:rsid w:val="00767BA7"/>
    <w:rsid w:val="00771060"/>
    <w:rsid w:val="007730B2"/>
    <w:rsid w:val="0077327E"/>
    <w:rsid w:val="00773677"/>
    <w:rsid w:val="0077536A"/>
    <w:rsid w:val="0077614D"/>
    <w:rsid w:val="00780478"/>
    <w:rsid w:val="00780663"/>
    <w:rsid w:val="007839A2"/>
    <w:rsid w:val="00785635"/>
    <w:rsid w:val="00785689"/>
    <w:rsid w:val="00791163"/>
    <w:rsid w:val="00791807"/>
    <w:rsid w:val="0079368F"/>
    <w:rsid w:val="00794C51"/>
    <w:rsid w:val="0079512D"/>
    <w:rsid w:val="00795C9A"/>
    <w:rsid w:val="0079611E"/>
    <w:rsid w:val="0079754B"/>
    <w:rsid w:val="007A1C6B"/>
    <w:rsid w:val="007A1E6D"/>
    <w:rsid w:val="007A306A"/>
    <w:rsid w:val="007A6213"/>
    <w:rsid w:val="007A7C16"/>
    <w:rsid w:val="007B0EB2"/>
    <w:rsid w:val="007B175D"/>
    <w:rsid w:val="007B4F98"/>
    <w:rsid w:val="007B6076"/>
    <w:rsid w:val="007B7122"/>
    <w:rsid w:val="007C06C4"/>
    <w:rsid w:val="007C1989"/>
    <w:rsid w:val="007C2529"/>
    <w:rsid w:val="007C32F9"/>
    <w:rsid w:val="007C6759"/>
    <w:rsid w:val="007C74E3"/>
    <w:rsid w:val="007D2750"/>
    <w:rsid w:val="007D39EF"/>
    <w:rsid w:val="007D5278"/>
    <w:rsid w:val="007E0283"/>
    <w:rsid w:val="007E366F"/>
    <w:rsid w:val="007E3E8B"/>
    <w:rsid w:val="007E6A5D"/>
    <w:rsid w:val="007F1AF1"/>
    <w:rsid w:val="007F7099"/>
    <w:rsid w:val="007F7DFD"/>
    <w:rsid w:val="008024DD"/>
    <w:rsid w:val="00804246"/>
    <w:rsid w:val="00805F5E"/>
    <w:rsid w:val="00810B6F"/>
    <w:rsid w:val="00810DBA"/>
    <w:rsid w:val="0081474E"/>
    <w:rsid w:val="00817438"/>
    <w:rsid w:val="00817D74"/>
    <w:rsid w:val="00820373"/>
    <w:rsid w:val="008219A8"/>
    <w:rsid w:val="00822315"/>
    <w:rsid w:val="00822CE0"/>
    <w:rsid w:val="00823C0D"/>
    <w:rsid w:val="00825B9A"/>
    <w:rsid w:val="0083045D"/>
    <w:rsid w:val="00830819"/>
    <w:rsid w:val="00832AD4"/>
    <w:rsid w:val="008367AD"/>
    <w:rsid w:val="008407C5"/>
    <w:rsid w:val="00840A0F"/>
    <w:rsid w:val="00841AB1"/>
    <w:rsid w:val="008424A4"/>
    <w:rsid w:val="00842BFA"/>
    <w:rsid w:val="00843747"/>
    <w:rsid w:val="00845D15"/>
    <w:rsid w:val="0084649C"/>
    <w:rsid w:val="008468EF"/>
    <w:rsid w:val="00846C5E"/>
    <w:rsid w:val="008547D7"/>
    <w:rsid w:val="008555C3"/>
    <w:rsid w:val="00856116"/>
    <w:rsid w:val="00857E62"/>
    <w:rsid w:val="00861F4C"/>
    <w:rsid w:val="008663DB"/>
    <w:rsid w:val="00867651"/>
    <w:rsid w:val="008712F5"/>
    <w:rsid w:val="0087227A"/>
    <w:rsid w:val="00872603"/>
    <w:rsid w:val="00876704"/>
    <w:rsid w:val="00881542"/>
    <w:rsid w:val="0088438C"/>
    <w:rsid w:val="0088445B"/>
    <w:rsid w:val="00884652"/>
    <w:rsid w:val="00884D6A"/>
    <w:rsid w:val="008851BB"/>
    <w:rsid w:val="008855F7"/>
    <w:rsid w:val="0089135A"/>
    <w:rsid w:val="008921DC"/>
    <w:rsid w:val="0089323D"/>
    <w:rsid w:val="008A1411"/>
    <w:rsid w:val="008A7943"/>
    <w:rsid w:val="008B0205"/>
    <w:rsid w:val="008B0AD3"/>
    <w:rsid w:val="008B11A9"/>
    <w:rsid w:val="008B139C"/>
    <w:rsid w:val="008B1849"/>
    <w:rsid w:val="008B3200"/>
    <w:rsid w:val="008B6147"/>
    <w:rsid w:val="008C010E"/>
    <w:rsid w:val="008C1A29"/>
    <w:rsid w:val="008C1D7F"/>
    <w:rsid w:val="008C2B61"/>
    <w:rsid w:val="008C2E58"/>
    <w:rsid w:val="008C3884"/>
    <w:rsid w:val="008C4388"/>
    <w:rsid w:val="008C4517"/>
    <w:rsid w:val="008C5CA9"/>
    <w:rsid w:val="008C60B2"/>
    <w:rsid w:val="008C68F1"/>
    <w:rsid w:val="008D7D91"/>
    <w:rsid w:val="008E21D2"/>
    <w:rsid w:val="008E2681"/>
    <w:rsid w:val="008E3AD7"/>
    <w:rsid w:val="008E47B1"/>
    <w:rsid w:val="008E613C"/>
    <w:rsid w:val="008E618F"/>
    <w:rsid w:val="008E78D9"/>
    <w:rsid w:val="008E7F20"/>
    <w:rsid w:val="008F00B9"/>
    <w:rsid w:val="008F0EFF"/>
    <w:rsid w:val="008F11BC"/>
    <w:rsid w:val="008F14C4"/>
    <w:rsid w:val="008F197A"/>
    <w:rsid w:val="008F1E57"/>
    <w:rsid w:val="008F25FD"/>
    <w:rsid w:val="008F2DBA"/>
    <w:rsid w:val="008F3818"/>
    <w:rsid w:val="008F4763"/>
    <w:rsid w:val="008F48C7"/>
    <w:rsid w:val="00902053"/>
    <w:rsid w:val="009052E6"/>
    <w:rsid w:val="009106EB"/>
    <w:rsid w:val="00911C8E"/>
    <w:rsid w:val="0091504D"/>
    <w:rsid w:val="00915D39"/>
    <w:rsid w:val="00917BF6"/>
    <w:rsid w:val="00920385"/>
    <w:rsid w:val="00921803"/>
    <w:rsid w:val="009225BF"/>
    <w:rsid w:val="00922D41"/>
    <w:rsid w:val="00926503"/>
    <w:rsid w:val="00926B65"/>
    <w:rsid w:val="00926B70"/>
    <w:rsid w:val="00931FB7"/>
    <w:rsid w:val="009327E1"/>
    <w:rsid w:val="00933AD4"/>
    <w:rsid w:val="00937E36"/>
    <w:rsid w:val="00940D5B"/>
    <w:rsid w:val="009422DA"/>
    <w:rsid w:val="00944970"/>
    <w:rsid w:val="00944A7F"/>
    <w:rsid w:val="00944B73"/>
    <w:rsid w:val="00945AEA"/>
    <w:rsid w:val="0094622A"/>
    <w:rsid w:val="00946FED"/>
    <w:rsid w:val="00947A81"/>
    <w:rsid w:val="00947E2A"/>
    <w:rsid w:val="009502B9"/>
    <w:rsid w:val="00953678"/>
    <w:rsid w:val="00955630"/>
    <w:rsid w:val="009573E8"/>
    <w:rsid w:val="00957E06"/>
    <w:rsid w:val="00962D82"/>
    <w:rsid w:val="00966DC3"/>
    <w:rsid w:val="009719E1"/>
    <w:rsid w:val="009726D8"/>
    <w:rsid w:val="00974AD2"/>
    <w:rsid w:val="00975BFE"/>
    <w:rsid w:val="009760A6"/>
    <w:rsid w:val="00977668"/>
    <w:rsid w:val="0098059C"/>
    <w:rsid w:val="00980FDC"/>
    <w:rsid w:val="009812D5"/>
    <w:rsid w:val="00981377"/>
    <w:rsid w:val="00981A66"/>
    <w:rsid w:val="00981F2D"/>
    <w:rsid w:val="00982FF3"/>
    <w:rsid w:val="0099013C"/>
    <w:rsid w:val="00992B93"/>
    <w:rsid w:val="00992F67"/>
    <w:rsid w:val="00994CB0"/>
    <w:rsid w:val="00997788"/>
    <w:rsid w:val="009A0598"/>
    <w:rsid w:val="009A30E2"/>
    <w:rsid w:val="009A3CEB"/>
    <w:rsid w:val="009A5506"/>
    <w:rsid w:val="009A68A4"/>
    <w:rsid w:val="009A6EBA"/>
    <w:rsid w:val="009A7D95"/>
    <w:rsid w:val="009B2FC9"/>
    <w:rsid w:val="009B4F04"/>
    <w:rsid w:val="009C1CEA"/>
    <w:rsid w:val="009C2E3A"/>
    <w:rsid w:val="009C3BE2"/>
    <w:rsid w:val="009D06E3"/>
    <w:rsid w:val="009D3EA4"/>
    <w:rsid w:val="009D5247"/>
    <w:rsid w:val="009D6369"/>
    <w:rsid w:val="009D65ED"/>
    <w:rsid w:val="009D7308"/>
    <w:rsid w:val="009D7BCC"/>
    <w:rsid w:val="009E42FB"/>
    <w:rsid w:val="009E6958"/>
    <w:rsid w:val="009E7A69"/>
    <w:rsid w:val="009F1BD7"/>
    <w:rsid w:val="009F3E4E"/>
    <w:rsid w:val="009F528C"/>
    <w:rsid w:val="009F76DB"/>
    <w:rsid w:val="00A00410"/>
    <w:rsid w:val="00A008AB"/>
    <w:rsid w:val="00A009AE"/>
    <w:rsid w:val="00A00EE5"/>
    <w:rsid w:val="00A0232E"/>
    <w:rsid w:val="00A025A9"/>
    <w:rsid w:val="00A0467C"/>
    <w:rsid w:val="00A05A25"/>
    <w:rsid w:val="00A074D6"/>
    <w:rsid w:val="00A130A8"/>
    <w:rsid w:val="00A131E3"/>
    <w:rsid w:val="00A17B5E"/>
    <w:rsid w:val="00A17D41"/>
    <w:rsid w:val="00A228E4"/>
    <w:rsid w:val="00A2625F"/>
    <w:rsid w:val="00A268C0"/>
    <w:rsid w:val="00A32B28"/>
    <w:rsid w:val="00A32C3B"/>
    <w:rsid w:val="00A35922"/>
    <w:rsid w:val="00A359A1"/>
    <w:rsid w:val="00A35CB0"/>
    <w:rsid w:val="00A40B58"/>
    <w:rsid w:val="00A40BF0"/>
    <w:rsid w:val="00A43E9F"/>
    <w:rsid w:val="00A440AB"/>
    <w:rsid w:val="00A447A7"/>
    <w:rsid w:val="00A44806"/>
    <w:rsid w:val="00A45F4F"/>
    <w:rsid w:val="00A470B8"/>
    <w:rsid w:val="00A50B7C"/>
    <w:rsid w:val="00A600A9"/>
    <w:rsid w:val="00A601B7"/>
    <w:rsid w:val="00A61432"/>
    <w:rsid w:val="00A6293E"/>
    <w:rsid w:val="00A65050"/>
    <w:rsid w:val="00A6597A"/>
    <w:rsid w:val="00A661BB"/>
    <w:rsid w:val="00A6749E"/>
    <w:rsid w:val="00A71E29"/>
    <w:rsid w:val="00A7399E"/>
    <w:rsid w:val="00A74C11"/>
    <w:rsid w:val="00A816C0"/>
    <w:rsid w:val="00A82B59"/>
    <w:rsid w:val="00A86431"/>
    <w:rsid w:val="00A962E0"/>
    <w:rsid w:val="00AA13A3"/>
    <w:rsid w:val="00AA1E2C"/>
    <w:rsid w:val="00AA1F30"/>
    <w:rsid w:val="00AA1F86"/>
    <w:rsid w:val="00AA38E1"/>
    <w:rsid w:val="00AA55B7"/>
    <w:rsid w:val="00AA58E9"/>
    <w:rsid w:val="00AA5930"/>
    <w:rsid w:val="00AA5B9E"/>
    <w:rsid w:val="00AB1610"/>
    <w:rsid w:val="00AB2407"/>
    <w:rsid w:val="00AB4393"/>
    <w:rsid w:val="00AB53DF"/>
    <w:rsid w:val="00AB62E4"/>
    <w:rsid w:val="00AC0F92"/>
    <w:rsid w:val="00AC179D"/>
    <w:rsid w:val="00AC2130"/>
    <w:rsid w:val="00AC38DB"/>
    <w:rsid w:val="00AC3B62"/>
    <w:rsid w:val="00AC3F40"/>
    <w:rsid w:val="00AC438B"/>
    <w:rsid w:val="00AC634B"/>
    <w:rsid w:val="00AC6B17"/>
    <w:rsid w:val="00AC7407"/>
    <w:rsid w:val="00AD29D7"/>
    <w:rsid w:val="00AD384A"/>
    <w:rsid w:val="00AD4571"/>
    <w:rsid w:val="00AD79AD"/>
    <w:rsid w:val="00AE12DA"/>
    <w:rsid w:val="00AE1D5D"/>
    <w:rsid w:val="00AE36FB"/>
    <w:rsid w:val="00AE56EF"/>
    <w:rsid w:val="00AE620B"/>
    <w:rsid w:val="00AE6E49"/>
    <w:rsid w:val="00AE6F0A"/>
    <w:rsid w:val="00AE7389"/>
    <w:rsid w:val="00AE7E4B"/>
    <w:rsid w:val="00AF0899"/>
    <w:rsid w:val="00AF0DEF"/>
    <w:rsid w:val="00AF0F95"/>
    <w:rsid w:val="00AF1230"/>
    <w:rsid w:val="00AF3155"/>
    <w:rsid w:val="00AF728F"/>
    <w:rsid w:val="00B01D79"/>
    <w:rsid w:val="00B02662"/>
    <w:rsid w:val="00B07E5C"/>
    <w:rsid w:val="00B10BA2"/>
    <w:rsid w:val="00B1177E"/>
    <w:rsid w:val="00B14DDE"/>
    <w:rsid w:val="00B16BED"/>
    <w:rsid w:val="00B242E6"/>
    <w:rsid w:val="00B248C7"/>
    <w:rsid w:val="00B25576"/>
    <w:rsid w:val="00B31EEF"/>
    <w:rsid w:val="00B31FAC"/>
    <w:rsid w:val="00B3227C"/>
    <w:rsid w:val="00B34E04"/>
    <w:rsid w:val="00B3500A"/>
    <w:rsid w:val="00B36B55"/>
    <w:rsid w:val="00B424A3"/>
    <w:rsid w:val="00B4473F"/>
    <w:rsid w:val="00B44DFD"/>
    <w:rsid w:val="00B451B1"/>
    <w:rsid w:val="00B45D6D"/>
    <w:rsid w:val="00B45E64"/>
    <w:rsid w:val="00B46535"/>
    <w:rsid w:val="00B50B61"/>
    <w:rsid w:val="00B52A9C"/>
    <w:rsid w:val="00B542B0"/>
    <w:rsid w:val="00B61F9E"/>
    <w:rsid w:val="00B62B91"/>
    <w:rsid w:val="00B65926"/>
    <w:rsid w:val="00B673E2"/>
    <w:rsid w:val="00B811F7"/>
    <w:rsid w:val="00B81A75"/>
    <w:rsid w:val="00B81D31"/>
    <w:rsid w:val="00B81DF0"/>
    <w:rsid w:val="00B82270"/>
    <w:rsid w:val="00B82E4E"/>
    <w:rsid w:val="00B83551"/>
    <w:rsid w:val="00B9151E"/>
    <w:rsid w:val="00B92844"/>
    <w:rsid w:val="00B92A72"/>
    <w:rsid w:val="00B9396B"/>
    <w:rsid w:val="00B93EB8"/>
    <w:rsid w:val="00B94231"/>
    <w:rsid w:val="00B947CD"/>
    <w:rsid w:val="00B96BC4"/>
    <w:rsid w:val="00BA04C9"/>
    <w:rsid w:val="00BA45D4"/>
    <w:rsid w:val="00BA5DC6"/>
    <w:rsid w:val="00BA6104"/>
    <w:rsid w:val="00BA6196"/>
    <w:rsid w:val="00BA6FAD"/>
    <w:rsid w:val="00BB1FEE"/>
    <w:rsid w:val="00BB3A29"/>
    <w:rsid w:val="00BB4400"/>
    <w:rsid w:val="00BB49C3"/>
    <w:rsid w:val="00BC10EE"/>
    <w:rsid w:val="00BC6D8C"/>
    <w:rsid w:val="00BD28DE"/>
    <w:rsid w:val="00BD34F4"/>
    <w:rsid w:val="00BD41CA"/>
    <w:rsid w:val="00BD5BD9"/>
    <w:rsid w:val="00BD79B6"/>
    <w:rsid w:val="00BF02A1"/>
    <w:rsid w:val="00BF5373"/>
    <w:rsid w:val="00BF5641"/>
    <w:rsid w:val="00BF5ECD"/>
    <w:rsid w:val="00BF6158"/>
    <w:rsid w:val="00BF7ED1"/>
    <w:rsid w:val="00C006DE"/>
    <w:rsid w:val="00C0324F"/>
    <w:rsid w:val="00C04D28"/>
    <w:rsid w:val="00C04DA8"/>
    <w:rsid w:val="00C04F89"/>
    <w:rsid w:val="00C054E9"/>
    <w:rsid w:val="00C05534"/>
    <w:rsid w:val="00C05942"/>
    <w:rsid w:val="00C11DC8"/>
    <w:rsid w:val="00C12FD6"/>
    <w:rsid w:val="00C166B2"/>
    <w:rsid w:val="00C17C19"/>
    <w:rsid w:val="00C20FF6"/>
    <w:rsid w:val="00C2302A"/>
    <w:rsid w:val="00C233A1"/>
    <w:rsid w:val="00C277C3"/>
    <w:rsid w:val="00C279D2"/>
    <w:rsid w:val="00C33BF5"/>
    <w:rsid w:val="00C34006"/>
    <w:rsid w:val="00C35A0C"/>
    <w:rsid w:val="00C36B4C"/>
    <w:rsid w:val="00C379DA"/>
    <w:rsid w:val="00C40303"/>
    <w:rsid w:val="00C406F0"/>
    <w:rsid w:val="00C40A51"/>
    <w:rsid w:val="00C426B1"/>
    <w:rsid w:val="00C42B08"/>
    <w:rsid w:val="00C4562D"/>
    <w:rsid w:val="00C45808"/>
    <w:rsid w:val="00C529F0"/>
    <w:rsid w:val="00C566FA"/>
    <w:rsid w:val="00C56A3F"/>
    <w:rsid w:val="00C573D0"/>
    <w:rsid w:val="00C63EF2"/>
    <w:rsid w:val="00C64865"/>
    <w:rsid w:val="00C64F1D"/>
    <w:rsid w:val="00C6541B"/>
    <w:rsid w:val="00C66160"/>
    <w:rsid w:val="00C66C2C"/>
    <w:rsid w:val="00C67481"/>
    <w:rsid w:val="00C721AC"/>
    <w:rsid w:val="00C72437"/>
    <w:rsid w:val="00C72B78"/>
    <w:rsid w:val="00C73C32"/>
    <w:rsid w:val="00C74078"/>
    <w:rsid w:val="00C74BC0"/>
    <w:rsid w:val="00C753BB"/>
    <w:rsid w:val="00C75685"/>
    <w:rsid w:val="00C7609E"/>
    <w:rsid w:val="00C76EB7"/>
    <w:rsid w:val="00C8075F"/>
    <w:rsid w:val="00C85A6A"/>
    <w:rsid w:val="00C90B23"/>
    <w:rsid w:val="00C90D6A"/>
    <w:rsid w:val="00C91C89"/>
    <w:rsid w:val="00C92A8A"/>
    <w:rsid w:val="00C93EE0"/>
    <w:rsid w:val="00C94489"/>
    <w:rsid w:val="00C95191"/>
    <w:rsid w:val="00C96116"/>
    <w:rsid w:val="00CA247E"/>
    <w:rsid w:val="00CA3E3A"/>
    <w:rsid w:val="00CA682B"/>
    <w:rsid w:val="00CA6D21"/>
    <w:rsid w:val="00CB15BB"/>
    <w:rsid w:val="00CB2009"/>
    <w:rsid w:val="00CB234D"/>
    <w:rsid w:val="00CB38D0"/>
    <w:rsid w:val="00CB3AFE"/>
    <w:rsid w:val="00CB6C1D"/>
    <w:rsid w:val="00CC0FA2"/>
    <w:rsid w:val="00CC205C"/>
    <w:rsid w:val="00CC4BD7"/>
    <w:rsid w:val="00CC72B6"/>
    <w:rsid w:val="00CD154F"/>
    <w:rsid w:val="00CD1F51"/>
    <w:rsid w:val="00CD26D2"/>
    <w:rsid w:val="00CD3BCA"/>
    <w:rsid w:val="00CD4B12"/>
    <w:rsid w:val="00CD5CE4"/>
    <w:rsid w:val="00CE2D71"/>
    <w:rsid w:val="00CE4970"/>
    <w:rsid w:val="00CE752E"/>
    <w:rsid w:val="00CF2499"/>
    <w:rsid w:val="00CF2726"/>
    <w:rsid w:val="00CF3201"/>
    <w:rsid w:val="00CF37DF"/>
    <w:rsid w:val="00CF42C7"/>
    <w:rsid w:val="00CF43AF"/>
    <w:rsid w:val="00CF70DE"/>
    <w:rsid w:val="00D00D84"/>
    <w:rsid w:val="00D00F44"/>
    <w:rsid w:val="00D01DBF"/>
    <w:rsid w:val="00D02123"/>
    <w:rsid w:val="00D0218D"/>
    <w:rsid w:val="00D0260F"/>
    <w:rsid w:val="00D0307E"/>
    <w:rsid w:val="00D03BBE"/>
    <w:rsid w:val="00D03DB6"/>
    <w:rsid w:val="00D03E8B"/>
    <w:rsid w:val="00D047BD"/>
    <w:rsid w:val="00D05238"/>
    <w:rsid w:val="00D114F3"/>
    <w:rsid w:val="00D129BD"/>
    <w:rsid w:val="00D1321D"/>
    <w:rsid w:val="00D177BC"/>
    <w:rsid w:val="00D2126F"/>
    <w:rsid w:val="00D23BB6"/>
    <w:rsid w:val="00D24DB9"/>
    <w:rsid w:val="00D25C80"/>
    <w:rsid w:val="00D25FB5"/>
    <w:rsid w:val="00D269FD"/>
    <w:rsid w:val="00D30792"/>
    <w:rsid w:val="00D307A8"/>
    <w:rsid w:val="00D32664"/>
    <w:rsid w:val="00D32CC1"/>
    <w:rsid w:val="00D34D57"/>
    <w:rsid w:val="00D34E88"/>
    <w:rsid w:val="00D350DE"/>
    <w:rsid w:val="00D42764"/>
    <w:rsid w:val="00D44223"/>
    <w:rsid w:val="00D44F7A"/>
    <w:rsid w:val="00D46C89"/>
    <w:rsid w:val="00D52034"/>
    <w:rsid w:val="00D532CE"/>
    <w:rsid w:val="00D553A3"/>
    <w:rsid w:val="00D569B5"/>
    <w:rsid w:val="00D57657"/>
    <w:rsid w:val="00D64F41"/>
    <w:rsid w:val="00D71A56"/>
    <w:rsid w:val="00D742C4"/>
    <w:rsid w:val="00D76D23"/>
    <w:rsid w:val="00D829B4"/>
    <w:rsid w:val="00D90EF5"/>
    <w:rsid w:val="00D924C1"/>
    <w:rsid w:val="00D92847"/>
    <w:rsid w:val="00D97307"/>
    <w:rsid w:val="00D97DF4"/>
    <w:rsid w:val="00D97FB5"/>
    <w:rsid w:val="00DA1771"/>
    <w:rsid w:val="00DA2529"/>
    <w:rsid w:val="00DA2545"/>
    <w:rsid w:val="00DA3B61"/>
    <w:rsid w:val="00DA4A3C"/>
    <w:rsid w:val="00DA4FB6"/>
    <w:rsid w:val="00DA58AA"/>
    <w:rsid w:val="00DA5921"/>
    <w:rsid w:val="00DA69B6"/>
    <w:rsid w:val="00DA7F90"/>
    <w:rsid w:val="00DB130A"/>
    <w:rsid w:val="00DB1FCE"/>
    <w:rsid w:val="00DB2EBB"/>
    <w:rsid w:val="00DB3CE4"/>
    <w:rsid w:val="00DB3E28"/>
    <w:rsid w:val="00DB6914"/>
    <w:rsid w:val="00DB7FA9"/>
    <w:rsid w:val="00DC0795"/>
    <w:rsid w:val="00DC10A1"/>
    <w:rsid w:val="00DC3F70"/>
    <w:rsid w:val="00DC5B17"/>
    <w:rsid w:val="00DC5C50"/>
    <w:rsid w:val="00DC6011"/>
    <w:rsid w:val="00DC63C8"/>
    <w:rsid w:val="00DC655F"/>
    <w:rsid w:val="00DD0905"/>
    <w:rsid w:val="00DD0B59"/>
    <w:rsid w:val="00DD1B6D"/>
    <w:rsid w:val="00DD4C31"/>
    <w:rsid w:val="00DD59A0"/>
    <w:rsid w:val="00DD5E16"/>
    <w:rsid w:val="00DD6C1C"/>
    <w:rsid w:val="00DD6D9E"/>
    <w:rsid w:val="00DD7EBD"/>
    <w:rsid w:val="00DE12F9"/>
    <w:rsid w:val="00DE409C"/>
    <w:rsid w:val="00DE5105"/>
    <w:rsid w:val="00DF1513"/>
    <w:rsid w:val="00DF62B6"/>
    <w:rsid w:val="00DF649B"/>
    <w:rsid w:val="00E00247"/>
    <w:rsid w:val="00E012B4"/>
    <w:rsid w:val="00E02F8D"/>
    <w:rsid w:val="00E03775"/>
    <w:rsid w:val="00E0554D"/>
    <w:rsid w:val="00E057D2"/>
    <w:rsid w:val="00E0605C"/>
    <w:rsid w:val="00E06385"/>
    <w:rsid w:val="00E07225"/>
    <w:rsid w:val="00E07847"/>
    <w:rsid w:val="00E07B3A"/>
    <w:rsid w:val="00E10845"/>
    <w:rsid w:val="00E10DAE"/>
    <w:rsid w:val="00E139C5"/>
    <w:rsid w:val="00E15242"/>
    <w:rsid w:val="00E1617B"/>
    <w:rsid w:val="00E16A01"/>
    <w:rsid w:val="00E24C9B"/>
    <w:rsid w:val="00E25CC0"/>
    <w:rsid w:val="00E26DE5"/>
    <w:rsid w:val="00E355B2"/>
    <w:rsid w:val="00E36210"/>
    <w:rsid w:val="00E37B06"/>
    <w:rsid w:val="00E406D7"/>
    <w:rsid w:val="00E40B3D"/>
    <w:rsid w:val="00E431A8"/>
    <w:rsid w:val="00E44FF8"/>
    <w:rsid w:val="00E46EAC"/>
    <w:rsid w:val="00E47100"/>
    <w:rsid w:val="00E50154"/>
    <w:rsid w:val="00E5181E"/>
    <w:rsid w:val="00E52A01"/>
    <w:rsid w:val="00E52F12"/>
    <w:rsid w:val="00E53407"/>
    <w:rsid w:val="00E53FC9"/>
    <w:rsid w:val="00E5409F"/>
    <w:rsid w:val="00E55A91"/>
    <w:rsid w:val="00E565E8"/>
    <w:rsid w:val="00E56DF7"/>
    <w:rsid w:val="00E610B9"/>
    <w:rsid w:val="00E6334D"/>
    <w:rsid w:val="00E6612E"/>
    <w:rsid w:val="00E70581"/>
    <w:rsid w:val="00E70C65"/>
    <w:rsid w:val="00E74936"/>
    <w:rsid w:val="00E83AD0"/>
    <w:rsid w:val="00E84F13"/>
    <w:rsid w:val="00E85BA1"/>
    <w:rsid w:val="00E90ECC"/>
    <w:rsid w:val="00E92B27"/>
    <w:rsid w:val="00E92D52"/>
    <w:rsid w:val="00E979EF"/>
    <w:rsid w:val="00EA0618"/>
    <w:rsid w:val="00EA0FF4"/>
    <w:rsid w:val="00EA571C"/>
    <w:rsid w:val="00EB08DD"/>
    <w:rsid w:val="00EB2E36"/>
    <w:rsid w:val="00EB551D"/>
    <w:rsid w:val="00EB5F3A"/>
    <w:rsid w:val="00EB7ED1"/>
    <w:rsid w:val="00EC1BBF"/>
    <w:rsid w:val="00EC3161"/>
    <w:rsid w:val="00EC4391"/>
    <w:rsid w:val="00EC463A"/>
    <w:rsid w:val="00EC78B7"/>
    <w:rsid w:val="00ED086C"/>
    <w:rsid w:val="00ED1787"/>
    <w:rsid w:val="00ED3034"/>
    <w:rsid w:val="00ED3553"/>
    <w:rsid w:val="00ED3A1D"/>
    <w:rsid w:val="00ED42A6"/>
    <w:rsid w:val="00ED45FF"/>
    <w:rsid w:val="00EE0E20"/>
    <w:rsid w:val="00EE4E6E"/>
    <w:rsid w:val="00EE6488"/>
    <w:rsid w:val="00EF4866"/>
    <w:rsid w:val="00EF5009"/>
    <w:rsid w:val="00EF5B91"/>
    <w:rsid w:val="00EF617A"/>
    <w:rsid w:val="00EF7D2C"/>
    <w:rsid w:val="00F01415"/>
    <w:rsid w:val="00F02050"/>
    <w:rsid w:val="00F021FA"/>
    <w:rsid w:val="00F0501E"/>
    <w:rsid w:val="00F12C37"/>
    <w:rsid w:val="00F1610D"/>
    <w:rsid w:val="00F16C04"/>
    <w:rsid w:val="00F179F6"/>
    <w:rsid w:val="00F25200"/>
    <w:rsid w:val="00F264D6"/>
    <w:rsid w:val="00F2712C"/>
    <w:rsid w:val="00F2757B"/>
    <w:rsid w:val="00F279FF"/>
    <w:rsid w:val="00F3015A"/>
    <w:rsid w:val="00F3088C"/>
    <w:rsid w:val="00F31B8B"/>
    <w:rsid w:val="00F33DAE"/>
    <w:rsid w:val="00F33DE5"/>
    <w:rsid w:val="00F37EE7"/>
    <w:rsid w:val="00F42C40"/>
    <w:rsid w:val="00F44B65"/>
    <w:rsid w:val="00F4611F"/>
    <w:rsid w:val="00F47093"/>
    <w:rsid w:val="00F50DCA"/>
    <w:rsid w:val="00F52127"/>
    <w:rsid w:val="00F56C0A"/>
    <w:rsid w:val="00F573A7"/>
    <w:rsid w:val="00F578BF"/>
    <w:rsid w:val="00F57C6A"/>
    <w:rsid w:val="00F6002E"/>
    <w:rsid w:val="00F609E0"/>
    <w:rsid w:val="00F60C32"/>
    <w:rsid w:val="00F62E97"/>
    <w:rsid w:val="00F62EF6"/>
    <w:rsid w:val="00F64209"/>
    <w:rsid w:val="00F66F33"/>
    <w:rsid w:val="00F67BF7"/>
    <w:rsid w:val="00F73D64"/>
    <w:rsid w:val="00F76621"/>
    <w:rsid w:val="00F8203B"/>
    <w:rsid w:val="00F82CCB"/>
    <w:rsid w:val="00F86A55"/>
    <w:rsid w:val="00F8751F"/>
    <w:rsid w:val="00F92034"/>
    <w:rsid w:val="00F92A74"/>
    <w:rsid w:val="00F9340F"/>
    <w:rsid w:val="00F9391E"/>
    <w:rsid w:val="00F93BF5"/>
    <w:rsid w:val="00F94DB8"/>
    <w:rsid w:val="00F95005"/>
    <w:rsid w:val="00F967DD"/>
    <w:rsid w:val="00F96A27"/>
    <w:rsid w:val="00FA2D7D"/>
    <w:rsid w:val="00FA2E55"/>
    <w:rsid w:val="00FA4303"/>
    <w:rsid w:val="00FA5123"/>
    <w:rsid w:val="00FA57AD"/>
    <w:rsid w:val="00FB2DFD"/>
    <w:rsid w:val="00FB3FE2"/>
    <w:rsid w:val="00FB5FD6"/>
    <w:rsid w:val="00FB60E8"/>
    <w:rsid w:val="00FB6252"/>
    <w:rsid w:val="00FC1DE3"/>
    <w:rsid w:val="00FC1EEB"/>
    <w:rsid w:val="00FC32E6"/>
    <w:rsid w:val="00FC3873"/>
    <w:rsid w:val="00FC6AAD"/>
    <w:rsid w:val="00FC6D4D"/>
    <w:rsid w:val="00FC703F"/>
    <w:rsid w:val="00FD0E5B"/>
    <w:rsid w:val="00FD526E"/>
    <w:rsid w:val="00FD5EC9"/>
    <w:rsid w:val="00FD7571"/>
    <w:rsid w:val="00FE10CD"/>
    <w:rsid w:val="00FE6C09"/>
    <w:rsid w:val="00FF0954"/>
    <w:rsid w:val="00FF4653"/>
    <w:rsid w:val="00FF4BA4"/>
    <w:rsid w:val="00FF4C6C"/>
    <w:rsid w:val="563735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319577"/>
  <w15:docId w15:val="{8C36AA6A-BCA9-4358-8034-00E18D09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591A"/>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Footnote Text Char1 Char,Footnote Text Char1 Char Char Char,Footnote Text Char1 Char2,Footnote Text Char2,Footnote Text Char2 Char Char Char Char Char"/>
    <w:link w:val="FootnoteTextChar"/>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EC463A"/>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67651"/>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1 Char Char,Footnote Text Char1 Char Char,Footnote Text Char1 Char Char Char Char,Footnote Text Char1 Char1,Footnote Text Char1 Char2 Char,Footnote Text Char2 Char"/>
    <w:link w:val="FootnoteText"/>
    <w:locked/>
    <w:rsid w:val="00A0467C"/>
  </w:style>
  <w:style w:type="character" w:customStyle="1" w:styleId="ParaNumChar">
    <w:name w:val="ParaNum Char"/>
    <w:link w:val="ParaNum"/>
    <w:locked/>
    <w:rsid w:val="00A0467C"/>
    <w:rPr>
      <w:snapToGrid w:val="0"/>
      <w:kern w:val="28"/>
      <w:sz w:val="22"/>
    </w:rPr>
  </w:style>
  <w:style w:type="character" w:styleId="CommentReference">
    <w:name w:val="annotation reference"/>
    <w:uiPriority w:val="99"/>
    <w:unhideWhenUsed/>
    <w:rsid w:val="00A0467C"/>
    <w:rPr>
      <w:sz w:val="16"/>
      <w:szCs w:val="16"/>
    </w:rPr>
  </w:style>
  <w:style w:type="paragraph" w:styleId="ListParagraph">
    <w:name w:val="List Paragraph"/>
    <w:basedOn w:val="Normal"/>
    <w:uiPriority w:val="34"/>
    <w:qFormat/>
    <w:rsid w:val="00F9340F"/>
    <w:pPr>
      <w:widowControl/>
      <w:spacing w:after="160" w:line="259" w:lineRule="auto"/>
      <w:ind w:left="720"/>
      <w:contextualSpacing/>
    </w:pPr>
    <w:rPr>
      <w:rFonts w:ascii="Calibri" w:eastAsia="Calibri" w:hAnsi="Calibri"/>
      <w:snapToGrid/>
      <w:kern w:val="0"/>
      <w:szCs w:val="22"/>
    </w:rPr>
  </w:style>
  <w:style w:type="character" w:customStyle="1" w:styleId="FootnoteCharacters">
    <w:name w:val="Footnote Characters"/>
    <w:rsid w:val="005E007B"/>
    <w:rPr>
      <w:rFonts w:ascii="Times New Roman" w:hAnsi="Times New Roman"/>
      <w:strike w:val="0"/>
      <w:dstrike w:val="0"/>
      <w:color w:val="auto"/>
      <w:sz w:val="22"/>
      <w:vertAlign w:val="superscript"/>
    </w:rPr>
  </w:style>
  <w:style w:type="paragraph" w:styleId="CommentText">
    <w:name w:val="annotation text"/>
    <w:basedOn w:val="Normal"/>
    <w:link w:val="CommentTextChar"/>
    <w:rsid w:val="00E15242"/>
    <w:rPr>
      <w:sz w:val="20"/>
    </w:rPr>
  </w:style>
  <w:style w:type="character" w:customStyle="1" w:styleId="CommentTextChar">
    <w:name w:val="Comment Text Char"/>
    <w:basedOn w:val="DefaultParagraphFont"/>
    <w:link w:val="CommentText"/>
    <w:rsid w:val="00E15242"/>
    <w:rPr>
      <w:snapToGrid w:val="0"/>
      <w:kern w:val="28"/>
    </w:rPr>
  </w:style>
  <w:style w:type="paragraph" w:styleId="CommentSubject">
    <w:name w:val="annotation subject"/>
    <w:basedOn w:val="CommentText"/>
    <w:next w:val="CommentText"/>
    <w:link w:val="CommentSubjectChar"/>
    <w:rsid w:val="00E15242"/>
    <w:rPr>
      <w:b/>
      <w:bCs/>
    </w:rPr>
  </w:style>
  <w:style w:type="character" w:customStyle="1" w:styleId="CommentSubjectChar">
    <w:name w:val="Comment Subject Char"/>
    <w:basedOn w:val="CommentTextChar"/>
    <w:link w:val="CommentSubject"/>
    <w:rsid w:val="00E15242"/>
    <w:rPr>
      <w:b/>
      <w:bCs/>
      <w:snapToGrid w:val="0"/>
      <w:kern w:val="28"/>
    </w:rPr>
  </w:style>
  <w:style w:type="paragraph" w:styleId="Revision">
    <w:name w:val="Revision"/>
    <w:hidden/>
    <w:uiPriority w:val="99"/>
    <w:semiHidden/>
    <w:rsid w:val="000504BB"/>
    <w:rPr>
      <w:snapToGrid w:val="0"/>
      <w:kern w:val="28"/>
      <w:sz w:val="22"/>
    </w:rPr>
  </w:style>
  <w:style w:type="character" w:styleId="UnresolvedMention">
    <w:name w:val="Unresolved Mention"/>
    <w:basedOn w:val="DefaultParagraphFont"/>
    <w:uiPriority w:val="99"/>
    <w:semiHidden/>
    <w:unhideWhenUsed/>
    <w:rsid w:val="00C566FA"/>
    <w:rPr>
      <w:color w:val="605E5C"/>
      <w:shd w:val="clear" w:color="auto" w:fill="E1DFDD"/>
    </w:rPr>
  </w:style>
  <w:style w:type="character" w:styleId="FollowedHyperlink">
    <w:name w:val="FollowedHyperlink"/>
    <w:basedOn w:val="DefaultParagraphFont"/>
    <w:rsid w:val="00EF7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cbandrpc.com/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