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B3CBF" w:rsidP="00AE2429" w14:paraId="2577B040" w14:textId="77777777">
      <w:pPr>
        <w:tabs>
          <w:tab w:val="left" w:pos="0"/>
        </w:tabs>
        <w:suppressAutoHyphens/>
        <w:rPr>
          <w:b/>
          <w:i/>
          <w:sz w:val="22"/>
          <w:szCs w:val="22"/>
        </w:rPr>
      </w:pPr>
    </w:p>
    <w:p w:rsidR="005C717C" w:rsidRPr="005675BC" w:rsidP="005C717C" w14:paraId="1253CCB6" w14:textId="09DC181C">
      <w:pPr>
        <w:tabs>
          <w:tab w:val="left" w:pos="-1440"/>
          <w:tab w:val="left" w:pos="-720"/>
          <w:tab w:val="left" w:pos="4788"/>
          <w:tab w:val="left" w:pos="5040"/>
          <w:tab w:val="left" w:pos="6480"/>
        </w:tabs>
        <w:suppressAutoHyphens/>
        <w:jc w:val="both"/>
        <w:outlineLvl w:val="0"/>
        <w:rPr>
          <w:b/>
          <w:color w:val="000000"/>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0367BF">
        <w:rPr>
          <w:b/>
          <w:color w:val="000000"/>
          <w:sz w:val="22"/>
          <w:szCs w:val="22"/>
        </w:rPr>
        <w:t>DA</w:t>
      </w:r>
      <w:r w:rsidRPr="005675BC">
        <w:rPr>
          <w:b/>
          <w:color w:val="000000"/>
          <w:sz w:val="22"/>
          <w:szCs w:val="22"/>
        </w:rPr>
        <w:t xml:space="preserve"> </w:t>
      </w:r>
      <w:r w:rsidR="000367BF">
        <w:rPr>
          <w:b/>
          <w:color w:val="000000"/>
          <w:sz w:val="22"/>
          <w:szCs w:val="22"/>
        </w:rPr>
        <w:t>23-82</w:t>
      </w:r>
    </w:p>
    <w:p w:rsidR="005C717C" w:rsidRPr="007E7140" w:rsidP="005C717C" w14:paraId="33E12E05" w14:textId="77777777">
      <w:pPr>
        <w:tabs>
          <w:tab w:val="left" w:pos="-1440"/>
          <w:tab w:val="left" w:pos="-720"/>
          <w:tab w:val="left" w:pos="4788"/>
          <w:tab w:val="left" w:pos="5040"/>
          <w:tab w:val="left" w:pos="6480"/>
        </w:tabs>
        <w:suppressAutoHyphens/>
        <w:outlineLvl w:val="0"/>
        <w:rPr>
          <w:b/>
          <w:i/>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7E7140">
        <w:rPr>
          <w:b/>
          <w:i/>
          <w:color w:val="000000"/>
          <w:sz w:val="22"/>
          <w:szCs w:val="22"/>
        </w:rPr>
        <w:t>In Reply Refer to:</w:t>
      </w:r>
    </w:p>
    <w:p w:rsidR="005C717C" w:rsidRPr="005675BC" w:rsidP="005C717C" w14:paraId="60AF4FBB" w14:textId="77777777">
      <w:pPr>
        <w:tabs>
          <w:tab w:val="left" w:pos="0"/>
          <w:tab w:val="left" w:pos="6480"/>
        </w:tabs>
        <w:suppressAutoHyphens/>
        <w:outlineLvl w:val="0"/>
        <w:rPr>
          <w:color w:val="000000"/>
          <w:sz w:val="22"/>
          <w:szCs w:val="22"/>
        </w:rPr>
      </w:pPr>
      <w:r w:rsidRPr="005675BC">
        <w:rPr>
          <w:color w:val="000000"/>
          <w:sz w:val="22"/>
          <w:szCs w:val="22"/>
        </w:rPr>
        <w:tab/>
      </w:r>
      <w:r w:rsidRPr="005675BC">
        <w:rPr>
          <w:b/>
          <w:sz w:val="22"/>
          <w:szCs w:val="22"/>
        </w:rPr>
        <w:t>1800B3-CEG</w:t>
      </w:r>
    </w:p>
    <w:p w:rsidR="005C717C" w:rsidRPr="007E7140" w:rsidP="005C717C" w14:paraId="40929193" w14:textId="22442179">
      <w:pPr>
        <w:tabs>
          <w:tab w:val="left" w:pos="0"/>
          <w:tab w:val="left" w:pos="6480"/>
        </w:tabs>
        <w:suppressAutoHyphens/>
        <w:outlineLvl w:val="0"/>
        <w:rPr>
          <w:color w:val="000000"/>
          <w:sz w:val="22"/>
          <w:szCs w:val="22"/>
        </w:rPr>
      </w:pPr>
      <w:r w:rsidRPr="005675BC">
        <w:rPr>
          <w:color w:val="000000"/>
          <w:sz w:val="22"/>
          <w:szCs w:val="22"/>
        </w:rPr>
        <w:tab/>
      </w:r>
      <w:r w:rsidRPr="007E7140">
        <w:rPr>
          <w:color w:val="000000"/>
          <w:sz w:val="22"/>
          <w:szCs w:val="22"/>
        </w:rPr>
        <w:t xml:space="preserve">Released: </w:t>
      </w:r>
      <w:r w:rsidR="000367BF">
        <w:rPr>
          <w:color w:val="000000"/>
          <w:sz w:val="22"/>
          <w:szCs w:val="22"/>
        </w:rPr>
        <w:t>January 30, 2023</w:t>
      </w:r>
    </w:p>
    <w:p w:rsidR="00D54147" w:rsidRPr="00E218D2" w:rsidP="005C717C" w14:paraId="5408C7C4" w14:textId="51E789AC">
      <w:pPr>
        <w:tabs>
          <w:tab w:val="left" w:pos="0"/>
        </w:tabs>
        <w:suppressAutoHyphens/>
        <w:rPr>
          <w:b/>
          <w:sz w:val="22"/>
          <w:szCs w:val="22"/>
        </w:rPr>
      </w:pPr>
      <w:r w:rsidRPr="00347BFF">
        <w:rPr>
          <w:b/>
          <w:sz w:val="22"/>
          <w:szCs w:val="22"/>
          <w:u w:val="single"/>
        </w:rPr>
        <w:t>CERTIFIED MAIL, RETURN RECEIPT REQUESTED</w:t>
      </w:r>
    </w:p>
    <w:p w:rsidR="00185417" w:rsidRPr="009B2E57" w:rsidP="00A60B76" w14:paraId="6FE48144" w14:textId="77777777">
      <w:pPr>
        <w:tabs>
          <w:tab w:val="left" w:pos="0"/>
        </w:tabs>
        <w:suppressAutoHyphens/>
        <w:rPr>
          <w:sz w:val="22"/>
          <w:szCs w:val="22"/>
        </w:rPr>
      </w:pPr>
      <w:r w:rsidRPr="007B3CBF">
        <w:rPr>
          <w:b/>
          <w:bCs/>
          <w:sz w:val="22"/>
          <w:szCs w:val="22"/>
        </w:rPr>
        <w:tab/>
      </w:r>
    </w:p>
    <w:p w:rsidR="000C4FCC" w:rsidP="000C4FCC" w14:paraId="2C401074" w14:textId="77777777">
      <w:pPr>
        <w:tabs>
          <w:tab w:val="left" w:pos="0"/>
        </w:tabs>
        <w:suppressAutoHyphens/>
        <w:ind w:left="5040" w:hanging="5040"/>
        <w:rPr>
          <w:sz w:val="22"/>
          <w:szCs w:val="22"/>
        </w:rPr>
      </w:pPr>
      <w:r>
        <w:rPr>
          <w:sz w:val="22"/>
          <w:szCs w:val="22"/>
        </w:rPr>
        <w:t>University of Rhode Island</w:t>
      </w:r>
    </w:p>
    <w:p w:rsidR="000C4FCC" w:rsidP="000C4FCC" w14:paraId="30C40AA2" w14:textId="77777777">
      <w:pPr>
        <w:tabs>
          <w:tab w:val="left" w:pos="0"/>
        </w:tabs>
        <w:suppressAutoHyphens/>
        <w:ind w:left="5040" w:hanging="5040"/>
        <w:rPr>
          <w:sz w:val="22"/>
          <w:szCs w:val="22"/>
        </w:rPr>
      </w:pPr>
      <w:r>
        <w:rPr>
          <w:sz w:val="22"/>
          <w:szCs w:val="22"/>
        </w:rPr>
        <w:t>c/o Allan G. Moskowitz, Esq.</w:t>
      </w:r>
    </w:p>
    <w:p w:rsidR="000C4FCC" w:rsidP="000C4FCC" w14:paraId="6BD8B02E" w14:textId="77777777">
      <w:pPr>
        <w:tabs>
          <w:tab w:val="left" w:pos="0"/>
        </w:tabs>
        <w:suppressAutoHyphens/>
        <w:ind w:left="5040" w:hanging="5040"/>
        <w:rPr>
          <w:sz w:val="22"/>
          <w:szCs w:val="22"/>
        </w:rPr>
      </w:pPr>
      <w:r>
        <w:rPr>
          <w:sz w:val="22"/>
          <w:szCs w:val="22"/>
        </w:rPr>
        <w:t>10854 Tuckahoe Way</w:t>
      </w:r>
    </w:p>
    <w:p w:rsidR="000C4FCC" w:rsidP="000C4FCC" w14:paraId="72EBD1EA" w14:textId="77777777">
      <w:pPr>
        <w:tabs>
          <w:tab w:val="left" w:pos="0"/>
        </w:tabs>
        <w:suppressAutoHyphens/>
        <w:ind w:left="5040" w:hanging="5040"/>
        <w:rPr>
          <w:sz w:val="22"/>
          <w:szCs w:val="22"/>
        </w:rPr>
      </w:pPr>
      <w:r>
        <w:rPr>
          <w:sz w:val="22"/>
          <w:szCs w:val="22"/>
        </w:rPr>
        <w:t>North Potomac MD 20878</w:t>
      </w:r>
    </w:p>
    <w:p w:rsidR="000C4FCC" w:rsidP="000C4FCC" w14:paraId="5BE0EBED" w14:textId="77777777">
      <w:pPr>
        <w:tabs>
          <w:tab w:val="left" w:pos="0"/>
        </w:tabs>
        <w:suppressAutoHyphens/>
        <w:ind w:left="5040" w:hanging="5040"/>
        <w:rPr>
          <w:sz w:val="22"/>
          <w:szCs w:val="22"/>
        </w:rPr>
      </w:pPr>
      <w:hyperlink r:id="rId5" w:history="1">
        <w:r w:rsidRPr="00183C59">
          <w:rPr>
            <w:rStyle w:val="Hyperlink"/>
            <w:sz w:val="22"/>
            <w:szCs w:val="22"/>
          </w:rPr>
          <w:t>amoskowitz@amoskowitzlaw.com</w:t>
        </w:r>
      </w:hyperlink>
    </w:p>
    <w:p w:rsidR="000C4FCC" w:rsidRPr="00A47BC0" w:rsidP="000C4FCC" w14:paraId="5EC7CEEB" w14:textId="77777777">
      <w:pPr>
        <w:tabs>
          <w:tab w:val="left" w:pos="0"/>
        </w:tabs>
        <w:suppressAutoHyphens/>
        <w:ind w:left="5040" w:hanging="5040"/>
        <w:rPr>
          <w:sz w:val="22"/>
          <w:szCs w:val="22"/>
        </w:rPr>
      </w:pPr>
    </w:p>
    <w:p w:rsidR="00BC095C" w:rsidP="00AE2429" w14:paraId="3259F5D3" w14:textId="77777777">
      <w:pPr>
        <w:tabs>
          <w:tab w:val="left" w:pos="0"/>
        </w:tabs>
        <w:suppressAutoHyphens/>
        <w:ind w:left="5040" w:hanging="5040"/>
        <w:rPr>
          <w:sz w:val="22"/>
          <w:szCs w:val="22"/>
        </w:rPr>
      </w:pPr>
      <w:r>
        <w:rPr>
          <w:sz w:val="22"/>
          <w:szCs w:val="22"/>
        </w:rPr>
        <w:t>Rhode Island Public Radio</w:t>
      </w:r>
    </w:p>
    <w:p w:rsidR="00BD49B9" w:rsidP="00AE2429" w14:paraId="40385B12" w14:textId="77777777">
      <w:pPr>
        <w:tabs>
          <w:tab w:val="left" w:pos="0"/>
        </w:tabs>
        <w:suppressAutoHyphens/>
        <w:ind w:left="5040" w:hanging="5040"/>
        <w:rPr>
          <w:sz w:val="22"/>
          <w:szCs w:val="22"/>
        </w:rPr>
      </w:pPr>
      <w:r>
        <w:rPr>
          <w:sz w:val="22"/>
          <w:szCs w:val="22"/>
        </w:rPr>
        <w:t>c/o John Wells King</w:t>
      </w:r>
      <w:r w:rsidR="006F3EA8">
        <w:rPr>
          <w:sz w:val="22"/>
          <w:szCs w:val="22"/>
        </w:rPr>
        <w:t>, Esq.</w:t>
      </w:r>
    </w:p>
    <w:p w:rsidR="00BD49B9" w:rsidP="00AE2429" w14:paraId="4D0A9CF3" w14:textId="77777777">
      <w:pPr>
        <w:tabs>
          <w:tab w:val="left" w:pos="0"/>
        </w:tabs>
        <w:suppressAutoHyphens/>
        <w:ind w:left="5040" w:hanging="5040"/>
        <w:rPr>
          <w:sz w:val="22"/>
          <w:szCs w:val="22"/>
        </w:rPr>
      </w:pPr>
      <w:r>
        <w:rPr>
          <w:sz w:val="22"/>
          <w:szCs w:val="22"/>
        </w:rPr>
        <w:t>Law Office of John Wells King, PLLC</w:t>
      </w:r>
    </w:p>
    <w:p w:rsidR="00BD49B9" w:rsidP="00AE2429" w14:paraId="2B340732" w14:textId="77777777">
      <w:pPr>
        <w:tabs>
          <w:tab w:val="left" w:pos="0"/>
        </w:tabs>
        <w:suppressAutoHyphens/>
        <w:ind w:left="5040" w:hanging="5040"/>
        <w:rPr>
          <w:sz w:val="22"/>
          <w:szCs w:val="22"/>
        </w:rPr>
      </w:pPr>
      <w:r>
        <w:rPr>
          <w:sz w:val="22"/>
          <w:szCs w:val="22"/>
        </w:rPr>
        <w:t>4051 Shoal Creek Lane East</w:t>
      </w:r>
    </w:p>
    <w:p w:rsidR="00BD49B9" w:rsidP="00AE2429" w14:paraId="0604D8BE" w14:textId="77777777">
      <w:pPr>
        <w:tabs>
          <w:tab w:val="left" w:pos="0"/>
        </w:tabs>
        <w:suppressAutoHyphens/>
        <w:ind w:left="5040" w:hanging="5040"/>
        <w:rPr>
          <w:sz w:val="22"/>
          <w:szCs w:val="22"/>
        </w:rPr>
      </w:pPr>
      <w:r>
        <w:rPr>
          <w:sz w:val="22"/>
          <w:szCs w:val="22"/>
        </w:rPr>
        <w:t>Jacksonville FL 32225</w:t>
      </w:r>
    </w:p>
    <w:p w:rsidR="00BD49B9" w:rsidP="00AE2429" w14:paraId="02FBA0C2" w14:textId="77777777">
      <w:pPr>
        <w:tabs>
          <w:tab w:val="left" w:pos="0"/>
        </w:tabs>
        <w:suppressAutoHyphens/>
        <w:ind w:left="5040" w:hanging="5040"/>
        <w:rPr>
          <w:sz w:val="22"/>
          <w:szCs w:val="22"/>
        </w:rPr>
      </w:pPr>
      <w:hyperlink r:id="rId6" w:history="1">
        <w:r w:rsidRPr="00D774C3">
          <w:rPr>
            <w:rStyle w:val="Hyperlink"/>
            <w:sz w:val="22"/>
            <w:szCs w:val="22"/>
          </w:rPr>
          <w:t>John@JWKingLaw.com</w:t>
        </w:r>
      </w:hyperlink>
    </w:p>
    <w:p w:rsidR="000C4FCC" w:rsidRPr="00A47BC0" w:rsidP="000C4FCC" w14:paraId="0A52DAA4" w14:textId="77777777">
      <w:pPr>
        <w:tabs>
          <w:tab w:val="left" w:pos="0"/>
          <w:tab w:val="left" w:pos="3600"/>
          <w:tab w:val="left" w:pos="3870"/>
          <w:tab w:val="left" w:pos="4500"/>
          <w:tab w:val="left" w:pos="4590"/>
        </w:tabs>
        <w:suppressAutoHyphens/>
        <w:ind w:left="5040" w:hanging="5040"/>
        <w:rPr>
          <w:b/>
          <w:sz w:val="22"/>
          <w:szCs w:val="22"/>
        </w:rPr>
      </w:pPr>
      <w:r w:rsidRPr="00A47BC0">
        <w:rPr>
          <w:sz w:val="22"/>
          <w:szCs w:val="22"/>
        </w:rPr>
        <w:tab/>
      </w:r>
      <w:r w:rsidRPr="00A47BC0" w:rsidR="0077726B">
        <w:rPr>
          <w:sz w:val="22"/>
          <w:szCs w:val="22"/>
        </w:rPr>
        <w:t>In re:</w:t>
      </w:r>
      <w:r w:rsidRPr="00A47BC0">
        <w:rPr>
          <w:sz w:val="22"/>
          <w:szCs w:val="22"/>
        </w:rPr>
        <w:tab/>
      </w:r>
      <w:r>
        <w:rPr>
          <w:b/>
          <w:sz w:val="22"/>
          <w:szCs w:val="22"/>
        </w:rPr>
        <w:t>WRIU(FM), Kingston, Rhode Island</w:t>
      </w:r>
    </w:p>
    <w:p w:rsidR="000C4FCC" w:rsidP="000C4FCC" w14:paraId="279A86D8" w14:textId="77777777">
      <w:pPr>
        <w:tabs>
          <w:tab w:val="left" w:pos="0"/>
          <w:tab w:val="left" w:pos="3870"/>
          <w:tab w:val="left" w:pos="4500"/>
          <w:tab w:val="left" w:pos="5310"/>
        </w:tabs>
        <w:suppressAutoHyphens/>
        <w:ind w:left="5040" w:hanging="5040"/>
        <w:rPr>
          <w:sz w:val="22"/>
          <w:szCs w:val="22"/>
        </w:rPr>
      </w:pPr>
      <w:r w:rsidRPr="00A47BC0">
        <w:rPr>
          <w:b/>
          <w:sz w:val="22"/>
          <w:szCs w:val="22"/>
        </w:rPr>
        <w:tab/>
      </w:r>
      <w:r w:rsidRPr="00A47BC0">
        <w:rPr>
          <w:b/>
          <w:sz w:val="22"/>
          <w:szCs w:val="22"/>
        </w:rPr>
        <w:tab/>
      </w:r>
      <w:r w:rsidRPr="00A47BC0">
        <w:rPr>
          <w:sz w:val="22"/>
          <w:szCs w:val="22"/>
        </w:rPr>
        <w:t>F</w:t>
      </w:r>
      <w:r>
        <w:rPr>
          <w:sz w:val="22"/>
          <w:szCs w:val="22"/>
        </w:rPr>
        <w:t>acility ID No. 69206</w:t>
      </w:r>
    </w:p>
    <w:p w:rsidR="000C4FCC" w:rsidP="0055182A" w14:paraId="6E33DEF4" w14:textId="77777777">
      <w:pPr>
        <w:tabs>
          <w:tab w:val="left" w:pos="0"/>
          <w:tab w:val="left" w:pos="3600"/>
          <w:tab w:val="left" w:pos="3870"/>
          <w:tab w:val="left" w:pos="4500"/>
          <w:tab w:val="left" w:pos="4590"/>
        </w:tabs>
        <w:suppressAutoHyphens/>
        <w:ind w:left="5040" w:hanging="5040"/>
        <w:rPr>
          <w:b/>
          <w:sz w:val="22"/>
          <w:szCs w:val="22"/>
        </w:rPr>
      </w:pPr>
      <w:r>
        <w:rPr>
          <w:b/>
          <w:sz w:val="22"/>
          <w:szCs w:val="22"/>
        </w:rPr>
        <w:tab/>
      </w:r>
      <w:r>
        <w:rPr>
          <w:b/>
          <w:sz w:val="22"/>
          <w:szCs w:val="22"/>
        </w:rPr>
        <w:tab/>
      </w:r>
      <w:r>
        <w:rPr>
          <w:b/>
          <w:sz w:val="22"/>
          <w:szCs w:val="22"/>
        </w:rPr>
        <w:tab/>
      </w:r>
    </w:p>
    <w:p w:rsidR="0077726B" w:rsidRPr="00A47BC0" w:rsidP="0055182A" w14:paraId="56FD2712" w14:textId="77777777">
      <w:pPr>
        <w:tabs>
          <w:tab w:val="left" w:pos="0"/>
          <w:tab w:val="left" w:pos="3600"/>
          <w:tab w:val="left" w:pos="3870"/>
          <w:tab w:val="left" w:pos="4500"/>
          <w:tab w:val="left" w:pos="4590"/>
        </w:tabs>
        <w:suppressAutoHyphens/>
        <w:ind w:left="5040" w:hanging="5040"/>
        <w:rPr>
          <w:b/>
          <w:sz w:val="22"/>
          <w:szCs w:val="22"/>
        </w:rPr>
      </w:pPr>
      <w:r>
        <w:rPr>
          <w:b/>
          <w:sz w:val="22"/>
          <w:szCs w:val="22"/>
        </w:rPr>
        <w:tab/>
      </w:r>
      <w:r>
        <w:rPr>
          <w:b/>
          <w:sz w:val="22"/>
          <w:szCs w:val="22"/>
        </w:rPr>
        <w:tab/>
      </w:r>
      <w:r>
        <w:rPr>
          <w:b/>
          <w:sz w:val="22"/>
          <w:szCs w:val="22"/>
        </w:rPr>
        <w:tab/>
      </w:r>
      <w:r w:rsidR="00C21838">
        <w:rPr>
          <w:b/>
          <w:sz w:val="22"/>
          <w:szCs w:val="22"/>
        </w:rPr>
        <w:t>WNPK(FM), Portsmouth, Rhode Island</w:t>
      </w:r>
    </w:p>
    <w:p w:rsidR="0077726B" w:rsidRPr="00A47BC0" w:rsidP="0055182A" w14:paraId="48D0B97A" w14:textId="77777777">
      <w:pPr>
        <w:tabs>
          <w:tab w:val="left" w:pos="0"/>
          <w:tab w:val="left" w:pos="3870"/>
          <w:tab w:val="left" w:pos="4500"/>
          <w:tab w:val="left" w:pos="5310"/>
        </w:tabs>
        <w:suppressAutoHyphens/>
        <w:ind w:left="5040" w:hanging="5040"/>
        <w:rPr>
          <w:sz w:val="22"/>
          <w:szCs w:val="22"/>
        </w:rPr>
      </w:pPr>
      <w:r w:rsidRPr="00A47BC0">
        <w:rPr>
          <w:b/>
          <w:sz w:val="22"/>
          <w:szCs w:val="22"/>
        </w:rPr>
        <w:tab/>
      </w:r>
      <w:r w:rsidRPr="00A47BC0" w:rsidR="0055182A">
        <w:rPr>
          <w:b/>
          <w:sz w:val="22"/>
          <w:szCs w:val="22"/>
        </w:rPr>
        <w:tab/>
      </w:r>
      <w:r w:rsidRPr="00A47BC0" w:rsidR="0055182A">
        <w:rPr>
          <w:sz w:val="22"/>
          <w:szCs w:val="22"/>
        </w:rPr>
        <w:t>F</w:t>
      </w:r>
      <w:r w:rsidR="00DE2509">
        <w:rPr>
          <w:sz w:val="22"/>
          <w:szCs w:val="22"/>
        </w:rPr>
        <w:t xml:space="preserve">acility ID No. </w:t>
      </w:r>
      <w:r w:rsidR="00C21838">
        <w:rPr>
          <w:sz w:val="22"/>
          <w:szCs w:val="22"/>
        </w:rPr>
        <w:t>53078</w:t>
      </w:r>
    </w:p>
    <w:p w:rsidR="000C4FCC" w:rsidP="000C4FCC" w14:paraId="0A68524B" w14:textId="77777777">
      <w:pPr>
        <w:tabs>
          <w:tab w:val="left" w:pos="0"/>
          <w:tab w:val="left" w:pos="3870"/>
          <w:tab w:val="left" w:pos="4500"/>
          <w:tab w:val="left" w:pos="4590"/>
        </w:tabs>
        <w:suppressAutoHyphens/>
        <w:ind w:left="5040" w:hanging="5040"/>
        <w:rPr>
          <w:sz w:val="22"/>
          <w:szCs w:val="22"/>
        </w:rPr>
      </w:pPr>
      <w:r w:rsidRPr="00A47BC0">
        <w:rPr>
          <w:sz w:val="22"/>
          <w:szCs w:val="22"/>
        </w:rPr>
        <w:tab/>
      </w:r>
      <w:r w:rsidRPr="00A47BC0" w:rsidR="0055182A">
        <w:rPr>
          <w:sz w:val="22"/>
          <w:szCs w:val="22"/>
        </w:rPr>
        <w:tab/>
      </w:r>
      <w:r w:rsidR="00973D47">
        <w:rPr>
          <w:sz w:val="22"/>
          <w:szCs w:val="22"/>
        </w:rPr>
        <w:t xml:space="preserve">Application </w:t>
      </w:r>
      <w:r w:rsidR="002B3101">
        <w:rPr>
          <w:sz w:val="22"/>
          <w:szCs w:val="22"/>
        </w:rPr>
        <w:t xml:space="preserve">File No. </w:t>
      </w:r>
      <w:r w:rsidR="00C21838">
        <w:rPr>
          <w:sz w:val="22"/>
          <w:szCs w:val="22"/>
        </w:rPr>
        <w:t>161410</w:t>
      </w:r>
    </w:p>
    <w:p w:rsidR="00201472" w:rsidP="00201472" w14:paraId="5F29B9F9" w14:textId="77777777">
      <w:pPr>
        <w:tabs>
          <w:tab w:val="left" w:pos="0"/>
          <w:tab w:val="left" w:pos="3870"/>
          <w:tab w:val="left" w:pos="4500"/>
          <w:tab w:val="left" w:pos="4590"/>
        </w:tabs>
        <w:suppressAutoHyphens/>
        <w:rPr>
          <w:b/>
          <w:bCs/>
          <w:sz w:val="22"/>
          <w:szCs w:val="22"/>
        </w:rPr>
      </w:pPr>
    </w:p>
    <w:p w:rsidR="00201472" w:rsidRPr="00BD49B9" w:rsidP="00201472" w14:paraId="5ED05E2C" w14:textId="77777777">
      <w:pPr>
        <w:tabs>
          <w:tab w:val="left" w:pos="0"/>
          <w:tab w:val="left" w:pos="3870"/>
          <w:tab w:val="left" w:pos="4500"/>
          <w:tab w:val="left" w:pos="4590"/>
        </w:tabs>
        <w:suppressAutoHyphens/>
        <w:ind w:left="5040" w:hanging="5040"/>
        <w:rPr>
          <w:b/>
          <w:bCs/>
          <w:sz w:val="22"/>
          <w:szCs w:val="22"/>
        </w:rPr>
      </w:pPr>
      <w:r>
        <w:rPr>
          <w:b/>
          <w:bCs/>
          <w:sz w:val="22"/>
          <w:szCs w:val="22"/>
        </w:rPr>
        <w:tab/>
      </w:r>
      <w:r>
        <w:rPr>
          <w:b/>
          <w:bCs/>
          <w:sz w:val="22"/>
          <w:szCs w:val="22"/>
        </w:rPr>
        <w:tab/>
        <w:t>Order to Show Cause</w:t>
      </w:r>
    </w:p>
    <w:p w:rsidR="0077726B" w:rsidRPr="00A47BC0" w:rsidP="00322124" w14:paraId="7AB99A38" w14:textId="77777777">
      <w:pPr>
        <w:tabs>
          <w:tab w:val="left" w:pos="0"/>
        </w:tabs>
        <w:suppressAutoHyphens/>
        <w:spacing w:after="120"/>
        <w:ind w:left="5040" w:hanging="5040"/>
        <w:rPr>
          <w:sz w:val="22"/>
          <w:szCs w:val="22"/>
        </w:rPr>
      </w:pPr>
      <w:r w:rsidRPr="00A47BC0">
        <w:rPr>
          <w:sz w:val="22"/>
          <w:szCs w:val="22"/>
        </w:rPr>
        <w:t xml:space="preserve">Dear </w:t>
      </w:r>
      <w:r w:rsidR="00C21838">
        <w:rPr>
          <w:sz w:val="22"/>
          <w:szCs w:val="22"/>
        </w:rPr>
        <w:t xml:space="preserve">Counsel: </w:t>
      </w:r>
    </w:p>
    <w:p w:rsidR="002D7AE6" w:rsidP="00322124" w14:paraId="3D5E4730" w14:textId="73AC0D7E">
      <w:pPr>
        <w:spacing w:after="120"/>
        <w:ind w:firstLine="720"/>
        <w:rPr>
          <w:sz w:val="22"/>
          <w:szCs w:val="22"/>
        </w:rPr>
      </w:pPr>
      <w:r w:rsidRPr="00A47BC0">
        <w:rPr>
          <w:sz w:val="22"/>
          <w:szCs w:val="22"/>
        </w:rPr>
        <w:t>We ha</w:t>
      </w:r>
      <w:r w:rsidR="00D2152C">
        <w:rPr>
          <w:sz w:val="22"/>
          <w:szCs w:val="22"/>
        </w:rPr>
        <w:t>ve before us the above-referenced</w:t>
      </w:r>
      <w:r w:rsidRPr="00A47BC0">
        <w:rPr>
          <w:sz w:val="22"/>
          <w:szCs w:val="22"/>
        </w:rPr>
        <w:t xml:space="preserve"> </w:t>
      </w:r>
      <w:r w:rsidR="00D2152C">
        <w:rPr>
          <w:sz w:val="22"/>
          <w:szCs w:val="22"/>
        </w:rPr>
        <w:t>application</w:t>
      </w:r>
      <w:r w:rsidR="00C1679F">
        <w:rPr>
          <w:sz w:val="22"/>
          <w:szCs w:val="22"/>
        </w:rPr>
        <w:t xml:space="preserve"> (Application)</w:t>
      </w:r>
      <w:r w:rsidR="00D2152C">
        <w:rPr>
          <w:sz w:val="22"/>
          <w:szCs w:val="22"/>
        </w:rPr>
        <w:t xml:space="preserve"> for </w:t>
      </w:r>
      <w:r w:rsidR="00C21838">
        <w:rPr>
          <w:sz w:val="22"/>
          <w:szCs w:val="22"/>
        </w:rPr>
        <w:t xml:space="preserve">a minor modification of the facilities of </w:t>
      </w:r>
      <w:r w:rsidR="00A17D37">
        <w:rPr>
          <w:sz w:val="22"/>
          <w:szCs w:val="22"/>
        </w:rPr>
        <w:t xml:space="preserve">noncommercial educational (NCE) </w:t>
      </w:r>
      <w:r w:rsidR="000B6DDB">
        <w:rPr>
          <w:sz w:val="22"/>
          <w:szCs w:val="22"/>
        </w:rPr>
        <w:t xml:space="preserve">station </w:t>
      </w:r>
      <w:r w:rsidR="00C21838">
        <w:rPr>
          <w:sz w:val="22"/>
          <w:szCs w:val="22"/>
        </w:rPr>
        <w:t>WNPK(FM), Portsmouth, Rhode Island (WNPK</w:t>
      </w:r>
      <w:r w:rsidR="00B57806">
        <w:rPr>
          <w:sz w:val="22"/>
          <w:szCs w:val="22"/>
        </w:rPr>
        <w:t xml:space="preserve"> or Station</w:t>
      </w:r>
      <w:r w:rsidR="00C21838">
        <w:rPr>
          <w:sz w:val="22"/>
          <w:szCs w:val="22"/>
        </w:rPr>
        <w:t>)</w:t>
      </w:r>
      <w:r w:rsidR="00C1679F">
        <w:rPr>
          <w:sz w:val="22"/>
          <w:szCs w:val="22"/>
        </w:rPr>
        <w:t xml:space="preserve">, </w:t>
      </w:r>
      <w:r w:rsidR="00D2152C">
        <w:rPr>
          <w:sz w:val="22"/>
          <w:szCs w:val="22"/>
        </w:rPr>
        <w:t xml:space="preserve">filed by </w:t>
      </w:r>
      <w:r w:rsidR="00C21838">
        <w:rPr>
          <w:sz w:val="22"/>
          <w:szCs w:val="22"/>
        </w:rPr>
        <w:t>Rhode Island Public Radio</w:t>
      </w:r>
      <w:r w:rsidR="00A17D37">
        <w:rPr>
          <w:sz w:val="22"/>
          <w:szCs w:val="22"/>
        </w:rPr>
        <w:t xml:space="preserve"> d/b/a The Public’s Radio</w:t>
      </w:r>
      <w:r w:rsidR="00C21838">
        <w:rPr>
          <w:sz w:val="22"/>
          <w:szCs w:val="22"/>
        </w:rPr>
        <w:t xml:space="preserve"> (</w:t>
      </w:r>
      <w:r w:rsidR="00A17D37">
        <w:rPr>
          <w:sz w:val="22"/>
          <w:szCs w:val="22"/>
        </w:rPr>
        <w:t>TPR</w:t>
      </w:r>
      <w:r w:rsidR="00BC095C">
        <w:rPr>
          <w:sz w:val="22"/>
          <w:szCs w:val="22"/>
        </w:rPr>
        <w:t>)</w:t>
      </w:r>
      <w:r w:rsidR="002B3101">
        <w:rPr>
          <w:sz w:val="22"/>
          <w:szCs w:val="22"/>
        </w:rPr>
        <w:t xml:space="preserve"> on </w:t>
      </w:r>
      <w:r w:rsidR="00507694">
        <w:rPr>
          <w:sz w:val="22"/>
          <w:szCs w:val="22"/>
        </w:rPr>
        <w:t>September 30, 2021</w:t>
      </w:r>
      <w:r w:rsidR="00C1679F">
        <w:rPr>
          <w:sz w:val="22"/>
          <w:szCs w:val="22"/>
        </w:rPr>
        <w:t>.</w:t>
      </w:r>
      <w:r w:rsidRPr="00A47BC0" w:rsidR="001B3DF1">
        <w:rPr>
          <w:sz w:val="22"/>
          <w:szCs w:val="22"/>
        </w:rPr>
        <w:t xml:space="preserve">  </w:t>
      </w:r>
      <w:r w:rsidR="00A17D37">
        <w:rPr>
          <w:sz w:val="22"/>
          <w:szCs w:val="22"/>
        </w:rPr>
        <w:t>In the Application, TPR requests waiver of section 73.509</w:t>
      </w:r>
      <w:r w:rsidR="00B57806">
        <w:rPr>
          <w:sz w:val="22"/>
          <w:szCs w:val="22"/>
        </w:rPr>
        <w:t>(a)</w:t>
      </w:r>
      <w:r w:rsidR="00A17D37">
        <w:rPr>
          <w:sz w:val="22"/>
          <w:szCs w:val="22"/>
        </w:rPr>
        <w:t xml:space="preserve"> of the Commission’s rules </w:t>
      </w:r>
      <w:r w:rsidR="00B57806">
        <w:rPr>
          <w:sz w:val="22"/>
          <w:szCs w:val="22"/>
        </w:rPr>
        <w:t>(Rules)</w:t>
      </w:r>
      <w:r>
        <w:rPr>
          <w:rStyle w:val="FootnoteReference"/>
          <w:sz w:val="22"/>
          <w:szCs w:val="22"/>
        </w:rPr>
        <w:footnoteReference w:id="2"/>
      </w:r>
      <w:r w:rsidR="00B57806">
        <w:rPr>
          <w:sz w:val="22"/>
          <w:szCs w:val="22"/>
        </w:rPr>
        <w:t xml:space="preserve"> </w:t>
      </w:r>
      <w:r w:rsidR="00A17D37">
        <w:rPr>
          <w:sz w:val="22"/>
          <w:szCs w:val="22"/>
        </w:rPr>
        <w:t>to allow otherwise prohibited contour overlap with second-adjacent channel NCE station WRIU(FM), Kingston, Rhode Island (WRIU)</w:t>
      </w:r>
      <w:r w:rsidR="00227BD8">
        <w:rPr>
          <w:sz w:val="22"/>
          <w:szCs w:val="22"/>
        </w:rPr>
        <w:t>.</w:t>
      </w:r>
      <w:r w:rsidR="00C1679F">
        <w:rPr>
          <w:sz w:val="22"/>
          <w:szCs w:val="22"/>
        </w:rPr>
        <w:t xml:space="preserve"> </w:t>
      </w:r>
      <w:r w:rsidR="00227BD8">
        <w:rPr>
          <w:sz w:val="22"/>
          <w:szCs w:val="22"/>
        </w:rPr>
        <w:t xml:space="preserve"> </w:t>
      </w:r>
      <w:r w:rsidR="00A17D37">
        <w:rPr>
          <w:sz w:val="22"/>
          <w:szCs w:val="22"/>
        </w:rPr>
        <w:t>The University of Rhode Island (URI), licensee of WRIU, filed an informal objection to the Application on May 11, 2022 (</w:t>
      </w:r>
      <w:r w:rsidR="00973D47">
        <w:rPr>
          <w:sz w:val="22"/>
          <w:szCs w:val="22"/>
        </w:rPr>
        <w:t>Objection).</w:t>
      </w:r>
      <w:r>
        <w:rPr>
          <w:rStyle w:val="FootnoteReference"/>
          <w:sz w:val="22"/>
          <w:szCs w:val="22"/>
        </w:rPr>
        <w:footnoteReference w:id="3"/>
      </w:r>
      <w:r w:rsidR="00973D47">
        <w:rPr>
          <w:sz w:val="22"/>
          <w:szCs w:val="22"/>
        </w:rPr>
        <w:t xml:space="preserve">  </w:t>
      </w:r>
      <w:r w:rsidR="00235E4A">
        <w:rPr>
          <w:sz w:val="22"/>
          <w:szCs w:val="22"/>
        </w:rPr>
        <w:t>In accordance with</w:t>
      </w:r>
      <w:r w:rsidR="009B2E57">
        <w:rPr>
          <w:sz w:val="22"/>
          <w:szCs w:val="22"/>
        </w:rPr>
        <w:t xml:space="preserve"> s</w:t>
      </w:r>
      <w:r w:rsidRPr="00A435D5" w:rsidR="009B2E57">
        <w:rPr>
          <w:sz w:val="22"/>
          <w:szCs w:val="22"/>
        </w:rPr>
        <w:t>ection 316(a) of the Communications Act of 1934, as amended</w:t>
      </w:r>
      <w:r w:rsidR="009B2E57">
        <w:rPr>
          <w:sz w:val="22"/>
          <w:szCs w:val="22"/>
        </w:rPr>
        <w:t xml:space="preserve"> (Act)</w:t>
      </w:r>
      <w:r w:rsidRPr="00A435D5" w:rsidR="009B2E57">
        <w:rPr>
          <w:sz w:val="22"/>
          <w:szCs w:val="22"/>
        </w:rPr>
        <w:t>,</w:t>
      </w:r>
      <w:r w:rsidR="009B2E57">
        <w:rPr>
          <w:sz w:val="22"/>
          <w:szCs w:val="22"/>
        </w:rPr>
        <w:t xml:space="preserve"> </w:t>
      </w:r>
      <w:r w:rsidR="000C4FCC">
        <w:rPr>
          <w:sz w:val="22"/>
          <w:szCs w:val="22"/>
        </w:rPr>
        <w:t xml:space="preserve">we hereby </w:t>
      </w:r>
      <w:r w:rsidR="00180759">
        <w:rPr>
          <w:sz w:val="22"/>
          <w:szCs w:val="22"/>
        </w:rPr>
        <w:t>notif</w:t>
      </w:r>
      <w:r w:rsidR="000C4FCC">
        <w:rPr>
          <w:sz w:val="22"/>
          <w:szCs w:val="22"/>
        </w:rPr>
        <w:t>y</w:t>
      </w:r>
      <w:r w:rsidRPr="00347BFF" w:rsidR="00201472">
        <w:rPr>
          <w:sz w:val="22"/>
          <w:szCs w:val="22"/>
        </w:rPr>
        <w:t xml:space="preserve"> </w:t>
      </w:r>
      <w:r w:rsidR="00201472">
        <w:rPr>
          <w:sz w:val="22"/>
          <w:szCs w:val="22"/>
        </w:rPr>
        <w:t>URI of our proposed actions</w:t>
      </w:r>
      <w:r w:rsidR="00C4576A">
        <w:rPr>
          <w:sz w:val="22"/>
          <w:szCs w:val="22"/>
        </w:rPr>
        <w:t xml:space="preserve"> </w:t>
      </w:r>
      <w:r w:rsidR="00201472">
        <w:rPr>
          <w:sz w:val="22"/>
          <w:szCs w:val="22"/>
        </w:rPr>
        <w:t xml:space="preserve">and afford </w:t>
      </w:r>
      <w:r w:rsidR="009B2E57">
        <w:rPr>
          <w:sz w:val="22"/>
          <w:szCs w:val="22"/>
        </w:rPr>
        <w:t xml:space="preserve">it </w:t>
      </w:r>
      <w:r w:rsidR="00C4576A">
        <w:rPr>
          <w:sz w:val="22"/>
          <w:szCs w:val="22"/>
        </w:rPr>
        <w:t>30 days to</w:t>
      </w:r>
      <w:r w:rsidR="00201472">
        <w:rPr>
          <w:sz w:val="22"/>
          <w:szCs w:val="22"/>
        </w:rPr>
        <w:t xml:space="preserve"> respond.</w:t>
      </w:r>
      <w:r>
        <w:rPr>
          <w:rStyle w:val="FootnoteReference"/>
          <w:sz w:val="22"/>
          <w:szCs w:val="22"/>
        </w:rPr>
        <w:footnoteReference w:id="4"/>
      </w:r>
      <w:r w:rsidR="00201472">
        <w:rPr>
          <w:sz w:val="22"/>
          <w:szCs w:val="22"/>
        </w:rPr>
        <w:t xml:space="preserve"> </w:t>
      </w:r>
    </w:p>
    <w:p w:rsidR="00352B23" w:rsidP="00352B23" w14:paraId="64DDC531" w14:textId="13FF6AB0">
      <w:pPr>
        <w:spacing w:after="120"/>
        <w:ind w:firstLine="720"/>
        <w:rPr>
          <w:sz w:val="22"/>
          <w:szCs w:val="22"/>
        </w:rPr>
      </w:pPr>
      <w:r>
        <w:rPr>
          <w:sz w:val="22"/>
          <w:szCs w:val="22"/>
        </w:rPr>
        <w:t xml:space="preserve">URI </w:t>
      </w:r>
      <w:r w:rsidR="00180759">
        <w:rPr>
          <w:sz w:val="22"/>
          <w:szCs w:val="22"/>
        </w:rPr>
        <w:t>relocated</w:t>
      </w:r>
      <w:r>
        <w:rPr>
          <w:sz w:val="22"/>
          <w:szCs w:val="22"/>
        </w:rPr>
        <w:t xml:space="preserve"> the WRIU transmitter to </w:t>
      </w:r>
      <w:r w:rsidR="003E65F7">
        <w:rPr>
          <w:sz w:val="22"/>
          <w:szCs w:val="22"/>
        </w:rPr>
        <w:t>its</w:t>
      </w:r>
      <w:r>
        <w:rPr>
          <w:sz w:val="22"/>
          <w:szCs w:val="22"/>
        </w:rPr>
        <w:t xml:space="preserve"> present </w:t>
      </w:r>
      <w:r w:rsidR="00180759">
        <w:rPr>
          <w:sz w:val="22"/>
          <w:szCs w:val="22"/>
        </w:rPr>
        <w:t>site</w:t>
      </w:r>
      <w:r w:rsidR="00F057F7">
        <w:rPr>
          <w:sz w:val="22"/>
          <w:szCs w:val="22"/>
        </w:rPr>
        <w:t xml:space="preserve"> in 1981,</w:t>
      </w:r>
      <w:r>
        <w:rPr>
          <w:sz w:val="22"/>
          <w:szCs w:val="22"/>
        </w:rPr>
        <w:t xml:space="preserve"> </w:t>
      </w:r>
      <w:r w:rsidR="003E65F7">
        <w:rPr>
          <w:sz w:val="22"/>
          <w:szCs w:val="22"/>
        </w:rPr>
        <w:t xml:space="preserve">where it </w:t>
      </w:r>
      <w:r w:rsidR="00CA4B14">
        <w:rPr>
          <w:sz w:val="22"/>
          <w:szCs w:val="22"/>
        </w:rPr>
        <w:t>receive</w:t>
      </w:r>
      <w:r w:rsidR="00682734">
        <w:rPr>
          <w:sz w:val="22"/>
          <w:szCs w:val="22"/>
        </w:rPr>
        <w:t>d</w:t>
      </w:r>
      <w:r w:rsidR="000C4FCC">
        <w:rPr>
          <w:sz w:val="22"/>
          <w:szCs w:val="22"/>
        </w:rPr>
        <w:t xml:space="preserve">, </w:t>
      </w:r>
      <w:r w:rsidR="00682734">
        <w:rPr>
          <w:sz w:val="22"/>
          <w:szCs w:val="22"/>
        </w:rPr>
        <w:t>and continues to receive</w:t>
      </w:r>
      <w:r w:rsidR="000C4FCC">
        <w:rPr>
          <w:sz w:val="22"/>
          <w:szCs w:val="22"/>
        </w:rPr>
        <w:t xml:space="preserve">, </w:t>
      </w:r>
      <w:r w:rsidR="00A37794">
        <w:rPr>
          <w:sz w:val="22"/>
          <w:szCs w:val="22"/>
        </w:rPr>
        <w:t>prohibited</w:t>
      </w:r>
      <w:r w:rsidR="00401227">
        <w:rPr>
          <w:sz w:val="22"/>
          <w:szCs w:val="22"/>
        </w:rPr>
        <w:t xml:space="preserve"> </w:t>
      </w:r>
      <w:r>
        <w:rPr>
          <w:sz w:val="22"/>
          <w:szCs w:val="22"/>
        </w:rPr>
        <w:t>contour overlap from WNPK</w:t>
      </w:r>
      <w:r w:rsidR="00682734">
        <w:rPr>
          <w:sz w:val="22"/>
          <w:szCs w:val="22"/>
        </w:rPr>
        <w:t xml:space="preserve"> </w:t>
      </w:r>
      <w:r w:rsidR="00B10672">
        <w:rPr>
          <w:sz w:val="22"/>
          <w:szCs w:val="22"/>
        </w:rPr>
        <w:t>(formerly WJHD)</w:t>
      </w:r>
      <w:r w:rsidR="00F057F7">
        <w:rPr>
          <w:sz w:val="22"/>
          <w:szCs w:val="22"/>
        </w:rPr>
        <w:t xml:space="preserve"> </w:t>
      </w:r>
      <w:r w:rsidR="0034760B">
        <w:rPr>
          <w:sz w:val="22"/>
          <w:szCs w:val="22"/>
        </w:rPr>
        <w:t>pursuant to a pre-</w:t>
      </w:r>
      <w:r w:rsidR="0034760B">
        <w:rPr>
          <w:i/>
          <w:iCs/>
          <w:sz w:val="22"/>
          <w:szCs w:val="22"/>
        </w:rPr>
        <w:t xml:space="preserve">Raleigh </w:t>
      </w:r>
      <w:r w:rsidR="00D3786D">
        <w:rPr>
          <w:sz w:val="22"/>
          <w:szCs w:val="22"/>
        </w:rPr>
        <w:t xml:space="preserve">section 509(a) </w:t>
      </w:r>
      <w:r w:rsidR="0034760B">
        <w:rPr>
          <w:sz w:val="22"/>
          <w:szCs w:val="22"/>
        </w:rPr>
        <w:t>waiver</w:t>
      </w:r>
      <w:r>
        <w:rPr>
          <w:sz w:val="22"/>
          <w:szCs w:val="22"/>
        </w:rPr>
        <w:t>.</w:t>
      </w:r>
      <w:r>
        <w:rPr>
          <w:rStyle w:val="FootnoteReference"/>
          <w:sz w:val="22"/>
          <w:szCs w:val="22"/>
        </w:rPr>
        <w:footnoteReference w:id="5"/>
      </w:r>
      <w:r>
        <w:rPr>
          <w:sz w:val="22"/>
          <w:szCs w:val="22"/>
        </w:rPr>
        <w:t xml:space="preserve">  </w:t>
      </w:r>
      <w:r w:rsidR="002F22FE">
        <w:rPr>
          <w:sz w:val="22"/>
          <w:szCs w:val="22"/>
        </w:rPr>
        <w:t xml:space="preserve">In November 2021, </w:t>
      </w:r>
      <w:r w:rsidR="00B57806">
        <w:rPr>
          <w:sz w:val="22"/>
          <w:szCs w:val="22"/>
        </w:rPr>
        <w:t>TPR acquired WNPK</w:t>
      </w:r>
      <w:r>
        <w:rPr>
          <w:rStyle w:val="FootnoteReference"/>
          <w:sz w:val="22"/>
          <w:szCs w:val="22"/>
        </w:rPr>
        <w:footnoteReference w:id="6"/>
      </w:r>
      <w:r w:rsidR="00B57806">
        <w:rPr>
          <w:sz w:val="22"/>
          <w:szCs w:val="22"/>
        </w:rPr>
        <w:t xml:space="preserve"> </w:t>
      </w:r>
      <w:r w:rsidR="003658B9">
        <w:rPr>
          <w:sz w:val="22"/>
          <w:szCs w:val="22"/>
        </w:rPr>
        <w:t>and</w:t>
      </w:r>
      <w:r w:rsidR="009A1C8A">
        <w:rPr>
          <w:sz w:val="22"/>
          <w:szCs w:val="22"/>
        </w:rPr>
        <w:t xml:space="preserve"> filed the Application, seeking authorization </w:t>
      </w:r>
      <w:r w:rsidR="003658B9">
        <w:rPr>
          <w:sz w:val="22"/>
          <w:szCs w:val="22"/>
        </w:rPr>
        <w:t>to move the Station off the Portsmouth Abbey School campus</w:t>
      </w:r>
      <w:r w:rsidR="00B57806">
        <w:rPr>
          <w:sz w:val="22"/>
          <w:szCs w:val="22"/>
        </w:rPr>
        <w:t>.</w:t>
      </w:r>
      <w:r>
        <w:rPr>
          <w:rStyle w:val="FootnoteReference"/>
          <w:sz w:val="22"/>
          <w:szCs w:val="22"/>
        </w:rPr>
        <w:footnoteReference w:id="7"/>
      </w:r>
      <w:r w:rsidR="005C717C">
        <w:rPr>
          <w:sz w:val="22"/>
          <w:szCs w:val="22"/>
        </w:rPr>
        <w:t xml:space="preserve">  </w:t>
      </w:r>
      <w:r w:rsidR="0076150F">
        <w:rPr>
          <w:sz w:val="22"/>
          <w:szCs w:val="22"/>
        </w:rPr>
        <w:t>The</w:t>
      </w:r>
      <w:r w:rsidR="0080255C">
        <w:rPr>
          <w:sz w:val="22"/>
          <w:szCs w:val="22"/>
        </w:rPr>
        <w:t xml:space="preserve"> </w:t>
      </w:r>
      <w:r w:rsidR="002F22FE">
        <w:rPr>
          <w:sz w:val="22"/>
          <w:szCs w:val="22"/>
        </w:rPr>
        <w:t xml:space="preserve">proposed </w:t>
      </w:r>
      <w:r w:rsidR="00272F76">
        <w:rPr>
          <w:sz w:val="22"/>
          <w:szCs w:val="22"/>
        </w:rPr>
        <w:t xml:space="preserve">WNPK </w:t>
      </w:r>
      <w:r w:rsidR="002F22FE">
        <w:rPr>
          <w:sz w:val="22"/>
          <w:szCs w:val="22"/>
        </w:rPr>
        <w:t xml:space="preserve">facility </w:t>
      </w:r>
      <w:r w:rsidR="00A37794">
        <w:rPr>
          <w:sz w:val="22"/>
          <w:szCs w:val="22"/>
        </w:rPr>
        <w:t>violates</w:t>
      </w:r>
      <w:r w:rsidR="0076150F">
        <w:rPr>
          <w:sz w:val="22"/>
          <w:szCs w:val="22"/>
        </w:rPr>
        <w:t xml:space="preserve"> section 73.509(a) with respect to WRIU</w:t>
      </w:r>
      <w:r w:rsidR="00272F76">
        <w:rPr>
          <w:sz w:val="22"/>
          <w:szCs w:val="22"/>
        </w:rPr>
        <w:t xml:space="preserve"> because</w:t>
      </w:r>
      <w:r w:rsidR="0076150F">
        <w:rPr>
          <w:sz w:val="22"/>
          <w:szCs w:val="22"/>
        </w:rPr>
        <w:t xml:space="preserve"> it</w:t>
      </w:r>
      <w:r w:rsidR="00345541">
        <w:rPr>
          <w:sz w:val="22"/>
          <w:szCs w:val="22"/>
        </w:rPr>
        <w:t xml:space="preserve"> would</w:t>
      </w:r>
      <w:r w:rsidR="000711C7">
        <w:rPr>
          <w:sz w:val="22"/>
          <w:szCs w:val="22"/>
        </w:rPr>
        <w:t>: (1)</w:t>
      </w:r>
      <w:r w:rsidR="0076150F">
        <w:rPr>
          <w:sz w:val="22"/>
          <w:szCs w:val="22"/>
        </w:rPr>
        <w:t xml:space="preserve"> </w:t>
      </w:r>
      <w:r w:rsidR="00F057F7">
        <w:rPr>
          <w:sz w:val="22"/>
          <w:szCs w:val="22"/>
        </w:rPr>
        <w:t>increase and move the existing</w:t>
      </w:r>
      <w:r w:rsidR="00A37794">
        <w:rPr>
          <w:sz w:val="22"/>
          <w:szCs w:val="22"/>
        </w:rPr>
        <w:t xml:space="preserve"> area of </w:t>
      </w:r>
      <w:r w:rsidR="00874AD7">
        <w:rPr>
          <w:sz w:val="22"/>
          <w:szCs w:val="22"/>
        </w:rPr>
        <w:t xml:space="preserve">contour overlap caused by WNPK </w:t>
      </w:r>
      <w:r w:rsidR="00F057F7">
        <w:rPr>
          <w:sz w:val="22"/>
          <w:szCs w:val="22"/>
        </w:rPr>
        <w:t xml:space="preserve">to </w:t>
      </w:r>
      <w:r w:rsidR="00874AD7">
        <w:rPr>
          <w:sz w:val="22"/>
          <w:szCs w:val="22"/>
        </w:rPr>
        <w:t xml:space="preserve">WRIU </w:t>
      </w:r>
      <w:r w:rsidR="0076150F">
        <w:rPr>
          <w:sz w:val="22"/>
          <w:szCs w:val="22"/>
        </w:rPr>
        <w:t>(Caused Overlap Area)</w:t>
      </w:r>
      <w:r w:rsidR="000711C7">
        <w:rPr>
          <w:sz w:val="22"/>
          <w:szCs w:val="22"/>
        </w:rPr>
        <w:t>;</w:t>
      </w:r>
      <w:r w:rsidR="0076150F">
        <w:rPr>
          <w:sz w:val="22"/>
          <w:szCs w:val="22"/>
        </w:rPr>
        <w:t xml:space="preserve"> and </w:t>
      </w:r>
      <w:r w:rsidR="000711C7">
        <w:rPr>
          <w:sz w:val="22"/>
          <w:szCs w:val="22"/>
        </w:rPr>
        <w:t xml:space="preserve">(2) </w:t>
      </w:r>
      <w:r w:rsidR="0076150F">
        <w:rPr>
          <w:sz w:val="22"/>
          <w:szCs w:val="22"/>
        </w:rPr>
        <w:t xml:space="preserve">create a new area of contour overlap received </w:t>
      </w:r>
      <w:r w:rsidR="00874AD7">
        <w:rPr>
          <w:sz w:val="22"/>
          <w:szCs w:val="22"/>
        </w:rPr>
        <w:t>by</w:t>
      </w:r>
      <w:r w:rsidR="0076150F">
        <w:rPr>
          <w:sz w:val="22"/>
          <w:szCs w:val="22"/>
        </w:rPr>
        <w:t xml:space="preserve"> WNPK </w:t>
      </w:r>
      <w:r w:rsidR="00F057F7">
        <w:rPr>
          <w:sz w:val="22"/>
          <w:szCs w:val="22"/>
        </w:rPr>
        <w:t xml:space="preserve">from WRIU </w:t>
      </w:r>
      <w:r w:rsidR="0076150F">
        <w:rPr>
          <w:sz w:val="22"/>
          <w:szCs w:val="22"/>
        </w:rPr>
        <w:t>(Received Overlap Area).</w:t>
      </w:r>
      <w:r>
        <w:rPr>
          <w:rStyle w:val="FootnoteReference"/>
          <w:sz w:val="22"/>
          <w:szCs w:val="22"/>
        </w:rPr>
        <w:footnoteReference w:id="8"/>
      </w:r>
      <w:r w:rsidR="0076150F">
        <w:rPr>
          <w:sz w:val="22"/>
          <w:szCs w:val="22"/>
        </w:rPr>
        <w:t xml:space="preserve">  </w:t>
      </w:r>
      <w:r w:rsidR="003303B0">
        <w:rPr>
          <w:sz w:val="22"/>
          <w:szCs w:val="22"/>
        </w:rPr>
        <w:t xml:space="preserve">Therefore, TPR requests waivers of section 73.509(a) to </w:t>
      </w:r>
      <w:r w:rsidR="00F057F7">
        <w:rPr>
          <w:sz w:val="22"/>
          <w:szCs w:val="22"/>
        </w:rPr>
        <w:t xml:space="preserve">both </w:t>
      </w:r>
      <w:r w:rsidR="003303B0">
        <w:rPr>
          <w:sz w:val="22"/>
          <w:szCs w:val="22"/>
        </w:rPr>
        <w:t>cause and receive prohibited overlap with WRIU.</w:t>
      </w:r>
      <w:r>
        <w:rPr>
          <w:rStyle w:val="FootnoteReference"/>
          <w:sz w:val="22"/>
          <w:szCs w:val="22"/>
        </w:rPr>
        <w:footnoteReference w:id="9"/>
      </w:r>
    </w:p>
    <w:p w:rsidR="00352B23" w:rsidP="00352B23" w14:paraId="2AE2D0F4" w14:textId="567D4033">
      <w:pPr>
        <w:spacing w:after="120"/>
        <w:ind w:firstLine="720"/>
        <w:rPr>
          <w:sz w:val="22"/>
          <w:szCs w:val="22"/>
        </w:rPr>
      </w:pPr>
      <w:r>
        <w:rPr>
          <w:sz w:val="22"/>
          <w:szCs w:val="22"/>
        </w:rPr>
        <w:t>T</w:t>
      </w:r>
      <w:r w:rsidRPr="00F81B8C">
        <w:rPr>
          <w:sz w:val="22"/>
          <w:szCs w:val="22"/>
        </w:rPr>
        <w:t>he Commis</w:t>
      </w:r>
      <w:r>
        <w:rPr>
          <w:sz w:val="22"/>
          <w:szCs w:val="22"/>
        </w:rPr>
        <w:t xml:space="preserve">sion's rules may be waived </w:t>
      </w:r>
      <w:r w:rsidRPr="00F81B8C">
        <w:rPr>
          <w:sz w:val="22"/>
          <w:szCs w:val="22"/>
        </w:rPr>
        <w:t>for good cause shown.</w:t>
      </w:r>
      <w:bookmarkStart w:id="0" w:name="a0d3g7u0u4_ref"/>
      <w:bookmarkStart w:id="1" w:name="a0d3g7u0u4_reffirst_footref"/>
      <w:bookmarkEnd w:id="0"/>
      <w:bookmarkEnd w:id="1"/>
      <w:r>
        <w:rPr>
          <w:rStyle w:val="FootnoteReference"/>
          <w:sz w:val="22"/>
          <w:szCs w:val="22"/>
        </w:rPr>
        <w:footnoteReference w:id="10"/>
      </w:r>
      <w:r w:rsidRPr="00F81B8C">
        <w:rPr>
          <w:sz w:val="22"/>
          <w:szCs w:val="22"/>
        </w:rPr>
        <w:t xml:space="preserve">  </w:t>
      </w:r>
      <w:r w:rsidRPr="00D13BB7">
        <w:rPr>
          <w:sz w:val="22"/>
          <w:szCs w:val="22"/>
        </w:rPr>
        <w:t xml:space="preserve">When an applicant seeks waiver of a rule, </w:t>
      </w:r>
      <w:r>
        <w:rPr>
          <w:sz w:val="22"/>
          <w:szCs w:val="22"/>
        </w:rPr>
        <w:t>it must</w:t>
      </w:r>
      <w:r w:rsidRPr="00D13BB7">
        <w:rPr>
          <w:sz w:val="22"/>
          <w:szCs w:val="22"/>
        </w:rPr>
        <w:t xml:space="preserve"> plead with particularity the facts and circumstances which warrant such action.</w:t>
      </w:r>
      <w:bookmarkStart w:id="2" w:name="a0c5d2g7f7_ref"/>
      <w:bookmarkStart w:id="3" w:name="a0c5d2g7f7_reffirst_footref"/>
      <w:bookmarkEnd w:id="2"/>
      <w:bookmarkEnd w:id="3"/>
      <w:r>
        <w:rPr>
          <w:rStyle w:val="FootnoteReference"/>
          <w:sz w:val="22"/>
          <w:szCs w:val="22"/>
        </w:rPr>
        <w:footnoteReference w:id="11"/>
      </w:r>
      <w:r w:rsidRPr="00D13BB7">
        <w:rPr>
          <w:sz w:val="22"/>
          <w:szCs w:val="22"/>
        </w:rPr>
        <w:t xml:space="preserve"> </w:t>
      </w:r>
      <w:r>
        <w:rPr>
          <w:sz w:val="22"/>
          <w:szCs w:val="22"/>
        </w:rPr>
        <w:t xml:space="preserve"> </w:t>
      </w:r>
      <w:r w:rsidRPr="00F81B8C">
        <w:rPr>
          <w:sz w:val="22"/>
          <w:szCs w:val="22"/>
        </w:rPr>
        <w:t xml:space="preserve">The Commission must give </w:t>
      </w:r>
      <w:bookmarkStart w:id="4" w:name="ctx36"/>
      <w:bookmarkEnd w:id="4"/>
      <w:r w:rsidRPr="00F81B8C" w:rsidR="00F9326D">
        <w:rPr>
          <w:noProof/>
          <w:color w:val="0000FF"/>
          <w:sz w:val="22"/>
          <w:szCs w:val="22"/>
        </w:rPr>
        <w:drawing>
          <wp:inline distT="0" distB="0" distL="0" distR="0">
            <wp:extent cx="11430" cy="11430"/>
            <wp:effectExtent l="0" t="0" r="0" b="0"/>
            <wp:docPr id="7" name="Picture 3" descr="previous hit">
              <a:hlinkClick xmlns:a="http://schemas.openxmlformats.org/drawingml/2006/main" xmlns:r="http://schemas.openxmlformats.org/officeDocument/2006/relationships"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previous hit"/>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0" cy="11430"/>
                    </a:xfrm>
                    <a:prstGeom prst="rect">
                      <a:avLst/>
                    </a:prstGeom>
                    <a:noFill/>
                    <a:ln>
                      <a:noFill/>
                    </a:ln>
                  </pic:spPr>
                </pic:pic>
              </a:graphicData>
            </a:graphic>
          </wp:inline>
        </w:drawing>
      </w:r>
      <w:r w:rsidRPr="00F81B8C">
        <w:rPr>
          <w:sz w:val="22"/>
          <w:szCs w:val="22"/>
        </w:rPr>
        <w:t>waiver</w:t>
      </w:r>
      <w:r w:rsidRPr="00F81B8C" w:rsidR="00F9326D">
        <w:rPr>
          <w:noProof/>
          <w:color w:val="0000FF"/>
          <w:sz w:val="22"/>
          <w:szCs w:val="22"/>
        </w:rPr>
        <w:drawing>
          <wp:inline distT="0" distB="0" distL="0" distR="0">
            <wp:extent cx="11430" cy="11430"/>
            <wp:effectExtent l="0" t="0" r="0" b="0"/>
            <wp:docPr id="1" name="Picture 4" descr="next hit">
              <a:hlinkClick xmlns:a="http://schemas.openxmlformats.org/drawingml/2006/main" xmlns:r="http://schemas.openxmlformats.org/officeDocument/2006/relationships"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next hit"/>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0" cy="11430"/>
                    </a:xfrm>
                    <a:prstGeom prst="rect">
                      <a:avLst/>
                    </a:prstGeom>
                    <a:noFill/>
                    <a:ln>
                      <a:noFill/>
                    </a:ln>
                  </pic:spPr>
                </pic:pic>
              </a:graphicData>
            </a:graphic>
          </wp:inline>
        </w:drawing>
      </w:r>
      <w:r w:rsidRPr="00F81B8C">
        <w:rPr>
          <w:sz w:val="22"/>
          <w:szCs w:val="22"/>
        </w:rPr>
        <w:t xml:space="preserve"> requests “a hard look,” but an applicant for </w:t>
      </w:r>
      <w:bookmarkStart w:id="5" w:name="ctx37"/>
      <w:bookmarkEnd w:id="5"/>
      <w:r w:rsidRPr="00F81B8C" w:rsidR="00F9326D">
        <w:rPr>
          <w:noProof/>
          <w:color w:val="0000FF"/>
          <w:sz w:val="22"/>
          <w:szCs w:val="22"/>
        </w:rPr>
        <w:drawing>
          <wp:inline distT="0" distB="0" distL="0" distR="0">
            <wp:extent cx="11430" cy="11430"/>
            <wp:effectExtent l="0" t="0" r="0" b="0"/>
            <wp:docPr id="2" name="Picture 5" descr="previous hit">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previous hit"/>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0" cy="11430"/>
                    </a:xfrm>
                    <a:prstGeom prst="rect">
                      <a:avLst/>
                    </a:prstGeom>
                    <a:noFill/>
                    <a:ln>
                      <a:noFill/>
                    </a:ln>
                  </pic:spPr>
                </pic:pic>
              </a:graphicData>
            </a:graphic>
          </wp:inline>
        </w:drawing>
      </w:r>
      <w:r w:rsidRPr="00F81B8C">
        <w:rPr>
          <w:sz w:val="22"/>
          <w:szCs w:val="22"/>
        </w:rPr>
        <w:t>waiver</w:t>
      </w:r>
      <w:r w:rsidRPr="00F81B8C" w:rsidR="00F9326D">
        <w:rPr>
          <w:noProof/>
          <w:color w:val="0000FF"/>
          <w:sz w:val="22"/>
          <w:szCs w:val="22"/>
        </w:rPr>
        <w:drawing>
          <wp:inline distT="0" distB="0" distL="0" distR="0">
            <wp:extent cx="11430" cy="11430"/>
            <wp:effectExtent l="0" t="0" r="0" b="0"/>
            <wp:docPr id="3" name="Picture 6" descr="next hit">
              <a:hlinkClick xmlns:a="http://schemas.openxmlformats.org/drawingml/2006/main" xmlns:r="http://schemas.openxmlformats.org/officeDocument/2006/relationships"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next hit"/>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0" cy="11430"/>
                    </a:xfrm>
                    <a:prstGeom prst="rect">
                      <a:avLst/>
                    </a:prstGeom>
                    <a:noFill/>
                    <a:ln>
                      <a:noFill/>
                    </a:ln>
                  </pic:spPr>
                </pic:pic>
              </a:graphicData>
            </a:graphic>
          </wp:inline>
        </w:drawing>
      </w:r>
      <w:r w:rsidRPr="00F81B8C">
        <w:rPr>
          <w:sz w:val="22"/>
          <w:szCs w:val="22"/>
        </w:rPr>
        <w:t xml:space="preserve"> “faces a high hurdle even at the starting gate”</w:t>
      </w:r>
      <w:bookmarkStart w:id="6" w:name="a0d3g7u0u8_ref"/>
      <w:bookmarkStart w:id="7" w:name="a0d3g7u0u8_reffirst_footref"/>
      <w:bookmarkEnd w:id="6"/>
      <w:bookmarkEnd w:id="7"/>
      <w:r>
        <w:rPr>
          <w:rStyle w:val="FootnoteReference"/>
          <w:sz w:val="22"/>
          <w:szCs w:val="22"/>
        </w:rPr>
        <w:footnoteReference w:id="12"/>
      </w:r>
      <w:r w:rsidRPr="00F81B8C">
        <w:rPr>
          <w:sz w:val="22"/>
          <w:szCs w:val="22"/>
        </w:rPr>
        <w:t xml:space="preserve"> and must support its </w:t>
      </w:r>
      <w:bookmarkStart w:id="8" w:name="ctx38"/>
      <w:bookmarkEnd w:id="8"/>
      <w:r w:rsidRPr="00F81B8C" w:rsidR="00F9326D">
        <w:rPr>
          <w:noProof/>
          <w:color w:val="0000FF"/>
          <w:sz w:val="22"/>
          <w:szCs w:val="22"/>
        </w:rPr>
        <w:drawing>
          <wp:inline distT="0" distB="0" distL="0" distR="0">
            <wp:extent cx="11430" cy="11430"/>
            <wp:effectExtent l="0" t="0" r="0" b="0"/>
            <wp:docPr id="4" name="Picture 7" descr="previous hit">
              <a:hlinkClick xmlns:a="http://schemas.openxmlformats.org/drawingml/2006/main" xmlns:r="http://schemas.openxmlformats.org/officeDocument/2006/relationships"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previous hit"/>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0" cy="11430"/>
                    </a:xfrm>
                    <a:prstGeom prst="rect">
                      <a:avLst/>
                    </a:prstGeom>
                    <a:noFill/>
                    <a:ln>
                      <a:noFill/>
                    </a:ln>
                  </pic:spPr>
                </pic:pic>
              </a:graphicData>
            </a:graphic>
          </wp:inline>
        </w:drawing>
      </w:r>
      <w:r w:rsidRPr="00F81B8C">
        <w:rPr>
          <w:sz w:val="22"/>
          <w:szCs w:val="22"/>
        </w:rPr>
        <w:t>waiver</w:t>
      </w:r>
      <w:r w:rsidRPr="00F81B8C" w:rsidR="00F9326D">
        <w:rPr>
          <w:noProof/>
          <w:color w:val="0000FF"/>
          <w:sz w:val="22"/>
          <w:szCs w:val="22"/>
        </w:rPr>
        <w:drawing>
          <wp:inline distT="0" distB="0" distL="0" distR="0">
            <wp:extent cx="11430" cy="11430"/>
            <wp:effectExtent l="0" t="0" r="0" b="0"/>
            <wp:docPr id="5" name="Picture 8" descr="next hit">
              <a:hlinkClick xmlns:a="http://schemas.openxmlformats.org/drawingml/2006/main" xmlns:r="http://schemas.openxmlformats.org/officeDocument/2006/relationships"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next hit"/>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0" cy="11430"/>
                    </a:xfrm>
                    <a:prstGeom prst="rect">
                      <a:avLst/>
                    </a:prstGeom>
                    <a:noFill/>
                    <a:ln>
                      <a:noFill/>
                    </a:ln>
                  </pic:spPr>
                </pic:pic>
              </a:graphicData>
            </a:graphic>
          </wp:inline>
        </w:drawing>
      </w:r>
      <w:r w:rsidRPr="00F81B8C">
        <w:rPr>
          <w:sz w:val="22"/>
          <w:szCs w:val="22"/>
        </w:rPr>
        <w:t xml:space="preserve"> request with a compelling showing.</w:t>
      </w:r>
      <w:bookmarkStart w:id="9" w:name="a0d3g7u0v0_ref"/>
      <w:bookmarkStart w:id="10" w:name="a0d3g7u0v0_reffirst_footref"/>
      <w:bookmarkEnd w:id="9"/>
      <w:bookmarkEnd w:id="10"/>
      <w:r>
        <w:rPr>
          <w:rStyle w:val="FootnoteReference"/>
          <w:sz w:val="22"/>
          <w:szCs w:val="22"/>
        </w:rPr>
        <w:footnoteReference w:id="13"/>
      </w:r>
      <w:bookmarkStart w:id="11" w:name="ctx39"/>
      <w:bookmarkEnd w:id="11"/>
      <w:r w:rsidRPr="00F81B8C">
        <w:rPr>
          <w:sz w:val="22"/>
          <w:szCs w:val="22"/>
        </w:rPr>
        <w:t xml:space="preserve">  </w:t>
      </w:r>
      <w:r>
        <w:rPr>
          <w:sz w:val="22"/>
          <w:szCs w:val="22"/>
        </w:rPr>
        <w:t xml:space="preserve">Waiver is </w:t>
      </w:r>
      <w:r>
        <w:rPr>
          <w:sz w:val="22"/>
          <w:szCs w:val="22"/>
        </w:rPr>
        <w:t>appropriate only if both (1</w:t>
      </w:r>
      <w:r w:rsidRPr="00F81B8C">
        <w:rPr>
          <w:sz w:val="22"/>
          <w:szCs w:val="22"/>
        </w:rPr>
        <w:t>) special circumstances warrant a deviatio</w:t>
      </w:r>
      <w:r>
        <w:rPr>
          <w:sz w:val="22"/>
          <w:szCs w:val="22"/>
        </w:rPr>
        <w:t>n from the general rule, and (2</w:t>
      </w:r>
      <w:r w:rsidRPr="00F81B8C">
        <w:rPr>
          <w:sz w:val="22"/>
          <w:szCs w:val="22"/>
        </w:rPr>
        <w:t>) such deviation better serves the public interest.</w:t>
      </w:r>
      <w:r>
        <w:rPr>
          <w:rStyle w:val="FootnoteReference"/>
          <w:sz w:val="22"/>
          <w:szCs w:val="22"/>
        </w:rPr>
        <w:footnoteReference w:id="14"/>
      </w:r>
      <w:r w:rsidRPr="00F81B8C">
        <w:rPr>
          <w:sz w:val="22"/>
          <w:szCs w:val="22"/>
        </w:rPr>
        <w:t xml:space="preserve">  </w:t>
      </w:r>
    </w:p>
    <w:p w:rsidR="00F1795E" w:rsidP="00874AD7" w14:paraId="2A1A0375" w14:textId="2466C6EA">
      <w:pPr>
        <w:spacing w:after="120"/>
        <w:ind w:firstLine="720"/>
        <w:rPr>
          <w:sz w:val="22"/>
          <w:szCs w:val="22"/>
        </w:rPr>
      </w:pPr>
      <w:r>
        <w:rPr>
          <w:i/>
          <w:iCs/>
          <w:sz w:val="22"/>
          <w:szCs w:val="22"/>
        </w:rPr>
        <w:t xml:space="preserve">Raleigh </w:t>
      </w:r>
      <w:r w:rsidRPr="006747E4">
        <w:rPr>
          <w:i/>
          <w:iCs/>
          <w:sz w:val="22"/>
          <w:szCs w:val="22"/>
        </w:rPr>
        <w:t>waiver request</w:t>
      </w:r>
      <w:r>
        <w:rPr>
          <w:sz w:val="22"/>
          <w:szCs w:val="22"/>
        </w:rPr>
        <w:t xml:space="preserve">.  </w:t>
      </w:r>
      <w:r w:rsidR="00A37794">
        <w:rPr>
          <w:sz w:val="22"/>
          <w:szCs w:val="22"/>
        </w:rPr>
        <w:t xml:space="preserve">With respect to the Received Overlap Area, TPR requests </w:t>
      </w:r>
      <w:r w:rsidR="00272F76">
        <w:rPr>
          <w:sz w:val="22"/>
          <w:szCs w:val="22"/>
        </w:rPr>
        <w:t xml:space="preserve">a </w:t>
      </w:r>
      <w:r w:rsidR="0096231A">
        <w:rPr>
          <w:sz w:val="22"/>
          <w:szCs w:val="22"/>
        </w:rPr>
        <w:t xml:space="preserve">so-called </w:t>
      </w:r>
      <w:r w:rsidR="00272F76">
        <w:rPr>
          <w:i/>
          <w:iCs/>
          <w:sz w:val="22"/>
          <w:szCs w:val="22"/>
        </w:rPr>
        <w:t xml:space="preserve">Raleigh </w:t>
      </w:r>
      <w:r w:rsidR="00272F76">
        <w:rPr>
          <w:sz w:val="22"/>
          <w:szCs w:val="22"/>
        </w:rPr>
        <w:t>waiver to allow WNPK</w:t>
      </w:r>
      <w:r w:rsidR="00A37794">
        <w:rPr>
          <w:sz w:val="22"/>
          <w:szCs w:val="22"/>
        </w:rPr>
        <w:t xml:space="preserve"> to receive</w:t>
      </w:r>
      <w:r w:rsidR="00272F76">
        <w:rPr>
          <w:sz w:val="22"/>
          <w:szCs w:val="22"/>
        </w:rPr>
        <w:t xml:space="preserve">—not cause—contour </w:t>
      </w:r>
      <w:r w:rsidR="00A37794">
        <w:rPr>
          <w:sz w:val="22"/>
          <w:szCs w:val="22"/>
        </w:rPr>
        <w:t>overlap from second</w:t>
      </w:r>
      <w:r w:rsidR="00272F76">
        <w:rPr>
          <w:sz w:val="22"/>
          <w:szCs w:val="22"/>
        </w:rPr>
        <w:t>-</w:t>
      </w:r>
      <w:r w:rsidR="00A37794">
        <w:rPr>
          <w:sz w:val="22"/>
          <w:szCs w:val="22"/>
        </w:rPr>
        <w:t>adjacent channel station</w:t>
      </w:r>
      <w:r w:rsidR="00272F76">
        <w:rPr>
          <w:sz w:val="22"/>
          <w:szCs w:val="22"/>
        </w:rPr>
        <w:t xml:space="preserve"> WRIU</w:t>
      </w:r>
      <w:r w:rsidR="00A37794">
        <w:rPr>
          <w:sz w:val="22"/>
          <w:szCs w:val="22"/>
        </w:rPr>
        <w:t>.</w:t>
      </w:r>
      <w:r>
        <w:rPr>
          <w:rStyle w:val="FootnoteReference"/>
          <w:sz w:val="22"/>
          <w:szCs w:val="22"/>
        </w:rPr>
        <w:footnoteReference w:id="15"/>
      </w:r>
      <w:r w:rsidR="00A37794">
        <w:rPr>
          <w:sz w:val="22"/>
          <w:szCs w:val="22"/>
        </w:rPr>
        <w:t xml:space="preserve">  </w:t>
      </w:r>
      <w:r w:rsidR="00352B23">
        <w:rPr>
          <w:sz w:val="22"/>
          <w:szCs w:val="22"/>
        </w:rPr>
        <w:t xml:space="preserve">The Commission has held that a </w:t>
      </w:r>
      <w:r w:rsidR="00352B23">
        <w:rPr>
          <w:i/>
          <w:sz w:val="22"/>
          <w:szCs w:val="22"/>
        </w:rPr>
        <w:t xml:space="preserve">Raleigh </w:t>
      </w:r>
      <w:r w:rsidR="00352B23">
        <w:rPr>
          <w:sz w:val="22"/>
          <w:szCs w:val="22"/>
        </w:rPr>
        <w:t xml:space="preserve">waiver is justified where an NCE station seeks to: (1) receive overlap from (2) second- or third- adjacent channel stations, and (3) the </w:t>
      </w:r>
      <w:r w:rsidRPr="006D2306" w:rsidR="00352B23">
        <w:rPr>
          <w:sz w:val="22"/>
          <w:szCs w:val="22"/>
        </w:rPr>
        <w:t xml:space="preserve">benefit of increased </w:t>
      </w:r>
      <w:r w:rsidR="00352B23">
        <w:rPr>
          <w:sz w:val="22"/>
          <w:szCs w:val="22"/>
        </w:rPr>
        <w:t xml:space="preserve">NCE service </w:t>
      </w:r>
      <w:r w:rsidRPr="006D2306" w:rsidR="00352B23">
        <w:rPr>
          <w:sz w:val="22"/>
          <w:szCs w:val="22"/>
        </w:rPr>
        <w:t>heavily outweighs the potential for</w:t>
      </w:r>
      <w:r w:rsidR="00352B23">
        <w:rPr>
          <w:sz w:val="22"/>
          <w:szCs w:val="22"/>
        </w:rPr>
        <w:t xml:space="preserve"> </w:t>
      </w:r>
      <w:r w:rsidRPr="006D2306" w:rsidR="00352B23">
        <w:rPr>
          <w:sz w:val="22"/>
          <w:szCs w:val="22"/>
        </w:rPr>
        <w:t xml:space="preserve">interference in </w:t>
      </w:r>
      <w:r w:rsidR="00352B23">
        <w:rPr>
          <w:sz w:val="22"/>
          <w:szCs w:val="22"/>
        </w:rPr>
        <w:t xml:space="preserve">a </w:t>
      </w:r>
      <w:r w:rsidRPr="006D2306" w:rsidR="00352B23">
        <w:rPr>
          <w:sz w:val="22"/>
          <w:szCs w:val="22"/>
        </w:rPr>
        <w:t>very small area.</w:t>
      </w:r>
      <w:r>
        <w:rPr>
          <w:rStyle w:val="FootnoteReference"/>
          <w:sz w:val="22"/>
          <w:szCs w:val="22"/>
        </w:rPr>
        <w:footnoteReference w:id="16"/>
      </w:r>
      <w:r w:rsidR="00352B23">
        <w:rPr>
          <w:sz w:val="22"/>
          <w:szCs w:val="22"/>
        </w:rPr>
        <w:t xml:space="preserve">  </w:t>
      </w:r>
      <w:r w:rsidRPr="001E19C5" w:rsidR="001E19C5">
        <w:rPr>
          <w:sz w:val="22"/>
          <w:szCs w:val="22"/>
        </w:rPr>
        <w:t>The Commission has delegated authority to the Bureau to waive </w:t>
      </w:r>
      <w:r w:rsidRPr="001178A7" w:rsidR="001E19C5">
        <w:rPr>
          <w:sz w:val="22"/>
          <w:szCs w:val="22"/>
        </w:rPr>
        <w:t>Section 73.509</w:t>
      </w:r>
      <w:r w:rsidRPr="001E19C5" w:rsidR="001E19C5">
        <w:rPr>
          <w:sz w:val="22"/>
          <w:szCs w:val="22"/>
        </w:rPr>
        <w:t> when </w:t>
      </w:r>
      <w:r w:rsidR="001E19C5">
        <w:rPr>
          <w:sz w:val="22"/>
          <w:szCs w:val="22"/>
        </w:rPr>
        <w:t xml:space="preserve">the </w:t>
      </w:r>
      <w:r w:rsidRPr="001E19C5" w:rsidR="001E19C5">
        <w:rPr>
          <w:sz w:val="22"/>
          <w:szCs w:val="22"/>
        </w:rPr>
        <w:t>overlap received is 10</w:t>
      </w:r>
      <w:r w:rsidR="00CF65D7">
        <w:rPr>
          <w:sz w:val="22"/>
          <w:szCs w:val="22"/>
        </w:rPr>
        <w:t xml:space="preserve">% </w:t>
      </w:r>
      <w:r w:rsidRPr="001E19C5" w:rsidR="001E19C5">
        <w:rPr>
          <w:sz w:val="22"/>
          <w:szCs w:val="22"/>
        </w:rPr>
        <w:t>or less of the proposed service area.</w:t>
      </w:r>
      <w:r>
        <w:rPr>
          <w:rStyle w:val="FootnoteReference"/>
          <w:sz w:val="22"/>
          <w:szCs w:val="22"/>
        </w:rPr>
        <w:footnoteReference w:id="17"/>
      </w:r>
      <w:r w:rsidRPr="001E19C5" w:rsidR="001E19C5">
        <w:rPr>
          <w:sz w:val="22"/>
          <w:szCs w:val="22"/>
        </w:rPr>
        <w:t> </w:t>
      </w:r>
      <w:r w:rsidR="001E19C5">
        <w:rPr>
          <w:sz w:val="22"/>
          <w:szCs w:val="22"/>
        </w:rPr>
        <w:t xml:space="preserve"> </w:t>
      </w:r>
      <w:r w:rsidR="00352B23">
        <w:rPr>
          <w:sz w:val="22"/>
          <w:szCs w:val="22"/>
        </w:rPr>
        <w:t xml:space="preserve">Granting waivers </w:t>
      </w:r>
      <w:r w:rsidRPr="00CF65D7" w:rsidR="00352B23">
        <w:rPr>
          <w:sz w:val="22"/>
          <w:szCs w:val="22"/>
        </w:rPr>
        <w:t xml:space="preserve">in these limited circumstances provides flexibility for NCE stations to modify their service areas while protecting existing service from interference.  </w:t>
      </w:r>
    </w:p>
    <w:p w:rsidR="0096231A" w:rsidRPr="00F1795E" w:rsidP="00874AD7" w14:paraId="5A76E68C" w14:textId="389A23C7">
      <w:pPr>
        <w:spacing w:after="120"/>
        <w:ind w:firstLine="720"/>
        <w:rPr>
          <w:sz w:val="22"/>
          <w:szCs w:val="22"/>
        </w:rPr>
      </w:pPr>
      <w:r>
        <w:rPr>
          <w:sz w:val="22"/>
          <w:szCs w:val="22"/>
        </w:rPr>
        <w:t xml:space="preserve">When a station receives a </w:t>
      </w:r>
      <w:r>
        <w:rPr>
          <w:i/>
          <w:iCs/>
          <w:sz w:val="22"/>
          <w:szCs w:val="22"/>
        </w:rPr>
        <w:t xml:space="preserve">Raleigh </w:t>
      </w:r>
      <w:r>
        <w:rPr>
          <w:sz w:val="22"/>
          <w:szCs w:val="22"/>
        </w:rPr>
        <w:t xml:space="preserve">waiver, it routinely accepts a condition on its license acknowledging that </w:t>
      </w:r>
      <w:r w:rsidRPr="000711C7">
        <w:rPr>
          <w:sz w:val="22"/>
          <w:szCs w:val="22"/>
        </w:rPr>
        <w:t xml:space="preserve">future modifications to </w:t>
      </w:r>
      <w:r>
        <w:rPr>
          <w:sz w:val="22"/>
          <w:szCs w:val="22"/>
        </w:rPr>
        <w:t xml:space="preserve">the station causing the overlap </w:t>
      </w:r>
      <w:r w:rsidRPr="000711C7">
        <w:rPr>
          <w:sz w:val="22"/>
          <w:szCs w:val="22"/>
        </w:rPr>
        <w:t xml:space="preserve">will not constitute a per se modification of </w:t>
      </w:r>
      <w:r w:rsidR="00D902D2">
        <w:rPr>
          <w:sz w:val="22"/>
          <w:szCs w:val="22"/>
        </w:rPr>
        <w:t>the receiving station’s</w:t>
      </w:r>
      <w:r w:rsidRPr="000711C7">
        <w:rPr>
          <w:sz w:val="22"/>
          <w:szCs w:val="22"/>
        </w:rPr>
        <w:t xml:space="preserve"> license.</w:t>
      </w:r>
      <w:r>
        <w:rPr>
          <w:rStyle w:val="FootnoteReference"/>
          <w:sz w:val="22"/>
          <w:szCs w:val="22"/>
        </w:rPr>
        <w:footnoteReference w:id="18"/>
      </w:r>
      <w:r>
        <w:rPr>
          <w:sz w:val="22"/>
          <w:szCs w:val="22"/>
        </w:rPr>
        <w:t xml:space="preserve">  The rationale for this condition is “to avoid perpetually restricting such stations [causing interference] to their current facilities.”</w:t>
      </w:r>
      <w:r>
        <w:rPr>
          <w:rStyle w:val="FootnoteReference"/>
          <w:sz w:val="22"/>
          <w:szCs w:val="22"/>
        </w:rPr>
        <w:footnoteReference w:id="19"/>
      </w:r>
      <w:r>
        <w:rPr>
          <w:sz w:val="22"/>
          <w:szCs w:val="22"/>
        </w:rPr>
        <w:t xml:space="preserve">  </w:t>
      </w:r>
      <w:bookmarkStart w:id="12" w:name="_Hlk125648140"/>
      <w:r w:rsidR="00D902D2">
        <w:rPr>
          <w:sz w:val="22"/>
          <w:szCs w:val="22"/>
        </w:rPr>
        <w:t xml:space="preserve">The </w:t>
      </w:r>
      <w:r w:rsidR="007D0C30">
        <w:rPr>
          <w:sz w:val="22"/>
          <w:szCs w:val="22"/>
        </w:rPr>
        <w:t>condition</w:t>
      </w:r>
      <w:r w:rsidR="00D902D2">
        <w:rPr>
          <w:sz w:val="22"/>
          <w:szCs w:val="22"/>
        </w:rPr>
        <w:t xml:space="preserve"> does not limit the size or location of </w:t>
      </w:r>
      <w:r w:rsidR="00D3786D">
        <w:rPr>
          <w:sz w:val="22"/>
          <w:szCs w:val="22"/>
        </w:rPr>
        <w:t>any</w:t>
      </w:r>
      <w:r w:rsidR="00D902D2">
        <w:rPr>
          <w:sz w:val="22"/>
          <w:szCs w:val="22"/>
        </w:rPr>
        <w:t xml:space="preserve"> </w:t>
      </w:r>
      <w:r w:rsidR="00D3786D">
        <w:rPr>
          <w:sz w:val="22"/>
          <w:szCs w:val="22"/>
        </w:rPr>
        <w:t xml:space="preserve">future </w:t>
      </w:r>
      <w:r w:rsidR="00D902D2">
        <w:rPr>
          <w:sz w:val="22"/>
          <w:szCs w:val="22"/>
        </w:rPr>
        <w:t xml:space="preserve">modified caused overlap area.  </w:t>
      </w:r>
      <w:bookmarkEnd w:id="12"/>
    </w:p>
    <w:p w:rsidR="00874AD7" w:rsidRPr="00CF65D7" w:rsidP="00874AD7" w14:paraId="1E7774C2" w14:textId="2DBD0E64">
      <w:pPr>
        <w:spacing w:after="120"/>
        <w:ind w:firstLine="720"/>
        <w:rPr>
          <w:sz w:val="22"/>
          <w:szCs w:val="22"/>
        </w:rPr>
      </w:pPr>
      <w:r w:rsidRPr="00CF65D7">
        <w:rPr>
          <w:sz w:val="22"/>
          <w:szCs w:val="22"/>
        </w:rPr>
        <w:t>Here</w:t>
      </w:r>
      <w:r w:rsidRPr="00CF65D7" w:rsidR="00397F47">
        <w:rPr>
          <w:sz w:val="22"/>
          <w:szCs w:val="22"/>
        </w:rPr>
        <w:t xml:space="preserve">, TPR states that the proposed modification will increase </w:t>
      </w:r>
      <w:r w:rsidRPr="00CF65D7" w:rsidR="006E3904">
        <w:rPr>
          <w:sz w:val="22"/>
          <w:szCs w:val="22"/>
        </w:rPr>
        <w:t>WNPK</w:t>
      </w:r>
      <w:r w:rsidRPr="00CF65D7" w:rsidR="00397F47">
        <w:rPr>
          <w:sz w:val="22"/>
          <w:szCs w:val="22"/>
        </w:rPr>
        <w:t>’s coverage area by 338.4%, from 232.1 square kilometers to 1017.6 square kilometers, and</w:t>
      </w:r>
      <w:r w:rsidRPr="00CF65D7" w:rsidR="006E3904">
        <w:rPr>
          <w:sz w:val="22"/>
          <w:szCs w:val="22"/>
        </w:rPr>
        <w:t xml:space="preserve"> will</w:t>
      </w:r>
      <w:r w:rsidRPr="00CF65D7" w:rsidR="00397F47">
        <w:rPr>
          <w:sz w:val="22"/>
          <w:szCs w:val="22"/>
        </w:rPr>
        <w:t xml:space="preserve"> provide service to an additional population of 105,222 persons within its 60 </w:t>
      </w:r>
      <w:r w:rsidRPr="00CF65D7" w:rsidR="00397F47">
        <w:rPr>
          <w:sz w:val="22"/>
          <w:szCs w:val="22"/>
        </w:rPr>
        <w:t>dBμ</w:t>
      </w:r>
      <w:r w:rsidRPr="00CF65D7" w:rsidR="00397F47">
        <w:rPr>
          <w:sz w:val="22"/>
          <w:szCs w:val="22"/>
        </w:rPr>
        <w:t xml:space="preserve"> contour (a 297.4% increase in population served).</w:t>
      </w:r>
      <w:r>
        <w:rPr>
          <w:rStyle w:val="FootnoteReference"/>
          <w:sz w:val="22"/>
          <w:szCs w:val="22"/>
        </w:rPr>
        <w:footnoteReference w:id="20"/>
      </w:r>
      <w:r w:rsidRPr="00CF65D7" w:rsidR="00397F47">
        <w:rPr>
          <w:sz w:val="22"/>
          <w:szCs w:val="22"/>
        </w:rPr>
        <w:t xml:space="preserve">  TPR also states that: (1) the proposed area of received overlap from WRIU is 21.1 square kilometers, or 2.07% of the total area and 4.65% of the population served by the proposed </w:t>
      </w:r>
      <w:r w:rsidRPr="00CF65D7" w:rsidR="006E3904">
        <w:rPr>
          <w:sz w:val="22"/>
          <w:szCs w:val="22"/>
        </w:rPr>
        <w:t xml:space="preserve">WNPK </w:t>
      </w:r>
      <w:r w:rsidRPr="00CF65D7" w:rsidR="00397F47">
        <w:rPr>
          <w:sz w:val="22"/>
          <w:szCs w:val="22"/>
        </w:rPr>
        <w:t>facilit</w:t>
      </w:r>
      <w:r w:rsidRPr="00CF65D7" w:rsidR="006E3904">
        <w:rPr>
          <w:sz w:val="22"/>
          <w:szCs w:val="22"/>
        </w:rPr>
        <w:t>y</w:t>
      </w:r>
      <w:r w:rsidRPr="00CF65D7" w:rsidR="00397F47">
        <w:rPr>
          <w:sz w:val="22"/>
          <w:szCs w:val="22"/>
        </w:rPr>
        <w:t>.</w:t>
      </w:r>
      <w:r>
        <w:rPr>
          <w:rStyle w:val="FootnoteReference"/>
          <w:sz w:val="22"/>
          <w:szCs w:val="22"/>
        </w:rPr>
        <w:footnoteReference w:id="21"/>
      </w:r>
      <w:r w:rsidRPr="00CF65D7" w:rsidR="00397F47">
        <w:rPr>
          <w:sz w:val="22"/>
          <w:szCs w:val="22"/>
        </w:rPr>
        <w:t xml:space="preserve"> </w:t>
      </w:r>
      <w:r w:rsidRPr="00CF65D7" w:rsidR="00B23105">
        <w:rPr>
          <w:sz w:val="22"/>
          <w:szCs w:val="22"/>
        </w:rPr>
        <w:t xml:space="preserve"> </w:t>
      </w:r>
      <w:r w:rsidRPr="00CF65D7" w:rsidR="00397F47">
        <w:rPr>
          <w:sz w:val="22"/>
          <w:szCs w:val="22"/>
        </w:rPr>
        <w:t>Finally, TPR contends that there are no alternative transmitter sites that do not result in the same contour overlap issue</w:t>
      </w:r>
      <w:r w:rsidRPr="00CF65D7" w:rsidR="006E3904">
        <w:rPr>
          <w:sz w:val="22"/>
          <w:szCs w:val="22"/>
        </w:rPr>
        <w:t xml:space="preserve"> or</w:t>
      </w:r>
      <w:r w:rsidRPr="00CF65D7" w:rsidR="00397F47">
        <w:rPr>
          <w:sz w:val="22"/>
          <w:szCs w:val="22"/>
        </w:rPr>
        <w:t xml:space="preserve"> “are unsuitable for other reasons.”</w:t>
      </w:r>
      <w:r>
        <w:rPr>
          <w:rStyle w:val="FootnoteReference"/>
          <w:sz w:val="22"/>
          <w:szCs w:val="22"/>
        </w:rPr>
        <w:footnoteReference w:id="22"/>
      </w:r>
      <w:r w:rsidRPr="00CF65D7" w:rsidR="00397F47">
        <w:rPr>
          <w:sz w:val="22"/>
          <w:szCs w:val="22"/>
        </w:rPr>
        <w:t xml:space="preserve">  In these circumstances, TPR concludes, the</w:t>
      </w:r>
      <w:r w:rsidRPr="00CF65D7" w:rsidR="00C66B5A">
        <w:rPr>
          <w:sz w:val="22"/>
          <w:szCs w:val="22"/>
        </w:rPr>
        <w:t xml:space="preserve"> basic</w:t>
      </w:r>
      <w:r w:rsidRPr="00CF65D7" w:rsidR="00397F47">
        <w:rPr>
          <w:sz w:val="22"/>
          <w:szCs w:val="22"/>
        </w:rPr>
        <w:t xml:space="preserve"> requirements for a </w:t>
      </w:r>
      <w:r w:rsidRPr="00CF65D7" w:rsidR="00397F47">
        <w:rPr>
          <w:i/>
          <w:sz w:val="22"/>
          <w:szCs w:val="22"/>
        </w:rPr>
        <w:t xml:space="preserve">Raleigh </w:t>
      </w:r>
      <w:r w:rsidRPr="00CF65D7" w:rsidR="00397F47">
        <w:rPr>
          <w:sz w:val="22"/>
          <w:szCs w:val="22"/>
        </w:rPr>
        <w:t>waiver are met</w:t>
      </w:r>
      <w:r w:rsidRPr="00CF65D7" w:rsidR="00BC0838">
        <w:rPr>
          <w:sz w:val="22"/>
          <w:szCs w:val="22"/>
        </w:rPr>
        <w:t>—</w:t>
      </w:r>
      <w:r w:rsidRPr="00CF65D7" w:rsidR="0085401A">
        <w:rPr>
          <w:sz w:val="22"/>
          <w:szCs w:val="22"/>
        </w:rPr>
        <w:t xml:space="preserve">i.e., </w:t>
      </w:r>
      <w:r w:rsidRPr="00CF65D7" w:rsidR="00BC0838">
        <w:rPr>
          <w:sz w:val="22"/>
          <w:szCs w:val="22"/>
        </w:rPr>
        <w:t xml:space="preserve">the proposed increase in NCE service would heavily outweigh the potential for </w:t>
      </w:r>
      <w:r w:rsidRPr="00CF65D7" w:rsidR="0085401A">
        <w:rPr>
          <w:sz w:val="22"/>
          <w:szCs w:val="22"/>
        </w:rPr>
        <w:t xml:space="preserve">second-adjacent channel </w:t>
      </w:r>
      <w:r w:rsidRPr="00CF65D7" w:rsidR="00BC0838">
        <w:rPr>
          <w:sz w:val="22"/>
          <w:szCs w:val="22"/>
        </w:rPr>
        <w:t>interference in a very small area</w:t>
      </w:r>
      <w:r w:rsidRPr="00CF65D7" w:rsidR="00397F47">
        <w:rPr>
          <w:sz w:val="22"/>
          <w:szCs w:val="22"/>
        </w:rPr>
        <w:t>.</w:t>
      </w:r>
    </w:p>
    <w:p w:rsidR="00A73CBB" w:rsidP="001A13B5" w14:paraId="67C6FF88" w14:textId="063FA07F">
      <w:pPr>
        <w:spacing w:after="120"/>
        <w:ind w:firstLine="720"/>
        <w:rPr>
          <w:sz w:val="22"/>
          <w:szCs w:val="22"/>
        </w:rPr>
      </w:pPr>
      <w:r>
        <w:rPr>
          <w:i/>
          <w:iCs/>
          <w:sz w:val="22"/>
          <w:szCs w:val="22"/>
        </w:rPr>
        <w:t xml:space="preserve">Caused overlap waiver.  </w:t>
      </w:r>
      <w:r w:rsidR="00F9326D">
        <w:rPr>
          <w:sz w:val="22"/>
          <w:szCs w:val="22"/>
        </w:rPr>
        <w:t xml:space="preserve">In addition to the </w:t>
      </w:r>
      <w:r w:rsidR="00F9326D">
        <w:rPr>
          <w:i/>
          <w:iCs/>
          <w:sz w:val="22"/>
          <w:szCs w:val="22"/>
        </w:rPr>
        <w:t>Raleigh</w:t>
      </w:r>
      <w:r w:rsidR="00F9326D">
        <w:rPr>
          <w:sz w:val="22"/>
          <w:szCs w:val="22"/>
        </w:rPr>
        <w:t xml:space="preserve"> waiver</w:t>
      </w:r>
      <w:r w:rsidRPr="00CF65D7" w:rsidR="00F71395">
        <w:rPr>
          <w:sz w:val="22"/>
          <w:szCs w:val="22"/>
        </w:rPr>
        <w:t>, TPR</w:t>
      </w:r>
      <w:r w:rsidRPr="00CF65D7" w:rsidR="003303B0">
        <w:rPr>
          <w:sz w:val="22"/>
          <w:szCs w:val="22"/>
        </w:rPr>
        <w:t xml:space="preserve"> requests</w:t>
      </w:r>
      <w:r w:rsidRPr="00CF65D7" w:rsidR="00C03168">
        <w:rPr>
          <w:sz w:val="22"/>
          <w:szCs w:val="22"/>
        </w:rPr>
        <w:t xml:space="preserve"> </w:t>
      </w:r>
      <w:r w:rsidR="00F9326D">
        <w:rPr>
          <w:sz w:val="22"/>
          <w:szCs w:val="22"/>
        </w:rPr>
        <w:t xml:space="preserve">a separate </w:t>
      </w:r>
      <w:r w:rsidRPr="00CF65D7" w:rsidR="003303B0">
        <w:rPr>
          <w:sz w:val="22"/>
          <w:szCs w:val="22"/>
        </w:rPr>
        <w:t xml:space="preserve">waiver of section 73.509(a) to allow it to </w:t>
      </w:r>
      <w:r w:rsidR="00F9326D">
        <w:rPr>
          <w:sz w:val="22"/>
          <w:szCs w:val="22"/>
        </w:rPr>
        <w:t>expand the Caused Overlap Area</w:t>
      </w:r>
      <w:r w:rsidR="00D02DCD">
        <w:rPr>
          <w:sz w:val="22"/>
          <w:szCs w:val="22"/>
        </w:rPr>
        <w:t xml:space="preserve"> </w:t>
      </w:r>
      <w:r w:rsidR="00AA0444">
        <w:rPr>
          <w:sz w:val="22"/>
          <w:szCs w:val="22"/>
        </w:rPr>
        <w:t>(</w:t>
      </w:r>
      <w:r w:rsidR="006747E4">
        <w:rPr>
          <w:sz w:val="22"/>
          <w:szCs w:val="22"/>
        </w:rPr>
        <w:t xml:space="preserve">the </w:t>
      </w:r>
      <w:r w:rsidR="00AA0444">
        <w:rPr>
          <w:sz w:val="22"/>
          <w:szCs w:val="22"/>
        </w:rPr>
        <w:t>existing area of contour overlap</w:t>
      </w:r>
      <w:r w:rsidRPr="006747E4" w:rsidR="006747E4">
        <w:rPr>
          <w:sz w:val="22"/>
          <w:szCs w:val="22"/>
        </w:rPr>
        <w:t xml:space="preserve"> </w:t>
      </w:r>
      <w:r w:rsidR="006747E4">
        <w:rPr>
          <w:sz w:val="22"/>
          <w:szCs w:val="22"/>
        </w:rPr>
        <w:t>caused by WNPK to WRIU—</w:t>
      </w:r>
      <w:r w:rsidR="00AA0444">
        <w:rPr>
          <w:sz w:val="22"/>
          <w:szCs w:val="22"/>
        </w:rPr>
        <w:t>approximately 4.4 square kilometers</w:t>
      </w:r>
      <w:r w:rsidR="006747E4">
        <w:rPr>
          <w:sz w:val="22"/>
          <w:szCs w:val="22"/>
        </w:rPr>
        <w:t xml:space="preserve"> with a population of 243</w:t>
      </w:r>
      <w:r w:rsidR="00AA0444">
        <w:rPr>
          <w:sz w:val="22"/>
          <w:szCs w:val="22"/>
        </w:rPr>
        <w:t>)</w:t>
      </w:r>
      <w:r w:rsidR="00F9326D">
        <w:rPr>
          <w:sz w:val="22"/>
          <w:szCs w:val="22"/>
        </w:rPr>
        <w:t xml:space="preserve"> </w:t>
      </w:r>
      <w:r w:rsidR="00D3786D">
        <w:rPr>
          <w:sz w:val="22"/>
          <w:szCs w:val="22"/>
        </w:rPr>
        <w:t>and move the Caused Overlap Area close</w:t>
      </w:r>
      <w:r w:rsidR="00AA0444">
        <w:rPr>
          <w:sz w:val="22"/>
          <w:szCs w:val="22"/>
        </w:rPr>
        <w:t>r</w:t>
      </w:r>
      <w:r w:rsidR="00D3786D">
        <w:rPr>
          <w:sz w:val="22"/>
          <w:szCs w:val="22"/>
        </w:rPr>
        <w:t xml:space="preserve"> to the WRIU transmitter</w:t>
      </w:r>
      <w:r w:rsidR="00AA0444">
        <w:rPr>
          <w:sz w:val="22"/>
          <w:szCs w:val="22"/>
        </w:rPr>
        <w:t xml:space="preserve"> site</w:t>
      </w:r>
      <w:r w:rsidRPr="00CF65D7" w:rsidR="003303B0">
        <w:rPr>
          <w:sz w:val="22"/>
          <w:szCs w:val="22"/>
        </w:rPr>
        <w:t xml:space="preserve">. </w:t>
      </w:r>
      <w:r w:rsidRPr="00CF65D7" w:rsidR="00F71395">
        <w:rPr>
          <w:sz w:val="22"/>
          <w:szCs w:val="22"/>
        </w:rPr>
        <w:t xml:space="preserve"> </w:t>
      </w:r>
      <w:r w:rsidRPr="00CF65D7" w:rsidR="003303B0">
        <w:rPr>
          <w:sz w:val="22"/>
          <w:szCs w:val="22"/>
        </w:rPr>
        <w:t xml:space="preserve">TPR </w:t>
      </w:r>
      <w:r w:rsidRPr="00CF65D7" w:rsidR="006978DE">
        <w:rPr>
          <w:sz w:val="22"/>
          <w:szCs w:val="22"/>
        </w:rPr>
        <w:t xml:space="preserve">argues that the proposed </w:t>
      </w:r>
      <w:r w:rsidR="00F9326D">
        <w:rPr>
          <w:sz w:val="22"/>
          <w:szCs w:val="22"/>
        </w:rPr>
        <w:t xml:space="preserve">increase in the existing overlap </w:t>
      </w:r>
      <w:r w:rsidRPr="00CF65D7" w:rsidR="006978DE">
        <w:rPr>
          <w:sz w:val="22"/>
          <w:szCs w:val="22"/>
        </w:rPr>
        <w:t xml:space="preserve">is </w:t>
      </w:r>
      <w:r w:rsidRPr="00CF65D7" w:rsidR="006978DE">
        <w:rPr>
          <w:i/>
          <w:iCs/>
          <w:sz w:val="22"/>
          <w:szCs w:val="22"/>
        </w:rPr>
        <w:t>de minimis</w:t>
      </w:r>
      <w:r w:rsidRPr="00CF65D7" w:rsidR="006978DE">
        <w:rPr>
          <w:sz w:val="22"/>
          <w:szCs w:val="22"/>
        </w:rPr>
        <w:t xml:space="preserve"> because </w:t>
      </w:r>
      <w:r w:rsidRPr="00CF65D7" w:rsidR="00CF6DAC">
        <w:rPr>
          <w:sz w:val="22"/>
          <w:szCs w:val="22"/>
        </w:rPr>
        <w:t xml:space="preserve">the proposed Caused Overlap Area “represents 0.8 percent of </w:t>
      </w:r>
      <w:r w:rsidRPr="00CF65D7" w:rsidR="00CF6DAC">
        <w:rPr>
          <w:sz w:val="22"/>
          <w:szCs w:val="22"/>
        </w:rPr>
        <w:t xml:space="preserve">[WRIU’s] primary service area and 1.5% of the population within its service area.  As in </w:t>
      </w:r>
      <w:r w:rsidRPr="00CF65D7" w:rsidR="00C944E1">
        <w:rPr>
          <w:sz w:val="22"/>
          <w:szCs w:val="22"/>
        </w:rPr>
        <w:t>[</w:t>
      </w:r>
      <w:r w:rsidRPr="00CF65D7" w:rsidR="00CF6DAC">
        <w:rPr>
          <w:i/>
          <w:iCs/>
          <w:sz w:val="22"/>
          <w:szCs w:val="22"/>
        </w:rPr>
        <w:t>Raleigh</w:t>
      </w:r>
      <w:r w:rsidRPr="00CF65D7" w:rsidR="00C944E1">
        <w:rPr>
          <w:sz w:val="22"/>
          <w:szCs w:val="22"/>
        </w:rPr>
        <w:t>]</w:t>
      </w:r>
      <w:r w:rsidRPr="00CF65D7" w:rsidR="00CF6DAC">
        <w:rPr>
          <w:sz w:val="22"/>
          <w:szCs w:val="22"/>
        </w:rPr>
        <w:t>, these are very small numbers indeed.  They warrant waiver in the public interest.”</w:t>
      </w:r>
      <w:r>
        <w:rPr>
          <w:rStyle w:val="FootnoteReference"/>
          <w:sz w:val="22"/>
          <w:szCs w:val="22"/>
        </w:rPr>
        <w:footnoteReference w:id="23"/>
      </w:r>
      <w:r w:rsidRPr="00CF65D7" w:rsidR="00F057F7">
        <w:rPr>
          <w:sz w:val="22"/>
          <w:szCs w:val="22"/>
        </w:rPr>
        <w:t xml:space="preserve">  </w:t>
      </w:r>
      <w:r w:rsidRPr="00CF65D7" w:rsidR="00C03168">
        <w:rPr>
          <w:sz w:val="22"/>
          <w:szCs w:val="22"/>
        </w:rPr>
        <w:t xml:space="preserve">URI </w:t>
      </w:r>
      <w:r w:rsidRPr="00CF65D7" w:rsidR="00B673C1">
        <w:rPr>
          <w:sz w:val="22"/>
          <w:szCs w:val="22"/>
        </w:rPr>
        <w:t>contends</w:t>
      </w:r>
      <w:r w:rsidRPr="00CF65D7" w:rsidR="00C944E1">
        <w:rPr>
          <w:sz w:val="22"/>
          <w:szCs w:val="22"/>
        </w:rPr>
        <w:t xml:space="preserve"> that the Caused Overlap Area is </w:t>
      </w:r>
      <w:r w:rsidRPr="00CF65D7" w:rsidR="00F057F7">
        <w:rPr>
          <w:sz w:val="22"/>
          <w:szCs w:val="22"/>
        </w:rPr>
        <w:t xml:space="preserve">not </w:t>
      </w:r>
      <w:r w:rsidRPr="00CF65D7" w:rsidR="00CF6DAC">
        <w:rPr>
          <w:i/>
          <w:iCs/>
          <w:sz w:val="22"/>
          <w:szCs w:val="22"/>
        </w:rPr>
        <w:t>de minimis</w:t>
      </w:r>
      <w:r w:rsidRPr="00CF65D7" w:rsidR="00B673C1">
        <w:rPr>
          <w:sz w:val="22"/>
          <w:szCs w:val="22"/>
        </w:rPr>
        <w:t xml:space="preserve"> because,</w:t>
      </w:r>
      <w:r w:rsidRPr="00CF65D7" w:rsidR="00874AD7">
        <w:rPr>
          <w:sz w:val="22"/>
          <w:szCs w:val="22"/>
        </w:rPr>
        <w:t xml:space="preserve"> </w:t>
      </w:r>
      <w:r w:rsidRPr="00CF65D7" w:rsidR="00C944E1">
        <w:rPr>
          <w:sz w:val="22"/>
          <w:szCs w:val="22"/>
        </w:rPr>
        <w:t>at</w:t>
      </w:r>
      <w:r w:rsidRPr="00CF65D7" w:rsidR="00874AD7">
        <w:rPr>
          <w:sz w:val="22"/>
          <w:szCs w:val="22"/>
        </w:rPr>
        <w:t xml:space="preserve"> 9.2 square kilometers and 2,195 persons,</w:t>
      </w:r>
      <w:r w:rsidRPr="00CF65D7" w:rsidR="00C944E1">
        <w:rPr>
          <w:sz w:val="22"/>
          <w:szCs w:val="22"/>
        </w:rPr>
        <w:t xml:space="preserve"> </w:t>
      </w:r>
      <w:r w:rsidRPr="00CF65D7" w:rsidR="00B673C1">
        <w:rPr>
          <w:sz w:val="22"/>
          <w:szCs w:val="22"/>
        </w:rPr>
        <w:t>it</w:t>
      </w:r>
      <w:r w:rsidRPr="00CF65D7" w:rsidR="00874AD7">
        <w:rPr>
          <w:sz w:val="22"/>
          <w:szCs w:val="22"/>
        </w:rPr>
        <w:t xml:space="preserve"> </w:t>
      </w:r>
      <w:r w:rsidRPr="00CF65D7" w:rsidR="00C944E1">
        <w:rPr>
          <w:sz w:val="22"/>
          <w:szCs w:val="22"/>
        </w:rPr>
        <w:t>will “</w:t>
      </w:r>
      <w:r w:rsidRPr="00CF65D7" w:rsidR="00874AD7">
        <w:rPr>
          <w:sz w:val="22"/>
          <w:szCs w:val="22"/>
        </w:rPr>
        <w:t>more than double</w:t>
      </w:r>
      <w:r w:rsidR="00874AD7">
        <w:rPr>
          <w:sz w:val="22"/>
          <w:szCs w:val="22"/>
        </w:rPr>
        <w:t xml:space="preserve"> the existing area size and </w:t>
      </w:r>
      <w:r w:rsidR="00B673C1">
        <w:rPr>
          <w:sz w:val="22"/>
          <w:szCs w:val="22"/>
        </w:rPr>
        <w:t xml:space="preserve">[cover] </w:t>
      </w:r>
      <w:r w:rsidR="00874AD7">
        <w:rPr>
          <w:sz w:val="22"/>
          <w:szCs w:val="22"/>
        </w:rPr>
        <w:t>more than eight times the existing population.”</w:t>
      </w:r>
      <w:r>
        <w:rPr>
          <w:rStyle w:val="FootnoteReference"/>
          <w:sz w:val="22"/>
          <w:szCs w:val="22"/>
        </w:rPr>
        <w:footnoteReference w:id="24"/>
      </w:r>
      <w:r w:rsidR="00803609">
        <w:rPr>
          <w:sz w:val="22"/>
          <w:szCs w:val="22"/>
        </w:rPr>
        <w:t xml:space="preserve">  In addition, URI </w:t>
      </w:r>
      <w:r w:rsidR="00C03168">
        <w:rPr>
          <w:sz w:val="22"/>
          <w:szCs w:val="22"/>
        </w:rPr>
        <w:t>argues,</w:t>
      </w:r>
      <w:r w:rsidR="00803609">
        <w:rPr>
          <w:sz w:val="22"/>
          <w:szCs w:val="22"/>
        </w:rPr>
        <w:t xml:space="preserve"> the proposed Caused Overlap Area</w:t>
      </w:r>
      <w:r w:rsidR="0041558A">
        <w:rPr>
          <w:sz w:val="22"/>
          <w:szCs w:val="22"/>
        </w:rPr>
        <w:t xml:space="preserve"> should not be permitted because it</w:t>
      </w:r>
      <w:r w:rsidR="00803609">
        <w:rPr>
          <w:sz w:val="22"/>
          <w:szCs w:val="22"/>
        </w:rPr>
        <w:t xml:space="preserve"> </w:t>
      </w:r>
      <w:r w:rsidR="00F057F7">
        <w:rPr>
          <w:sz w:val="22"/>
          <w:szCs w:val="22"/>
        </w:rPr>
        <w:t>will be</w:t>
      </w:r>
      <w:r w:rsidR="00803609">
        <w:rPr>
          <w:sz w:val="22"/>
          <w:szCs w:val="22"/>
        </w:rPr>
        <w:t xml:space="preserve"> </w:t>
      </w:r>
      <w:r w:rsidR="00F057F7">
        <w:rPr>
          <w:sz w:val="22"/>
          <w:szCs w:val="22"/>
        </w:rPr>
        <w:t>“</w:t>
      </w:r>
      <w:r w:rsidR="00803609">
        <w:rPr>
          <w:sz w:val="22"/>
          <w:szCs w:val="22"/>
        </w:rPr>
        <w:t>much closer to the WRIU transmitter site.”</w:t>
      </w:r>
      <w:r>
        <w:rPr>
          <w:rStyle w:val="FootnoteReference"/>
          <w:sz w:val="22"/>
          <w:szCs w:val="22"/>
        </w:rPr>
        <w:footnoteReference w:id="25"/>
      </w:r>
      <w:r w:rsidR="00803609">
        <w:rPr>
          <w:sz w:val="22"/>
          <w:szCs w:val="22"/>
        </w:rPr>
        <w:t xml:space="preserve">  </w:t>
      </w:r>
      <w:r w:rsidR="00D3786D">
        <w:rPr>
          <w:sz w:val="22"/>
          <w:szCs w:val="22"/>
        </w:rPr>
        <w:t>(URI does not</w:t>
      </w:r>
      <w:r w:rsidR="00A8083B">
        <w:rPr>
          <w:sz w:val="22"/>
          <w:szCs w:val="22"/>
        </w:rPr>
        <w:t xml:space="preserve"> provide any </w:t>
      </w:r>
      <w:r w:rsidR="005C717C">
        <w:rPr>
          <w:sz w:val="22"/>
          <w:szCs w:val="22"/>
        </w:rPr>
        <w:t xml:space="preserve">technical </w:t>
      </w:r>
      <w:r w:rsidR="00A8083B">
        <w:rPr>
          <w:sz w:val="22"/>
          <w:szCs w:val="22"/>
        </w:rPr>
        <w:t>details on</w:t>
      </w:r>
      <w:r w:rsidR="00D3786D">
        <w:rPr>
          <w:sz w:val="22"/>
          <w:szCs w:val="22"/>
        </w:rPr>
        <w:t xml:space="preserve"> how </w:t>
      </w:r>
      <w:r w:rsidR="00A8083B">
        <w:rPr>
          <w:sz w:val="22"/>
          <w:szCs w:val="22"/>
        </w:rPr>
        <w:t>this proximity might</w:t>
      </w:r>
      <w:r w:rsidR="00D3786D">
        <w:rPr>
          <w:sz w:val="22"/>
          <w:szCs w:val="22"/>
        </w:rPr>
        <w:t xml:space="preserve"> affect the respective station</w:t>
      </w:r>
      <w:r w:rsidR="00A8083B">
        <w:rPr>
          <w:sz w:val="22"/>
          <w:szCs w:val="22"/>
        </w:rPr>
        <w:t>s’</w:t>
      </w:r>
      <w:r w:rsidR="00D3786D">
        <w:rPr>
          <w:sz w:val="22"/>
          <w:szCs w:val="22"/>
        </w:rPr>
        <w:t xml:space="preserve"> operation or reception.)  </w:t>
      </w:r>
      <w:r w:rsidR="00803609">
        <w:rPr>
          <w:sz w:val="22"/>
          <w:szCs w:val="22"/>
        </w:rPr>
        <w:t xml:space="preserve">URI </w:t>
      </w:r>
      <w:r w:rsidR="00737565">
        <w:rPr>
          <w:sz w:val="22"/>
          <w:szCs w:val="22"/>
        </w:rPr>
        <w:t xml:space="preserve">also </w:t>
      </w:r>
      <w:r w:rsidR="00803609">
        <w:rPr>
          <w:sz w:val="22"/>
          <w:szCs w:val="22"/>
        </w:rPr>
        <w:t xml:space="preserve">challenges TPR’s </w:t>
      </w:r>
      <w:r w:rsidR="00CF6DAC">
        <w:rPr>
          <w:sz w:val="22"/>
          <w:szCs w:val="22"/>
        </w:rPr>
        <w:t>assertion</w:t>
      </w:r>
      <w:r w:rsidR="00803609">
        <w:rPr>
          <w:sz w:val="22"/>
          <w:szCs w:val="22"/>
        </w:rPr>
        <w:t xml:space="preserve"> that </w:t>
      </w:r>
      <w:r w:rsidR="00CF6DAC">
        <w:rPr>
          <w:sz w:val="22"/>
          <w:szCs w:val="22"/>
        </w:rPr>
        <w:t xml:space="preserve">no </w:t>
      </w:r>
      <w:r w:rsidR="00803609">
        <w:rPr>
          <w:sz w:val="22"/>
          <w:szCs w:val="22"/>
        </w:rPr>
        <w:t>alternative transmitter sites exist</w:t>
      </w:r>
      <w:r w:rsidR="006C172A">
        <w:rPr>
          <w:sz w:val="22"/>
          <w:szCs w:val="22"/>
        </w:rPr>
        <w:t xml:space="preserve">, alleging that “at least 4 suitable transmitter sites exist substantially closer to </w:t>
      </w:r>
      <w:r w:rsidR="0047326E">
        <w:rPr>
          <w:sz w:val="22"/>
          <w:szCs w:val="22"/>
        </w:rPr>
        <w:t xml:space="preserve">Portsmouth, </w:t>
      </w:r>
      <w:r w:rsidR="006C172A">
        <w:rPr>
          <w:sz w:val="22"/>
          <w:szCs w:val="22"/>
        </w:rPr>
        <w:t>one only 1.7 km from WNPK’s existing transmitter site which is currently available.”</w:t>
      </w:r>
      <w:r>
        <w:rPr>
          <w:rStyle w:val="FootnoteReference"/>
          <w:sz w:val="22"/>
          <w:szCs w:val="22"/>
        </w:rPr>
        <w:footnoteReference w:id="26"/>
      </w:r>
      <w:r w:rsidR="003303B0">
        <w:rPr>
          <w:sz w:val="22"/>
          <w:szCs w:val="22"/>
        </w:rPr>
        <w:t xml:space="preserve">  URI </w:t>
      </w:r>
      <w:r>
        <w:rPr>
          <w:sz w:val="22"/>
          <w:szCs w:val="22"/>
        </w:rPr>
        <w:t>objects</w:t>
      </w:r>
      <w:r w:rsidR="003303B0">
        <w:rPr>
          <w:sz w:val="22"/>
          <w:szCs w:val="22"/>
        </w:rPr>
        <w:t xml:space="preserve"> that TPR failed to consider alternative frequencies as well as </w:t>
      </w:r>
      <w:r>
        <w:rPr>
          <w:sz w:val="22"/>
          <w:szCs w:val="22"/>
        </w:rPr>
        <w:t xml:space="preserve">alternative </w:t>
      </w:r>
      <w:r w:rsidR="003303B0">
        <w:rPr>
          <w:sz w:val="22"/>
          <w:szCs w:val="22"/>
        </w:rPr>
        <w:t>transmitter sites</w:t>
      </w:r>
      <w:r>
        <w:rPr>
          <w:sz w:val="22"/>
          <w:szCs w:val="22"/>
        </w:rPr>
        <w:t>.</w:t>
      </w:r>
      <w:r>
        <w:rPr>
          <w:rStyle w:val="FootnoteReference"/>
          <w:sz w:val="22"/>
          <w:szCs w:val="22"/>
        </w:rPr>
        <w:footnoteReference w:id="27"/>
      </w:r>
      <w:r>
        <w:rPr>
          <w:sz w:val="22"/>
          <w:szCs w:val="22"/>
        </w:rPr>
        <w:t xml:space="preserve">  Finally</w:t>
      </w:r>
      <w:r w:rsidR="003303B0">
        <w:rPr>
          <w:sz w:val="22"/>
          <w:szCs w:val="22"/>
        </w:rPr>
        <w:t xml:space="preserve">, </w:t>
      </w:r>
      <w:r w:rsidR="005326D2">
        <w:rPr>
          <w:sz w:val="22"/>
          <w:szCs w:val="22"/>
        </w:rPr>
        <w:t>citing to a pre-</w:t>
      </w:r>
      <w:r w:rsidR="005326D2">
        <w:rPr>
          <w:i/>
          <w:iCs/>
          <w:sz w:val="22"/>
          <w:szCs w:val="22"/>
        </w:rPr>
        <w:t xml:space="preserve">Raleigh </w:t>
      </w:r>
      <w:r w:rsidR="005326D2">
        <w:rPr>
          <w:sz w:val="22"/>
          <w:szCs w:val="22"/>
        </w:rPr>
        <w:t xml:space="preserve">decision, </w:t>
      </w:r>
      <w:r w:rsidR="00E31FE7">
        <w:rPr>
          <w:i/>
          <w:iCs/>
          <w:sz w:val="22"/>
          <w:szCs w:val="22"/>
        </w:rPr>
        <w:t>Atlanta</w:t>
      </w:r>
      <w:r w:rsidR="00E31FE7">
        <w:rPr>
          <w:sz w:val="22"/>
          <w:szCs w:val="22"/>
        </w:rPr>
        <w:t>,</w:t>
      </w:r>
      <w:r w:rsidR="00E31FE7">
        <w:rPr>
          <w:i/>
          <w:iCs/>
          <w:sz w:val="22"/>
          <w:szCs w:val="22"/>
        </w:rPr>
        <w:t xml:space="preserve"> </w:t>
      </w:r>
      <w:r>
        <w:rPr>
          <w:sz w:val="22"/>
          <w:szCs w:val="22"/>
        </w:rPr>
        <w:t>URI argues that</w:t>
      </w:r>
      <w:r w:rsidR="003303B0">
        <w:rPr>
          <w:sz w:val="22"/>
          <w:szCs w:val="22"/>
        </w:rPr>
        <w:t xml:space="preserve"> </w:t>
      </w:r>
      <w:r>
        <w:rPr>
          <w:sz w:val="22"/>
          <w:szCs w:val="22"/>
        </w:rPr>
        <w:t>an</w:t>
      </w:r>
      <w:r w:rsidR="003303B0">
        <w:rPr>
          <w:sz w:val="22"/>
          <w:szCs w:val="22"/>
        </w:rPr>
        <w:t xml:space="preserve"> increase in coverage </w:t>
      </w:r>
      <w:r>
        <w:rPr>
          <w:sz w:val="22"/>
          <w:szCs w:val="22"/>
        </w:rPr>
        <w:t xml:space="preserve">is insufficient </w:t>
      </w:r>
      <w:r w:rsidR="003303B0">
        <w:rPr>
          <w:sz w:val="22"/>
          <w:szCs w:val="22"/>
        </w:rPr>
        <w:t>as the sole basis for a</w:t>
      </w:r>
      <w:r w:rsidR="005326D2">
        <w:rPr>
          <w:sz w:val="22"/>
          <w:szCs w:val="22"/>
        </w:rPr>
        <w:t xml:space="preserve"> contour overlap</w:t>
      </w:r>
      <w:r w:rsidR="003303B0">
        <w:rPr>
          <w:sz w:val="22"/>
          <w:szCs w:val="22"/>
        </w:rPr>
        <w:t xml:space="preserve"> waiver</w:t>
      </w:r>
      <w:r>
        <w:rPr>
          <w:rStyle w:val="FootnoteReference"/>
          <w:sz w:val="22"/>
          <w:szCs w:val="22"/>
        </w:rPr>
        <w:footnoteReference w:id="28"/>
      </w:r>
      <w:r w:rsidR="00F057F7">
        <w:rPr>
          <w:sz w:val="22"/>
          <w:szCs w:val="22"/>
        </w:rPr>
        <w:t xml:space="preserve">  </w:t>
      </w:r>
    </w:p>
    <w:p w:rsidR="00397F47" w:rsidRPr="00A1441B" w:rsidP="001A13B5" w14:paraId="5845E211" w14:textId="43B71788">
      <w:pPr>
        <w:spacing w:after="120"/>
        <w:ind w:firstLine="720"/>
        <w:rPr>
          <w:sz w:val="22"/>
          <w:szCs w:val="22"/>
        </w:rPr>
      </w:pPr>
      <w:r>
        <w:rPr>
          <w:sz w:val="22"/>
          <w:szCs w:val="22"/>
        </w:rPr>
        <w:t xml:space="preserve">In </w:t>
      </w:r>
      <w:r w:rsidR="00381371">
        <w:rPr>
          <w:sz w:val="22"/>
          <w:szCs w:val="22"/>
        </w:rPr>
        <w:t>response</w:t>
      </w:r>
      <w:r>
        <w:rPr>
          <w:sz w:val="22"/>
          <w:szCs w:val="22"/>
        </w:rPr>
        <w:t>, T</w:t>
      </w:r>
      <w:r w:rsidR="00750104">
        <w:rPr>
          <w:sz w:val="22"/>
          <w:szCs w:val="22"/>
        </w:rPr>
        <w:t>PR</w:t>
      </w:r>
      <w:r>
        <w:rPr>
          <w:sz w:val="22"/>
          <w:szCs w:val="22"/>
        </w:rPr>
        <w:t xml:space="preserve"> </w:t>
      </w:r>
      <w:r w:rsidR="00381371">
        <w:rPr>
          <w:sz w:val="22"/>
          <w:szCs w:val="22"/>
        </w:rPr>
        <w:t>points out</w:t>
      </w:r>
      <w:r>
        <w:rPr>
          <w:sz w:val="22"/>
          <w:szCs w:val="22"/>
        </w:rPr>
        <w:t xml:space="preserve"> that</w:t>
      </w:r>
      <w:r w:rsidR="0085401A">
        <w:rPr>
          <w:sz w:val="22"/>
          <w:szCs w:val="22"/>
        </w:rPr>
        <w:t>,</w:t>
      </w:r>
      <w:r>
        <w:rPr>
          <w:sz w:val="22"/>
          <w:szCs w:val="22"/>
        </w:rPr>
        <w:t xml:space="preserve"> in </w:t>
      </w:r>
      <w:r>
        <w:rPr>
          <w:i/>
          <w:iCs/>
          <w:sz w:val="22"/>
          <w:szCs w:val="22"/>
        </w:rPr>
        <w:t>Raleigh</w:t>
      </w:r>
      <w:r>
        <w:rPr>
          <w:sz w:val="22"/>
          <w:szCs w:val="22"/>
        </w:rPr>
        <w:t xml:space="preserve">, the Commission </w:t>
      </w:r>
      <w:r w:rsidR="0085401A">
        <w:rPr>
          <w:sz w:val="22"/>
          <w:szCs w:val="22"/>
        </w:rPr>
        <w:t xml:space="preserve">not only </w:t>
      </w:r>
      <w:r>
        <w:rPr>
          <w:sz w:val="22"/>
          <w:szCs w:val="22"/>
        </w:rPr>
        <w:t xml:space="preserve">granted a waiver of </w:t>
      </w:r>
      <w:r w:rsidR="00381371">
        <w:rPr>
          <w:sz w:val="22"/>
          <w:szCs w:val="22"/>
        </w:rPr>
        <w:t>overlap</w:t>
      </w:r>
      <w:r>
        <w:rPr>
          <w:sz w:val="22"/>
          <w:szCs w:val="22"/>
        </w:rPr>
        <w:t xml:space="preserve"> received but also </w:t>
      </w:r>
      <w:r w:rsidR="0085401A">
        <w:rPr>
          <w:sz w:val="22"/>
          <w:szCs w:val="22"/>
        </w:rPr>
        <w:t xml:space="preserve">allowed </w:t>
      </w:r>
      <w:r w:rsidR="0096231A">
        <w:rPr>
          <w:sz w:val="22"/>
          <w:szCs w:val="22"/>
        </w:rPr>
        <w:t>the</w:t>
      </w:r>
      <w:r w:rsidR="0085401A">
        <w:rPr>
          <w:sz w:val="22"/>
          <w:szCs w:val="22"/>
        </w:rPr>
        <w:t xml:space="preserve"> station causing the overlap to</w:t>
      </w:r>
      <w:r w:rsidR="0096231A">
        <w:rPr>
          <w:sz w:val="22"/>
          <w:szCs w:val="22"/>
        </w:rPr>
        <w:t xml:space="preserve"> subsequently</w:t>
      </w:r>
      <w:r w:rsidR="0085401A">
        <w:rPr>
          <w:sz w:val="22"/>
          <w:szCs w:val="22"/>
        </w:rPr>
        <w:t xml:space="preserve"> modify</w:t>
      </w:r>
      <w:r w:rsidR="00866148">
        <w:rPr>
          <w:sz w:val="22"/>
          <w:szCs w:val="22"/>
        </w:rPr>
        <w:t xml:space="preserve"> and expand</w:t>
      </w:r>
      <w:r w:rsidR="0085401A">
        <w:rPr>
          <w:sz w:val="22"/>
          <w:szCs w:val="22"/>
        </w:rPr>
        <w:t xml:space="preserve"> </w:t>
      </w:r>
      <w:r w:rsidR="00866148">
        <w:rPr>
          <w:sz w:val="22"/>
          <w:szCs w:val="22"/>
        </w:rPr>
        <w:t>the caused overlap area</w:t>
      </w:r>
      <w:r>
        <w:rPr>
          <w:sz w:val="22"/>
          <w:szCs w:val="22"/>
        </w:rPr>
        <w:t>.</w:t>
      </w:r>
      <w:r>
        <w:rPr>
          <w:rStyle w:val="FootnoteReference"/>
          <w:sz w:val="22"/>
          <w:szCs w:val="22"/>
        </w:rPr>
        <w:footnoteReference w:id="29"/>
      </w:r>
      <w:r w:rsidR="00750104">
        <w:rPr>
          <w:sz w:val="22"/>
          <w:szCs w:val="22"/>
        </w:rPr>
        <w:t xml:space="preserve">  TPR also provides an engineering analysis of available channels, concluding that “WNPK is completely precluded from considering an alternative frequency.”</w:t>
      </w:r>
      <w:r>
        <w:rPr>
          <w:rStyle w:val="FootnoteReference"/>
          <w:sz w:val="22"/>
          <w:szCs w:val="22"/>
        </w:rPr>
        <w:footnoteReference w:id="30"/>
      </w:r>
      <w:r w:rsidR="00A73CBB">
        <w:rPr>
          <w:sz w:val="22"/>
          <w:szCs w:val="22"/>
        </w:rPr>
        <w:t xml:space="preserve">  </w:t>
      </w:r>
      <w:r w:rsidR="00DC23BC">
        <w:rPr>
          <w:sz w:val="22"/>
          <w:szCs w:val="22"/>
        </w:rPr>
        <w:t xml:space="preserve">Regarding expanded service as a basis for NCE waivers, </w:t>
      </w:r>
      <w:r w:rsidR="00A73CBB">
        <w:rPr>
          <w:sz w:val="22"/>
          <w:szCs w:val="22"/>
        </w:rPr>
        <w:t xml:space="preserve">TPR </w:t>
      </w:r>
      <w:r w:rsidR="00DC23BC">
        <w:rPr>
          <w:sz w:val="22"/>
          <w:szCs w:val="22"/>
        </w:rPr>
        <w:t>argues</w:t>
      </w:r>
      <w:r w:rsidR="00A73CBB">
        <w:rPr>
          <w:sz w:val="22"/>
          <w:szCs w:val="22"/>
        </w:rPr>
        <w:t xml:space="preserve"> that </w:t>
      </w:r>
      <w:r w:rsidR="00A73CBB">
        <w:rPr>
          <w:i/>
          <w:iCs/>
          <w:sz w:val="22"/>
          <w:szCs w:val="22"/>
        </w:rPr>
        <w:t xml:space="preserve">Raleigh </w:t>
      </w:r>
      <w:r w:rsidR="00A73CBB">
        <w:rPr>
          <w:sz w:val="22"/>
          <w:szCs w:val="22"/>
        </w:rPr>
        <w:t xml:space="preserve">changed the Commission’s policy on </w:t>
      </w:r>
      <w:r w:rsidR="00DC23BC">
        <w:rPr>
          <w:sz w:val="22"/>
          <w:szCs w:val="22"/>
        </w:rPr>
        <w:t>such waivers</w:t>
      </w:r>
      <w:r w:rsidR="00A1441B">
        <w:rPr>
          <w:sz w:val="22"/>
          <w:szCs w:val="22"/>
        </w:rPr>
        <w:t xml:space="preserve">, “effectively eclipsing </w:t>
      </w:r>
      <w:r w:rsidR="00A1441B">
        <w:rPr>
          <w:i/>
          <w:iCs/>
          <w:sz w:val="22"/>
          <w:szCs w:val="22"/>
        </w:rPr>
        <w:t>Atlanta</w:t>
      </w:r>
      <w:r w:rsidR="00A1441B">
        <w:rPr>
          <w:sz w:val="22"/>
          <w:szCs w:val="22"/>
        </w:rPr>
        <w:t>.”</w:t>
      </w:r>
      <w:r>
        <w:rPr>
          <w:rStyle w:val="FootnoteReference"/>
          <w:sz w:val="22"/>
          <w:szCs w:val="22"/>
        </w:rPr>
        <w:footnoteReference w:id="31"/>
      </w:r>
    </w:p>
    <w:p w:rsidR="005326D2" w:rsidP="005326D2" w14:paraId="4D0ED573" w14:textId="17DD8BC3">
      <w:pPr>
        <w:spacing w:after="120"/>
        <w:ind w:firstLine="720"/>
        <w:rPr>
          <w:sz w:val="22"/>
          <w:szCs w:val="22"/>
        </w:rPr>
      </w:pPr>
      <w:r>
        <w:rPr>
          <w:i/>
          <w:iCs/>
          <w:sz w:val="22"/>
          <w:szCs w:val="22"/>
        </w:rPr>
        <w:t xml:space="preserve">Tentative conclusions.  </w:t>
      </w:r>
      <w:r>
        <w:rPr>
          <w:sz w:val="22"/>
          <w:szCs w:val="22"/>
        </w:rPr>
        <w:t>We tentatively conclude that</w:t>
      </w:r>
      <w:r w:rsidR="0039544A">
        <w:rPr>
          <w:sz w:val="22"/>
          <w:szCs w:val="22"/>
        </w:rPr>
        <w:t xml:space="preserve"> </w:t>
      </w:r>
      <w:r>
        <w:rPr>
          <w:sz w:val="22"/>
          <w:szCs w:val="22"/>
        </w:rPr>
        <w:t xml:space="preserve">grant of </w:t>
      </w:r>
      <w:r w:rsidR="00FC1FE9">
        <w:rPr>
          <w:sz w:val="22"/>
          <w:szCs w:val="22"/>
        </w:rPr>
        <w:t xml:space="preserve">TPR’s waiver requests and the </w:t>
      </w:r>
      <w:r>
        <w:rPr>
          <w:sz w:val="22"/>
          <w:szCs w:val="22"/>
        </w:rPr>
        <w:t>Application would be</w:t>
      </w:r>
      <w:r>
        <w:rPr>
          <w:sz w:val="22"/>
          <w:szCs w:val="22"/>
        </w:rPr>
        <w:t xml:space="preserve"> consistent with </w:t>
      </w:r>
      <w:r w:rsidR="0039544A">
        <w:rPr>
          <w:sz w:val="22"/>
          <w:szCs w:val="22"/>
        </w:rPr>
        <w:t xml:space="preserve">the policy set out in </w:t>
      </w:r>
      <w:r w:rsidR="0039544A">
        <w:rPr>
          <w:i/>
          <w:iCs/>
          <w:sz w:val="22"/>
          <w:szCs w:val="22"/>
        </w:rPr>
        <w:t xml:space="preserve">Raleigh </w:t>
      </w:r>
      <w:r w:rsidR="0039544A">
        <w:rPr>
          <w:sz w:val="22"/>
          <w:szCs w:val="22"/>
        </w:rPr>
        <w:t xml:space="preserve">and subsequent decisions.  With respect to the </w:t>
      </w:r>
      <w:r>
        <w:rPr>
          <w:sz w:val="22"/>
          <w:szCs w:val="22"/>
        </w:rPr>
        <w:t>proposed</w:t>
      </w:r>
      <w:r w:rsidR="0039544A">
        <w:rPr>
          <w:sz w:val="22"/>
          <w:szCs w:val="22"/>
        </w:rPr>
        <w:t xml:space="preserve"> Received Overlap Area, </w:t>
      </w:r>
      <w:r w:rsidRPr="00CF65D7" w:rsidR="0039544A">
        <w:rPr>
          <w:sz w:val="22"/>
          <w:szCs w:val="22"/>
        </w:rPr>
        <w:t xml:space="preserve">the basic requirements for a </w:t>
      </w:r>
      <w:r w:rsidRPr="00CF65D7" w:rsidR="0039544A">
        <w:rPr>
          <w:i/>
          <w:sz w:val="22"/>
          <w:szCs w:val="22"/>
        </w:rPr>
        <w:t xml:space="preserve">Raleigh </w:t>
      </w:r>
      <w:r w:rsidRPr="00CF65D7" w:rsidR="0039544A">
        <w:rPr>
          <w:sz w:val="22"/>
          <w:szCs w:val="22"/>
        </w:rPr>
        <w:t>waiver are met—i.e., the proposed increase in NCE service would heavily outweigh the potential for second-adjacent channel interference in a very small area.</w:t>
      </w:r>
      <w:r>
        <w:rPr>
          <w:rStyle w:val="FootnoteReference"/>
          <w:sz w:val="22"/>
          <w:szCs w:val="22"/>
        </w:rPr>
        <w:footnoteReference w:id="32"/>
      </w:r>
      <w:r w:rsidR="00F1795E">
        <w:rPr>
          <w:sz w:val="22"/>
          <w:szCs w:val="22"/>
        </w:rPr>
        <w:t xml:space="preserve">  </w:t>
      </w:r>
      <w:r>
        <w:rPr>
          <w:sz w:val="22"/>
          <w:szCs w:val="22"/>
        </w:rPr>
        <w:t>This</w:t>
      </w:r>
      <w:r w:rsidR="00B12B48">
        <w:rPr>
          <w:sz w:val="22"/>
          <w:szCs w:val="22"/>
        </w:rPr>
        <w:t xml:space="preserve"> part of the</w:t>
      </w:r>
      <w:r>
        <w:rPr>
          <w:sz w:val="22"/>
          <w:szCs w:val="22"/>
        </w:rPr>
        <w:t xml:space="preserve"> waiver request does not present any novel issues</w:t>
      </w:r>
      <w:r w:rsidR="00CA0D64">
        <w:rPr>
          <w:sz w:val="22"/>
          <w:szCs w:val="22"/>
        </w:rPr>
        <w:t>, so we propose to approve the Received Overlap Area</w:t>
      </w:r>
      <w:r>
        <w:rPr>
          <w:sz w:val="22"/>
          <w:szCs w:val="22"/>
        </w:rPr>
        <w:t xml:space="preserve">. </w:t>
      </w:r>
    </w:p>
    <w:p w:rsidR="00FC2DEA" w:rsidP="00434AD5" w14:paraId="0BFE81F7" w14:textId="5FDEE794">
      <w:pPr>
        <w:spacing w:after="120"/>
        <w:ind w:firstLine="720"/>
        <w:rPr>
          <w:sz w:val="22"/>
          <w:szCs w:val="22"/>
        </w:rPr>
      </w:pPr>
      <w:r>
        <w:rPr>
          <w:sz w:val="22"/>
          <w:szCs w:val="22"/>
        </w:rPr>
        <w:t xml:space="preserve">Regarding the relocation and expansion of the </w:t>
      </w:r>
      <w:r w:rsidR="00CC2EEB">
        <w:rPr>
          <w:sz w:val="22"/>
          <w:szCs w:val="22"/>
        </w:rPr>
        <w:t xml:space="preserve">existing </w:t>
      </w:r>
      <w:r>
        <w:rPr>
          <w:sz w:val="22"/>
          <w:szCs w:val="22"/>
        </w:rPr>
        <w:t xml:space="preserve">Caused Overlap Area, we find that </w:t>
      </w:r>
      <w:r w:rsidR="00B12B48">
        <w:rPr>
          <w:sz w:val="22"/>
          <w:szCs w:val="22"/>
        </w:rPr>
        <w:t>TPR’s proposal</w:t>
      </w:r>
      <w:r>
        <w:rPr>
          <w:sz w:val="22"/>
          <w:szCs w:val="22"/>
        </w:rPr>
        <w:t xml:space="preserve"> fits within the </w:t>
      </w:r>
      <w:r>
        <w:rPr>
          <w:i/>
          <w:iCs/>
          <w:sz w:val="22"/>
          <w:szCs w:val="22"/>
        </w:rPr>
        <w:t xml:space="preserve">Raleigh </w:t>
      </w:r>
      <w:r>
        <w:rPr>
          <w:sz w:val="22"/>
          <w:szCs w:val="22"/>
        </w:rPr>
        <w:t xml:space="preserve">framework even though the </w:t>
      </w:r>
      <w:r w:rsidR="00E842D6">
        <w:rPr>
          <w:sz w:val="22"/>
          <w:szCs w:val="22"/>
        </w:rPr>
        <w:t>existing</w:t>
      </w:r>
      <w:r w:rsidR="00B12B48">
        <w:rPr>
          <w:sz w:val="22"/>
          <w:szCs w:val="22"/>
        </w:rPr>
        <w:t xml:space="preserve"> </w:t>
      </w:r>
      <w:r w:rsidR="000D06ED">
        <w:rPr>
          <w:sz w:val="22"/>
          <w:szCs w:val="22"/>
        </w:rPr>
        <w:t>contour overlap between these two stations</w:t>
      </w:r>
      <w:r>
        <w:rPr>
          <w:sz w:val="22"/>
          <w:szCs w:val="22"/>
        </w:rPr>
        <w:t xml:space="preserve"> predates </w:t>
      </w:r>
      <w:r w:rsidR="000D06ED">
        <w:rPr>
          <w:i/>
          <w:iCs/>
          <w:sz w:val="22"/>
          <w:szCs w:val="22"/>
        </w:rPr>
        <w:t>Raleigh</w:t>
      </w:r>
      <w:r>
        <w:rPr>
          <w:sz w:val="22"/>
          <w:szCs w:val="22"/>
        </w:rPr>
        <w:t xml:space="preserve">.  </w:t>
      </w:r>
      <w:r w:rsidR="000D06ED">
        <w:rPr>
          <w:sz w:val="22"/>
          <w:szCs w:val="22"/>
        </w:rPr>
        <w:t xml:space="preserve">Under the </w:t>
      </w:r>
      <w:r w:rsidR="000D06ED">
        <w:rPr>
          <w:i/>
          <w:iCs/>
          <w:sz w:val="22"/>
          <w:szCs w:val="22"/>
        </w:rPr>
        <w:t xml:space="preserve">Raleigh </w:t>
      </w:r>
      <w:r w:rsidR="000D06ED">
        <w:rPr>
          <w:sz w:val="22"/>
          <w:szCs w:val="22"/>
        </w:rPr>
        <w:t>policy, the</w:t>
      </w:r>
      <w:r>
        <w:rPr>
          <w:sz w:val="22"/>
          <w:szCs w:val="22"/>
        </w:rPr>
        <w:t xml:space="preserve"> Commission </w:t>
      </w:r>
      <w:r w:rsidR="00B12B48">
        <w:rPr>
          <w:sz w:val="22"/>
          <w:szCs w:val="22"/>
        </w:rPr>
        <w:t xml:space="preserve">has </w:t>
      </w:r>
      <w:r>
        <w:rPr>
          <w:sz w:val="22"/>
          <w:szCs w:val="22"/>
        </w:rPr>
        <w:t>consistently reject</w:t>
      </w:r>
      <w:r w:rsidR="00B12B48">
        <w:rPr>
          <w:sz w:val="22"/>
          <w:szCs w:val="22"/>
        </w:rPr>
        <w:t>ed</w:t>
      </w:r>
      <w:r>
        <w:rPr>
          <w:sz w:val="22"/>
          <w:szCs w:val="22"/>
        </w:rPr>
        <w:t xml:space="preserve"> proposals </w:t>
      </w:r>
      <w:r w:rsidR="00B12B48">
        <w:rPr>
          <w:sz w:val="22"/>
          <w:szCs w:val="22"/>
        </w:rPr>
        <w:t>involving caused overlap</w:t>
      </w:r>
      <w:r w:rsidR="00E842D6">
        <w:rPr>
          <w:sz w:val="22"/>
          <w:szCs w:val="22"/>
        </w:rPr>
        <w:t>,</w:t>
      </w:r>
      <w:r w:rsidR="00B12B48">
        <w:rPr>
          <w:sz w:val="22"/>
          <w:szCs w:val="22"/>
        </w:rPr>
        <w:t xml:space="preserve"> </w:t>
      </w:r>
      <w:r w:rsidRPr="00E842D6">
        <w:rPr>
          <w:i/>
          <w:iCs/>
          <w:sz w:val="22"/>
          <w:szCs w:val="22"/>
        </w:rPr>
        <w:t>except</w:t>
      </w:r>
      <w:r>
        <w:rPr>
          <w:sz w:val="22"/>
          <w:szCs w:val="22"/>
        </w:rPr>
        <w:t xml:space="preserve"> </w:t>
      </w:r>
      <w:r w:rsidRPr="007128B4" w:rsidR="007128B4">
        <w:rPr>
          <w:sz w:val="22"/>
          <w:szCs w:val="22"/>
        </w:rPr>
        <w:t xml:space="preserve">where the interfering contour of </w:t>
      </w:r>
      <w:r>
        <w:rPr>
          <w:sz w:val="22"/>
          <w:szCs w:val="22"/>
        </w:rPr>
        <w:t>the requesting</w:t>
      </w:r>
      <w:r w:rsidRPr="007128B4" w:rsidR="007128B4">
        <w:rPr>
          <w:sz w:val="22"/>
          <w:szCs w:val="22"/>
        </w:rPr>
        <w:t xml:space="preserve"> station </w:t>
      </w:r>
      <w:r w:rsidR="000D06ED">
        <w:rPr>
          <w:sz w:val="22"/>
          <w:szCs w:val="22"/>
        </w:rPr>
        <w:t>w</w:t>
      </w:r>
      <w:r w:rsidRPr="007128B4" w:rsidR="007128B4">
        <w:rPr>
          <w:sz w:val="22"/>
          <w:szCs w:val="22"/>
        </w:rPr>
        <w:t>as</w:t>
      </w:r>
      <w:r>
        <w:rPr>
          <w:sz w:val="22"/>
          <w:szCs w:val="22"/>
        </w:rPr>
        <w:t xml:space="preserve"> previously</w:t>
      </w:r>
      <w:r w:rsidRPr="007128B4" w:rsidR="007128B4">
        <w:rPr>
          <w:sz w:val="22"/>
          <w:szCs w:val="22"/>
        </w:rPr>
        <w:t xml:space="preserve"> partially or wholly encompassed by the </w:t>
      </w:r>
      <w:r w:rsidR="000D06ED">
        <w:rPr>
          <w:sz w:val="22"/>
          <w:szCs w:val="22"/>
        </w:rPr>
        <w:t>voluntary expansion</w:t>
      </w:r>
      <w:r w:rsidR="006747E4">
        <w:rPr>
          <w:sz w:val="22"/>
          <w:szCs w:val="22"/>
        </w:rPr>
        <w:t xml:space="preserve"> of the</w:t>
      </w:r>
      <w:r w:rsidRPr="007128B4" w:rsidR="007128B4">
        <w:rPr>
          <w:sz w:val="22"/>
          <w:szCs w:val="22"/>
        </w:rPr>
        <w:t xml:space="preserve"> protected service contour of </w:t>
      </w:r>
      <w:r>
        <w:rPr>
          <w:sz w:val="22"/>
          <w:szCs w:val="22"/>
        </w:rPr>
        <w:t xml:space="preserve">the other station </w:t>
      </w:r>
      <w:r w:rsidR="000D06ED">
        <w:rPr>
          <w:sz w:val="22"/>
          <w:szCs w:val="22"/>
        </w:rPr>
        <w:t>under</w:t>
      </w:r>
      <w:r>
        <w:rPr>
          <w:sz w:val="22"/>
          <w:szCs w:val="22"/>
        </w:rPr>
        <w:t xml:space="preserve"> a</w:t>
      </w:r>
      <w:r w:rsidRPr="007128B4" w:rsidR="007128B4">
        <w:rPr>
          <w:sz w:val="22"/>
          <w:szCs w:val="22"/>
        </w:rPr>
        <w:t xml:space="preserve"> received overlap waiver</w:t>
      </w:r>
      <w:r>
        <w:rPr>
          <w:sz w:val="22"/>
          <w:szCs w:val="22"/>
        </w:rPr>
        <w:t>.</w:t>
      </w:r>
      <w:r>
        <w:rPr>
          <w:rStyle w:val="FootnoteReference"/>
          <w:sz w:val="22"/>
          <w:szCs w:val="22"/>
        </w:rPr>
        <w:footnoteReference w:id="33"/>
      </w:r>
      <w:r>
        <w:rPr>
          <w:sz w:val="22"/>
          <w:szCs w:val="22"/>
        </w:rPr>
        <w:t xml:space="preserve">  In such cases, the encompassed station</w:t>
      </w:r>
      <w:r w:rsidR="00A0123F">
        <w:rPr>
          <w:sz w:val="22"/>
          <w:szCs w:val="22"/>
        </w:rPr>
        <w:t xml:space="preserve"> </w:t>
      </w:r>
      <w:r w:rsidR="000D06ED">
        <w:rPr>
          <w:sz w:val="22"/>
          <w:szCs w:val="22"/>
        </w:rPr>
        <w:t xml:space="preserve">is permitted </w:t>
      </w:r>
      <w:r w:rsidR="00A0123F">
        <w:rPr>
          <w:sz w:val="22"/>
          <w:szCs w:val="22"/>
        </w:rPr>
        <w:t xml:space="preserve">to </w:t>
      </w:r>
      <w:r w:rsidR="000D06ED">
        <w:rPr>
          <w:sz w:val="22"/>
          <w:szCs w:val="22"/>
        </w:rPr>
        <w:t>modify</w:t>
      </w:r>
      <w:r w:rsidR="00A0123F">
        <w:rPr>
          <w:sz w:val="22"/>
          <w:szCs w:val="22"/>
        </w:rPr>
        <w:t xml:space="preserve"> the caused overlap area</w:t>
      </w:r>
      <w:r>
        <w:rPr>
          <w:sz w:val="22"/>
          <w:szCs w:val="22"/>
        </w:rPr>
        <w:t xml:space="preserve"> </w:t>
      </w:r>
      <w:r w:rsidR="00CA0D64">
        <w:rPr>
          <w:sz w:val="22"/>
          <w:szCs w:val="22"/>
        </w:rPr>
        <w:t xml:space="preserve">in the future, and a condition is placed on the requesting station’s license stating that </w:t>
      </w:r>
      <w:r w:rsidRPr="000711C7" w:rsidR="00CA0D64">
        <w:rPr>
          <w:sz w:val="22"/>
          <w:szCs w:val="22"/>
        </w:rPr>
        <w:t xml:space="preserve">future modifications to </w:t>
      </w:r>
      <w:r w:rsidR="00CA0D64">
        <w:rPr>
          <w:sz w:val="22"/>
          <w:szCs w:val="22"/>
        </w:rPr>
        <w:t xml:space="preserve">the other station causing the overlap </w:t>
      </w:r>
      <w:r w:rsidRPr="000711C7" w:rsidR="00CA0D64">
        <w:rPr>
          <w:sz w:val="22"/>
          <w:szCs w:val="22"/>
        </w:rPr>
        <w:t xml:space="preserve">will not constitute a per se modification of </w:t>
      </w:r>
      <w:r w:rsidR="00CA0D64">
        <w:rPr>
          <w:sz w:val="22"/>
          <w:szCs w:val="22"/>
        </w:rPr>
        <w:t>its</w:t>
      </w:r>
      <w:r w:rsidRPr="000711C7" w:rsidR="00CA0D64">
        <w:rPr>
          <w:sz w:val="22"/>
          <w:szCs w:val="22"/>
        </w:rPr>
        <w:t xml:space="preserve"> license.</w:t>
      </w:r>
      <w:r>
        <w:rPr>
          <w:rStyle w:val="FootnoteReference"/>
          <w:sz w:val="22"/>
          <w:szCs w:val="22"/>
        </w:rPr>
        <w:footnoteReference w:id="34"/>
      </w:r>
      <w:r w:rsidR="00CA0D64">
        <w:rPr>
          <w:sz w:val="22"/>
          <w:szCs w:val="22"/>
        </w:rPr>
        <w:t xml:space="preserve">  </w:t>
      </w:r>
      <w:r w:rsidR="00434AD5">
        <w:rPr>
          <w:sz w:val="22"/>
          <w:szCs w:val="22"/>
        </w:rPr>
        <w:t>A</w:t>
      </w:r>
      <w:r w:rsidR="00CA4B79">
        <w:rPr>
          <w:sz w:val="22"/>
          <w:szCs w:val="22"/>
        </w:rPr>
        <w:t>lthough</w:t>
      </w:r>
      <w:r w:rsidR="009C6099">
        <w:rPr>
          <w:sz w:val="22"/>
          <w:szCs w:val="22"/>
        </w:rPr>
        <w:t xml:space="preserve"> </w:t>
      </w:r>
      <w:r w:rsidR="00434AD5">
        <w:rPr>
          <w:sz w:val="22"/>
          <w:szCs w:val="22"/>
        </w:rPr>
        <w:t xml:space="preserve">in this case </w:t>
      </w:r>
      <w:r w:rsidR="00862D7A">
        <w:rPr>
          <w:sz w:val="22"/>
          <w:szCs w:val="22"/>
        </w:rPr>
        <w:t>WRIU’s</w:t>
      </w:r>
      <w:r w:rsidR="00CA4B79">
        <w:rPr>
          <w:sz w:val="22"/>
          <w:szCs w:val="22"/>
        </w:rPr>
        <w:t xml:space="preserve"> original </w:t>
      </w:r>
      <w:r w:rsidR="00862D7A">
        <w:rPr>
          <w:sz w:val="22"/>
          <w:szCs w:val="22"/>
        </w:rPr>
        <w:t xml:space="preserve">prohibited contour overlap </w:t>
      </w:r>
      <w:r w:rsidR="006747E4">
        <w:rPr>
          <w:sz w:val="22"/>
          <w:szCs w:val="22"/>
        </w:rPr>
        <w:t xml:space="preserve">received </w:t>
      </w:r>
      <w:r w:rsidR="00862D7A">
        <w:rPr>
          <w:sz w:val="22"/>
          <w:szCs w:val="22"/>
        </w:rPr>
        <w:t>from WNPK w</w:t>
      </w:r>
      <w:r w:rsidR="00CA4B79">
        <w:rPr>
          <w:sz w:val="22"/>
          <w:szCs w:val="22"/>
        </w:rPr>
        <w:t xml:space="preserve">as authorized </w:t>
      </w:r>
      <w:r w:rsidR="00862D7A">
        <w:rPr>
          <w:sz w:val="22"/>
          <w:szCs w:val="22"/>
        </w:rPr>
        <w:t>in 1981</w:t>
      </w:r>
      <w:r w:rsidR="005C717C">
        <w:rPr>
          <w:sz w:val="22"/>
          <w:szCs w:val="22"/>
        </w:rPr>
        <w:t xml:space="preserve">, </w:t>
      </w:r>
      <w:r w:rsidR="00CA4B79">
        <w:rPr>
          <w:sz w:val="22"/>
          <w:szCs w:val="22"/>
        </w:rPr>
        <w:t xml:space="preserve">prior to </w:t>
      </w:r>
      <w:r w:rsidR="00CA4B79">
        <w:rPr>
          <w:i/>
          <w:iCs/>
          <w:sz w:val="22"/>
          <w:szCs w:val="22"/>
        </w:rPr>
        <w:t>Raleigh</w:t>
      </w:r>
      <w:r w:rsidR="005C717C">
        <w:rPr>
          <w:sz w:val="22"/>
          <w:szCs w:val="22"/>
        </w:rPr>
        <w:t xml:space="preserve">, </w:t>
      </w:r>
      <w:r w:rsidR="00CA4B79">
        <w:rPr>
          <w:sz w:val="22"/>
          <w:szCs w:val="22"/>
        </w:rPr>
        <w:t>and thus no condition was appended to the WRIU license</w:t>
      </w:r>
      <w:r w:rsidR="005C717C">
        <w:rPr>
          <w:sz w:val="22"/>
          <w:szCs w:val="22"/>
        </w:rPr>
        <w:t xml:space="preserve">, </w:t>
      </w:r>
      <w:r w:rsidR="00CA4B79">
        <w:rPr>
          <w:sz w:val="22"/>
          <w:szCs w:val="22"/>
        </w:rPr>
        <w:t xml:space="preserve">the </w:t>
      </w:r>
      <w:r w:rsidR="006C389F">
        <w:rPr>
          <w:sz w:val="22"/>
          <w:szCs w:val="22"/>
        </w:rPr>
        <w:t xml:space="preserve">reasoning set out in </w:t>
      </w:r>
      <w:r w:rsidR="006C389F">
        <w:rPr>
          <w:i/>
          <w:iCs/>
          <w:sz w:val="22"/>
          <w:szCs w:val="22"/>
        </w:rPr>
        <w:t xml:space="preserve">Raleigh </w:t>
      </w:r>
      <w:r w:rsidR="006C389F">
        <w:rPr>
          <w:sz w:val="22"/>
          <w:szCs w:val="22"/>
        </w:rPr>
        <w:t xml:space="preserve">and subsequent cases still applies.  </w:t>
      </w:r>
      <w:r w:rsidR="00434AD5">
        <w:rPr>
          <w:sz w:val="22"/>
          <w:szCs w:val="22"/>
        </w:rPr>
        <w:t xml:space="preserve">WRIU voluntarily sought and obtained a waiver to receive overlap from WNPK, and </w:t>
      </w:r>
      <w:r w:rsidR="00CA0D64">
        <w:rPr>
          <w:sz w:val="22"/>
          <w:szCs w:val="22"/>
        </w:rPr>
        <w:t>WNPK’s interfering contour was</w:t>
      </w:r>
      <w:r w:rsidR="00434AD5">
        <w:rPr>
          <w:sz w:val="22"/>
          <w:szCs w:val="22"/>
        </w:rPr>
        <w:t xml:space="preserve"> consequently</w:t>
      </w:r>
      <w:r w:rsidR="00CA0D64">
        <w:rPr>
          <w:sz w:val="22"/>
          <w:szCs w:val="22"/>
        </w:rPr>
        <w:t xml:space="preserve"> encompassed by the expansion of WRIU’s protected contour.  </w:t>
      </w:r>
      <w:bookmarkStart w:id="13" w:name="_Hlk123725721"/>
      <w:r w:rsidR="00D53955">
        <w:rPr>
          <w:sz w:val="22"/>
          <w:szCs w:val="22"/>
        </w:rPr>
        <w:t>Therefore, f</w:t>
      </w:r>
      <w:r w:rsidR="00C876FB">
        <w:rPr>
          <w:sz w:val="22"/>
          <w:szCs w:val="22"/>
        </w:rPr>
        <w:t>or</w:t>
      </w:r>
      <w:r w:rsidR="00434AD5">
        <w:rPr>
          <w:sz w:val="22"/>
          <w:szCs w:val="22"/>
        </w:rPr>
        <w:t xml:space="preserve"> the reasons set forth in </w:t>
      </w:r>
      <w:r w:rsidR="00434AD5">
        <w:rPr>
          <w:i/>
          <w:iCs/>
          <w:sz w:val="22"/>
          <w:szCs w:val="22"/>
        </w:rPr>
        <w:t>Raleigh</w:t>
      </w:r>
      <w:r w:rsidR="00F544FA">
        <w:rPr>
          <w:sz w:val="22"/>
          <w:szCs w:val="22"/>
        </w:rPr>
        <w:t xml:space="preserve">, we decline to </w:t>
      </w:r>
      <w:r w:rsidR="0096231A">
        <w:rPr>
          <w:sz w:val="22"/>
          <w:szCs w:val="22"/>
        </w:rPr>
        <w:t xml:space="preserve">perpetually </w:t>
      </w:r>
      <w:r w:rsidR="00DC23BC">
        <w:rPr>
          <w:sz w:val="22"/>
          <w:szCs w:val="22"/>
        </w:rPr>
        <w:t>restrict WNPK</w:t>
      </w:r>
      <w:r w:rsidR="00F544FA">
        <w:rPr>
          <w:sz w:val="22"/>
          <w:szCs w:val="22"/>
        </w:rPr>
        <w:t xml:space="preserve"> to its original site (or to section 73.509(d)-compliant sites only). </w:t>
      </w:r>
      <w:r w:rsidR="00DC23BC">
        <w:rPr>
          <w:sz w:val="22"/>
          <w:szCs w:val="22"/>
        </w:rPr>
        <w:t xml:space="preserve"> </w:t>
      </w:r>
      <w:r w:rsidR="00D53955">
        <w:rPr>
          <w:sz w:val="22"/>
          <w:szCs w:val="22"/>
        </w:rPr>
        <w:t>W</w:t>
      </w:r>
      <w:r w:rsidR="00F7440F">
        <w:rPr>
          <w:sz w:val="22"/>
          <w:szCs w:val="22"/>
        </w:rPr>
        <w:t xml:space="preserve">e </w:t>
      </w:r>
      <w:r w:rsidR="00A1441B">
        <w:rPr>
          <w:sz w:val="22"/>
          <w:szCs w:val="22"/>
        </w:rPr>
        <w:t xml:space="preserve">propose to grant TPR’s request to relocate and increase the </w:t>
      </w:r>
      <w:r w:rsidR="00C876FB">
        <w:rPr>
          <w:sz w:val="22"/>
          <w:szCs w:val="22"/>
        </w:rPr>
        <w:t xml:space="preserve">area of the existing </w:t>
      </w:r>
      <w:r w:rsidR="00A1441B">
        <w:rPr>
          <w:sz w:val="22"/>
          <w:szCs w:val="22"/>
        </w:rPr>
        <w:t>Caused Overlap Area.</w:t>
      </w:r>
      <w:r w:rsidR="00F7440F">
        <w:rPr>
          <w:sz w:val="22"/>
          <w:szCs w:val="22"/>
        </w:rPr>
        <w:t xml:space="preserve">  </w:t>
      </w:r>
      <w:bookmarkEnd w:id="13"/>
    </w:p>
    <w:p w:rsidR="00A435D5" w:rsidRPr="00A435D5" w:rsidP="00FC2DEA" w14:paraId="3DCCA7C3" w14:textId="77777777">
      <w:pPr>
        <w:spacing w:after="120"/>
        <w:ind w:firstLine="720"/>
        <w:rPr>
          <w:sz w:val="22"/>
          <w:szCs w:val="22"/>
        </w:rPr>
      </w:pPr>
      <w:r>
        <w:rPr>
          <w:sz w:val="22"/>
          <w:szCs w:val="22"/>
        </w:rPr>
        <w:t>For the reasons</w:t>
      </w:r>
      <w:r w:rsidR="00F544FA">
        <w:rPr>
          <w:sz w:val="22"/>
          <w:szCs w:val="22"/>
        </w:rPr>
        <w:t xml:space="preserve"> stated above</w:t>
      </w:r>
      <w:r>
        <w:rPr>
          <w:sz w:val="22"/>
          <w:szCs w:val="22"/>
        </w:rPr>
        <w:t>, w</w:t>
      </w:r>
      <w:r w:rsidR="00F7440F">
        <w:rPr>
          <w:sz w:val="22"/>
          <w:szCs w:val="22"/>
        </w:rPr>
        <w:t>e find that TPR has demonstrated</w:t>
      </w:r>
      <w:r w:rsidRPr="00231D04" w:rsidR="00FC2DEA">
        <w:rPr>
          <w:sz w:val="22"/>
          <w:szCs w:val="22"/>
        </w:rPr>
        <w:t xml:space="preserve"> sufficient public interest benefits to justify the issuance of this </w:t>
      </w:r>
      <w:r w:rsidRPr="00231D04" w:rsidR="00FC2DEA">
        <w:rPr>
          <w:i/>
          <w:sz w:val="22"/>
          <w:szCs w:val="22"/>
        </w:rPr>
        <w:t>Order to Show Cause</w:t>
      </w:r>
      <w:r w:rsidRPr="00231D04" w:rsidR="00FC2DEA">
        <w:rPr>
          <w:sz w:val="22"/>
          <w:szCs w:val="22"/>
        </w:rPr>
        <w:t>.</w:t>
      </w:r>
      <w:r w:rsidR="00FC2DEA">
        <w:rPr>
          <w:sz w:val="22"/>
          <w:szCs w:val="22"/>
        </w:rPr>
        <w:t xml:space="preserve">  </w:t>
      </w:r>
      <w:r w:rsidRPr="00A435D5">
        <w:rPr>
          <w:sz w:val="22"/>
          <w:szCs w:val="22"/>
        </w:rPr>
        <w:t xml:space="preserve">Accordingly, IT IS ORDERED, that pursuant to Section 316(a) of the Communications Act of 1934, as amended, and Section 1.87 of the Commission’s Rules, </w:t>
      </w:r>
      <w:r w:rsidR="00FC2DEA">
        <w:rPr>
          <w:sz w:val="22"/>
          <w:szCs w:val="22"/>
        </w:rPr>
        <w:t>the University of Rhode Island</w:t>
      </w:r>
      <w:r w:rsidRPr="00A435D5">
        <w:rPr>
          <w:sz w:val="22"/>
          <w:szCs w:val="22"/>
        </w:rPr>
        <w:t xml:space="preserve"> SHALL SHOW CAUSE why </w:t>
      </w:r>
      <w:r w:rsidR="00FC2DEA">
        <w:rPr>
          <w:sz w:val="22"/>
          <w:szCs w:val="22"/>
        </w:rPr>
        <w:t xml:space="preserve">the license of WRIU(FM), </w:t>
      </w:r>
      <w:r w:rsidR="00F7440F">
        <w:rPr>
          <w:sz w:val="22"/>
          <w:szCs w:val="22"/>
        </w:rPr>
        <w:t>Kingston, Rhode Island,</w:t>
      </w:r>
      <w:r w:rsidRPr="00A435D5">
        <w:rPr>
          <w:sz w:val="22"/>
          <w:szCs w:val="22"/>
        </w:rPr>
        <w:t xml:space="preserve"> SHOULD NOT BE MODIFIED to permit </w:t>
      </w:r>
      <w:r w:rsidR="00F7440F">
        <w:rPr>
          <w:sz w:val="22"/>
          <w:szCs w:val="22"/>
        </w:rPr>
        <w:t>WNPK(FM), Portsmouth, Rhode Island</w:t>
      </w:r>
      <w:r w:rsidR="00ED64D7">
        <w:rPr>
          <w:sz w:val="22"/>
          <w:szCs w:val="22"/>
        </w:rPr>
        <w:t>,</w:t>
      </w:r>
      <w:r w:rsidRPr="00A435D5">
        <w:rPr>
          <w:sz w:val="22"/>
          <w:szCs w:val="22"/>
        </w:rPr>
        <w:t xml:space="preserve"> to operate at the site proposed in the Application.</w:t>
      </w:r>
    </w:p>
    <w:p w:rsidR="00A435D5" w:rsidRPr="00A435D5" w:rsidP="00A435D5" w14:paraId="6F4CC52B" w14:textId="2550D39D">
      <w:pPr>
        <w:spacing w:after="120"/>
        <w:ind w:firstLine="720"/>
        <w:rPr>
          <w:sz w:val="22"/>
          <w:szCs w:val="22"/>
        </w:rPr>
      </w:pPr>
      <w:r w:rsidRPr="00A435D5">
        <w:rPr>
          <w:sz w:val="22"/>
          <w:szCs w:val="22"/>
        </w:rPr>
        <w:t xml:space="preserve">Pursuant to </w:t>
      </w:r>
      <w:r w:rsidR="00352B23">
        <w:rPr>
          <w:sz w:val="22"/>
          <w:szCs w:val="22"/>
        </w:rPr>
        <w:t>s</w:t>
      </w:r>
      <w:r w:rsidRPr="00A435D5">
        <w:rPr>
          <w:sz w:val="22"/>
          <w:szCs w:val="22"/>
        </w:rPr>
        <w:t xml:space="preserve">ection 1.87, </w:t>
      </w:r>
      <w:r w:rsidR="00F7440F">
        <w:rPr>
          <w:sz w:val="22"/>
          <w:szCs w:val="22"/>
        </w:rPr>
        <w:t>URI</w:t>
      </w:r>
      <w:r w:rsidRPr="00A435D5">
        <w:rPr>
          <w:sz w:val="22"/>
          <w:szCs w:val="22"/>
        </w:rPr>
        <w:t xml:space="preserve"> may, not later than </w:t>
      </w:r>
      <w:r w:rsidRPr="000367BF" w:rsidR="000367BF">
        <w:rPr>
          <w:bCs/>
          <w:sz w:val="22"/>
          <w:szCs w:val="22"/>
        </w:rPr>
        <w:t>March 1, 2023</w:t>
      </w:r>
      <w:r w:rsidRPr="00A435D5">
        <w:rPr>
          <w:sz w:val="22"/>
          <w:szCs w:val="22"/>
        </w:rPr>
        <w:t xml:space="preserve">, file a written statement showing with particularity why the license of </w:t>
      </w:r>
      <w:r w:rsidR="00F7440F">
        <w:rPr>
          <w:sz w:val="22"/>
          <w:szCs w:val="22"/>
        </w:rPr>
        <w:t>WRIU</w:t>
      </w:r>
      <w:r w:rsidRPr="00A435D5">
        <w:rPr>
          <w:sz w:val="22"/>
          <w:szCs w:val="22"/>
        </w:rPr>
        <w:t xml:space="preserve"> should not be modified as proposed.</w:t>
      </w:r>
      <w:r>
        <w:rPr>
          <w:sz w:val="22"/>
          <w:szCs w:val="22"/>
          <w:vertAlign w:val="superscript"/>
        </w:rPr>
        <w:footnoteReference w:id="35"/>
      </w:r>
      <w:r w:rsidRPr="00A435D5">
        <w:rPr>
          <w:sz w:val="22"/>
          <w:szCs w:val="22"/>
        </w:rPr>
        <w:t xml:space="preserve">  Under Section 316(c) of the Act,</w:t>
      </w:r>
      <w:r>
        <w:rPr>
          <w:sz w:val="22"/>
          <w:szCs w:val="22"/>
          <w:vertAlign w:val="superscript"/>
        </w:rPr>
        <w:footnoteReference w:id="36"/>
      </w:r>
      <w:r w:rsidRPr="00A435D5">
        <w:rPr>
          <w:sz w:val="22"/>
          <w:szCs w:val="22"/>
        </w:rPr>
        <w:t xml:space="preserve"> a protest to a license modification is subject to the requirements of Section 309 of the Act</w:t>
      </w:r>
      <w:r>
        <w:rPr>
          <w:sz w:val="22"/>
          <w:szCs w:val="22"/>
          <w:vertAlign w:val="superscript"/>
        </w:rPr>
        <w:footnoteReference w:id="37"/>
      </w:r>
      <w:r w:rsidRPr="00A435D5">
        <w:rPr>
          <w:sz w:val="22"/>
          <w:szCs w:val="22"/>
        </w:rPr>
        <w:t xml:space="preserve"> for petitions to deny, </w:t>
      </w:r>
      <w:r w:rsidRPr="00F544FA" w:rsidR="00F544FA">
        <w:rPr>
          <w:iCs/>
          <w:sz w:val="22"/>
          <w:szCs w:val="22"/>
        </w:rPr>
        <w:t>namely,</w:t>
      </w:r>
      <w:r w:rsidRPr="00A435D5">
        <w:rPr>
          <w:sz w:val="22"/>
          <w:szCs w:val="22"/>
        </w:rPr>
        <w:t xml:space="preserve"> the affected station must demonstrate a substantial and material question of fact to obtain a hearing under Section 316(a)(2).</w:t>
      </w:r>
      <w:r>
        <w:rPr>
          <w:sz w:val="22"/>
          <w:szCs w:val="22"/>
          <w:vertAlign w:val="superscript"/>
        </w:rPr>
        <w:footnoteReference w:id="38"/>
      </w:r>
      <w:r w:rsidRPr="00A435D5">
        <w:rPr>
          <w:sz w:val="22"/>
          <w:szCs w:val="22"/>
        </w:rPr>
        <w:t xml:space="preserve">  The Commission may call upon </w:t>
      </w:r>
      <w:r w:rsidR="00F7440F">
        <w:rPr>
          <w:sz w:val="22"/>
          <w:szCs w:val="22"/>
        </w:rPr>
        <w:t>URI</w:t>
      </w:r>
      <w:r w:rsidRPr="00A435D5">
        <w:rPr>
          <w:sz w:val="22"/>
          <w:szCs w:val="22"/>
        </w:rPr>
        <w:t xml:space="preserve"> to furnish additional information.  Upon review of the statements and/or additional information furnished, the Commission may grant the modification, deny the modification, or set the matter of modification for hearing.  If no written statement is filed by the date specified above, </w:t>
      </w:r>
      <w:r w:rsidR="00F7440F">
        <w:rPr>
          <w:sz w:val="22"/>
          <w:szCs w:val="22"/>
        </w:rPr>
        <w:t>URI</w:t>
      </w:r>
      <w:r w:rsidRPr="00A435D5">
        <w:rPr>
          <w:sz w:val="22"/>
          <w:szCs w:val="22"/>
        </w:rPr>
        <w:t xml:space="preserve"> will be deemed to have consented to the modification and its license will be modified as proposed in this </w:t>
      </w:r>
      <w:r w:rsidRPr="00A435D5">
        <w:rPr>
          <w:i/>
          <w:sz w:val="22"/>
          <w:szCs w:val="22"/>
        </w:rPr>
        <w:t>Order to Show Cause</w:t>
      </w:r>
      <w:r w:rsidRPr="00A435D5">
        <w:rPr>
          <w:sz w:val="22"/>
          <w:szCs w:val="22"/>
        </w:rPr>
        <w:t>.</w:t>
      </w:r>
      <w:r>
        <w:rPr>
          <w:sz w:val="22"/>
          <w:szCs w:val="22"/>
          <w:vertAlign w:val="superscript"/>
        </w:rPr>
        <w:footnoteReference w:id="39"/>
      </w:r>
      <w:r w:rsidR="00F75611">
        <w:rPr>
          <w:sz w:val="22"/>
          <w:szCs w:val="22"/>
        </w:rPr>
        <w:t xml:space="preserve">  </w:t>
      </w:r>
    </w:p>
    <w:p w:rsidR="001E3F4F" w:rsidRPr="00A47BC0" w:rsidP="009C6099" w14:paraId="6F3500F3" w14:textId="77777777">
      <w:pPr>
        <w:spacing w:after="120"/>
        <w:ind w:firstLine="720"/>
        <w:rPr>
          <w:sz w:val="22"/>
          <w:szCs w:val="22"/>
        </w:rPr>
      </w:pPr>
      <w:r w:rsidRPr="00A435D5">
        <w:rPr>
          <w:sz w:val="22"/>
          <w:szCs w:val="22"/>
        </w:rPr>
        <w:t xml:space="preserve">Further action on the subject application will be withheld for thirty days from the date of this letter to provide an opportunity to reply.  </w:t>
      </w:r>
      <w:r w:rsidR="00F75611">
        <w:rPr>
          <w:sz w:val="22"/>
          <w:szCs w:val="22"/>
        </w:rPr>
        <w:t xml:space="preserve">Responses </w:t>
      </w:r>
      <w:r w:rsidR="0026507E">
        <w:rPr>
          <w:sz w:val="22"/>
          <w:szCs w:val="22"/>
        </w:rPr>
        <w:t xml:space="preserve">must either be submitted electronically in LMS as a </w:t>
      </w:r>
      <w:r w:rsidR="0026507E">
        <w:rPr>
          <w:sz w:val="22"/>
          <w:szCs w:val="22"/>
        </w:rPr>
        <w:t>pleading under the Application file number (our recommended option) or mailed to the Office of the Secretary, Federal Communications Commission, 45 L Street NE, Washington, D.C. 22045, ATTN: Albert Shuldiner, Chief, Audio Division, Media Bureau, with a copy served on the applicant.  Regardless of the filing option</w:t>
      </w:r>
      <w:r w:rsidRPr="00D2523F" w:rsidR="0026507E">
        <w:rPr>
          <w:sz w:val="22"/>
          <w:szCs w:val="22"/>
        </w:rPr>
        <w:t xml:space="preserve"> </w:t>
      </w:r>
      <w:r w:rsidR="0026507E">
        <w:rPr>
          <w:sz w:val="22"/>
          <w:szCs w:val="22"/>
        </w:rPr>
        <w:t>chosen, electronic copies of any such pleading must also be sent to rodolfo.bonacci</w:t>
      </w:r>
      <w:r w:rsidRPr="00D76B9C" w:rsidR="0026507E">
        <w:rPr>
          <w:sz w:val="22"/>
          <w:szCs w:val="22"/>
        </w:rPr>
        <w:t>@fcc.gov</w:t>
      </w:r>
      <w:r w:rsidR="0026507E">
        <w:rPr>
          <w:sz w:val="22"/>
          <w:szCs w:val="22"/>
        </w:rPr>
        <w:t xml:space="preserve"> and </w:t>
      </w:r>
      <w:r w:rsidRPr="00F73BF2" w:rsidR="0026507E">
        <w:rPr>
          <w:sz w:val="22"/>
          <w:szCs w:val="22"/>
        </w:rPr>
        <w:t>christine.goepp@fcc.gov</w:t>
      </w:r>
      <w:r w:rsidR="0026507E">
        <w:rPr>
          <w:sz w:val="22"/>
          <w:szCs w:val="22"/>
        </w:rPr>
        <w:t xml:space="preserve">.  </w:t>
      </w:r>
      <w:r w:rsidR="00F75611">
        <w:rPr>
          <w:sz w:val="22"/>
          <w:szCs w:val="22"/>
        </w:rPr>
        <w:t>Please note that c</w:t>
      </w:r>
      <w:r w:rsidRPr="00A435D5">
        <w:rPr>
          <w:sz w:val="22"/>
          <w:szCs w:val="22"/>
        </w:rPr>
        <w:t>opies of any responses must all be served on all parties.</w:t>
      </w:r>
    </w:p>
    <w:p w:rsidR="00E54229" w:rsidRPr="00A47BC0" w:rsidP="00AE2429" w14:paraId="5F724DB5" w14:textId="77777777">
      <w:pPr>
        <w:tabs>
          <w:tab w:val="left" w:pos="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E54229" w:rsidP="00AE2429" w14:paraId="3F1BF418" w14:textId="77777777">
      <w:pPr>
        <w:tabs>
          <w:tab w:val="left" w:pos="0"/>
        </w:tabs>
        <w:suppressAutoHyphens/>
        <w:rPr>
          <w:sz w:val="22"/>
          <w:szCs w:val="22"/>
        </w:rPr>
      </w:pPr>
    </w:p>
    <w:p w:rsidR="00E54229" w:rsidP="00AE2429" w14:paraId="2E70004E" w14:textId="77777777">
      <w:pPr>
        <w:tabs>
          <w:tab w:val="left" w:pos="0"/>
        </w:tabs>
        <w:suppressAutoHyphens/>
        <w:rPr>
          <w:sz w:val="22"/>
          <w:szCs w:val="22"/>
        </w:rPr>
      </w:pPr>
    </w:p>
    <w:p w:rsidR="00AF51AB" w:rsidP="00AE2429" w14:paraId="19C88409" w14:textId="77777777">
      <w:pPr>
        <w:tabs>
          <w:tab w:val="left" w:pos="0"/>
        </w:tabs>
        <w:suppressAutoHyphens/>
        <w:rPr>
          <w:sz w:val="22"/>
          <w:szCs w:val="22"/>
        </w:rPr>
      </w:pPr>
    </w:p>
    <w:p w:rsidR="00AF51AB" w:rsidRPr="00A47BC0" w:rsidP="00AE2429" w14:paraId="3C7DFCA0" w14:textId="77777777">
      <w:pPr>
        <w:tabs>
          <w:tab w:val="left" w:pos="0"/>
        </w:tabs>
        <w:suppressAutoHyphens/>
        <w:rPr>
          <w:sz w:val="22"/>
          <w:szCs w:val="22"/>
        </w:rPr>
      </w:pPr>
    </w:p>
    <w:p w:rsidR="005D561B" w:rsidRPr="005D561B" w:rsidP="005D561B" w14:paraId="4851582C" w14:textId="77777777">
      <w:pPr>
        <w:tabs>
          <w:tab w:val="left" w:pos="0"/>
        </w:tabs>
        <w:suppressAutoHyphens/>
        <w:rPr>
          <w:sz w:val="22"/>
          <w:szCs w:val="22"/>
        </w:rPr>
      </w:pPr>
      <w:r w:rsidRPr="00A47BC0">
        <w:rPr>
          <w:sz w:val="22"/>
          <w:szCs w:val="22"/>
        </w:rPr>
        <w:tab/>
      </w:r>
      <w:r w:rsidRPr="00A47BC0">
        <w:rPr>
          <w:sz w:val="22"/>
          <w:szCs w:val="22"/>
        </w:rPr>
        <w:tab/>
      </w:r>
      <w:r w:rsidRPr="00A47BC0">
        <w:rPr>
          <w:sz w:val="22"/>
          <w:szCs w:val="22"/>
        </w:rPr>
        <w:tab/>
      </w:r>
      <w:r w:rsidRPr="00A47BC0">
        <w:rPr>
          <w:sz w:val="22"/>
          <w:szCs w:val="22"/>
        </w:rPr>
        <w:tab/>
      </w:r>
      <w:r w:rsidRPr="00A47BC0">
        <w:rPr>
          <w:sz w:val="22"/>
          <w:szCs w:val="22"/>
        </w:rPr>
        <w:tab/>
      </w:r>
      <w:r w:rsidRPr="00A47BC0">
        <w:rPr>
          <w:sz w:val="22"/>
          <w:szCs w:val="22"/>
        </w:rPr>
        <w:tab/>
      </w:r>
      <w:r w:rsidRPr="00A47BC0">
        <w:rPr>
          <w:sz w:val="22"/>
          <w:szCs w:val="22"/>
        </w:rPr>
        <w:tab/>
      </w:r>
      <w:r w:rsidR="008423E7">
        <w:rPr>
          <w:sz w:val="22"/>
          <w:szCs w:val="22"/>
        </w:rPr>
        <w:t>Albert Shuldiner</w:t>
      </w:r>
    </w:p>
    <w:p w:rsidR="005D561B" w:rsidP="005D561B" w14:paraId="73B065D9" w14:textId="77777777">
      <w:pPr>
        <w:tabs>
          <w:tab w:val="left" w:pos="0"/>
        </w:tabs>
        <w:suppressAutoHyphens/>
        <w:rPr>
          <w:sz w:val="22"/>
          <w:szCs w:val="22"/>
        </w:rPr>
      </w:pPr>
      <w:r w:rsidRPr="005D561B">
        <w:rPr>
          <w:sz w:val="22"/>
          <w:szCs w:val="22"/>
        </w:rPr>
        <w:t xml:space="preserve">                                 </w:t>
      </w:r>
      <w:r w:rsidRPr="005D561B">
        <w:rPr>
          <w:sz w:val="22"/>
          <w:szCs w:val="22"/>
        </w:rPr>
        <w:tab/>
      </w:r>
      <w:r>
        <w:rPr>
          <w:sz w:val="22"/>
          <w:szCs w:val="22"/>
        </w:rPr>
        <w:tab/>
      </w:r>
      <w:r>
        <w:rPr>
          <w:sz w:val="22"/>
          <w:szCs w:val="22"/>
        </w:rPr>
        <w:tab/>
      </w:r>
      <w:r>
        <w:rPr>
          <w:sz w:val="22"/>
          <w:szCs w:val="22"/>
        </w:rPr>
        <w:tab/>
      </w:r>
      <w:r>
        <w:rPr>
          <w:sz w:val="22"/>
          <w:szCs w:val="22"/>
        </w:rPr>
        <w:tab/>
      </w:r>
      <w:r w:rsidRPr="005D561B">
        <w:rPr>
          <w:sz w:val="22"/>
          <w:szCs w:val="22"/>
        </w:rPr>
        <w:t>Chief</w:t>
      </w:r>
      <w:r w:rsidR="00A33003">
        <w:rPr>
          <w:sz w:val="22"/>
          <w:szCs w:val="22"/>
        </w:rPr>
        <w:t xml:space="preserve">, </w:t>
      </w:r>
      <w:r w:rsidRPr="005D561B">
        <w:rPr>
          <w:sz w:val="22"/>
          <w:szCs w:val="22"/>
        </w:rPr>
        <w:t>Audio Division</w:t>
      </w:r>
    </w:p>
    <w:p w:rsidR="00E52BA1" w:rsidRPr="00A47BC0" w:rsidP="005D561B" w14:paraId="51403C2D" w14:textId="77777777">
      <w:pPr>
        <w:tabs>
          <w:tab w:val="left" w:pos="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D561B">
        <w:rPr>
          <w:sz w:val="22"/>
          <w:szCs w:val="22"/>
        </w:rPr>
        <w:t>Media Bureau</w:t>
      </w:r>
    </w:p>
    <w:sectPr>
      <w:footerReference w:type="even" r:id="rId14"/>
      <w:footerReference w:type="default" r:id="rId15"/>
      <w:headerReference w:type="first" r:id="rId1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0D" w:rsidP="00D2066C" w14:paraId="058FC43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2E57">
      <w:rPr>
        <w:rStyle w:val="PageNumber"/>
        <w:noProof/>
      </w:rPr>
      <w:t>2</w:t>
    </w:r>
    <w:r>
      <w:rPr>
        <w:rStyle w:val="PageNumber"/>
      </w:rPr>
      <w:fldChar w:fldCharType="end"/>
    </w:r>
  </w:p>
  <w:p w:rsidR="00A1060D" w14:paraId="776795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0D" w:rsidP="00D2066C" w14:paraId="2A247BC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0B76">
      <w:rPr>
        <w:rStyle w:val="PageNumber"/>
        <w:noProof/>
      </w:rPr>
      <w:t>2</w:t>
    </w:r>
    <w:r>
      <w:rPr>
        <w:rStyle w:val="PageNumber"/>
      </w:rPr>
      <w:fldChar w:fldCharType="end"/>
    </w:r>
  </w:p>
  <w:p w:rsidR="00A1060D" w14:paraId="54AC8D2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0F74" w14:paraId="7945AD58" w14:textId="77777777">
      <w:r>
        <w:separator/>
      </w:r>
    </w:p>
  </w:footnote>
  <w:footnote w:type="continuationSeparator" w:id="1">
    <w:p w:rsidR="003F0F74" w14:paraId="100B26D8" w14:textId="77777777">
      <w:r>
        <w:continuationSeparator/>
      </w:r>
    </w:p>
  </w:footnote>
  <w:footnote w:id="2">
    <w:p w:rsidR="00B57806" w:rsidRPr="00B57806" w:rsidP="00E842D6" w14:paraId="117E8C78" w14:textId="77777777">
      <w:pPr>
        <w:pStyle w:val="FootnoteText"/>
        <w:spacing w:after="120"/>
      </w:pPr>
      <w:r>
        <w:rPr>
          <w:rStyle w:val="FootnoteReference"/>
        </w:rPr>
        <w:footnoteRef/>
      </w:r>
      <w:r>
        <w:t xml:space="preserve"> </w:t>
      </w:r>
      <w:r>
        <w:rPr>
          <w:i/>
          <w:iCs/>
        </w:rPr>
        <w:t xml:space="preserve">See </w:t>
      </w:r>
      <w:r>
        <w:t xml:space="preserve">47 CFR § 73.509(a). </w:t>
      </w:r>
    </w:p>
  </w:footnote>
  <w:footnote w:id="3">
    <w:p w:rsidR="00973D47" w:rsidP="00E842D6" w14:paraId="23AD0345" w14:textId="77777777">
      <w:pPr>
        <w:pStyle w:val="FootnoteText"/>
        <w:spacing w:after="120"/>
      </w:pPr>
      <w:r>
        <w:rPr>
          <w:rStyle w:val="FootnoteReference"/>
        </w:rPr>
        <w:footnoteRef/>
      </w:r>
      <w:r>
        <w:t xml:space="preserve"> Pleading File No. </w:t>
      </w:r>
      <w:r w:rsidR="0080255C">
        <w:t xml:space="preserve">190453.  On May 23, 2022, TPR filed an opposition to the Objection </w:t>
      </w:r>
      <w:r w:rsidR="00F46728">
        <w:t xml:space="preserve">(Pleading File No. 191291) </w:t>
      </w:r>
      <w:r w:rsidR="0080255C">
        <w:t>(Opposition).</w:t>
      </w:r>
      <w:r w:rsidR="00F46728">
        <w:t xml:space="preserve">  On June 3, 2022, U</w:t>
      </w:r>
      <w:r w:rsidR="00D406EE">
        <w:t>R</w:t>
      </w:r>
      <w:r w:rsidR="00F46728">
        <w:t xml:space="preserve">I filed a reply to the Opposition (Pleading File No. 192908) (Reply).  </w:t>
      </w:r>
    </w:p>
  </w:footnote>
  <w:footnote w:id="4">
    <w:p w:rsidR="009B2E57" w:rsidRPr="009B2E57" w:rsidP="00E842D6" w14:paraId="3F633300" w14:textId="77777777">
      <w:pPr>
        <w:pStyle w:val="FootnoteText"/>
        <w:spacing w:after="120"/>
      </w:pPr>
      <w:r>
        <w:rPr>
          <w:rStyle w:val="FootnoteReference"/>
        </w:rPr>
        <w:footnoteRef/>
      </w:r>
      <w:r>
        <w:t xml:space="preserve"> </w:t>
      </w:r>
      <w:r>
        <w:rPr>
          <w:i/>
          <w:iCs/>
        </w:rPr>
        <w:t xml:space="preserve">See </w:t>
      </w:r>
      <w:r>
        <w:t>47 U.S.C. § 316(a)</w:t>
      </w:r>
      <w:r w:rsidR="00381371">
        <w:t xml:space="preserve">, </w:t>
      </w:r>
      <w:r w:rsidRPr="00381371" w:rsidR="00381371">
        <w:t>47 CFR § 1.87</w:t>
      </w:r>
      <w:r w:rsidR="00606780">
        <w:t>;</w:t>
      </w:r>
      <w:r w:rsidRPr="00381371" w:rsidR="00606780">
        <w:rPr>
          <w:i/>
          <w:iCs/>
        </w:rPr>
        <w:t xml:space="preserve"> Modification of FM and Television Licenses Pursuant to Section 316 of the Communications Act</w:t>
      </w:r>
      <w:r w:rsidRPr="00381371" w:rsidR="00606780">
        <w:t xml:space="preserve">, Order, 2 FCC Rcd 3327 (1987).  </w:t>
      </w:r>
      <w:r w:rsidRPr="00381371" w:rsidR="00381371">
        <w:t>Section 316(a) permits the Commission to modify a license or construction permit if such action is in the public interest, after notifying the affected station of the proposed action, stating the grounds and reasons for the proposed action, and affording the affected licensee at least 30 days to respond.</w:t>
      </w:r>
      <w:r w:rsidR="00381371">
        <w:t xml:space="preserve">  </w:t>
      </w:r>
      <w:r w:rsidRPr="00381371" w:rsidR="00381371">
        <w:t xml:space="preserve">This provision applies to both “direct” and “indirect” modification of station licenses.  </w:t>
      </w:r>
      <w:r w:rsidRPr="00381371" w:rsidR="00381371">
        <w:rPr>
          <w:i/>
          <w:iCs/>
        </w:rPr>
        <w:t>Western Broadcasting Company v. FCC</w:t>
      </w:r>
      <w:r w:rsidRPr="00381371" w:rsidR="00381371">
        <w:t>, 674 F.2d 44, 49 (D.C. Cir. 1982).</w:t>
      </w:r>
    </w:p>
  </w:footnote>
  <w:footnote w:id="5">
    <w:p w:rsidR="00704636" w:rsidRPr="00704636" w:rsidP="00E842D6" w14:paraId="5BA86509" w14:textId="77777777">
      <w:pPr>
        <w:pStyle w:val="FootnoteText"/>
        <w:spacing w:after="120"/>
      </w:pPr>
      <w:r>
        <w:rPr>
          <w:rStyle w:val="FootnoteReference"/>
        </w:rPr>
        <w:footnoteRef/>
      </w:r>
      <w:r>
        <w:t xml:space="preserve"> </w:t>
      </w:r>
      <w:r w:rsidR="00F94760">
        <w:rPr>
          <w:i/>
          <w:iCs/>
        </w:rPr>
        <w:t xml:space="preserve">See </w:t>
      </w:r>
      <w:r>
        <w:t>Application File No</w:t>
      </w:r>
      <w:r w:rsidR="00F94760">
        <w:t>s</w:t>
      </w:r>
      <w:r>
        <w:t xml:space="preserve">. </w:t>
      </w:r>
      <w:r w:rsidR="00F94760">
        <w:t xml:space="preserve">BPED-19810129AJ (new location) and </w:t>
      </w:r>
      <w:r>
        <w:t>BPED-19821013AO</w:t>
      </w:r>
      <w:r w:rsidR="00F94760">
        <w:t xml:space="preserve"> (power increase)</w:t>
      </w:r>
      <w:r>
        <w:t>.  The Bureau issued a license to cover the WRIU Modification Application</w:t>
      </w:r>
      <w:r w:rsidR="008C3B5D">
        <w:t>s</w:t>
      </w:r>
      <w:r>
        <w:t xml:space="preserve"> on September 20, 1985.  Application File No. BLED-19830921AD; </w:t>
      </w:r>
      <w:r>
        <w:rPr>
          <w:i/>
          <w:iCs/>
        </w:rPr>
        <w:t>Broadcast Actions</w:t>
      </w:r>
      <w:r>
        <w:t xml:space="preserve">, Public Notice, Report No. 41291 (Sept. 23, </w:t>
      </w:r>
      <w:r w:rsidR="00DD70BD">
        <w:t>1</w:t>
      </w:r>
      <w:r>
        <w:t xml:space="preserve">985). </w:t>
      </w:r>
    </w:p>
  </w:footnote>
  <w:footnote w:id="6">
    <w:p w:rsidR="009A1C8A" w:rsidRPr="008D1BF4" w:rsidP="00E842D6" w14:paraId="6638E288" w14:textId="77777777">
      <w:pPr>
        <w:pStyle w:val="FootnoteText"/>
        <w:spacing w:after="120"/>
      </w:pPr>
      <w:r>
        <w:rPr>
          <w:rStyle w:val="FootnoteReference"/>
        </w:rPr>
        <w:footnoteRef/>
      </w:r>
      <w:r>
        <w:t xml:space="preserve"> </w:t>
      </w:r>
      <w:r>
        <w:rPr>
          <w:i/>
          <w:iCs/>
        </w:rPr>
        <w:t xml:space="preserve">See </w:t>
      </w:r>
      <w:r>
        <w:t xml:space="preserve">Application File No. 160713 (granted Nov. 17, 2021). </w:t>
      </w:r>
    </w:p>
  </w:footnote>
  <w:footnote w:id="7">
    <w:p w:rsidR="00575718" w:rsidP="00E842D6" w14:paraId="4A05A327" w14:textId="42FDAB77">
      <w:pPr>
        <w:pStyle w:val="FootnoteText"/>
        <w:spacing w:after="120"/>
      </w:pPr>
      <w:r>
        <w:rPr>
          <w:rStyle w:val="FootnoteReference"/>
        </w:rPr>
        <w:footnoteRef/>
      </w:r>
      <w:r>
        <w:t xml:space="preserve"> WNPK is licensed to operate as a Class A NCE station on 90.7 </w:t>
      </w:r>
      <w:r w:rsidR="00A77C09">
        <w:t>MHz</w:t>
      </w:r>
      <w:r>
        <w:t xml:space="preserve"> with power of .36 kw and an antenna height of 24 meters above average terrain.  The Application</w:t>
      </w:r>
      <w:r w:rsidR="00A52091">
        <w:t>, as amended,</w:t>
      </w:r>
      <w:r>
        <w:t xml:space="preserve"> seeks authority to move the WNPK transmitter site to a location 19.4 km from their licensed transmitter location.  In addition, TPR seeks a power increase to 5 kw using a directional antenna, and an antenna height increase to 88 meters above average terrain.</w:t>
      </w:r>
      <w:r w:rsidR="0034760B">
        <w:t xml:space="preserve">  </w:t>
      </w:r>
      <w:r w:rsidRPr="00511D21" w:rsidR="0034760B">
        <w:t xml:space="preserve">The first site TPR proposed did not place the required 60 dBu signal over at least 50% of the Station’s community of license.  </w:t>
      </w:r>
      <w:r w:rsidRPr="006747E4" w:rsidR="0034760B">
        <w:rPr>
          <w:i/>
          <w:iCs/>
        </w:rPr>
        <w:t>See</w:t>
      </w:r>
      <w:r w:rsidRPr="00511D21" w:rsidR="0034760B">
        <w:t xml:space="preserve"> </w:t>
      </w:r>
      <w:r w:rsidR="0034760B">
        <w:t>47 CFR § 73.515</w:t>
      </w:r>
      <w:r w:rsidR="00511D21">
        <w:t xml:space="preserve">; informal objection filed by </w:t>
      </w:r>
      <w:r w:rsidR="0034760B">
        <w:t xml:space="preserve">Connecticut Public Broadcasting, Inc. </w:t>
      </w:r>
      <w:r w:rsidR="00511D21">
        <w:t xml:space="preserve">on October 29, 2021, </w:t>
      </w:r>
      <w:r w:rsidR="0034760B">
        <w:t>(Pleading File No. 165298)</w:t>
      </w:r>
      <w:r w:rsidRPr="009A1C8A" w:rsidR="0034760B">
        <w:t xml:space="preserve"> </w:t>
      </w:r>
      <w:r w:rsidR="0034760B">
        <w:t xml:space="preserve">(CPB Objection).  On December 10, 2021, TPR filed an opposition to the CPB Objection, explaining that an amendment had been </w:t>
      </w:r>
      <w:r w:rsidR="00511D21">
        <w:t xml:space="preserve">concurrently </w:t>
      </w:r>
      <w:r w:rsidR="0034760B">
        <w:t xml:space="preserve">filed </w:t>
      </w:r>
      <w:r w:rsidRPr="00511D21" w:rsidR="00511D21">
        <w:t>to specify the current proposed site.</w:t>
      </w:r>
      <w:r w:rsidR="00511D21">
        <w:t xml:space="preserve"> </w:t>
      </w:r>
      <w:r w:rsidR="0034760B">
        <w:t>(Pleading File No. 177096).</w:t>
      </w:r>
      <w:r w:rsidRPr="00511D21" w:rsidR="0034760B">
        <w:t xml:space="preserve"> </w:t>
      </w:r>
    </w:p>
  </w:footnote>
  <w:footnote w:id="8">
    <w:p w:rsidR="00345541" w:rsidP="00E842D6" w14:paraId="1EDC22D0" w14:textId="77777777">
      <w:pPr>
        <w:pStyle w:val="FootnoteText"/>
        <w:spacing w:after="120"/>
      </w:pPr>
      <w:r>
        <w:rPr>
          <w:rStyle w:val="FootnoteReference"/>
        </w:rPr>
        <w:footnoteRef/>
      </w:r>
      <w:r>
        <w:t xml:space="preserve"> </w:t>
      </w:r>
      <w:r w:rsidR="00272F76">
        <w:rPr>
          <w:i/>
          <w:iCs/>
        </w:rPr>
        <w:t xml:space="preserve">See </w:t>
      </w:r>
      <w:r w:rsidR="00272F76">
        <w:t xml:space="preserve">47 CFR § 73.509(a) (Section 73.509(a)).  </w:t>
      </w:r>
      <w:r w:rsidRPr="00345541">
        <w:t xml:space="preserve">Prohibited overlap occurs when a station's interference contour overlaps another station's service contour. </w:t>
      </w:r>
      <w:r>
        <w:t xml:space="preserve"> </w:t>
      </w:r>
      <w:r w:rsidRPr="00345541">
        <w:t xml:space="preserve">The terms “overlap caused” and “overlap received” are used in reference to a specific station proposing a facility change. </w:t>
      </w:r>
      <w:r>
        <w:t xml:space="preserve"> </w:t>
      </w:r>
      <w:r w:rsidRPr="00345541">
        <w:t xml:space="preserve">If Station A is proposing to expand its service contour and the new service contour will be overlapped by Station B's interference contour, Station A is said to receive overlap from B. </w:t>
      </w:r>
      <w:r w:rsidR="00272F76">
        <w:t xml:space="preserve"> </w:t>
      </w:r>
      <w:r>
        <w:t xml:space="preserve"> </w:t>
      </w:r>
      <w:r w:rsidRPr="00345541">
        <w:t xml:space="preserve">If station B is proposing to increase its facilities so that its proposed interference contour would overlap Station A's service contour, Station B is said to cause overlap. </w:t>
      </w:r>
      <w:r w:rsidR="00272F76">
        <w:t xml:space="preserve"> </w:t>
      </w:r>
      <w:r w:rsidRPr="00345541">
        <w:t>Under some circumstances</w:t>
      </w:r>
      <w:r>
        <w:t>, as here,</w:t>
      </w:r>
      <w:r w:rsidRPr="00345541">
        <w:t xml:space="preserve"> a proposal may both cause and receive overlap</w:t>
      </w:r>
      <w:r w:rsidR="008E6083">
        <w:t>.</w:t>
      </w:r>
    </w:p>
  </w:footnote>
  <w:footnote w:id="9">
    <w:p w:rsidR="003303B0" w:rsidRPr="004F0FAC" w:rsidP="00E842D6" w14:paraId="7E3035E3" w14:textId="77777777">
      <w:pPr>
        <w:pStyle w:val="FootnoteText"/>
        <w:spacing w:after="120"/>
      </w:pPr>
      <w:r>
        <w:rPr>
          <w:rStyle w:val="FootnoteReference"/>
        </w:rPr>
        <w:footnoteRef/>
      </w:r>
      <w:r>
        <w:t xml:space="preserve"> Application Technical Exhibit at 4.</w:t>
      </w:r>
    </w:p>
  </w:footnote>
  <w:footnote w:id="10">
    <w:p w:rsidR="00352B23" w:rsidRPr="00D75554" w:rsidP="00E842D6" w14:paraId="1A904BBD" w14:textId="77777777">
      <w:pPr>
        <w:pStyle w:val="FootnoteText"/>
        <w:spacing w:after="120"/>
      </w:pPr>
      <w:r w:rsidRPr="00D75554">
        <w:rPr>
          <w:rStyle w:val="FootnoteReference"/>
        </w:rPr>
        <w:footnoteRef/>
      </w:r>
      <w:r w:rsidRPr="00D75554">
        <w:t xml:space="preserve"> 47 CFR § 1.3.</w:t>
      </w:r>
    </w:p>
  </w:footnote>
  <w:footnote w:id="11">
    <w:p w:rsidR="00352B23" w:rsidP="00E842D6" w14:paraId="2CB65852" w14:textId="77777777">
      <w:pPr>
        <w:pStyle w:val="FootnoteText"/>
        <w:spacing w:after="120"/>
      </w:pPr>
      <w:r>
        <w:rPr>
          <w:rStyle w:val="FootnoteReference"/>
        </w:rPr>
        <w:footnoteRef/>
      </w:r>
      <w:r>
        <w:t xml:space="preserve"> </w:t>
      </w:r>
      <w:r w:rsidRPr="00C73E83">
        <w:rPr>
          <w:i/>
        </w:rPr>
        <w:t>WAIT Radio v. FCC</w:t>
      </w:r>
      <w:r w:rsidRPr="00C73E83">
        <w:t>, 418 F.2d 1153, 1157</w:t>
      </w:r>
      <w:r>
        <w:t>, para. 2</w:t>
      </w:r>
      <w:r w:rsidRPr="00C73E83">
        <w:t xml:space="preserve"> (D.C. Cir. 1969) (</w:t>
      </w:r>
      <w:r w:rsidRPr="00C73E83">
        <w:rPr>
          <w:i/>
        </w:rPr>
        <w:t>WAIT Radio</w:t>
      </w:r>
      <w:r w:rsidRPr="00C73E83">
        <w:t>).</w:t>
      </w:r>
    </w:p>
  </w:footnote>
  <w:footnote w:id="12">
    <w:p w:rsidR="00352B23" w:rsidRPr="00C73E83" w:rsidP="00E842D6" w14:paraId="6A670047" w14:textId="77777777">
      <w:pPr>
        <w:pStyle w:val="FootnoteText"/>
        <w:spacing w:after="120"/>
      </w:pPr>
      <w:r w:rsidRPr="00D75554">
        <w:rPr>
          <w:rStyle w:val="FootnoteReference"/>
        </w:rPr>
        <w:footnoteRef/>
      </w:r>
      <w:r w:rsidRPr="00D75554">
        <w:t xml:space="preserve"> </w:t>
      </w:r>
      <w:r>
        <w:rPr>
          <w:i/>
        </w:rPr>
        <w:t>WAIT Radio</w:t>
      </w:r>
      <w:r>
        <w:t>, 418 F.2d at 1157, para. 2.</w:t>
      </w:r>
    </w:p>
  </w:footnote>
  <w:footnote w:id="13">
    <w:p w:rsidR="00352B23" w:rsidRPr="00D75554" w:rsidP="00E842D6" w14:paraId="0C82905E" w14:textId="77777777">
      <w:pPr>
        <w:pStyle w:val="FootnoteText"/>
        <w:spacing w:after="120"/>
      </w:pPr>
      <w:r w:rsidRPr="00D75554">
        <w:rPr>
          <w:rStyle w:val="FootnoteReference"/>
        </w:rPr>
        <w:footnoteRef/>
      </w:r>
      <w:r w:rsidRPr="00D75554">
        <w:t xml:space="preserve"> </w:t>
      </w:r>
      <w:r w:rsidRPr="00D75554">
        <w:rPr>
          <w:i/>
        </w:rPr>
        <w:t>Greater Media Radio Co., Inc</w:t>
      </w:r>
      <w:r w:rsidRPr="00D75554">
        <w:t>., Memorandum Opinion and Order, 15 FCC Rcd 7090</w:t>
      </w:r>
      <w:r>
        <w:t>, 7094, para. 9</w:t>
      </w:r>
      <w:r w:rsidRPr="00D75554">
        <w:t xml:space="preserve"> (1999) (citing </w:t>
      </w:r>
      <w:r w:rsidRPr="00D75554">
        <w:rPr>
          <w:i/>
        </w:rPr>
        <w:t>Stoner Broadcasting System, Inc.</w:t>
      </w:r>
      <w:r w:rsidRPr="00D75554">
        <w:t>, Memorandum Opinion and Order</w:t>
      </w:r>
      <w:r>
        <w:t>, 49 FCC 2d 1011, 1012 (1974)).</w:t>
      </w:r>
    </w:p>
  </w:footnote>
  <w:footnote w:id="14">
    <w:p w:rsidR="00352B23" w:rsidRPr="00D75554" w:rsidP="00E842D6" w14:paraId="07E92132" w14:textId="77777777">
      <w:pPr>
        <w:pStyle w:val="FootnoteText"/>
        <w:spacing w:after="120"/>
      </w:pPr>
      <w:r w:rsidRPr="00D75554">
        <w:rPr>
          <w:rStyle w:val="FootnoteReference"/>
        </w:rPr>
        <w:footnoteRef/>
      </w:r>
      <w:r w:rsidRPr="00D75554">
        <w:t xml:space="preserve"> </w:t>
      </w:r>
      <w:r w:rsidRPr="00D75554">
        <w:rPr>
          <w:i/>
        </w:rPr>
        <w:t>NetworkIP</w:t>
      </w:r>
      <w:r w:rsidRPr="00D75554">
        <w:rPr>
          <w:i/>
        </w:rPr>
        <w:t>, LLC v. FCC</w:t>
      </w:r>
      <w:r w:rsidRPr="00D75554">
        <w:t>, 548 F.3d</w:t>
      </w:r>
      <w:r>
        <w:t xml:space="preserve"> 116, 125-128 (D.C. Cir. 2008) (citing </w:t>
      </w:r>
      <w:r w:rsidRPr="00D75554">
        <w:rPr>
          <w:i/>
        </w:rPr>
        <w:t>Northeast Cellular</w:t>
      </w:r>
      <w:r>
        <w:rPr>
          <w:i/>
        </w:rPr>
        <w:t xml:space="preserve"> Telephone Co.</w:t>
      </w:r>
      <w:r w:rsidRPr="00D75554">
        <w:t xml:space="preserve">, 897 F.2d </w:t>
      </w:r>
      <w:r>
        <w:t>1164,</w:t>
      </w:r>
      <w:r w:rsidRPr="00D75554">
        <w:t xml:space="preserve"> 1166</w:t>
      </w:r>
      <w:r>
        <w:t xml:space="preserve"> (1990))</w:t>
      </w:r>
      <w:r w:rsidRPr="00D75554">
        <w:t>.</w:t>
      </w:r>
    </w:p>
  </w:footnote>
  <w:footnote w:id="15">
    <w:p w:rsidR="00A37794" w:rsidRPr="0042583A" w:rsidP="00E842D6" w14:paraId="15AB33BD" w14:textId="77777777">
      <w:pPr>
        <w:pStyle w:val="FootnoteText"/>
        <w:spacing w:after="120"/>
      </w:pPr>
      <w:r>
        <w:rPr>
          <w:rStyle w:val="FootnoteReference"/>
        </w:rPr>
        <w:footnoteRef/>
      </w:r>
      <w:r>
        <w:t xml:space="preserve"> </w:t>
      </w:r>
      <w:r w:rsidR="00352B23">
        <w:rPr>
          <w:i/>
        </w:rPr>
        <w:t>See Educational Information Corporation</w:t>
      </w:r>
      <w:r w:rsidR="00352B23">
        <w:t>, Memorandum Opinion and Order, 6 FCC Rcd 2207, 2208 (1991) (</w:t>
      </w:r>
      <w:r w:rsidR="00352B23">
        <w:rPr>
          <w:i/>
        </w:rPr>
        <w:t>Raleigh</w:t>
      </w:r>
      <w:r w:rsidR="00352B23">
        <w:t>).</w:t>
      </w:r>
      <w:r w:rsidRPr="00DB3D1D" w:rsidR="00352B23">
        <w:rPr>
          <w:sz w:val="22"/>
          <w:szCs w:val="22"/>
        </w:rPr>
        <w:t xml:space="preserve"> </w:t>
      </w:r>
      <w:r w:rsidR="00352B23">
        <w:rPr>
          <w:sz w:val="22"/>
          <w:szCs w:val="22"/>
        </w:rPr>
        <w:t xml:space="preserve"> </w:t>
      </w:r>
    </w:p>
  </w:footnote>
  <w:footnote w:id="16">
    <w:p w:rsidR="00352B23" w:rsidRPr="00352B23" w:rsidP="00E842D6" w14:paraId="63EC9274" w14:textId="73D451E2">
      <w:pPr>
        <w:pStyle w:val="FootnoteText"/>
        <w:spacing w:after="120"/>
      </w:pPr>
      <w:r>
        <w:rPr>
          <w:rStyle w:val="FootnoteReference"/>
        </w:rPr>
        <w:footnoteRef/>
      </w:r>
      <w:r>
        <w:t xml:space="preserve"> </w:t>
      </w:r>
      <w:r>
        <w:rPr>
          <w:i/>
        </w:rPr>
        <w:t>Raleigh</w:t>
      </w:r>
      <w:r>
        <w:t>, 6 FCC Rcd at 2208.</w:t>
      </w:r>
    </w:p>
  </w:footnote>
  <w:footnote w:id="17">
    <w:p w:rsidR="001E19C5" w:rsidP="00E842D6" w14:paraId="05BB6035" w14:textId="77777777">
      <w:pPr>
        <w:pStyle w:val="FootnoteText"/>
        <w:spacing w:after="120"/>
      </w:pPr>
      <w:r>
        <w:rPr>
          <w:rStyle w:val="FootnoteReference"/>
        </w:rPr>
        <w:footnoteRef/>
      </w:r>
      <w:r>
        <w:t xml:space="preserve"> </w:t>
      </w:r>
      <w:r w:rsidRPr="00CF65D7">
        <w:rPr>
          <w:i/>
          <w:iCs/>
        </w:rPr>
        <w:t>Changes in the Rules Relating to Noncommercial, Educational FM Broadcast Stations</w:t>
      </w:r>
      <w:r w:rsidRPr="00CF65D7">
        <w:t>, Memorandum Opinion and Order, 50 FR 27954, 27960 (1985)</w:t>
      </w:r>
      <w:r w:rsidRPr="001E19C5">
        <w:t>.</w:t>
      </w:r>
    </w:p>
  </w:footnote>
  <w:footnote w:id="18">
    <w:p w:rsidR="00F1795E" w:rsidRPr="00181E02" w:rsidP="00E842D6" w14:paraId="7364FB88" w14:textId="1D8F4667">
      <w:pPr>
        <w:pStyle w:val="FootnoteText"/>
        <w:spacing w:after="120"/>
      </w:pPr>
      <w:r>
        <w:rPr>
          <w:rStyle w:val="FootnoteReference"/>
        </w:rPr>
        <w:footnoteRef/>
      </w:r>
      <w:r>
        <w:t xml:space="preserve"> </w:t>
      </w:r>
      <w:r>
        <w:rPr>
          <w:i/>
          <w:iCs/>
        </w:rPr>
        <w:t>See Raleigh</w:t>
      </w:r>
      <w:r>
        <w:t>, 6 FCC Rcd at 2209</w:t>
      </w:r>
      <w:r w:rsidR="00C46CFE">
        <w:t xml:space="preserve">; </w:t>
      </w:r>
      <w:r w:rsidR="00C46CFE">
        <w:rPr>
          <w:i/>
          <w:iCs/>
        </w:rPr>
        <w:t>see also, e.g., Dennis J. Kelly, Esq.</w:t>
      </w:r>
      <w:r w:rsidR="00C46CFE">
        <w:t>, Letter Decision, 32 FCC Rcd 7441, 7444 (MB 2017)</w:t>
      </w:r>
      <w:r>
        <w:t>.</w:t>
      </w:r>
    </w:p>
  </w:footnote>
  <w:footnote w:id="19">
    <w:p w:rsidR="00F1795E" w:rsidRPr="000711C7" w:rsidP="00E842D6" w14:paraId="041292DC" w14:textId="17D04D33">
      <w:pPr>
        <w:pStyle w:val="FootnoteText"/>
        <w:spacing w:after="120"/>
      </w:pPr>
      <w:r>
        <w:rPr>
          <w:rStyle w:val="FootnoteReference"/>
        </w:rPr>
        <w:footnoteRef/>
      </w:r>
      <w:r>
        <w:t xml:space="preserve"> </w:t>
      </w:r>
      <w:r w:rsidR="00C46CFE">
        <w:rPr>
          <w:i/>
          <w:iCs/>
        </w:rPr>
        <w:t>See Raleigh</w:t>
      </w:r>
      <w:r w:rsidR="00C46CFE">
        <w:t>, 6 FCC Rcd at 2209.</w:t>
      </w:r>
    </w:p>
  </w:footnote>
  <w:footnote w:id="20">
    <w:p w:rsidR="00397F47" w:rsidRPr="00B05287" w:rsidP="00E842D6" w14:paraId="00669298" w14:textId="10D8BDFB">
      <w:pPr>
        <w:pStyle w:val="FootnoteText"/>
        <w:spacing w:after="120"/>
      </w:pPr>
      <w:r>
        <w:rPr>
          <w:rStyle w:val="FootnoteReference"/>
        </w:rPr>
        <w:footnoteRef/>
      </w:r>
      <w:r>
        <w:t xml:space="preserve"> </w:t>
      </w:r>
      <w:r w:rsidR="00C46CFE">
        <w:rPr>
          <w:i/>
        </w:rPr>
        <w:t>Id</w:t>
      </w:r>
      <w:r w:rsidR="00C46CFE">
        <w:rPr>
          <w:iCs/>
        </w:rPr>
        <w:t>.</w:t>
      </w:r>
      <w:r w:rsidR="00CF65D7">
        <w:t xml:space="preserve"> at 2208</w:t>
      </w:r>
      <w:r>
        <w:t>.</w:t>
      </w:r>
    </w:p>
  </w:footnote>
  <w:footnote w:id="21">
    <w:p w:rsidR="00397F47" w:rsidP="00E842D6" w14:paraId="7A1293AD" w14:textId="77777777">
      <w:pPr>
        <w:pStyle w:val="FootnoteText"/>
        <w:spacing w:after="120"/>
      </w:pPr>
      <w:r>
        <w:rPr>
          <w:rStyle w:val="FootnoteReference"/>
        </w:rPr>
        <w:footnoteRef/>
      </w:r>
      <w:r>
        <w:t xml:space="preserve"> </w:t>
      </w:r>
      <w:r>
        <w:rPr>
          <w:i/>
        </w:rPr>
        <w:t>Id</w:t>
      </w:r>
      <w:r>
        <w:t>.</w:t>
      </w:r>
    </w:p>
  </w:footnote>
  <w:footnote w:id="22">
    <w:p w:rsidR="00397F47" w:rsidRPr="006978DE" w:rsidP="00E842D6" w14:paraId="35B85879" w14:textId="77777777">
      <w:pPr>
        <w:pStyle w:val="FootnoteText"/>
        <w:spacing w:after="120"/>
      </w:pPr>
      <w:r>
        <w:rPr>
          <w:rStyle w:val="FootnoteReference"/>
        </w:rPr>
        <w:footnoteRef/>
      </w:r>
      <w:r>
        <w:t xml:space="preserve"> </w:t>
      </w:r>
      <w:r>
        <w:rPr>
          <w:i/>
          <w:iCs/>
        </w:rPr>
        <w:t>Id</w:t>
      </w:r>
      <w:r>
        <w:t xml:space="preserve">. </w:t>
      </w:r>
    </w:p>
  </w:footnote>
  <w:footnote w:id="23">
    <w:p w:rsidR="00CF6DAC" w:rsidP="00E842D6" w14:paraId="7C26EF26" w14:textId="77777777">
      <w:pPr>
        <w:pStyle w:val="FootnoteText"/>
        <w:spacing w:after="120"/>
      </w:pPr>
      <w:r>
        <w:rPr>
          <w:rStyle w:val="FootnoteReference"/>
        </w:rPr>
        <w:footnoteRef/>
      </w:r>
      <w:r>
        <w:t xml:space="preserve"> Opposition at 2. </w:t>
      </w:r>
    </w:p>
  </w:footnote>
  <w:footnote w:id="24">
    <w:p w:rsidR="00874AD7" w:rsidP="00E842D6" w14:paraId="7CB172CC" w14:textId="77777777">
      <w:pPr>
        <w:pStyle w:val="FootnoteText"/>
        <w:spacing w:after="120"/>
      </w:pPr>
      <w:r>
        <w:rPr>
          <w:rStyle w:val="FootnoteReference"/>
        </w:rPr>
        <w:footnoteRef/>
      </w:r>
      <w:r>
        <w:t xml:space="preserve"> Informal Objection at 3</w:t>
      </w:r>
      <w:r w:rsidR="006C172A">
        <w:t>; Reply at 2</w:t>
      </w:r>
      <w:r>
        <w:t xml:space="preserve">. </w:t>
      </w:r>
    </w:p>
  </w:footnote>
  <w:footnote w:id="25">
    <w:p w:rsidR="00803609" w:rsidRPr="00803609" w:rsidP="00E842D6" w14:paraId="3E8DEED3" w14:textId="77777777">
      <w:pPr>
        <w:pStyle w:val="FootnoteText"/>
        <w:spacing w:after="120"/>
      </w:pPr>
      <w:r>
        <w:rPr>
          <w:rStyle w:val="FootnoteReference"/>
        </w:rPr>
        <w:footnoteRef/>
      </w:r>
      <w:r>
        <w:t xml:space="preserve"> </w:t>
      </w:r>
      <w:r w:rsidR="006C172A">
        <w:t>Informal Objection at 3; Reply at 2.</w:t>
      </w:r>
    </w:p>
  </w:footnote>
  <w:footnote w:id="26">
    <w:p w:rsidR="006C172A" w:rsidP="00E842D6" w14:paraId="660FF216" w14:textId="77777777">
      <w:pPr>
        <w:pStyle w:val="FootnoteText"/>
        <w:spacing w:after="120"/>
      </w:pPr>
      <w:r>
        <w:rPr>
          <w:rStyle w:val="FootnoteReference"/>
        </w:rPr>
        <w:footnoteRef/>
      </w:r>
      <w:r>
        <w:t xml:space="preserve"> </w:t>
      </w:r>
      <w:r w:rsidR="00737565">
        <w:t xml:space="preserve">Informal Objection at 3; </w:t>
      </w:r>
      <w:r>
        <w:t xml:space="preserve">Reply at </w:t>
      </w:r>
      <w:r w:rsidR="00554AE6">
        <w:t>2-3.</w:t>
      </w:r>
    </w:p>
  </w:footnote>
  <w:footnote w:id="27">
    <w:p w:rsidR="00A73CBB" w:rsidP="00E842D6" w14:paraId="0CC7233E" w14:textId="77777777">
      <w:pPr>
        <w:pStyle w:val="FootnoteText"/>
        <w:spacing w:after="120"/>
      </w:pPr>
      <w:r>
        <w:rPr>
          <w:rStyle w:val="FootnoteReference"/>
        </w:rPr>
        <w:footnoteRef/>
      </w:r>
      <w:r>
        <w:t xml:space="preserve"> Informal Objection at 3.</w:t>
      </w:r>
    </w:p>
  </w:footnote>
  <w:footnote w:id="28">
    <w:p w:rsidR="003303B0" w:rsidRPr="003303B0" w:rsidP="00E842D6" w14:paraId="4E9FAE8E" w14:textId="5F79FF5D">
      <w:pPr>
        <w:pStyle w:val="FootnoteText"/>
        <w:spacing w:after="120"/>
      </w:pPr>
      <w:r>
        <w:rPr>
          <w:rStyle w:val="FootnoteReference"/>
        </w:rPr>
        <w:footnoteRef/>
      </w:r>
      <w:r>
        <w:t xml:space="preserve"> </w:t>
      </w:r>
      <w:r>
        <w:rPr>
          <w:i/>
          <w:iCs/>
        </w:rPr>
        <w:t>Id</w:t>
      </w:r>
      <w:r>
        <w:t xml:space="preserve">. at 4 (citing </w:t>
      </w:r>
      <w:r>
        <w:rPr>
          <w:i/>
          <w:iCs/>
        </w:rPr>
        <w:t>Board of Education of the City of Atlanta (WABE-FM)</w:t>
      </w:r>
      <w:r>
        <w:t xml:space="preserve">, </w:t>
      </w:r>
      <w:r w:rsidR="00A73CBB">
        <w:t xml:space="preserve">Memorandum Opinion and Order, </w:t>
      </w:r>
      <w:r>
        <w:t>82 FCC 2d 125, 127</w:t>
      </w:r>
      <w:r w:rsidR="00A73CBB">
        <w:t>, para. 7</w:t>
      </w:r>
      <w:r>
        <w:t xml:space="preserve"> (1980)</w:t>
      </w:r>
      <w:r w:rsidR="00A73CBB">
        <w:t xml:space="preserve"> (</w:t>
      </w:r>
      <w:r w:rsidR="00A73CBB">
        <w:rPr>
          <w:i/>
          <w:iCs/>
        </w:rPr>
        <w:t>Atlanta</w:t>
      </w:r>
      <w:r w:rsidR="00A73CBB">
        <w:t>)</w:t>
      </w:r>
      <w:r w:rsidR="005326D2">
        <w:t xml:space="preserve"> (denying a waiver request for an NCE station to receive prohibited overlap)</w:t>
      </w:r>
      <w:r w:rsidR="00A73CBB">
        <w:t>)</w:t>
      </w:r>
      <w:r>
        <w:t xml:space="preserve">. </w:t>
      </w:r>
    </w:p>
  </w:footnote>
  <w:footnote w:id="29">
    <w:p w:rsidR="00CF6DAC" w:rsidP="00E842D6" w14:paraId="5EF85DCB" w14:textId="77777777">
      <w:pPr>
        <w:pStyle w:val="FootnoteText"/>
        <w:spacing w:after="120"/>
      </w:pPr>
      <w:r>
        <w:rPr>
          <w:rStyle w:val="FootnoteReference"/>
        </w:rPr>
        <w:footnoteRef/>
      </w:r>
      <w:r>
        <w:t xml:space="preserve"> Opposition at 2. </w:t>
      </w:r>
    </w:p>
  </w:footnote>
  <w:footnote w:id="30">
    <w:p w:rsidR="00750104" w:rsidP="00E842D6" w14:paraId="79331746" w14:textId="77777777">
      <w:pPr>
        <w:pStyle w:val="FootnoteText"/>
        <w:spacing w:after="120"/>
      </w:pPr>
      <w:r>
        <w:rPr>
          <w:rStyle w:val="FootnoteReference"/>
        </w:rPr>
        <w:footnoteRef/>
      </w:r>
      <w:r>
        <w:t xml:space="preserve"> Opposition at 3, Technical Exhibit.</w:t>
      </w:r>
    </w:p>
  </w:footnote>
  <w:footnote w:id="31">
    <w:p w:rsidR="00A1441B" w:rsidP="00E842D6" w14:paraId="3810D32A" w14:textId="77777777">
      <w:pPr>
        <w:pStyle w:val="FootnoteText"/>
        <w:spacing w:after="120"/>
      </w:pPr>
      <w:r>
        <w:rPr>
          <w:rStyle w:val="FootnoteReference"/>
        </w:rPr>
        <w:footnoteRef/>
      </w:r>
      <w:r>
        <w:t xml:space="preserve"> Opposition at 2.</w:t>
      </w:r>
    </w:p>
  </w:footnote>
  <w:footnote w:id="32">
    <w:p w:rsidR="00E31FE7" w:rsidRPr="00296C3D" w:rsidP="00E842D6" w14:paraId="7709BC0B" w14:textId="1E486E12">
      <w:pPr>
        <w:pStyle w:val="FootnoteText"/>
        <w:spacing w:after="120"/>
      </w:pPr>
      <w:r>
        <w:rPr>
          <w:rStyle w:val="FootnoteReference"/>
        </w:rPr>
        <w:footnoteRef/>
      </w:r>
      <w:r>
        <w:t xml:space="preserve"> </w:t>
      </w:r>
      <w:r w:rsidRPr="00296C3D">
        <w:t>TPR’s proposal does not satisfy the exception for stations with grandfathered prohibited overlap set out in 47 CFR § 73.509(d), which allows facility modifications “that would not aggravate the existing interference.”</w:t>
      </w:r>
      <w:r w:rsidRPr="00296C3D">
        <w:rPr>
          <w:i/>
          <w:iCs/>
        </w:rPr>
        <w:t xml:space="preserve"> Changes in the Rules Relating to Noncommercial Educational FM Broadcast Stations</w:t>
      </w:r>
      <w:r w:rsidRPr="00296C3D">
        <w:t xml:space="preserve">, Third Report and Order, FCC 84-515, 57 R.R.2d 107, 116, paras. 42-44 (1984).  Specifically, section 73.509(d) allows a station with existing prohibited overlap to relocate if: (1) the total area of overlap with the subject station would not increase; (2) the area of overlap with any other station would not increase; (3) the area of overlap does not move significantly closer to the station receiving the overlap; and (4) no area of overlap would be created with any station with which the overlap does not now exist).  47 CFR § 73.509(d).  Here, </w:t>
      </w:r>
      <w:r w:rsidRPr="00296C3D" w:rsidR="00477547">
        <w:t>the</w:t>
      </w:r>
      <w:r w:rsidRPr="00296C3D">
        <w:t xml:space="preserve"> Application does not satisfy conditions (1) and (3).</w:t>
      </w:r>
    </w:p>
  </w:footnote>
  <w:footnote w:id="33">
    <w:p w:rsidR="00C46CFE" w:rsidRPr="00434AD5" w:rsidP="00E842D6" w14:paraId="2543878C" w14:textId="4EA07FC1">
      <w:pPr>
        <w:pStyle w:val="FootnoteText"/>
        <w:spacing w:after="120"/>
      </w:pPr>
      <w:r>
        <w:rPr>
          <w:rStyle w:val="FootnoteReference"/>
        </w:rPr>
        <w:footnoteRef/>
      </w:r>
      <w:r>
        <w:t xml:space="preserve"> </w:t>
      </w:r>
      <w:r w:rsidR="00434AD5">
        <w:rPr>
          <w:i/>
          <w:iCs/>
        </w:rPr>
        <w:t>Educational Information Corporation</w:t>
      </w:r>
      <w:r w:rsidR="00434AD5">
        <w:t>, Memorandum Opinion and Order, 12 FCC Rcd 6917, 6918 (1997) (rejecting a waiver request to cause contour overlap where none had previously existed)</w:t>
      </w:r>
      <w:r w:rsidR="00B3453E">
        <w:t xml:space="preserve">; </w:t>
      </w:r>
      <w:r w:rsidR="00B3453E">
        <w:rPr>
          <w:i/>
          <w:iCs/>
        </w:rPr>
        <w:t>Centenary College</w:t>
      </w:r>
      <w:r w:rsidR="00B3453E">
        <w:t>, Letter Decision, 23 FCC Rcd 17317, 17320 (MB 2008)</w:t>
      </w:r>
      <w:r w:rsidRPr="00520F75" w:rsidR="00520F75">
        <w:t xml:space="preserve"> </w:t>
      </w:r>
      <w:r w:rsidR="00520F75">
        <w:t>(same)</w:t>
      </w:r>
      <w:r w:rsidR="00434AD5">
        <w:t xml:space="preserve">. </w:t>
      </w:r>
    </w:p>
  </w:footnote>
  <w:footnote w:id="34">
    <w:p w:rsidR="00E842D6" w:rsidRPr="00E842D6" w:rsidP="00E842D6" w14:paraId="35ABB2DC" w14:textId="76C050DE">
      <w:pPr>
        <w:pStyle w:val="FootnoteText"/>
        <w:spacing w:after="120"/>
      </w:pPr>
      <w:r>
        <w:rPr>
          <w:rStyle w:val="FootnoteReference"/>
        </w:rPr>
        <w:footnoteRef/>
      </w:r>
      <w:r>
        <w:t xml:space="preserve"> </w:t>
      </w:r>
      <w:r>
        <w:rPr>
          <w:i/>
          <w:iCs/>
        </w:rPr>
        <w:t>See supra</w:t>
      </w:r>
      <w:r>
        <w:t>, note 17.</w:t>
      </w:r>
    </w:p>
  </w:footnote>
  <w:footnote w:id="35">
    <w:p w:rsidR="00A435D5" w:rsidRPr="00E211F5" w:rsidP="00E842D6" w14:paraId="653F4F2A" w14:textId="77777777">
      <w:pPr>
        <w:pStyle w:val="FootnoteText"/>
        <w:spacing w:after="120"/>
      </w:pPr>
      <w:r w:rsidRPr="00E211F5">
        <w:rPr>
          <w:rStyle w:val="FootnoteReference"/>
        </w:rPr>
        <w:footnoteRef/>
      </w:r>
      <w:r w:rsidRPr="00E211F5">
        <w:t xml:space="preserve"> </w:t>
      </w:r>
      <w:r w:rsidRPr="00E211F5">
        <w:rPr>
          <w:i/>
        </w:rPr>
        <w:t xml:space="preserve">See </w:t>
      </w:r>
      <w:r w:rsidRPr="00E211F5">
        <w:t>47 C</w:t>
      </w:r>
      <w:r w:rsidR="00F544FA">
        <w:t>FR</w:t>
      </w:r>
      <w:r w:rsidRPr="00E211F5">
        <w:t xml:space="preserve"> § 1.87(a).</w:t>
      </w:r>
    </w:p>
  </w:footnote>
  <w:footnote w:id="36">
    <w:p w:rsidR="00A435D5" w:rsidRPr="00E211F5" w:rsidP="00E842D6" w14:paraId="48CCE955" w14:textId="77777777">
      <w:pPr>
        <w:pStyle w:val="FootnoteText"/>
        <w:spacing w:after="120"/>
      </w:pPr>
      <w:r w:rsidRPr="00E211F5">
        <w:rPr>
          <w:rStyle w:val="FootnoteReference"/>
        </w:rPr>
        <w:footnoteRef/>
      </w:r>
      <w:r w:rsidRPr="00E211F5">
        <w:t xml:space="preserve"> 47 U.S.C. § 316(c).</w:t>
      </w:r>
    </w:p>
  </w:footnote>
  <w:footnote w:id="37">
    <w:p w:rsidR="00A435D5" w:rsidRPr="00E211F5" w:rsidP="00E842D6" w14:paraId="78202B01" w14:textId="77777777">
      <w:pPr>
        <w:pStyle w:val="FootnoteText"/>
        <w:spacing w:after="120"/>
      </w:pPr>
      <w:r w:rsidRPr="00E211F5">
        <w:rPr>
          <w:rStyle w:val="FootnoteReference"/>
        </w:rPr>
        <w:footnoteRef/>
      </w:r>
      <w:r w:rsidRPr="00E211F5">
        <w:t xml:space="preserve"> 47 U.S.C. § 309.</w:t>
      </w:r>
    </w:p>
  </w:footnote>
  <w:footnote w:id="38">
    <w:p w:rsidR="00A435D5" w:rsidRPr="00E211F5" w:rsidP="00E842D6" w14:paraId="051ED05C" w14:textId="77777777">
      <w:pPr>
        <w:pStyle w:val="FootnoteText"/>
        <w:spacing w:after="120"/>
      </w:pPr>
      <w:r w:rsidRPr="00E211F5">
        <w:rPr>
          <w:rStyle w:val="FootnoteReference"/>
        </w:rPr>
        <w:footnoteRef/>
      </w:r>
      <w:r w:rsidRPr="00E211F5">
        <w:t xml:space="preserve"> </w:t>
      </w:r>
      <w:r w:rsidRPr="00E211F5">
        <w:rPr>
          <w:i/>
        </w:rPr>
        <w:t>See Paul and Nancy Schumacher</w:t>
      </w:r>
      <w:r w:rsidRPr="00E211F5">
        <w:t>, Memorandum Opinion and Order, 3 FCC Rcd 7148 n.1 (MMB 1988)</w:t>
      </w:r>
      <w:r w:rsidR="00F544FA">
        <w:t xml:space="preserve">; </w:t>
      </w:r>
      <w:r w:rsidRPr="00E211F5">
        <w:rPr>
          <w:i/>
        </w:rPr>
        <w:t>Pacific Gas and Electric Company</w:t>
      </w:r>
      <w:r w:rsidRPr="00E211F5">
        <w:t>, Memorandum Opinion and Order on Reconsideration, 17 FCC Rcd 20900, 20906 (2002)</w:t>
      </w:r>
      <w:r>
        <w:t xml:space="preserve"> (requiring affidavit to support factual allegations)</w:t>
      </w:r>
      <w:r w:rsidRPr="00E211F5">
        <w:t xml:space="preserve">.  </w:t>
      </w:r>
      <w:r w:rsidR="00C4576A">
        <w:t xml:space="preserve">  </w:t>
      </w:r>
    </w:p>
  </w:footnote>
  <w:footnote w:id="39">
    <w:p w:rsidR="00A435D5" w:rsidRPr="00E211F5" w:rsidP="00E842D6" w14:paraId="0A2C0ACE" w14:textId="77777777">
      <w:pPr>
        <w:pStyle w:val="FootnoteText"/>
        <w:spacing w:after="120"/>
      </w:pPr>
      <w:r w:rsidRPr="00E211F5">
        <w:rPr>
          <w:rStyle w:val="FootnoteReference"/>
        </w:rPr>
        <w:footnoteRef/>
      </w:r>
      <w:r w:rsidRPr="00E211F5">
        <w:t xml:space="preserve"> </w:t>
      </w:r>
      <w:r w:rsidRPr="00E211F5">
        <w:rPr>
          <w:i/>
        </w:rPr>
        <w:t>See, e.g.,</w:t>
      </w:r>
      <w:r w:rsidRPr="00E211F5">
        <w:t xml:space="preserve"> </w:t>
      </w:r>
      <w:r w:rsidRPr="00E211F5">
        <w:rPr>
          <w:i/>
        </w:rPr>
        <w:t>Pacific Gas and Electric Company</w:t>
      </w:r>
      <w:r w:rsidRPr="00E211F5">
        <w:t>, Memorandum Opinion and Order, 17 FCC Rcd 98, 101-102 (WTB</w:t>
      </w:r>
      <w:r>
        <w:t xml:space="preserve"> </w:t>
      </w:r>
      <w:r w:rsidRPr="00E211F5">
        <w:t>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0D" w:rsidRPr="00AF09EC" w14:paraId="4C781F23" w14:textId="77777777">
    <w:pPr>
      <w:pStyle w:val="Header"/>
      <w:tabs>
        <w:tab w:val="clear" w:pos="4320"/>
        <w:tab w:val="clear" w:pos="8640"/>
      </w:tabs>
      <w:spacing w:before="360" w:line="228" w:lineRule="auto"/>
      <w:jc w:val="center"/>
      <w:rPr>
        <w:b/>
        <w:sz w:val="22"/>
        <w:szCs w:val="22"/>
      </w:rPr>
    </w:pPr>
    <w:r>
      <w:rPr>
        <w:rFonts w:ascii="CG Times (W1)" w:hAnsi="CG Times (W1)"/>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736576691" r:id="rId2"/>
      </w:pict>
    </w:r>
    <w:r w:rsidRPr="00AF09EC">
      <w:rPr>
        <w:rFonts w:ascii="CG Times (W1)" w:hAnsi="CG Times (W1)"/>
        <w:b/>
        <w:sz w:val="22"/>
        <w:szCs w:val="22"/>
      </w:rPr>
      <w:t>Federal Communications Commission</w:t>
    </w:r>
  </w:p>
  <w:p w:rsidR="00A1060D" w:rsidRPr="005C717C" w:rsidP="005C717C" w14:paraId="799DB215" w14:textId="7563CA46">
    <w:pPr>
      <w:jc w:val="center"/>
      <w:rPr>
        <w:rFonts w:ascii="CG Times (W1)" w:hAnsi="CG Times (W1)"/>
        <w:b/>
        <w:sz w:val="22"/>
        <w:szCs w:val="22"/>
      </w:rPr>
    </w:pPr>
    <w:r w:rsidRPr="002E266F">
      <w:rPr>
        <w:rFonts w:ascii="CG Times (W1)" w:hAnsi="CG Times (W1)"/>
        <w:b/>
        <w:sz w:val="22"/>
        <w:szCs w:val="22"/>
      </w:rPr>
      <w:t>Washington, D.C. 20554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
    <w:nsid w:val="64DF10CF"/>
    <w:multiLevelType w:val="hybridMultilevel"/>
    <w:tmpl w:val="FDB0F70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13"/>
    <w:rsid w:val="000010D5"/>
    <w:rsid w:val="00001D9D"/>
    <w:rsid w:val="000029BC"/>
    <w:rsid w:val="00002F22"/>
    <w:rsid w:val="00005A1B"/>
    <w:rsid w:val="00005B12"/>
    <w:rsid w:val="00011392"/>
    <w:rsid w:val="0001139C"/>
    <w:rsid w:val="00012C6E"/>
    <w:rsid w:val="00013707"/>
    <w:rsid w:val="0001449B"/>
    <w:rsid w:val="00014B8D"/>
    <w:rsid w:val="00015D01"/>
    <w:rsid w:val="00020412"/>
    <w:rsid w:val="000220B5"/>
    <w:rsid w:val="00022F2A"/>
    <w:rsid w:val="00025427"/>
    <w:rsid w:val="00027B0F"/>
    <w:rsid w:val="00027D22"/>
    <w:rsid w:val="00035E67"/>
    <w:rsid w:val="000367BF"/>
    <w:rsid w:val="000426CF"/>
    <w:rsid w:val="0004333E"/>
    <w:rsid w:val="00045601"/>
    <w:rsid w:val="00045DE6"/>
    <w:rsid w:val="000466A4"/>
    <w:rsid w:val="00050384"/>
    <w:rsid w:val="0005161D"/>
    <w:rsid w:val="00052A2A"/>
    <w:rsid w:val="00053984"/>
    <w:rsid w:val="000564B2"/>
    <w:rsid w:val="00060040"/>
    <w:rsid w:val="000614EF"/>
    <w:rsid w:val="000622ED"/>
    <w:rsid w:val="000633D1"/>
    <w:rsid w:val="000641DD"/>
    <w:rsid w:val="00064F14"/>
    <w:rsid w:val="00066F7B"/>
    <w:rsid w:val="00067D51"/>
    <w:rsid w:val="000709A7"/>
    <w:rsid w:val="000710E9"/>
    <w:rsid w:val="000711C7"/>
    <w:rsid w:val="0007738F"/>
    <w:rsid w:val="000777F3"/>
    <w:rsid w:val="000810D5"/>
    <w:rsid w:val="00081F8C"/>
    <w:rsid w:val="00087735"/>
    <w:rsid w:val="00090425"/>
    <w:rsid w:val="00090FEB"/>
    <w:rsid w:val="00094BD8"/>
    <w:rsid w:val="0009697B"/>
    <w:rsid w:val="000A4422"/>
    <w:rsid w:val="000A4955"/>
    <w:rsid w:val="000B2105"/>
    <w:rsid w:val="000B27E4"/>
    <w:rsid w:val="000B3EC2"/>
    <w:rsid w:val="000B5613"/>
    <w:rsid w:val="000B5757"/>
    <w:rsid w:val="000B6DDB"/>
    <w:rsid w:val="000C307A"/>
    <w:rsid w:val="000C4FCC"/>
    <w:rsid w:val="000C7108"/>
    <w:rsid w:val="000C7CB1"/>
    <w:rsid w:val="000D06ED"/>
    <w:rsid w:val="000D0CB1"/>
    <w:rsid w:val="000E20DE"/>
    <w:rsid w:val="000E6A91"/>
    <w:rsid w:val="000E6B43"/>
    <w:rsid w:val="000F61BE"/>
    <w:rsid w:val="00101B63"/>
    <w:rsid w:val="0010237F"/>
    <w:rsid w:val="00105057"/>
    <w:rsid w:val="001107E0"/>
    <w:rsid w:val="00115094"/>
    <w:rsid w:val="001178A7"/>
    <w:rsid w:val="001235C7"/>
    <w:rsid w:val="00127FCE"/>
    <w:rsid w:val="00131F52"/>
    <w:rsid w:val="00131FAD"/>
    <w:rsid w:val="00132365"/>
    <w:rsid w:val="00134421"/>
    <w:rsid w:val="001350D6"/>
    <w:rsid w:val="001433B2"/>
    <w:rsid w:val="00143AA8"/>
    <w:rsid w:val="00144E55"/>
    <w:rsid w:val="00146723"/>
    <w:rsid w:val="001524B9"/>
    <w:rsid w:val="0015437B"/>
    <w:rsid w:val="00157BBD"/>
    <w:rsid w:val="0016088F"/>
    <w:rsid w:val="001624F3"/>
    <w:rsid w:val="00163F66"/>
    <w:rsid w:val="0016535E"/>
    <w:rsid w:val="0017220E"/>
    <w:rsid w:val="0017368B"/>
    <w:rsid w:val="00176441"/>
    <w:rsid w:val="00176931"/>
    <w:rsid w:val="00180759"/>
    <w:rsid w:val="00181E02"/>
    <w:rsid w:val="0018375B"/>
    <w:rsid w:val="00183C59"/>
    <w:rsid w:val="00185417"/>
    <w:rsid w:val="0018678A"/>
    <w:rsid w:val="00191B44"/>
    <w:rsid w:val="00194328"/>
    <w:rsid w:val="00197DEB"/>
    <w:rsid w:val="001A13B5"/>
    <w:rsid w:val="001A1FBF"/>
    <w:rsid w:val="001A3F2C"/>
    <w:rsid w:val="001B3DF1"/>
    <w:rsid w:val="001B47F5"/>
    <w:rsid w:val="001B505C"/>
    <w:rsid w:val="001B5CAD"/>
    <w:rsid w:val="001B70B5"/>
    <w:rsid w:val="001B7BC8"/>
    <w:rsid w:val="001B7E00"/>
    <w:rsid w:val="001C1491"/>
    <w:rsid w:val="001C1AEA"/>
    <w:rsid w:val="001C4AB8"/>
    <w:rsid w:val="001C6104"/>
    <w:rsid w:val="001D123B"/>
    <w:rsid w:val="001D3D8D"/>
    <w:rsid w:val="001D3DF1"/>
    <w:rsid w:val="001E19C5"/>
    <w:rsid w:val="001E3F4F"/>
    <w:rsid w:val="001E5EE2"/>
    <w:rsid w:val="001F08B4"/>
    <w:rsid w:val="001F0DDE"/>
    <w:rsid w:val="001F12D0"/>
    <w:rsid w:val="001F1B49"/>
    <w:rsid w:val="001F3A9D"/>
    <w:rsid w:val="001F3D2F"/>
    <w:rsid w:val="001F458E"/>
    <w:rsid w:val="001F5368"/>
    <w:rsid w:val="00201472"/>
    <w:rsid w:val="0020404E"/>
    <w:rsid w:val="00210139"/>
    <w:rsid w:val="00211F7E"/>
    <w:rsid w:val="00215A29"/>
    <w:rsid w:val="002161F5"/>
    <w:rsid w:val="0022106D"/>
    <w:rsid w:val="00225484"/>
    <w:rsid w:val="00226269"/>
    <w:rsid w:val="00227BD8"/>
    <w:rsid w:val="00231D04"/>
    <w:rsid w:val="002321A2"/>
    <w:rsid w:val="00235E4A"/>
    <w:rsid w:val="002361FC"/>
    <w:rsid w:val="00242D2B"/>
    <w:rsid w:val="00244A13"/>
    <w:rsid w:val="0025048E"/>
    <w:rsid w:val="00251701"/>
    <w:rsid w:val="002526B0"/>
    <w:rsid w:val="00252AE2"/>
    <w:rsid w:val="00252C14"/>
    <w:rsid w:val="002538AF"/>
    <w:rsid w:val="0025749B"/>
    <w:rsid w:val="0025754B"/>
    <w:rsid w:val="00263A41"/>
    <w:rsid w:val="0026507E"/>
    <w:rsid w:val="002658DA"/>
    <w:rsid w:val="00267502"/>
    <w:rsid w:val="00272DF0"/>
    <w:rsid w:val="00272F76"/>
    <w:rsid w:val="002761AC"/>
    <w:rsid w:val="0027624A"/>
    <w:rsid w:val="002765D3"/>
    <w:rsid w:val="00277B04"/>
    <w:rsid w:val="00282979"/>
    <w:rsid w:val="00282A16"/>
    <w:rsid w:val="00282E46"/>
    <w:rsid w:val="002905FA"/>
    <w:rsid w:val="0029108E"/>
    <w:rsid w:val="00291F4D"/>
    <w:rsid w:val="00292545"/>
    <w:rsid w:val="00294F98"/>
    <w:rsid w:val="00295FBD"/>
    <w:rsid w:val="0029651F"/>
    <w:rsid w:val="00296C3D"/>
    <w:rsid w:val="00297990"/>
    <w:rsid w:val="002A1541"/>
    <w:rsid w:val="002A190E"/>
    <w:rsid w:val="002A1BEE"/>
    <w:rsid w:val="002A2580"/>
    <w:rsid w:val="002A2EDC"/>
    <w:rsid w:val="002A692D"/>
    <w:rsid w:val="002B3101"/>
    <w:rsid w:val="002B37B7"/>
    <w:rsid w:val="002B5E71"/>
    <w:rsid w:val="002B6AF7"/>
    <w:rsid w:val="002C14B7"/>
    <w:rsid w:val="002C27ED"/>
    <w:rsid w:val="002D2E24"/>
    <w:rsid w:val="002D2E41"/>
    <w:rsid w:val="002D3434"/>
    <w:rsid w:val="002D4A02"/>
    <w:rsid w:val="002D559E"/>
    <w:rsid w:val="002D6096"/>
    <w:rsid w:val="002D7A39"/>
    <w:rsid w:val="002D7AE6"/>
    <w:rsid w:val="002D7F3A"/>
    <w:rsid w:val="002E1774"/>
    <w:rsid w:val="002E266F"/>
    <w:rsid w:val="002E3950"/>
    <w:rsid w:val="002E5803"/>
    <w:rsid w:val="002F0BDF"/>
    <w:rsid w:val="002F22FE"/>
    <w:rsid w:val="002F4059"/>
    <w:rsid w:val="002F4217"/>
    <w:rsid w:val="002F5AFB"/>
    <w:rsid w:val="002F72DA"/>
    <w:rsid w:val="002F7C0B"/>
    <w:rsid w:val="003000E6"/>
    <w:rsid w:val="003005D6"/>
    <w:rsid w:val="00304597"/>
    <w:rsid w:val="003047C4"/>
    <w:rsid w:val="00305414"/>
    <w:rsid w:val="00307353"/>
    <w:rsid w:val="003213BA"/>
    <w:rsid w:val="00321DA6"/>
    <w:rsid w:val="00322124"/>
    <w:rsid w:val="00322D03"/>
    <w:rsid w:val="00323263"/>
    <w:rsid w:val="00323E92"/>
    <w:rsid w:val="00326EF7"/>
    <w:rsid w:val="003270BD"/>
    <w:rsid w:val="003302A2"/>
    <w:rsid w:val="003303B0"/>
    <w:rsid w:val="003318AB"/>
    <w:rsid w:val="00332223"/>
    <w:rsid w:val="00332FB0"/>
    <w:rsid w:val="00334629"/>
    <w:rsid w:val="00335082"/>
    <w:rsid w:val="003377B5"/>
    <w:rsid w:val="00345541"/>
    <w:rsid w:val="0034760B"/>
    <w:rsid w:val="00347B56"/>
    <w:rsid w:val="00347BFF"/>
    <w:rsid w:val="00351BB8"/>
    <w:rsid w:val="00352293"/>
    <w:rsid w:val="0035299A"/>
    <w:rsid w:val="00352B23"/>
    <w:rsid w:val="00354089"/>
    <w:rsid w:val="00357633"/>
    <w:rsid w:val="0036227F"/>
    <w:rsid w:val="00362717"/>
    <w:rsid w:val="003658B9"/>
    <w:rsid w:val="0037001F"/>
    <w:rsid w:val="00373870"/>
    <w:rsid w:val="0037407E"/>
    <w:rsid w:val="003756F9"/>
    <w:rsid w:val="003770B4"/>
    <w:rsid w:val="00381371"/>
    <w:rsid w:val="003813C8"/>
    <w:rsid w:val="003833D3"/>
    <w:rsid w:val="00385682"/>
    <w:rsid w:val="003857EE"/>
    <w:rsid w:val="003866E0"/>
    <w:rsid w:val="003867E0"/>
    <w:rsid w:val="00386B74"/>
    <w:rsid w:val="00386C1C"/>
    <w:rsid w:val="00386E5A"/>
    <w:rsid w:val="00392224"/>
    <w:rsid w:val="0039544A"/>
    <w:rsid w:val="00396867"/>
    <w:rsid w:val="00397F47"/>
    <w:rsid w:val="003A13BA"/>
    <w:rsid w:val="003A5D21"/>
    <w:rsid w:val="003B6773"/>
    <w:rsid w:val="003C1C91"/>
    <w:rsid w:val="003C4060"/>
    <w:rsid w:val="003C55A4"/>
    <w:rsid w:val="003C5A63"/>
    <w:rsid w:val="003D1F66"/>
    <w:rsid w:val="003D3BCA"/>
    <w:rsid w:val="003D4D0E"/>
    <w:rsid w:val="003E5724"/>
    <w:rsid w:val="003E5DA7"/>
    <w:rsid w:val="003E65F7"/>
    <w:rsid w:val="003E6FBA"/>
    <w:rsid w:val="003E798A"/>
    <w:rsid w:val="003E7A2C"/>
    <w:rsid w:val="003F0F74"/>
    <w:rsid w:val="003F134B"/>
    <w:rsid w:val="003F2F58"/>
    <w:rsid w:val="003F4090"/>
    <w:rsid w:val="00400F95"/>
    <w:rsid w:val="00401227"/>
    <w:rsid w:val="004019B8"/>
    <w:rsid w:val="0040403B"/>
    <w:rsid w:val="00406C8D"/>
    <w:rsid w:val="004124BE"/>
    <w:rsid w:val="00414640"/>
    <w:rsid w:val="0041558A"/>
    <w:rsid w:val="00416597"/>
    <w:rsid w:val="00421636"/>
    <w:rsid w:val="0042583A"/>
    <w:rsid w:val="00426CE5"/>
    <w:rsid w:val="00426D38"/>
    <w:rsid w:val="004270C3"/>
    <w:rsid w:val="004302B4"/>
    <w:rsid w:val="00430992"/>
    <w:rsid w:val="004339C7"/>
    <w:rsid w:val="00433E9E"/>
    <w:rsid w:val="00434AD5"/>
    <w:rsid w:val="00441CA5"/>
    <w:rsid w:val="0044219D"/>
    <w:rsid w:val="00443412"/>
    <w:rsid w:val="0044361A"/>
    <w:rsid w:val="00445F79"/>
    <w:rsid w:val="00450334"/>
    <w:rsid w:val="0045136B"/>
    <w:rsid w:val="0045165D"/>
    <w:rsid w:val="00454703"/>
    <w:rsid w:val="0045486E"/>
    <w:rsid w:val="00457CD3"/>
    <w:rsid w:val="00463430"/>
    <w:rsid w:val="004647D1"/>
    <w:rsid w:val="00465041"/>
    <w:rsid w:val="00471ED3"/>
    <w:rsid w:val="0047326E"/>
    <w:rsid w:val="00473479"/>
    <w:rsid w:val="0047436D"/>
    <w:rsid w:val="00474531"/>
    <w:rsid w:val="00475B97"/>
    <w:rsid w:val="00476A40"/>
    <w:rsid w:val="00476E58"/>
    <w:rsid w:val="00477547"/>
    <w:rsid w:val="00477F73"/>
    <w:rsid w:val="00480561"/>
    <w:rsid w:val="00482D65"/>
    <w:rsid w:val="00486A0D"/>
    <w:rsid w:val="00490F4A"/>
    <w:rsid w:val="004A2707"/>
    <w:rsid w:val="004A3F48"/>
    <w:rsid w:val="004A5561"/>
    <w:rsid w:val="004B2500"/>
    <w:rsid w:val="004B6897"/>
    <w:rsid w:val="004C2ACE"/>
    <w:rsid w:val="004C6441"/>
    <w:rsid w:val="004D422F"/>
    <w:rsid w:val="004D4C00"/>
    <w:rsid w:val="004E05E4"/>
    <w:rsid w:val="004E0CAB"/>
    <w:rsid w:val="004E0EEE"/>
    <w:rsid w:val="004E3491"/>
    <w:rsid w:val="004E3607"/>
    <w:rsid w:val="004E4EE4"/>
    <w:rsid w:val="004E74D8"/>
    <w:rsid w:val="004F0AE5"/>
    <w:rsid w:val="004F0FAC"/>
    <w:rsid w:val="004F1EE2"/>
    <w:rsid w:val="004F410D"/>
    <w:rsid w:val="004F688C"/>
    <w:rsid w:val="004F7CD8"/>
    <w:rsid w:val="00505945"/>
    <w:rsid w:val="00507694"/>
    <w:rsid w:val="00511D21"/>
    <w:rsid w:val="00512E1F"/>
    <w:rsid w:val="00514FA8"/>
    <w:rsid w:val="00520014"/>
    <w:rsid w:val="00520B47"/>
    <w:rsid w:val="00520F75"/>
    <w:rsid w:val="00521F10"/>
    <w:rsid w:val="0052553F"/>
    <w:rsid w:val="00525802"/>
    <w:rsid w:val="00525A19"/>
    <w:rsid w:val="00530664"/>
    <w:rsid w:val="00530E8A"/>
    <w:rsid w:val="005326D2"/>
    <w:rsid w:val="0053393A"/>
    <w:rsid w:val="00534B09"/>
    <w:rsid w:val="005354A1"/>
    <w:rsid w:val="005370C8"/>
    <w:rsid w:val="00537487"/>
    <w:rsid w:val="005415C9"/>
    <w:rsid w:val="00544219"/>
    <w:rsid w:val="00547344"/>
    <w:rsid w:val="0055182A"/>
    <w:rsid w:val="00552121"/>
    <w:rsid w:val="00552FC8"/>
    <w:rsid w:val="00554824"/>
    <w:rsid w:val="00554AE6"/>
    <w:rsid w:val="005571E5"/>
    <w:rsid w:val="00557AC9"/>
    <w:rsid w:val="005622A5"/>
    <w:rsid w:val="005641C7"/>
    <w:rsid w:val="00564648"/>
    <w:rsid w:val="0056725E"/>
    <w:rsid w:val="005675BC"/>
    <w:rsid w:val="0057006A"/>
    <w:rsid w:val="0057517A"/>
    <w:rsid w:val="00575718"/>
    <w:rsid w:val="005824AA"/>
    <w:rsid w:val="00582ED0"/>
    <w:rsid w:val="00586118"/>
    <w:rsid w:val="005867FA"/>
    <w:rsid w:val="00586B7C"/>
    <w:rsid w:val="00597C39"/>
    <w:rsid w:val="005A0956"/>
    <w:rsid w:val="005A16C9"/>
    <w:rsid w:val="005A299F"/>
    <w:rsid w:val="005A547C"/>
    <w:rsid w:val="005A5BF3"/>
    <w:rsid w:val="005B1F8E"/>
    <w:rsid w:val="005B5BF7"/>
    <w:rsid w:val="005B6999"/>
    <w:rsid w:val="005B7C43"/>
    <w:rsid w:val="005C054C"/>
    <w:rsid w:val="005C1D38"/>
    <w:rsid w:val="005C24C0"/>
    <w:rsid w:val="005C29FA"/>
    <w:rsid w:val="005C31EA"/>
    <w:rsid w:val="005C4388"/>
    <w:rsid w:val="005C4BD7"/>
    <w:rsid w:val="005C51CA"/>
    <w:rsid w:val="005C6CF1"/>
    <w:rsid w:val="005C717C"/>
    <w:rsid w:val="005D17F5"/>
    <w:rsid w:val="005D19DD"/>
    <w:rsid w:val="005D27D6"/>
    <w:rsid w:val="005D54B2"/>
    <w:rsid w:val="005D561B"/>
    <w:rsid w:val="005D79CD"/>
    <w:rsid w:val="005E2A4C"/>
    <w:rsid w:val="005E5DDA"/>
    <w:rsid w:val="005E6454"/>
    <w:rsid w:val="005F18B8"/>
    <w:rsid w:val="005F20F1"/>
    <w:rsid w:val="005F2829"/>
    <w:rsid w:val="005F311B"/>
    <w:rsid w:val="005F6438"/>
    <w:rsid w:val="006001DE"/>
    <w:rsid w:val="00603848"/>
    <w:rsid w:val="00605B52"/>
    <w:rsid w:val="006060CC"/>
    <w:rsid w:val="00606780"/>
    <w:rsid w:val="00606B01"/>
    <w:rsid w:val="00607D1F"/>
    <w:rsid w:val="006135EE"/>
    <w:rsid w:val="00615803"/>
    <w:rsid w:val="00620C22"/>
    <w:rsid w:val="006232B4"/>
    <w:rsid w:val="00625051"/>
    <w:rsid w:val="00626DF6"/>
    <w:rsid w:val="00634CD9"/>
    <w:rsid w:val="0063580B"/>
    <w:rsid w:val="006368EF"/>
    <w:rsid w:val="00637B78"/>
    <w:rsid w:val="00640898"/>
    <w:rsid w:val="00640D70"/>
    <w:rsid w:val="00643432"/>
    <w:rsid w:val="0064413E"/>
    <w:rsid w:val="006442D4"/>
    <w:rsid w:val="006460D2"/>
    <w:rsid w:val="006468A9"/>
    <w:rsid w:val="0065098A"/>
    <w:rsid w:val="00650A65"/>
    <w:rsid w:val="00652685"/>
    <w:rsid w:val="00652AEA"/>
    <w:rsid w:val="0065405A"/>
    <w:rsid w:val="00656DC7"/>
    <w:rsid w:val="00657341"/>
    <w:rsid w:val="00664C24"/>
    <w:rsid w:val="00665F30"/>
    <w:rsid w:val="006700BF"/>
    <w:rsid w:val="00670264"/>
    <w:rsid w:val="006707E4"/>
    <w:rsid w:val="00671BF0"/>
    <w:rsid w:val="00672858"/>
    <w:rsid w:val="006747E4"/>
    <w:rsid w:val="00682734"/>
    <w:rsid w:val="00683A74"/>
    <w:rsid w:val="006844D7"/>
    <w:rsid w:val="00684840"/>
    <w:rsid w:val="00684A8A"/>
    <w:rsid w:val="00685427"/>
    <w:rsid w:val="0068793E"/>
    <w:rsid w:val="00691E64"/>
    <w:rsid w:val="00695AF6"/>
    <w:rsid w:val="006978DE"/>
    <w:rsid w:val="006A0568"/>
    <w:rsid w:val="006A1F06"/>
    <w:rsid w:val="006A202D"/>
    <w:rsid w:val="006A4A8D"/>
    <w:rsid w:val="006A606A"/>
    <w:rsid w:val="006A7006"/>
    <w:rsid w:val="006B2A7D"/>
    <w:rsid w:val="006B4938"/>
    <w:rsid w:val="006B5195"/>
    <w:rsid w:val="006B521E"/>
    <w:rsid w:val="006B52B2"/>
    <w:rsid w:val="006C172A"/>
    <w:rsid w:val="006C352E"/>
    <w:rsid w:val="006C389F"/>
    <w:rsid w:val="006C38A4"/>
    <w:rsid w:val="006C3D03"/>
    <w:rsid w:val="006D03EE"/>
    <w:rsid w:val="006D0F13"/>
    <w:rsid w:val="006D2306"/>
    <w:rsid w:val="006D27D0"/>
    <w:rsid w:val="006D34F4"/>
    <w:rsid w:val="006D577C"/>
    <w:rsid w:val="006E3904"/>
    <w:rsid w:val="006E46D9"/>
    <w:rsid w:val="006E785F"/>
    <w:rsid w:val="006E7CA8"/>
    <w:rsid w:val="006F1239"/>
    <w:rsid w:val="006F1B05"/>
    <w:rsid w:val="006F3EA8"/>
    <w:rsid w:val="00700293"/>
    <w:rsid w:val="00701255"/>
    <w:rsid w:val="007021DF"/>
    <w:rsid w:val="00702898"/>
    <w:rsid w:val="00704636"/>
    <w:rsid w:val="007128B4"/>
    <w:rsid w:val="007162BB"/>
    <w:rsid w:val="007231DA"/>
    <w:rsid w:val="007264EA"/>
    <w:rsid w:val="007274D2"/>
    <w:rsid w:val="00727AE0"/>
    <w:rsid w:val="00737565"/>
    <w:rsid w:val="0074051F"/>
    <w:rsid w:val="00740DDB"/>
    <w:rsid w:val="00744A91"/>
    <w:rsid w:val="00750104"/>
    <w:rsid w:val="00750173"/>
    <w:rsid w:val="00756963"/>
    <w:rsid w:val="00760AFD"/>
    <w:rsid w:val="0076150F"/>
    <w:rsid w:val="00762718"/>
    <w:rsid w:val="00770BA9"/>
    <w:rsid w:val="00771848"/>
    <w:rsid w:val="00771C65"/>
    <w:rsid w:val="00776517"/>
    <w:rsid w:val="0077726B"/>
    <w:rsid w:val="00783514"/>
    <w:rsid w:val="00783B3A"/>
    <w:rsid w:val="00784B5F"/>
    <w:rsid w:val="00784CD4"/>
    <w:rsid w:val="00785D4F"/>
    <w:rsid w:val="0078657F"/>
    <w:rsid w:val="00787F99"/>
    <w:rsid w:val="0079500D"/>
    <w:rsid w:val="007A0974"/>
    <w:rsid w:val="007A1F7F"/>
    <w:rsid w:val="007A2225"/>
    <w:rsid w:val="007A32E3"/>
    <w:rsid w:val="007A41F7"/>
    <w:rsid w:val="007A54D8"/>
    <w:rsid w:val="007A7C16"/>
    <w:rsid w:val="007B3698"/>
    <w:rsid w:val="007B398D"/>
    <w:rsid w:val="007B3CBF"/>
    <w:rsid w:val="007B45DF"/>
    <w:rsid w:val="007C04BB"/>
    <w:rsid w:val="007C3256"/>
    <w:rsid w:val="007C59D8"/>
    <w:rsid w:val="007C706C"/>
    <w:rsid w:val="007D0C30"/>
    <w:rsid w:val="007D0EA3"/>
    <w:rsid w:val="007D4CD0"/>
    <w:rsid w:val="007E02DD"/>
    <w:rsid w:val="007E577C"/>
    <w:rsid w:val="007E6162"/>
    <w:rsid w:val="007E6912"/>
    <w:rsid w:val="007E7140"/>
    <w:rsid w:val="007F1ABB"/>
    <w:rsid w:val="007F2015"/>
    <w:rsid w:val="007F25E8"/>
    <w:rsid w:val="007F6092"/>
    <w:rsid w:val="007F730A"/>
    <w:rsid w:val="00800479"/>
    <w:rsid w:val="00801B56"/>
    <w:rsid w:val="008022BB"/>
    <w:rsid w:val="0080255C"/>
    <w:rsid w:val="00803609"/>
    <w:rsid w:val="00803872"/>
    <w:rsid w:val="00804579"/>
    <w:rsid w:val="008055A3"/>
    <w:rsid w:val="00806885"/>
    <w:rsid w:val="00811361"/>
    <w:rsid w:val="00814279"/>
    <w:rsid w:val="008157CC"/>
    <w:rsid w:val="00820279"/>
    <w:rsid w:val="0082585C"/>
    <w:rsid w:val="00826491"/>
    <w:rsid w:val="00827038"/>
    <w:rsid w:val="008406CB"/>
    <w:rsid w:val="008423E7"/>
    <w:rsid w:val="00850B75"/>
    <w:rsid w:val="00853368"/>
    <w:rsid w:val="0085401A"/>
    <w:rsid w:val="008554D7"/>
    <w:rsid w:val="00856AA9"/>
    <w:rsid w:val="0086055D"/>
    <w:rsid w:val="00862D7A"/>
    <w:rsid w:val="00862EE5"/>
    <w:rsid w:val="008632FF"/>
    <w:rsid w:val="00863D11"/>
    <w:rsid w:val="008645BD"/>
    <w:rsid w:val="00865B03"/>
    <w:rsid w:val="00866148"/>
    <w:rsid w:val="00866F43"/>
    <w:rsid w:val="00870FB6"/>
    <w:rsid w:val="008731E3"/>
    <w:rsid w:val="00874AD7"/>
    <w:rsid w:val="008752B0"/>
    <w:rsid w:val="00877A90"/>
    <w:rsid w:val="008855E3"/>
    <w:rsid w:val="008872F2"/>
    <w:rsid w:val="00887528"/>
    <w:rsid w:val="008918C3"/>
    <w:rsid w:val="008929F4"/>
    <w:rsid w:val="00893A14"/>
    <w:rsid w:val="0089633F"/>
    <w:rsid w:val="00896B2A"/>
    <w:rsid w:val="008A1156"/>
    <w:rsid w:val="008A1A25"/>
    <w:rsid w:val="008A49EF"/>
    <w:rsid w:val="008A4C6F"/>
    <w:rsid w:val="008B0C7D"/>
    <w:rsid w:val="008B0DE9"/>
    <w:rsid w:val="008B444B"/>
    <w:rsid w:val="008B449A"/>
    <w:rsid w:val="008B4A51"/>
    <w:rsid w:val="008B4DE1"/>
    <w:rsid w:val="008B59BE"/>
    <w:rsid w:val="008C3B5D"/>
    <w:rsid w:val="008C58A5"/>
    <w:rsid w:val="008C7042"/>
    <w:rsid w:val="008C7082"/>
    <w:rsid w:val="008D0E4E"/>
    <w:rsid w:val="008D1BF4"/>
    <w:rsid w:val="008E01DB"/>
    <w:rsid w:val="008E4D40"/>
    <w:rsid w:val="008E6083"/>
    <w:rsid w:val="008F1879"/>
    <w:rsid w:val="008F42E7"/>
    <w:rsid w:val="00903BB5"/>
    <w:rsid w:val="00904ACE"/>
    <w:rsid w:val="00912B6A"/>
    <w:rsid w:val="00914219"/>
    <w:rsid w:val="00916DEA"/>
    <w:rsid w:val="0091788C"/>
    <w:rsid w:val="00917A39"/>
    <w:rsid w:val="0092090C"/>
    <w:rsid w:val="009258E3"/>
    <w:rsid w:val="009345AC"/>
    <w:rsid w:val="00940620"/>
    <w:rsid w:val="00941E64"/>
    <w:rsid w:val="009424CB"/>
    <w:rsid w:val="00942CD3"/>
    <w:rsid w:val="0094576A"/>
    <w:rsid w:val="009529E9"/>
    <w:rsid w:val="0096231A"/>
    <w:rsid w:val="0096285F"/>
    <w:rsid w:val="009671A4"/>
    <w:rsid w:val="00970080"/>
    <w:rsid w:val="009714AF"/>
    <w:rsid w:val="00972615"/>
    <w:rsid w:val="00973D47"/>
    <w:rsid w:val="00973DCC"/>
    <w:rsid w:val="0097624C"/>
    <w:rsid w:val="00983A77"/>
    <w:rsid w:val="00984C22"/>
    <w:rsid w:val="009875E2"/>
    <w:rsid w:val="00992C69"/>
    <w:rsid w:val="00992FBA"/>
    <w:rsid w:val="009939B6"/>
    <w:rsid w:val="00996BC8"/>
    <w:rsid w:val="009974B2"/>
    <w:rsid w:val="009A13A1"/>
    <w:rsid w:val="009A1C8A"/>
    <w:rsid w:val="009A54B4"/>
    <w:rsid w:val="009A6934"/>
    <w:rsid w:val="009A6DFF"/>
    <w:rsid w:val="009A77B5"/>
    <w:rsid w:val="009B0185"/>
    <w:rsid w:val="009B14E4"/>
    <w:rsid w:val="009B2B14"/>
    <w:rsid w:val="009B2E57"/>
    <w:rsid w:val="009B4195"/>
    <w:rsid w:val="009B5433"/>
    <w:rsid w:val="009C087C"/>
    <w:rsid w:val="009C3799"/>
    <w:rsid w:val="009C428B"/>
    <w:rsid w:val="009C43DE"/>
    <w:rsid w:val="009C49ED"/>
    <w:rsid w:val="009C6099"/>
    <w:rsid w:val="009D0C96"/>
    <w:rsid w:val="009D114A"/>
    <w:rsid w:val="009D6422"/>
    <w:rsid w:val="009E1C1A"/>
    <w:rsid w:val="009E2842"/>
    <w:rsid w:val="009E2B5B"/>
    <w:rsid w:val="009E4754"/>
    <w:rsid w:val="009E6E69"/>
    <w:rsid w:val="009E777B"/>
    <w:rsid w:val="009F0B9E"/>
    <w:rsid w:val="009F2159"/>
    <w:rsid w:val="009F32FA"/>
    <w:rsid w:val="009F4461"/>
    <w:rsid w:val="009F54B1"/>
    <w:rsid w:val="009F6DB8"/>
    <w:rsid w:val="009F70C4"/>
    <w:rsid w:val="00A0123F"/>
    <w:rsid w:val="00A02A1F"/>
    <w:rsid w:val="00A05505"/>
    <w:rsid w:val="00A0633E"/>
    <w:rsid w:val="00A1060D"/>
    <w:rsid w:val="00A12C61"/>
    <w:rsid w:val="00A1441B"/>
    <w:rsid w:val="00A176DC"/>
    <w:rsid w:val="00A17D37"/>
    <w:rsid w:val="00A210C3"/>
    <w:rsid w:val="00A25D10"/>
    <w:rsid w:val="00A2600C"/>
    <w:rsid w:val="00A2659E"/>
    <w:rsid w:val="00A26B2E"/>
    <w:rsid w:val="00A27250"/>
    <w:rsid w:val="00A27551"/>
    <w:rsid w:val="00A33003"/>
    <w:rsid w:val="00A34049"/>
    <w:rsid w:val="00A342F1"/>
    <w:rsid w:val="00A373D9"/>
    <w:rsid w:val="00A374BF"/>
    <w:rsid w:val="00A37794"/>
    <w:rsid w:val="00A41395"/>
    <w:rsid w:val="00A418D8"/>
    <w:rsid w:val="00A435D5"/>
    <w:rsid w:val="00A440F1"/>
    <w:rsid w:val="00A46076"/>
    <w:rsid w:val="00A461FC"/>
    <w:rsid w:val="00A47BC0"/>
    <w:rsid w:val="00A50BC1"/>
    <w:rsid w:val="00A52091"/>
    <w:rsid w:val="00A521A1"/>
    <w:rsid w:val="00A55404"/>
    <w:rsid w:val="00A569F5"/>
    <w:rsid w:val="00A608DC"/>
    <w:rsid w:val="00A60B76"/>
    <w:rsid w:val="00A63071"/>
    <w:rsid w:val="00A630D7"/>
    <w:rsid w:val="00A659C4"/>
    <w:rsid w:val="00A704B2"/>
    <w:rsid w:val="00A73CBB"/>
    <w:rsid w:val="00A748B5"/>
    <w:rsid w:val="00A77C09"/>
    <w:rsid w:val="00A8083B"/>
    <w:rsid w:val="00A827F8"/>
    <w:rsid w:val="00A86F18"/>
    <w:rsid w:val="00A87668"/>
    <w:rsid w:val="00A87AE4"/>
    <w:rsid w:val="00A93B65"/>
    <w:rsid w:val="00A95EF2"/>
    <w:rsid w:val="00AA0444"/>
    <w:rsid w:val="00AA2DF1"/>
    <w:rsid w:val="00AA3DAA"/>
    <w:rsid w:val="00AA43F4"/>
    <w:rsid w:val="00AA528F"/>
    <w:rsid w:val="00AA59DB"/>
    <w:rsid w:val="00AA5AB7"/>
    <w:rsid w:val="00AB674B"/>
    <w:rsid w:val="00AB7144"/>
    <w:rsid w:val="00AB789D"/>
    <w:rsid w:val="00AD49BF"/>
    <w:rsid w:val="00AE1C30"/>
    <w:rsid w:val="00AE226A"/>
    <w:rsid w:val="00AE23A4"/>
    <w:rsid w:val="00AE2429"/>
    <w:rsid w:val="00AF09EC"/>
    <w:rsid w:val="00AF0B40"/>
    <w:rsid w:val="00AF1EC4"/>
    <w:rsid w:val="00AF4683"/>
    <w:rsid w:val="00AF51AB"/>
    <w:rsid w:val="00B022A2"/>
    <w:rsid w:val="00B03501"/>
    <w:rsid w:val="00B05287"/>
    <w:rsid w:val="00B05F47"/>
    <w:rsid w:val="00B070DA"/>
    <w:rsid w:val="00B07EDF"/>
    <w:rsid w:val="00B103B2"/>
    <w:rsid w:val="00B10672"/>
    <w:rsid w:val="00B1069D"/>
    <w:rsid w:val="00B1145F"/>
    <w:rsid w:val="00B124D7"/>
    <w:rsid w:val="00B12752"/>
    <w:rsid w:val="00B12B48"/>
    <w:rsid w:val="00B1762A"/>
    <w:rsid w:val="00B20C28"/>
    <w:rsid w:val="00B23105"/>
    <w:rsid w:val="00B2733E"/>
    <w:rsid w:val="00B3013D"/>
    <w:rsid w:val="00B324A6"/>
    <w:rsid w:val="00B327B9"/>
    <w:rsid w:val="00B34274"/>
    <w:rsid w:val="00B3453E"/>
    <w:rsid w:val="00B43B03"/>
    <w:rsid w:val="00B4703F"/>
    <w:rsid w:val="00B56EE9"/>
    <w:rsid w:val="00B57806"/>
    <w:rsid w:val="00B601BE"/>
    <w:rsid w:val="00B641AF"/>
    <w:rsid w:val="00B66594"/>
    <w:rsid w:val="00B673C1"/>
    <w:rsid w:val="00B7032C"/>
    <w:rsid w:val="00B72028"/>
    <w:rsid w:val="00B75955"/>
    <w:rsid w:val="00B7667C"/>
    <w:rsid w:val="00B80AD7"/>
    <w:rsid w:val="00B8156B"/>
    <w:rsid w:val="00B82242"/>
    <w:rsid w:val="00B86D8A"/>
    <w:rsid w:val="00B94BB4"/>
    <w:rsid w:val="00B95393"/>
    <w:rsid w:val="00B95EEA"/>
    <w:rsid w:val="00BA0381"/>
    <w:rsid w:val="00BA1980"/>
    <w:rsid w:val="00BA21B2"/>
    <w:rsid w:val="00BA5DC0"/>
    <w:rsid w:val="00BA631F"/>
    <w:rsid w:val="00BA646C"/>
    <w:rsid w:val="00BA7D94"/>
    <w:rsid w:val="00BB0F2E"/>
    <w:rsid w:val="00BB2782"/>
    <w:rsid w:val="00BB5B66"/>
    <w:rsid w:val="00BB6CAE"/>
    <w:rsid w:val="00BC0838"/>
    <w:rsid w:val="00BC095C"/>
    <w:rsid w:val="00BC2F70"/>
    <w:rsid w:val="00BC3B5F"/>
    <w:rsid w:val="00BC583B"/>
    <w:rsid w:val="00BC6F27"/>
    <w:rsid w:val="00BD0011"/>
    <w:rsid w:val="00BD2B7B"/>
    <w:rsid w:val="00BD2E9C"/>
    <w:rsid w:val="00BD49B9"/>
    <w:rsid w:val="00BD5105"/>
    <w:rsid w:val="00BD73B9"/>
    <w:rsid w:val="00BE082E"/>
    <w:rsid w:val="00BE124B"/>
    <w:rsid w:val="00BE348C"/>
    <w:rsid w:val="00BE4901"/>
    <w:rsid w:val="00BE625B"/>
    <w:rsid w:val="00BE659D"/>
    <w:rsid w:val="00BE7366"/>
    <w:rsid w:val="00BE73F2"/>
    <w:rsid w:val="00BE7BD6"/>
    <w:rsid w:val="00BE7E1D"/>
    <w:rsid w:val="00BF196B"/>
    <w:rsid w:val="00BF3B8B"/>
    <w:rsid w:val="00BF4A74"/>
    <w:rsid w:val="00BF4CFA"/>
    <w:rsid w:val="00BF5F46"/>
    <w:rsid w:val="00BF6158"/>
    <w:rsid w:val="00BF6865"/>
    <w:rsid w:val="00C03168"/>
    <w:rsid w:val="00C04818"/>
    <w:rsid w:val="00C07AFD"/>
    <w:rsid w:val="00C07CCD"/>
    <w:rsid w:val="00C114C5"/>
    <w:rsid w:val="00C13652"/>
    <w:rsid w:val="00C1679F"/>
    <w:rsid w:val="00C17461"/>
    <w:rsid w:val="00C21529"/>
    <w:rsid w:val="00C21838"/>
    <w:rsid w:val="00C255C8"/>
    <w:rsid w:val="00C2712E"/>
    <w:rsid w:val="00C2764D"/>
    <w:rsid w:val="00C30DB3"/>
    <w:rsid w:val="00C32C9F"/>
    <w:rsid w:val="00C344BA"/>
    <w:rsid w:val="00C3661A"/>
    <w:rsid w:val="00C40438"/>
    <w:rsid w:val="00C4127B"/>
    <w:rsid w:val="00C4576A"/>
    <w:rsid w:val="00C457F5"/>
    <w:rsid w:val="00C46CFE"/>
    <w:rsid w:val="00C55018"/>
    <w:rsid w:val="00C55024"/>
    <w:rsid w:val="00C569D6"/>
    <w:rsid w:val="00C57ECD"/>
    <w:rsid w:val="00C60BB9"/>
    <w:rsid w:val="00C630A2"/>
    <w:rsid w:val="00C63D13"/>
    <w:rsid w:val="00C643FD"/>
    <w:rsid w:val="00C64722"/>
    <w:rsid w:val="00C66B5A"/>
    <w:rsid w:val="00C70FE8"/>
    <w:rsid w:val="00C729F5"/>
    <w:rsid w:val="00C73E83"/>
    <w:rsid w:val="00C742D6"/>
    <w:rsid w:val="00C7708A"/>
    <w:rsid w:val="00C831AF"/>
    <w:rsid w:val="00C843FC"/>
    <w:rsid w:val="00C85C97"/>
    <w:rsid w:val="00C86D39"/>
    <w:rsid w:val="00C876FB"/>
    <w:rsid w:val="00C87A10"/>
    <w:rsid w:val="00C9434F"/>
    <w:rsid w:val="00C944E1"/>
    <w:rsid w:val="00C97866"/>
    <w:rsid w:val="00CA0D64"/>
    <w:rsid w:val="00CA0DDC"/>
    <w:rsid w:val="00CA0E72"/>
    <w:rsid w:val="00CA139D"/>
    <w:rsid w:val="00CA1D23"/>
    <w:rsid w:val="00CA279E"/>
    <w:rsid w:val="00CA3281"/>
    <w:rsid w:val="00CA3E30"/>
    <w:rsid w:val="00CA47D7"/>
    <w:rsid w:val="00CA4900"/>
    <w:rsid w:val="00CA4B14"/>
    <w:rsid w:val="00CA4B79"/>
    <w:rsid w:val="00CB1452"/>
    <w:rsid w:val="00CB1D30"/>
    <w:rsid w:val="00CB27EC"/>
    <w:rsid w:val="00CC0DA2"/>
    <w:rsid w:val="00CC2EEB"/>
    <w:rsid w:val="00CC321C"/>
    <w:rsid w:val="00CC6158"/>
    <w:rsid w:val="00CC66C0"/>
    <w:rsid w:val="00CC7BA9"/>
    <w:rsid w:val="00CD1609"/>
    <w:rsid w:val="00CD2DAF"/>
    <w:rsid w:val="00CD5B98"/>
    <w:rsid w:val="00CE03C4"/>
    <w:rsid w:val="00CE194D"/>
    <w:rsid w:val="00CE205E"/>
    <w:rsid w:val="00CE26DF"/>
    <w:rsid w:val="00CE73B9"/>
    <w:rsid w:val="00CF1BCF"/>
    <w:rsid w:val="00CF5C57"/>
    <w:rsid w:val="00CF65D7"/>
    <w:rsid w:val="00CF6DAC"/>
    <w:rsid w:val="00CF7B0D"/>
    <w:rsid w:val="00D00026"/>
    <w:rsid w:val="00D014A7"/>
    <w:rsid w:val="00D02C1B"/>
    <w:rsid w:val="00D02DCD"/>
    <w:rsid w:val="00D05385"/>
    <w:rsid w:val="00D069D6"/>
    <w:rsid w:val="00D07055"/>
    <w:rsid w:val="00D1169E"/>
    <w:rsid w:val="00D12738"/>
    <w:rsid w:val="00D127AC"/>
    <w:rsid w:val="00D12FC2"/>
    <w:rsid w:val="00D13BB7"/>
    <w:rsid w:val="00D156B8"/>
    <w:rsid w:val="00D15BDF"/>
    <w:rsid w:val="00D2066C"/>
    <w:rsid w:val="00D2152C"/>
    <w:rsid w:val="00D239CD"/>
    <w:rsid w:val="00D24507"/>
    <w:rsid w:val="00D2523F"/>
    <w:rsid w:val="00D30B36"/>
    <w:rsid w:val="00D30E61"/>
    <w:rsid w:val="00D327B1"/>
    <w:rsid w:val="00D351D1"/>
    <w:rsid w:val="00D3786D"/>
    <w:rsid w:val="00D406EE"/>
    <w:rsid w:val="00D45688"/>
    <w:rsid w:val="00D50615"/>
    <w:rsid w:val="00D5246A"/>
    <w:rsid w:val="00D5257C"/>
    <w:rsid w:val="00D53955"/>
    <w:rsid w:val="00D54147"/>
    <w:rsid w:val="00D60976"/>
    <w:rsid w:val="00D60F79"/>
    <w:rsid w:val="00D63348"/>
    <w:rsid w:val="00D63F1D"/>
    <w:rsid w:val="00D642FE"/>
    <w:rsid w:val="00D6465A"/>
    <w:rsid w:val="00D649F3"/>
    <w:rsid w:val="00D65931"/>
    <w:rsid w:val="00D66E01"/>
    <w:rsid w:val="00D754C2"/>
    <w:rsid w:val="00D75554"/>
    <w:rsid w:val="00D76B9C"/>
    <w:rsid w:val="00D77171"/>
    <w:rsid w:val="00D774C3"/>
    <w:rsid w:val="00D801AA"/>
    <w:rsid w:val="00D82F32"/>
    <w:rsid w:val="00D902D2"/>
    <w:rsid w:val="00D92FBA"/>
    <w:rsid w:val="00D93B58"/>
    <w:rsid w:val="00D93C4E"/>
    <w:rsid w:val="00D9683D"/>
    <w:rsid w:val="00DA2668"/>
    <w:rsid w:val="00DA3967"/>
    <w:rsid w:val="00DA6B6E"/>
    <w:rsid w:val="00DA75CE"/>
    <w:rsid w:val="00DB3D1D"/>
    <w:rsid w:val="00DB6224"/>
    <w:rsid w:val="00DB69E3"/>
    <w:rsid w:val="00DC1A60"/>
    <w:rsid w:val="00DC23BC"/>
    <w:rsid w:val="00DC2A96"/>
    <w:rsid w:val="00DC7A3D"/>
    <w:rsid w:val="00DD0F2E"/>
    <w:rsid w:val="00DD262F"/>
    <w:rsid w:val="00DD5132"/>
    <w:rsid w:val="00DD70BD"/>
    <w:rsid w:val="00DD7603"/>
    <w:rsid w:val="00DE2509"/>
    <w:rsid w:val="00DE5168"/>
    <w:rsid w:val="00DE78E9"/>
    <w:rsid w:val="00DF47E2"/>
    <w:rsid w:val="00E00797"/>
    <w:rsid w:val="00E025FC"/>
    <w:rsid w:val="00E038C0"/>
    <w:rsid w:val="00E0684E"/>
    <w:rsid w:val="00E1146B"/>
    <w:rsid w:val="00E12DA7"/>
    <w:rsid w:val="00E16578"/>
    <w:rsid w:val="00E17012"/>
    <w:rsid w:val="00E17442"/>
    <w:rsid w:val="00E211F5"/>
    <w:rsid w:val="00E218D2"/>
    <w:rsid w:val="00E31162"/>
    <w:rsid w:val="00E31FE7"/>
    <w:rsid w:val="00E3322B"/>
    <w:rsid w:val="00E35EBA"/>
    <w:rsid w:val="00E37B26"/>
    <w:rsid w:val="00E4035A"/>
    <w:rsid w:val="00E45BC1"/>
    <w:rsid w:val="00E46628"/>
    <w:rsid w:val="00E469D6"/>
    <w:rsid w:val="00E47E68"/>
    <w:rsid w:val="00E47EB9"/>
    <w:rsid w:val="00E52BA1"/>
    <w:rsid w:val="00E5381E"/>
    <w:rsid w:val="00E54229"/>
    <w:rsid w:val="00E5733D"/>
    <w:rsid w:val="00E6075B"/>
    <w:rsid w:val="00E60DFD"/>
    <w:rsid w:val="00E674F1"/>
    <w:rsid w:val="00E718AA"/>
    <w:rsid w:val="00E725AD"/>
    <w:rsid w:val="00E73A84"/>
    <w:rsid w:val="00E74D82"/>
    <w:rsid w:val="00E77286"/>
    <w:rsid w:val="00E77D62"/>
    <w:rsid w:val="00E803E0"/>
    <w:rsid w:val="00E836D5"/>
    <w:rsid w:val="00E842D6"/>
    <w:rsid w:val="00E87B27"/>
    <w:rsid w:val="00E927C6"/>
    <w:rsid w:val="00E935BE"/>
    <w:rsid w:val="00E94BCC"/>
    <w:rsid w:val="00EA0C22"/>
    <w:rsid w:val="00EA2F1E"/>
    <w:rsid w:val="00EA6E12"/>
    <w:rsid w:val="00EA7FE2"/>
    <w:rsid w:val="00EB0A35"/>
    <w:rsid w:val="00EB3192"/>
    <w:rsid w:val="00EB3990"/>
    <w:rsid w:val="00EB3ECC"/>
    <w:rsid w:val="00EB5873"/>
    <w:rsid w:val="00EC1707"/>
    <w:rsid w:val="00EC320F"/>
    <w:rsid w:val="00ED0A5E"/>
    <w:rsid w:val="00ED0F2E"/>
    <w:rsid w:val="00ED306B"/>
    <w:rsid w:val="00ED3D61"/>
    <w:rsid w:val="00ED53AF"/>
    <w:rsid w:val="00ED64D7"/>
    <w:rsid w:val="00ED6950"/>
    <w:rsid w:val="00EE4412"/>
    <w:rsid w:val="00EE5F3A"/>
    <w:rsid w:val="00EF01A0"/>
    <w:rsid w:val="00EF04CB"/>
    <w:rsid w:val="00EF2289"/>
    <w:rsid w:val="00EF3246"/>
    <w:rsid w:val="00EF4605"/>
    <w:rsid w:val="00F008C6"/>
    <w:rsid w:val="00F00BE7"/>
    <w:rsid w:val="00F02946"/>
    <w:rsid w:val="00F057F7"/>
    <w:rsid w:val="00F072FD"/>
    <w:rsid w:val="00F112E8"/>
    <w:rsid w:val="00F12C0E"/>
    <w:rsid w:val="00F1795E"/>
    <w:rsid w:val="00F20724"/>
    <w:rsid w:val="00F209D9"/>
    <w:rsid w:val="00F21FCB"/>
    <w:rsid w:val="00F26BB1"/>
    <w:rsid w:val="00F322F2"/>
    <w:rsid w:val="00F32E46"/>
    <w:rsid w:val="00F34D67"/>
    <w:rsid w:val="00F42BAD"/>
    <w:rsid w:val="00F45CB4"/>
    <w:rsid w:val="00F4626A"/>
    <w:rsid w:val="00F46728"/>
    <w:rsid w:val="00F46DA9"/>
    <w:rsid w:val="00F47D63"/>
    <w:rsid w:val="00F47E2E"/>
    <w:rsid w:val="00F47EA2"/>
    <w:rsid w:val="00F47EE8"/>
    <w:rsid w:val="00F50FB5"/>
    <w:rsid w:val="00F524E8"/>
    <w:rsid w:val="00F53741"/>
    <w:rsid w:val="00F544FA"/>
    <w:rsid w:val="00F62FAA"/>
    <w:rsid w:val="00F6605E"/>
    <w:rsid w:val="00F67828"/>
    <w:rsid w:val="00F706A8"/>
    <w:rsid w:val="00F71395"/>
    <w:rsid w:val="00F73BF2"/>
    <w:rsid w:val="00F7440F"/>
    <w:rsid w:val="00F75611"/>
    <w:rsid w:val="00F7612E"/>
    <w:rsid w:val="00F77160"/>
    <w:rsid w:val="00F774E0"/>
    <w:rsid w:val="00F80522"/>
    <w:rsid w:val="00F80EE4"/>
    <w:rsid w:val="00F81B8C"/>
    <w:rsid w:val="00F90E6C"/>
    <w:rsid w:val="00F93045"/>
    <w:rsid w:val="00F9326D"/>
    <w:rsid w:val="00F94760"/>
    <w:rsid w:val="00F94BF5"/>
    <w:rsid w:val="00F95501"/>
    <w:rsid w:val="00FA09FA"/>
    <w:rsid w:val="00FA183A"/>
    <w:rsid w:val="00FA3B73"/>
    <w:rsid w:val="00FA598F"/>
    <w:rsid w:val="00FA6E8F"/>
    <w:rsid w:val="00FA7FBA"/>
    <w:rsid w:val="00FB65FE"/>
    <w:rsid w:val="00FB7404"/>
    <w:rsid w:val="00FB7A5F"/>
    <w:rsid w:val="00FC12D7"/>
    <w:rsid w:val="00FC1FE9"/>
    <w:rsid w:val="00FC2DEA"/>
    <w:rsid w:val="00FC3820"/>
    <w:rsid w:val="00FC38AF"/>
    <w:rsid w:val="00FD1517"/>
    <w:rsid w:val="00FD1785"/>
    <w:rsid w:val="00FD35CC"/>
    <w:rsid w:val="00FD3B8D"/>
    <w:rsid w:val="00FD5941"/>
    <w:rsid w:val="00FD6F4D"/>
    <w:rsid w:val="00FE0099"/>
    <w:rsid w:val="00FE163F"/>
    <w:rsid w:val="00FE2059"/>
    <w:rsid w:val="00FE3ADC"/>
    <w:rsid w:val="00FE5677"/>
    <w:rsid w:val="00FF287B"/>
    <w:rsid w:val="00FF56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F87BA5"/>
  <w15:docId w15:val="{7352125F-1DED-40FE-8630-A3A3CF77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6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 Char,Footnote Text Char Char Char4 Char Char Char,Footnote Text Char1,Footnote Text Char1 Char,Footnote Text Char1 Char Char,Footnote Text Char4 Char1 Char Char Char,Footnote Text Char7 Char Char Char"/>
    <w:basedOn w:val="Normal"/>
    <w:link w:val="FootnoteTextChar2"/>
    <w:rsid w:val="008855E3"/>
  </w:style>
  <w:style w:type="character" w:styleId="FootnoteReference">
    <w:name w:val="footnote reference"/>
    <w:aliases w:val="(NECG) Footnote Reference,Appel note de bas de p,FR,Footnote Reference/,Style 12,Style 124,Style 13,Style 17,Style 3,Style 4,Style 6,fr,o"/>
    <w:rsid w:val="008855E3"/>
    <w:rPr>
      <w:vertAlign w:val="superscript"/>
    </w:rPr>
  </w:style>
  <w:style w:type="character" w:customStyle="1" w:styleId="FootnoteTextChar2">
    <w:name w:val="Footnote Text Char2"/>
    <w:aliases w:val="Footnote Text Char Char Char,Footnote Text Char Char Char4 Char Char Char Char,Footnote Text Char1 Char Char Char,Footnote Text Char1 Char1,Footnote Text Char4 Char1 Char Char Char Char,Footnote Text Char7 Char Char Char Char"/>
    <w:link w:val="FootnoteText"/>
    <w:uiPriority w:val="99"/>
    <w:rsid w:val="00321DA6"/>
    <w:rPr>
      <w:lang w:val="en-US" w:eastAsia="en-US" w:bidi="ar-SA"/>
    </w:rPr>
  </w:style>
  <w:style w:type="character" w:customStyle="1" w:styleId="FootnoteTextChar7CharCharCharCharCharChar">
    <w:name w:val="Footnote Text Char7 Char Char Char Char Char Char"/>
    <w:rsid w:val="00E54229"/>
    <w:rPr>
      <w:lang w:val="en-US" w:eastAsia="en-US" w:bidi="ar-SA"/>
    </w:rPr>
  </w:style>
  <w:style w:type="paragraph" w:styleId="BalloonText">
    <w:name w:val="Balloon Text"/>
    <w:basedOn w:val="Normal"/>
    <w:semiHidden/>
    <w:rsid w:val="004F410D"/>
    <w:rPr>
      <w:rFonts w:ascii="Tahoma" w:hAnsi="Tahoma" w:cs="Tahoma"/>
      <w:sz w:val="16"/>
      <w:szCs w:val="16"/>
    </w:rPr>
  </w:style>
  <w:style w:type="character" w:styleId="PageNumber">
    <w:name w:val="page number"/>
    <w:basedOn w:val="DefaultParagraphFont"/>
    <w:rsid w:val="00A704B2"/>
  </w:style>
  <w:style w:type="character" w:customStyle="1" w:styleId="documentbody">
    <w:name w:val="documentbody"/>
    <w:basedOn w:val="DefaultParagraphFont"/>
    <w:rsid w:val="009E2B5B"/>
  </w:style>
  <w:style w:type="character" w:styleId="Hyperlink">
    <w:name w:val="Hyperlink"/>
    <w:rsid w:val="00D642FE"/>
    <w:rPr>
      <w:color w:val="0000FF"/>
      <w:u w:val="single"/>
    </w:rPr>
  </w:style>
  <w:style w:type="character" w:customStyle="1" w:styleId="bodytext">
    <w:name w:val="bodytext"/>
    <w:basedOn w:val="DefaultParagraphFont"/>
    <w:rsid w:val="004F0AE5"/>
  </w:style>
  <w:style w:type="character" w:styleId="Strong">
    <w:name w:val="Strong"/>
    <w:qFormat/>
    <w:rsid w:val="00A34049"/>
    <w:rPr>
      <w:b/>
      <w:bCs/>
      <w:i w:val="0"/>
      <w:iCs w:val="0"/>
    </w:rPr>
  </w:style>
  <w:style w:type="paragraph" w:customStyle="1" w:styleId="ParaNum">
    <w:name w:val="ParaNum"/>
    <w:basedOn w:val="Normal"/>
    <w:rsid w:val="002D559E"/>
    <w:pPr>
      <w:widowControl w:val="0"/>
      <w:numPr>
        <w:numId w:val="1"/>
      </w:numPr>
      <w:spacing w:after="120"/>
    </w:pPr>
    <w:rPr>
      <w:snapToGrid w:val="0"/>
      <w:kern w:val="28"/>
      <w:sz w:val="22"/>
    </w:rPr>
  </w:style>
  <w:style w:type="character" w:customStyle="1" w:styleId="CharChar">
    <w:name w:val="Char Char"/>
    <w:semiHidden/>
    <w:rsid w:val="002D559E"/>
    <w:rPr>
      <w:lang w:val="en-US" w:eastAsia="en-US" w:bidi="ar-SA"/>
    </w:rPr>
  </w:style>
  <w:style w:type="character" w:styleId="Emphasis">
    <w:name w:val="Emphasis"/>
    <w:qFormat/>
    <w:rsid w:val="002F0BDF"/>
    <w:rPr>
      <w:i/>
      <w:iCs/>
    </w:rPr>
  </w:style>
  <w:style w:type="paragraph" w:customStyle="1" w:styleId="Default">
    <w:name w:val="Default"/>
    <w:rsid w:val="006700BF"/>
    <w:pPr>
      <w:autoSpaceDE w:val="0"/>
      <w:autoSpaceDN w:val="0"/>
      <w:adjustRightInd w:val="0"/>
    </w:pPr>
    <w:rPr>
      <w:color w:val="000000"/>
      <w:sz w:val="24"/>
      <w:szCs w:val="24"/>
    </w:rPr>
  </w:style>
  <w:style w:type="character" w:styleId="CommentReference">
    <w:name w:val="annotation reference"/>
    <w:rsid w:val="009C428B"/>
    <w:rPr>
      <w:sz w:val="16"/>
      <w:szCs w:val="16"/>
    </w:rPr>
  </w:style>
  <w:style w:type="paragraph" w:styleId="CommentText">
    <w:name w:val="annotation text"/>
    <w:basedOn w:val="Normal"/>
    <w:link w:val="CommentTextChar"/>
    <w:rsid w:val="009C428B"/>
  </w:style>
  <w:style w:type="character" w:customStyle="1" w:styleId="CommentTextChar">
    <w:name w:val="Comment Text Char"/>
    <w:basedOn w:val="DefaultParagraphFont"/>
    <w:link w:val="CommentText"/>
    <w:rsid w:val="009C428B"/>
  </w:style>
  <w:style w:type="paragraph" w:styleId="CommentSubject">
    <w:name w:val="annotation subject"/>
    <w:basedOn w:val="CommentText"/>
    <w:next w:val="CommentText"/>
    <w:link w:val="CommentSubjectChar"/>
    <w:rsid w:val="009C428B"/>
    <w:rPr>
      <w:b/>
      <w:bCs/>
    </w:rPr>
  </w:style>
  <w:style w:type="character" w:customStyle="1" w:styleId="CommentSubjectChar">
    <w:name w:val="Comment Subject Char"/>
    <w:link w:val="CommentSubject"/>
    <w:rsid w:val="009C428B"/>
    <w:rPr>
      <w:b/>
      <w:bCs/>
    </w:rPr>
  </w:style>
  <w:style w:type="character" w:customStyle="1" w:styleId="emphi">
    <w:name w:val="emphi"/>
    <w:rsid w:val="00A33003"/>
  </w:style>
  <w:style w:type="character" w:styleId="UnresolvedMention">
    <w:name w:val="Unresolved Mention"/>
    <w:uiPriority w:val="99"/>
    <w:semiHidden/>
    <w:unhideWhenUsed/>
    <w:rsid w:val="00A0633E"/>
    <w:rPr>
      <w:color w:val="605E5C"/>
      <w:shd w:val="clear" w:color="auto" w:fill="E1DFDD"/>
    </w:rPr>
  </w:style>
  <w:style w:type="paragraph" w:styleId="Revision">
    <w:name w:val="Revision"/>
    <w:hidden/>
    <w:uiPriority w:val="99"/>
    <w:semiHidden/>
    <w:rsid w:val="001E19C5"/>
  </w:style>
  <w:style w:type="character" w:customStyle="1" w:styleId="StyleFootnoteReferenceStyle12NECGFootnoteReferenceAppeln">
    <w:name w:val="Style Footnote ReferenceStyle 12(NECG) Footnote ReferenceAppel n..."/>
    <w:rsid w:val="0026507E"/>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top.docjs.prev_hit(37)" TargetMode="External" /><Relationship Id="rId11" Type="http://schemas.openxmlformats.org/officeDocument/2006/relationships/hyperlink" Target="javascript:top.docjs.next_hit(37)" TargetMode="External" /><Relationship Id="rId12" Type="http://schemas.openxmlformats.org/officeDocument/2006/relationships/hyperlink" Target="javascript:top.docjs.prev_hit(38)" TargetMode="External" /><Relationship Id="rId13" Type="http://schemas.openxmlformats.org/officeDocument/2006/relationships/hyperlink" Target="javascript:top.docjs.next_hit(38)"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moskowitz@amoskowitzlaw.com" TargetMode="External" /><Relationship Id="rId6" Type="http://schemas.openxmlformats.org/officeDocument/2006/relationships/hyperlink" Target="mailto:John@JWKingLaw.com" TargetMode="External" /><Relationship Id="rId7" Type="http://schemas.openxmlformats.org/officeDocument/2006/relationships/hyperlink" Target="javascript:top.docjs.prev_hit(36)" TargetMode="External" /><Relationship Id="rId8" Type="http://schemas.openxmlformats.org/officeDocument/2006/relationships/image" Target="media/image1.png" /><Relationship Id="rId9" Type="http://schemas.openxmlformats.org/officeDocument/2006/relationships/hyperlink" Target="javascript:top.docjs.next_hit(36)"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