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B1690" w:rsidRPr="00327962" w:rsidP="00133AB5" w14:paraId="2C0CC6B7" w14:textId="517FB239">
      <w:pPr>
        <w:tabs>
          <w:tab w:val="left" w:pos="0"/>
        </w:tabs>
        <w:suppressAutoHyphens/>
        <w:outlineLvl w:val="0"/>
        <w:rPr>
          <w:b/>
          <w:color w:val="000000"/>
          <w:sz w:val="22"/>
          <w:szCs w:val="22"/>
          <w:u w:val="single"/>
        </w:rPr>
      </w:pPr>
    </w:p>
    <w:p w:rsidR="00217CEE" w:rsidRPr="00D47AEA" w:rsidP="00D974C2" w14:paraId="33CE4570" w14:textId="3D08183A">
      <w:pPr>
        <w:ind w:left="6480"/>
        <w:rPr>
          <w:b/>
          <w:bCs/>
          <w:iCs/>
          <w:sz w:val="22"/>
          <w:szCs w:val="22"/>
        </w:rPr>
      </w:pPr>
      <w:r w:rsidRPr="00D47AEA">
        <w:rPr>
          <w:b/>
          <w:bCs/>
          <w:iCs/>
          <w:sz w:val="22"/>
          <w:szCs w:val="22"/>
        </w:rPr>
        <w:t>DA 2</w:t>
      </w:r>
      <w:r w:rsidR="00D14B94">
        <w:rPr>
          <w:b/>
          <w:bCs/>
          <w:iCs/>
          <w:sz w:val="22"/>
          <w:szCs w:val="22"/>
        </w:rPr>
        <w:t>3</w:t>
      </w:r>
      <w:r w:rsidRPr="00D47AEA">
        <w:rPr>
          <w:b/>
          <w:bCs/>
          <w:iCs/>
          <w:sz w:val="22"/>
          <w:szCs w:val="22"/>
        </w:rPr>
        <w:t>-</w:t>
      </w:r>
      <w:r w:rsidR="001E1F0A">
        <w:rPr>
          <w:b/>
          <w:bCs/>
          <w:iCs/>
          <w:sz w:val="22"/>
          <w:szCs w:val="22"/>
        </w:rPr>
        <w:t>83</w:t>
      </w:r>
    </w:p>
    <w:p w:rsidR="00217CEE" w:rsidRPr="00D47AEA" w:rsidP="00D974C2" w14:paraId="0B4AA884" w14:textId="521CEB8C">
      <w:pPr>
        <w:ind w:left="6480"/>
        <w:rPr>
          <w:b/>
          <w:bCs/>
          <w:iCs/>
          <w:sz w:val="22"/>
          <w:szCs w:val="22"/>
        </w:rPr>
      </w:pPr>
      <w:r w:rsidRPr="00D47AEA">
        <w:rPr>
          <w:b/>
          <w:bCs/>
          <w:iCs/>
          <w:sz w:val="22"/>
          <w:szCs w:val="22"/>
        </w:rPr>
        <w:t xml:space="preserve">Released:  </w:t>
      </w:r>
      <w:r w:rsidR="001E1F0A">
        <w:rPr>
          <w:b/>
          <w:bCs/>
          <w:iCs/>
          <w:sz w:val="22"/>
          <w:szCs w:val="22"/>
        </w:rPr>
        <w:t>January 30</w:t>
      </w:r>
      <w:r w:rsidRPr="00D47AEA">
        <w:rPr>
          <w:b/>
          <w:bCs/>
          <w:iCs/>
          <w:sz w:val="22"/>
          <w:szCs w:val="22"/>
        </w:rPr>
        <w:t>, 202</w:t>
      </w:r>
      <w:r w:rsidR="00D14B94">
        <w:rPr>
          <w:b/>
          <w:bCs/>
          <w:iCs/>
          <w:sz w:val="22"/>
          <w:szCs w:val="22"/>
        </w:rPr>
        <w:t>3</w:t>
      </w:r>
    </w:p>
    <w:p w:rsidR="002D14E0" w:rsidRPr="00327962" w:rsidP="00D974C2" w14:paraId="0BCC4444" w14:textId="0BADD3AC">
      <w:pPr>
        <w:ind w:left="6480"/>
        <w:rPr>
          <w:sz w:val="22"/>
          <w:szCs w:val="22"/>
        </w:rPr>
      </w:pPr>
      <w:r w:rsidRPr="00327962">
        <w:rPr>
          <w:i/>
          <w:sz w:val="22"/>
          <w:szCs w:val="22"/>
        </w:rPr>
        <w:t>In Reply Refer to:</w:t>
      </w:r>
      <w:r w:rsidR="00864EDA">
        <w:rPr>
          <w:i/>
          <w:sz w:val="22"/>
          <w:szCs w:val="22"/>
        </w:rPr>
        <w:br/>
      </w:r>
      <w:r w:rsidR="00D974C2">
        <w:rPr>
          <w:sz w:val="22"/>
          <w:szCs w:val="22"/>
        </w:rPr>
        <w:t>1</w:t>
      </w:r>
      <w:r w:rsidRPr="00327962">
        <w:rPr>
          <w:sz w:val="22"/>
          <w:szCs w:val="22"/>
        </w:rPr>
        <w:t>800B-</w:t>
      </w:r>
      <w:r w:rsidR="00E4570C">
        <w:rPr>
          <w:sz w:val="22"/>
          <w:szCs w:val="22"/>
        </w:rPr>
        <w:t>IB</w:t>
      </w:r>
    </w:p>
    <w:p w:rsidR="00344653" w:rsidRPr="003E4677" w:rsidP="001E1E5A" w14:paraId="10C43C0E" w14:textId="4D9C8872">
      <w:pPr>
        <w:rPr>
          <w:rFonts w:asciiTheme="majorBidi" w:hAnsiTheme="majorBidi" w:cstheme="majorBidi"/>
          <w:kern w:val="28"/>
          <w:sz w:val="22"/>
          <w:szCs w:val="22"/>
        </w:rPr>
      </w:pPr>
    </w:p>
    <w:p w:rsidR="001E1E5A" w:rsidP="001E1E5A" w14:paraId="49BEA794" w14:textId="460C9E09">
      <w:pPr>
        <w:rPr>
          <w:rFonts w:asciiTheme="majorBidi" w:hAnsiTheme="majorBidi" w:cstheme="majorBidi"/>
          <w:kern w:val="28"/>
          <w:sz w:val="22"/>
          <w:szCs w:val="22"/>
        </w:rPr>
      </w:pPr>
      <w:r w:rsidRPr="003E4677">
        <w:rPr>
          <w:rFonts w:asciiTheme="majorBidi" w:hAnsiTheme="majorBidi" w:cstheme="majorBidi"/>
          <w:kern w:val="28"/>
          <w:sz w:val="22"/>
          <w:szCs w:val="22"/>
        </w:rPr>
        <w:t>(via email to:)</w:t>
      </w:r>
    </w:p>
    <w:p w:rsidR="005F24A6" w:rsidP="001E1E5A" w14:paraId="6935A1B4" w14:textId="19A68482">
      <w:pPr>
        <w:rPr>
          <w:rFonts w:asciiTheme="majorBidi" w:hAnsiTheme="majorBidi" w:cstheme="majorBidi"/>
          <w:kern w:val="28"/>
          <w:sz w:val="22"/>
          <w:szCs w:val="22"/>
        </w:rPr>
      </w:pPr>
      <w:r>
        <w:rPr>
          <w:rFonts w:asciiTheme="majorBidi" w:hAnsiTheme="majorBidi" w:cstheme="majorBidi"/>
          <w:kern w:val="28"/>
          <w:sz w:val="22"/>
          <w:szCs w:val="22"/>
        </w:rPr>
        <w:t>Gerald Woolverton, President</w:t>
      </w:r>
    </w:p>
    <w:p w:rsidR="005F24A6" w:rsidP="005F24A6" w14:paraId="4B8DA8AF" w14:textId="77777777">
      <w:pPr>
        <w:contextualSpacing/>
        <w:rPr>
          <w:sz w:val="22"/>
          <w:szCs w:val="22"/>
        </w:rPr>
      </w:pPr>
      <w:r>
        <w:rPr>
          <w:sz w:val="22"/>
          <w:szCs w:val="22"/>
        </w:rPr>
        <w:t>Calvary Educational Broadcasting Network, Inc.</w:t>
      </w:r>
    </w:p>
    <w:p w:rsidR="005F24A6" w:rsidP="005F24A6" w14:paraId="148D1B44" w14:textId="77777777">
      <w:pPr>
        <w:contextualSpacing/>
        <w:rPr>
          <w:sz w:val="22"/>
          <w:szCs w:val="22"/>
        </w:rPr>
      </w:pPr>
      <w:r>
        <w:rPr>
          <w:sz w:val="22"/>
          <w:szCs w:val="22"/>
        </w:rPr>
        <w:t>2773 Barron Road</w:t>
      </w:r>
    </w:p>
    <w:p w:rsidR="005F24A6" w:rsidP="005F24A6" w14:paraId="045BC371" w14:textId="3C9D48E2">
      <w:pPr>
        <w:contextualSpacing/>
        <w:rPr>
          <w:sz w:val="22"/>
          <w:szCs w:val="22"/>
        </w:rPr>
      </w:pPr>
      <w:r>
        <w:rPr>
          <w:sz w:val="22"/>
          <w:szCs w:val="22"/>
        </w:rPr>
        <w:t>Poplar Bluff, MO 63901</w:t>
      </w:r>
    </w:p>
    <w:p w:rsidR="00BB084E" w:rsidP="005F24A6" w14:paraId="7901D213" w14:textId="1B03941E">
      <w:pPr>
        <w:contextualSpacing/>
        <w:rPr>
          <w:sz w:val="22"/>
          <w:szCs w:val="22"/>
        </w:rPr>
      </w:pPr>
      <w:hyperlink r:id="rId5" w:history="1">
        <w:r w:rsidRPr="004D75A9">
          <w:rPr>
            <w:rStyle w:val="Hyperlink"/>
            <w:sz w:val="22"/>
            <w:szCs w:val="22"/>
          </w:rPr>
          <w:t>KOKSRA80@GMAIL.COM</w:t>
        </w:r>
      </w:hyperlink>
    </w:p>
    <w:p w:rsidR="005F24A6" w:rsidP="001E1E5A" w14:paraId="36FF74C4" w14:textId="77777777">
      <w:pPr>
        <w:rPr>
          <w:rFonts w:asciiTheme="majorBidi" w:hAnsiTheme="majorBidi" w:cstheme="majorBidi"/>
          <w:kern w:val="28"/>
          <w:sz w:val="22"/>
          <w:szCs w:val="22"/>
        </w:rPr>
      </w:pPr>
    </w:p>
    <w:p w:rsidR="005F24A6" w:rsidP="001E1E5A" w14:paraId="6D17A565" w14:textId="49896549">
      <w:pPr>
        <w:rPr>
          <w:rFonts w:asciiTheme="majorBidi" w:hAnsiTheme="majorBidi" w:cstheme="majorBidi"/>
          <w:kern w:val="28"/>
          <w:sz w:val="22"/>
          <w:szCs w:val="22"/>
        </w:rPr>
      </w:pPr>
      <w:r>
        <w:rPr>
          <w:rFonts w:asciiTheme="majorBidi" w:hAnsiTheme="majorBidi" w:cstheme="majorBidi"/>
          <w:kern w:val="28"/>
          <w:sz w:val="22"/>
          <w:szCs w:val="22"/>
        </w:rPr>
        <w:t>Charles R. Naftalin, Esq.</w:t>
      </w:r>
    </w:p>
    <w:p w:rsidR="005F24A6" w:rsidP="001E1E5A" w14:paraId="66FA922C" w14:textId="33E75BB3">
      <w:pPr>
        <w:rPr>
          <w:rFonts w:asciiTheme="majorBidi" w:hAnsiTheme="majorBidi" w:cstheme="majorBidi"/>
          <w:kern w:val="28"/>
          <w:sz w:val="22"/>
          <w:szCs w:val="22"/>
        </w:rPr>
      </w:pPr>
      <w:r>
        <w:rPr>
          <w:rFonts w:asciiTheme="majorBidi" w:hAnsiTheme="majorBidi" w:cstheme="majorBidi"/>
          <w:kern w:val="28"/>
          <w:sz w:val="22"/>
          <w:szCs w:val="22"/>
        </w:rPr>
        <w:t>Holland &amp; Knight</w:t>
      </w:r>
    </w:p>
    <w:p w:rsidR="005F24A6" w:rsidP="001E1E5A" w14:paraId="4DB5ACE1" w14:textId="713B511C">
      <w:pPr>
        <w:rPr>
          <w:rFonts w:asciiTheme="majorBidi" w:hAnsiTheme="majorBidi" w:cstheme="majorBidi"/>
          <w:kern w:val="28"/>
          <w:sz w:val="22"/>
          <w:szCs w:val="22"/>
        </w:rPr>
      </w:pPr>
      <w:r>
        <w:rPr>
          <w:rFonts w:asciiTheme="majorBidi" w:hAnsiTheme="majorBidi" w:cstheme="majorBidi"/>
          <w:kern w:val="28"/>
          <w:sz w:val="22"/>
          <w:szCs w:val="22"/>
        </w:rPr>
        <w:t>800 17 St, N.W.</w:t>
      </w:r>
    </w:p>
    <w:p w:rsidR="005F24A6" w:rsidP="005F24A6" w14:paraId="7FFBB050" w14:textId="56CA4129">
      <w:pPr>
        <w:rPr>
          <w:rFonts w:asciiTheme="majorBidi" w:hAnsiTheme="majorBidi" w:cstheme="majorBidi"/>
          <w:kern w:val="28"/>
          <w:sz w:val="22"/>
          <w:szCs w:val="22"/>
        </w:rPr>
      </w:pPr>
      <w:r>
        <w:rPr>
          <w:rFonts w:asciiTheme="majorBidi" w:hAnsiTheme="majorBidi" w:cstheme="majorBidi"/>
          <w:kern w:val="28"/>
          <w:sz w:val="22"/>
          <w:szCs w:val="22"/>
        </w:rPr>
        <w:t>Suite1100</w:t>
      </w:r>
    </w:p>
    <w:p w:rsidR="005F24A6" w:rsidRPr="005F24A6" w:rsidP="005F24A6" w14:paraId="2832AC4B" w14:textId="514069A5">
      <w:pPr>
        <w:rPr>
          <w:rFonts w:asciiTheme="majorBidi" w:hAnsiTheme="majorBidi" w:cstheme="majorBidi"/>
          <w:kern w:val="28"/>
          <w:sz w:val="22"/>
          <w:szCs w:val="22"/>
        </w:rPr>
      </w:pPr>
      <w:r>
        <w:rPr>
          <w:rFonts w:asciiTheme="majorBidi" w:hAnsiTheme="majorBidi" w:cstheme="majorBidi"/>
          <w:kern w:val="28"/>
          <w:sz w:val="22"/>
          <w:szCs w:val="22"/>
        </w:rPr>
        <w:t>Washington, DC 20006</w:t>
      </w:r>
    </w:p>
    <w:p w:rsidR="00A026C6" w:rsidP="00A026C6" w14:paraId="7C46DBCB" w14:textId="5D2618D2">
      <w:pPr>
        <w:rPr>
          <w:rFonts w:asciiTheme="majorBidi" w:hAnsiTheme="majorBidi" w:cstheme="majorBidi"/>
          <w:kern w:val="28"/>
          <w:sz w:val="22"/>
          <w:szCs w:val="22"/>
        </w:rPr>
      </w:pPr>
      <w:hyperlink r:id="rId6" w:history="1">
        <w:r w:rsidRPr="004D75A9" w:rsidR="005F24A6">
          <w:rPr>
            <w:rStyle w:val="Hyperlink"/>
            <w:rFonts w:asciiTheme="majorBidi" w:hAnsiTheme="majorBidi" w:cstheme="majorBidi"/>
            <w:kern w:val="28"/>
            <w:sz w:val="22"/>
            <w:szCs w:val="22"/>
          </w:rPr>
          <w:t>CHARLES.NAFTALIN@HKLAW.COM</w:t>
        </w:r>
      </w:hyperlink>
    </w:p>
    <w:p w:rsidR="005F24A6" w:rsidP="00A026C6" w14:paraId="19930735" w14:textId="38884AB4">
      <w:pPr>
        <w:rPr>
          <w:rFonts w:asciiTheme="majorBidi" w:hAnsiTheme="majorBidi" w:cstheme="majorBidi"/>
          <w:kern w:val="28"/>
          <w:sz w:val="22"/>
          <w:szCs w:val="22"/>
        </w:rPr>
      </w:pPr>
    </w:p>
    <w:p w:rsidR="005F24A6" w:rsidP="00A026C6" w14:paraId="5FA6BC0C" w14:textId="4D9130C1">
      <w:pPr>
        <w:rPr>
          <w:rFonts w:asciiTheme="majorBidi" w:hAnsiTheme="majorBidi" w:cstheme="majorBidi"/>
          <w:kern w:val="28"/>
          <w:sz w:val="22"/>
          <w:szCs w:val="22"/>
        </w:rPr>
      </w:pPr>
      <w:r>
        <w:rPr>
          <w:rFonts w:asciiTheme="majorBidi" w:hAnsiTheme="majorBidi" w:cstheme="majorBidi"/>
          <w:kern w:val="28"/>
          <w:sz w:val="22"/>
          <w:szCs w:val="22"/>
        </w:rPr>
        <w:t>Mrs. Doris L. Smith</w:t>
      </w:r>
    </w:p>
    <w:p w:rsidR="005F24A6" w:rsidP="00A026C6" w14:paraId="56082C96" w14:textId="51719716">
      <w:pPr>
        <w:rPr>
          <w:rFonts w:asciiTheme="majorBidi" w:hAnsiTheme="majorBidi" w:cstheme="majorBidi"/>
          <w:kern w:val="28"/>
          <w:sz w:val="22"/>
          <w:szCs w:val="22"/>
        </w:rPr>
      </w:pPr>
      <w:r>
        <w:rPr>
          <w:rFonts w:asciiTheme="majorBidi" w:hAnsiTheme="majorBidi" w:cstheme="majorBidi"/>
          <w:kern w:val="28"/>
          <w:sz w:val="22"/>
          <w:szCs w:val="22"/>
        </w:rPr>
        <w:t xml:space="preserve">1417 Vine Street </w:t>
      </w:r>
    </w:p>
    <w:p w:rsidR="005F24A6" w:rsidRPr="001C3AC2" w:rsidP="005F24A6" w14:paraId="4C2D28D2" w14:textId="77777777">
      <w:pPr>
        <w:contextualSpacing/>
        <w:rPr>
          <w:sz w:val="22"/>
          <w:szCs w:val="22"/>
        </w:rPr>
      </w:pPr>
      <w:r>
        <w:rPr>
          <w:sz w:val="22"/>
          <w:szCs w:val="22"/>
        </w:rPr>
        <w:t>Poplar Bluff, MO 63901</w:t>
      </w:r>
    </w:p>
    <w:p w:rsidR="00A026C6" w:rsidRPr="003E4677" w:rsidP="00A026C6" w14:paraId="359A34AE" w14:textId="77E3BC11">
      <w:pPr>
        <w:rPr>
          <w:rFonts w:asciiTheme="majorBidi" w:hAnsiTheme="majorBidi" w:cstheme="majorBidi"/>
          <w:kern w:val="28"/>
          <w:sz w:val="22"/>
          <w:szCs w:val="22"/>
        </w:rPr>
      </w:pPr>
    </w:p>
    <w:p w:rsidR="006E4EFD" w:rsidRPr="00CE55DE" w:rsidP="00491977" w14:paraId="42EA0B9E" w14:textId="27859E89">
      <w:pPr>
        <w:ind w:left="5040" w:hanging="720"/>
        <w:rPr>
          <w:rFonts w:asciiTheme="majorBidi" w:hAnsiTheme="majorBidi" w:cstheme="majorBidi"/>
          <w:b/>
          <w:bCs/>
          <w:color w:val="000000"/>
          <w:sz w:val="22"/>
          <w:szCs w:val="22"/>
        </w:rPr>
      </w:pPr>
      <w:r w:rsidRPr="003E4677">
        <w:rPr>
          <w:rFonts w:asciiTheme="majorBidi" w:hAnsiTheme="majorBidi" w:cstheme="majorBidi"/>
          <w:sz w:val="22"/>
          <w:szCs w:val="22"/>
        </w:rPr>
        <w:t>In re:</w:t>
      </w:r>
      <w:r w:rsidRPr="003E4677">
        <w:rPr>
          <w:rFonts w:asciiTheme="majorBidi" w:hAnsiTheme="majorBidi" w:cstheme="majorBidi"/>
          <w:sz w:val="22"/>
          <w:szCs w:val="22"/>
        </w:rPr>
        <w:tab/>
      </w:r>
      <w:bookmarkStart w:id="0" w:name="_Hlk20824461"/>
      <w:r w:rsidR="00491977">
        <w:rPr>
          <w:rFonts w:asciiTheme="majorBidi" w:hAnsiTheme="majorBidi" w:cstheme="majorBidi"/>
          <w:sz w:val="22"/>
          <w:szCs w:val="22"/>
        </w:rPr>
        <w:t xml:space="preserve">KOKS(FM), Poplar Bluff, MO </w:t>
      </w:r>
    </w:p>
    <w:p w:rsidR="006E4EFD" w:rsidRPr="003E4677" w:rsidP="0053393C" w14:paraId="182E843B" w14:textId="784F10CE">
      <w:pPr>
        <w:tabs>
          <w:tab w:val="left" w:pos="0"/>
        </w:tabs>
        <w:suppressAutoHyphens/>
        <w:rPr>
          <w:rFonts w:asciiTheme="majorBidi" w:hAnsiTheme="majorBidi" w:cstheme="majorBidi"/>
          <w:sz w:val="22"/>
          <w:szCs w:val="22"/>
        </w:rPr>
      </w:pP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color w:val="000000"/>
          <w:sz w:val="22"/>
          <w:szCs w:val="22"/>
        </w:rPr>
        <w:t>Facility ID</w:t>
      </w:r>
      <w:r w:rsidRPr="003E4677" w:rsidR="00CA3C14">
        <w:rPr>
          <w:rFonts w:asciiTheme="majorBidi" w:hAnsiTheme="majorBidi" w:cstheme="majorBidi"/>
          <w:color w:val="000000"/>
          <w:sz w:val="22"/>
          <w:szCs w:val="22"/>
        </w:rPr>
        <w:t xml:space="preserve"> No. </w:t>
      </w:r>
      <w:r w:rsidRPr="0053393C" w:rsidR="0053393C">
        <w:rPr>
          <w:rFonts w:asciiTheme="majorBidi" w:hAnsiTheme="majorBidi" w:cstheme="majorBidi"/>
          <w:color w:val="000000"/>
          <w:sz w:val="22"/>
          <w:szCs w:val="22"/>
        </w:rPr>
        <w:t>8439</w:t>
      </w:r>
    </w:p>
    <w:p w:rsidR="00491977" w:rsidP="00491977" w14:paraId="415C9DDC" w14:textId="1529F373">
      <w:pPr>
        <w:tabs>
          <w:tab w:val="left" w:pos="0"/>
        </w:tabs>
        <w:suppressAutoHyphens/>
        <w:rPr>
          <w:rFonts w:asciiTheme="majorBidi" w:hAnsiTheme="majorBidi" w:cstheme="majorBidi"/>
          <w:sz w:val="22"/>
          <w:szCs w:val="22"/>
        </w:rPr>
      </w:pP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t xml:space="preserve">File No. </w:t>
      </w:r>
      <w:r w:rsidRPr="007E30B8" w:rsidR="007E30B8">
        <w:rPr>
          <w:rFonts w:asciiTheme="majorBidi" w:hAnsiTheme="majorBidi" w:cstheme="majorBidi"/>
          <w:sz w:val="22"/>
          <w:szCs w:val="22"/>
        </w:rPr>
        <w:t>0000122765</w:t>
      </w:r>
    </w:p>
    <w:p w:rsidR="007E30B8" w:rsidP="00491977" w14:paraId="056D4458" w14:textId="7B573BAD">
      <w:pPr>
        <w:tabs>
          <w:tab w:val="left" w:pos="0"/>
        </w:tabs>
        <w:suppressAutoHyphens/>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t>Application for License Renewal</w:t>
      </w:r>
    </w:p>
    <w:p w:rsidR="007E30B8" w:rsidRPr="003E4677" w:rsidP="00491977" w14:paraId="5C995BE6" w14:textId="7A97957C">
      <w:pPr>
        <w:tabs>
          <w:tab w:val="left" w:pos="0"/>
        </w:tabs>
        <w:suppressAutoHyphens/>
        <w:rPr>
          <w:rFonts w:asciiTheme="majorBidi" w:hAnsiTheme="majorBidi" w:cstheme="majorBidi"/>
          <w:color w:val="000000"/>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t>Informal Objection</w:t>
      </w:r>
    </w:p>
    <w:p w:rsidR="000724F6" w:rsidRPr="00E32034" w:rsidP="00E32034" w14:paraId="73D14A90" w14:textId="032F79B2">
      <w:pPr>
        <w:tabs>
          <w:tab w:val="left" w:pos="0"/>
        </w:tabs>
        <w:suppressAutoHyphens/>
        <w:rPr>
          <w:rFonts w:asciiTheme="majorBidi" w:hAnsiTheme="majorBidi" w:cstheme="majorBidi"/>
          <w:color w:val="000000"/>
          <w:sz w:val="22"/>
          <w:szCs w:val="22"/>
        </w:rPr>
      </w:pPr>
      <w:r w:rsidRPr="003E4677">
        <w:rPr>
          <w:rFonts w:asciiTheme="majorBidi" w:hAnsiTheme="majorBidi" w:cstheme="majorBidi"/>
          <w:color w:val="000000"/>
          <w:sz w:val="22"/>
          <w:szCs w:val="22"/>
        </w:rPr>
        <w:tab/>
      </w:r>
      <w:r w:rsidRPr="003E4677">
        <w:rPr>
          <w:rFonts w:asciiTheme="majorBidi" w:hAnsiTheme="majorBidi" w:cstheme="majorBidi"/>
          <w:color w:val="000000"/>
          <w:sz w:val="22"/>
          <w:szCs w:val="22"/>
        </w:rPr>
        <w:tab/>
      </w:r>
      <w:r w:rsidRPr="003E4677">
        <w:rPr>
          <w:rFonts w:asciiTheme="majorBidi" w:hAnsiTheme="majorBidi" w:cstheme="majorBidi"/>
          <w:color w:val="000000"/>
          <w:sz w:val="22"/>
          <w:szCs w:val="22"/>
        </w:rPr>
        <w:tab/>
      </w:r>
      <w:r w:rsidRPr="003E4677">
        <w:rPr>
          <w:rFonts w:asciiTheme="majorBidi" w:hAnsiTheme="majorBidi" w:cstheme="majorBidi"/>
          <w:color w:val="000000"/>
          <w:sz w:val="22"/>
          <w:szCs w:val="22"/>
        </w:rPr>
        <w:tab/>
      </w:r>
      <w:r w:rsidRPr="003E4677">
        <w:rPr>
          <w:rFonts w:asciiTheme="majorBidi" w:hAnsiTheme="majorBidi" w:cstheme="majorBidi"/>
          <w:color w:val="000000"/>
          <w:sz w:val="22"/>
          <w:szCs w:val="22"/>
        </w:rPr>
        <w:tab/>
      </w:r>
      <w:r w:rsidRPr="003E4677">
        <w:rPr>
          <w:rFonts w:asciiTheme="majorBidi" w:hAnsiTheme="majorBidi" w:cstheme="majorBidi"/>
          <w:color w:val="000000"/>
          <w:sz w:val="22"/>
          <w:szCs w:val="22"/>
        </w:rPr>
        <w:tab/>
      </w:r>
      <w:bookmarkEnd w:id="0"/>
    </w:p>
    <w:p w:rsidR="00C959AA" w:rsidRPr="003E4677" w:rsidP="00C959AA" w14:paraId="3F267B89" w14:textId="4325E501">
      <w:pPr>
        <w:tabs>
          <w:tab w:val="left" w:pos="0"/>
        </w:tabs>
        <w:suppressAutoHyphens/>
        <w:outlineLvl w:val="0"/>
        <w:rPr>
          <w:rFonts w:asciiTheme="majorBidi" w:hAnsiTheme="majorBidi" w:cstheme="majorBidi"/>
          <w:b/>
          <w:color w:val="000000"/>
          <w:sz w:val="22"/>
          <w:szCs w:val="22"/>
        </w:rPr>
      </w:pPr>
      <w:r w:rsidRPr="003E4677">
        <w:rPr>
          <w:rFonts w:asciiTheme="majorBidi" w:hAnsiTheme="majorBidi" w:cstheme="majorBidi"/>
          <w:color w:val="000000"/>
          <w:sz w:val="22"/>
          <w:szCs w:val="22"/>
        </w:rPr>
        <w:t xml:space="preserve">Dear </w:t>
      </w:r>
      <w:r w:rsidR="006D24E9">
        <w:rPr>
          <w:rFonts w:asciiTheme="majorBidi" w:hAnsiTheme="majorBidi" w:cstheme="majorBidi"/>
          <w:color w:val="000000"/>
          <w:sz w:val="22"/>
          <w:szCs w:val="22"/>
        </w:rPr>
        <w:t>Licensee</w:t>
      </w:r>
      <w:r w:rsidR="00312DDC">
        <w:rPr>
          <w:rFonts w:asciiTheme="majorBidi" w:hAnsiTheme="majorBidi" w:cstheme="majorBidi"/>
          <w:color w:val="000000"/>
          <w:sz w:val="22"/>
          <w:szCs w:val="22"/>
        </w:rPr>
        <w:t xml:space="preserve">, </w:t>
      </w:r>
      <w:r w:rsidR="006D24E9">
        <w:rPr>
          <w:rFonts w:asciiTheme="majorBidi" w:hAnsiTheme="majorBidi" w:cstheme="majorBidi"/>
          <w:color w:val="000000"/>
          <w:sz w:val="22"/>
          <w:szCs w:val="22"/>
        </w:rPr>
        <w:t>Counsel</w:t>
      </w:r>
      <w:r w:rsidR="00312DDC">
        <w:rPr>
          <w:rFonts w:asciiTheme="majorBidi" w:hAnsiTheme="majorBidi" w:cstheme="majorBidi"/>
          <w:color w:val="000000"/>
          <w:sz w:val="22"/>
          <w:szCs w:val="22"/>
        </w:rPr>
        <w:t>, and Objector</w:t>
      </w:r>
      <w:r w:rsidRPr="003E4677" w:rsidR="0090697C">
        <w:rPr>
          <w:rFonts w:asciiTheme="majorBidi" w:hAnsiTheme="majorBidi" w:cstheme="majorBidi"/>
          <w:color w:val="000000"/>
          <w:sz w:val="22"/>
          <w:szCs w:val="22"/>
        </w:rPr>
        <w:t>:</w:t>
      </w:r>
      <w:r w:rsidRPr="003E4677" w:rsidR="000B1143">
        <w:rPr>
          <w:rFonts w:asciiTheme="majorBidi" w:hAnsiTheme="majorBidi" w:cstheme="majorBidi"/>
          <w:color w:val="000000"/>
          <w:sz w:val="22"/>
          <w:szCs w:val="22"/>
        </w:rPr>
        <w:t xml:space="preserve"> </w:t>
      </w:r>
      <w:r w:rsidRPr="003E4677" w:rsidR="0093398A">
        <w:rPr>
          <w:rFonts w:asciiTheme="majorBidi" w:hAnsiTheme="majorBidi" w:cstheme="majorBidi"/>
          <w:color w:val="000000"/>
          <w:sz w:val="22"/>
          <w:szCs w:val="22"/>
        </w:rPr>
        <w:t xml:space="preserve"> </w:t>
      </w:r>
    </w:p>
    <w:p w:rsidR="00C959AA" w:rsidRPr="003E4677" w:rsidP="00C959AA" w14:paraId="425E0F1C" w14:textId="77777777">
      <w:pPr>
        <w:ind w:firstLine="720"/>
        <w:rPr>
          <w:rFonts w:asciiTheme="majorBidi" w:hAnsiTheme="majorBidi" w:cstheme="majorBidi"/>
          <w:sz w:val="22"/>
          <w:szCs w:val="22"/>
        </w:rPr>
      </w:pPr>
    </w:p>
    <w:p w:rsidR="00A163C4" w:rsidP="00A163C4" w14:paraId="4B19F1D1" w14:textId="4D3743B8">
      <w:pPr>
        <w:pStyle w:val="ParaNum"/>
        <w:numPr>
          <w:ilvl w:val="0"/>
          <w:numId w:val="0"/>
        </w:numPr>
        <w:ind w:firstLine="720"/>
        <w:rPr>
          <w:szCs w:val="22"/>
        </w:rPr>
      </w:pPr>
      <w:r w:rsidRPr="003E4677">
        <w:rPr>
          <w:rFonts w:asciiTheme="majorBidi" w:hAnsiTheme="majorBidi" w:cstheme="majorBidi"/>
          <w:szCs w:val="22"/>
        </w:rPr>
        <w:t xml:space="preserve">The Media Bureau (Bureau) </w:t>
      </w:r>
      <w:r w:rsidR="00A7518E">
        <w:rPr>
          <w:rFonts w:asciiTheme="majorBidi" w:hAnsiTheme="majorBidi" w:cstheme="majorBidi"/>
          <w:szCs w:val="22"/>
        </w:rPr>
        <w:t>h</w:t>
      </w:r>
      <w:r w:rsidR="00E32034">
        <w:rPr>
          <w:rFonts w:asciiTheme="majorBidi" w:hAnsiTheme="majorBidi" w:cstheme="majorBidi"/>
          <w:szCs w:val="22"/>
        </w:rPr>
        <w:t xml:space="preserve">as before </w:t>
      </w:r>
      <w:r w:rsidR="00312DDC">
        <w:rPr>
          <w:rFonts w:asciiTheme="majorBidi" w:hAnsiTheme="majorBidi" w:cstheme="majorBidi"/>
          <w:szCs w:val="22"/>
        </w:rPr>
        <w:t xml:space="preserve">it </w:t>
      </w:r>
      <w:r w:rsidR="00251800">
        <w:rPr>
          <w:rFonts w:asciiTheme="majorBidi" w:hAnsiTheme="majorBidi" w:cstheme="majorBidi"/>
          <w:szCs w:val="22"/>
        </w:rPr>
        <w:t>the referenced application (Application)</w:t>
      </w:r>
      <w:r>
        <w:rPr>
          <w:rFonts w:asciiTheme="majorBidi" w:hAnsiTheme="majorBidi" w:cstheme="majorBidi"/>
          <w:szCs w:val="22"/>
        </w:rPr>
        <w:t xml:space="preserve"> </w:t>
      </w:r>
      <w:r w:rsidR="00251800">
        <w:rPr>
          <w:rFonts w:asciiTheme="majorBidi" w:hAnsiTheme="majorBidi" w:cstheme="majorBidi"/>
          <w:szCs w:val="22"/>
        </w:rPr>
        <w:t xml:space="preserve">of </w:t>
      </w:r>
      <w:r w:rsidRPr="005E36C4" w:rsidR="00251800">
        <w:rPr>
          <w:szCs w:val="22"/>
        </w:rPr>
        <w:t>Calvary Educational Broadcasting Network, Inc. (CEB)</w:t>
      </w:r>
      <w:r w:rsidR="00251800">
        <w:rPr>
          <w:szCs w:val="22"/>
        </w:rPr>
        <w:t xml:space="preserve"> to renew the </w:t>
      </w:r>
      <w:r w:rsidRPr="005E36C4" w:rsidR="00251800">
        <w:rPr>
          <w:szCs w:val="22"/>
        </w:rPr>
        <w:t>license of noncommercial educational (NCE) radio station KOKS(FM), Poplar Bluff, Missouri (Station)</w:t>
      </w:r>
      <w:r w:rsidR="00251800">
        <w:rPr>
          <w:szCs w:val="22"/>
        </w:rPr>
        <w:t xml:space="preserve"> and an objection </w:t>
      </w:r>
      <w:r>
        <w:rPr>
          <w:szCs w:val="22"/>
        </w:rPr>
        <w:t xml:space="preserve">(Objection) </w:t>
      </w:r>
      <w:r w:rsidR="00251800">
        <w:rPr>
          <w:szCs w:val="22"/>
        </w:rPr>
        <w:t>thereto from Doris Smith (Smith)</w:t>
      </w:r>
      <w:r w:rsidR="00312DDC">
        <w:rPr>
          <w:szCs w:val="22"/>
        </w:rPr>
        <w:t>, a resident of that community</w:t>
      </w:r>
      <w:r w:rsidR="00251800">
        <w:rPr>
          <w:szCs w:val="22"/>
        </w:rPr>
        <w:t xml:space="preserve">.  </w:t>
      </w:r>
      <w:r w:rsidR="00FC2F39">
        <w:rPr>
          <w:szCs w:val="22"/>
        </w:rPr>
        <w:t>F</w:t>
      </w:r>
      <w:r w:rsidR="005B14B8">
        <w:rPr>
          <w:szCs w:val="22"/>
        </w:rPr>
        <w:t>or the reasons set forth below, we deny the Objection and, i</w:t>
      </w:r>
      <w:r w:rsidR="00312DDC">
        <w:rPr>
          <w:szCs w:val="22"/>
        </w:rPr>
        <w:t xml:space="preserve">n accordance with </w:t>
      </w:r>
      <w:r>
        <w:rPr>
          <w:szCs w:val="22"/>
        </w:rPr>
        <w:t>a 20</w:t>
      </w:r>
      <w:r w:rsidR="00312DDC">
        <w:rPr>
          <w:szCs w:val="22"/>
        </w:rPr>
        <w:t>2</w:t>
      </w:r>
      <w:r>
        <w:rPr>
          <w:szCs w:val="22"/>
        </w:rPr>
        <w:t>0 Consent Decree between CEB and the Bureau</w:t>
      </w:r>
      <w:r w:rsidR="00312DDC">
        <w:rPr>
          <w:szCs w:val="22"/>
        </w:rPr>
        <w:t>,</w:t>
      </w:r>
      <w:r>
        <w:rPr>
          <w:rStyle w:val="FootnoteReference"/>
          <w:szCs w:val="22"/>
        </w:rPr>
        <w:footnoteReference w:id="3"/>
      </w:r>
      <w:r w:rsidR="00312DDC">
        <w:rPr>
          <w:szCs w:val="22"/>
        </w:rPr>
        <w:t xml:space="preserve"> </w:t>
      </w:r>
      <w:r>
        <w:rPr>
          <w:szCs w:val="22"/>
        </w:rPr>
        <w:t xml:space="preserve">grant the Application conditioned upon </w:t>
      </w:r>
      <w:r w:rsidR="00312DDC">
        <w:rPr>
          <w:szCs w:val="22"/>
        </w:rPr>
        <w:t xml:space="preserve">CEB’s </w:t>
      </w:r>
      <w:r>
        <w:rPr>
          <w:szCs w:val="22"/>
        </w:rPr>
        <w:t xml:space="preserve">continued compliance with the Consent Decree.  </w:t>
      </w:r>
    </w:p>
    <w:p w:rsidR="0094566A" w:rsidP="0094566A" w14:paraId="214C190C" w14:textId="39621EFD">
      <w:pPr>
        <w:pStyle w:val="ParaNum"/>
        <w:numPr>
          <w:ilvl w:val="0"/>
          <w:numId w:val="0"/>
        </w:numPr>
        <w:ind w:firstLine="720"/>
        <w:rPr>
          <w:szCs w:val="22"/>
        </w:rPr>
      </w:pPr>
      <w:r>
        <w:rPr>
          <w:b/>
          <w:bCs/>
          <w:szCs w:val="22"/>
        </w:rPr>
        <w:t>Background.</w:t>
      </w:r>
      <w:r>
        <w:rPr>
          <w:szCs w:val="22"/>
        </w:rPr>
        <w:t xml:space="preserve"> </w:t>
      </w:r>
      <w:r w:rsidRPr="005E36C4" w:rsidR="00251800">
        <w:rPr>
          <w:szCs w:val="22"/>
        </w:rPr>
        <w:t xml:space="preserve"> </w:t>
      </w:r>
      <w:r w:rsidR="001410C1">
        <w:rPr>
          <w:szCs w:val="22"/>
        </w:rPr>
        <w:t>Th</w:t>
      </w:r>
      <w:r w:rsidR="00DF0BB0">
        <w:rPr>
          <w:szCs w:val="22"/>
        </w:rPr>
        <w:t>e Station</w:t>
      </w:r>
      <w:r w:rsidR="00566CAE">
        <w:rPr>
          <w:szCs w:val="22"/>
        </w:rPr>
        <w:t xml:space="preserve"> has a long history of</w:t>
      </w:r>
      <w:r w:rsidR="00C901D9">
        <w:rPr>
          <w:szCs w:val="22"/>
        </w:rPr>
        <w:t xml:space="preserve"> </w:t>
      </w:r>
      <w:r w:rsidR="00954128">
        <w:rPr>
          <w:szCs w:val="22"/>
        </w:rPr>
        <w:t>rule violations</w:t>
      </w:r>
      <w:r w:rsidR="00B46209">
        <w:rPr>
          <w:szCs w:val="22"/>
        </w:rPr>
        <w:t xml:space="preserve"> that</w:t>
      </w:r>
      <w:r w:rsidR="00627415">
        <w:rPr>
          <w:szCs w:val="22"/>
        </w:rPr>
        <w:t xml:space="preserve"> began </w:t>
      </w:r>
      <w:r w:rsidR="00566CAE">
        <w:rPr>
          <w:szCs w:val="22"/>
        </w:rPr>
        <w:t xml:space="preserve">with initial licensure </w:t>
      </w:r>
      <w:r w:rsidR="00004CC9">
        <w:rPr>
          <w:szCs w:val="22"/>
        </w:rPr>
        <w:t>in 1</w:t>
      </w:r>
      <w:r w:rsidR="000F2B10">
        <w:rPr>
          <w:szCs w:val="22"/>
        </w:rPr>
        <w:t>989</w:t>
      </w:r>
      <w:r w:rsidR="00004CC9">
        <w:rPr>
          <w:szCs w:val="22"/>
        </w:rPr>
        <w:t xml:space="preserve"> and </w:t>
      </w:r>
      <w:r w:rsidR="00627415">
        <w:rPr>
          <w:szCs w:val="22"/>
        </w:rPr>
        <w:t>continued</w:t>
      </w:r>
      <w:r w:rsidR="004F5FAF">
        <w:rPr>
          <w:szCs w:val="22"/>
        </w:rPr>
        <w:t xml:space="preserve"> </w:t>
      </w:r>
      <w:r w:rsidR="0009380A">
        <w:rPr>
          <w:szCs w:val="22"/>
        </w:rPr>
        <w:t xml:space="preserve">to varying degrees </w:t>
      </w:r>
      <w:r w:rsidR="00627415">
        <w:rPr>
          <w:szCs w:val="22"/>
        </w:rPr>
        <w:t xml:space="preserve">for </w:t>
      </w:r>
      <w:r w:rsidR="0009380A">
        <w:rPr>
          <w:szCs w:val="22"/>
        </w:rPr>
        <w:t xml:space="preserve">almost 30 </w:t>
      </w:r>
      <w:r w:rsidR="004F5FAF">
        <w:rPr>
          <w:szCs w:val="22"/>
        </w:rPr>
        <w:t xml:space="preserve">years </w:t>
      </w:r>
      <w:r w:rsidR="001410C1">
        <w:rPr>
          <w:szCs w:val="22"/>
        </w:rPr>
        <w:t>wh</w:t>
      </w:r>
      <w:r w:rsidR="0053043D">
        <w:rPr>
          <w:szCs w:val="22"/>
        </w:rPr>
        <w:t>ile</w:t>
      </w:r>
      <w:r w:rsidR="001410C1">
        <w:rPr>
          <w:szCs w:val="22"/>
        </w:rPr>
        <w:t xml:space="preserve"> CEB was </w:t>
      </w:r>
      <w:r w:rsidR="00E40DDB">
        <w:rPr>
          <w:szCs w:val="22"/>
        </w:rPr>
        <w:t>manag</w:t>
      </w:r>
      <w:r w:rsidR="001410C1">
        <w:rPr>
          <w:szCs w:val="22"/>
        </w:rPr>
        <w:t xml:space="preserve">ed by </w:t>
      </w:r>
      <w:r w:rsidR="00C901D9">
        <w:rPr>
          <w:szCs w:val="22"/>
        </w:rPr>
        <w:t xml:space="preserve">members of </w:t>
      </w:r>
      <w:r w:rsidR="002B677C">
        <w:rPr>
          <w:szCs w:val="22"/>
        </w:rPr>
        <w:t xml:space="preserve">the Stewart family, </w:t>
      </w:r>
      <w:r w:rsidR="00C901D9">
        <w:rPr>
          <w:szCs w:val="22"/>
        </w:rPr>
        <w:t xml:space="preserve">who are </w:t>
      </w:r>
      <w:r w:rsidR="001410C1">
        <w:rPr>
          <w:szCs w:val="22"/>
        </w:rPr>
        <w:t>now deceased.</w:t>
      </w:r>
      <w:r>
        <w:rPr>
          <w:rStyle w:val="FootnoteReference"/>
          <w:szCs w:val="22"/>
        </w:rPr>
        <w:footnoteReference w:id="4"/>
      </w:r>
      <w:r w:rsidR="001410C1">
        <w:rPr>
          <w:szCs w:val="22"/>
        </w:rPr>
        <w:t xml:space="preserve">  </w:t>
      </w:r>
      <w:r w:rsidR="0053043D">
        <w:rPr>
          <w:szCs w:val="22"/>
        </w:rPr>
        <w:t>The m</w:t>
      </w:r>
      <w:r w:rsidR="00004CC9">
        <w:rPr>
          <w:szCs w:val="22"/>
        </w:rPr>
        <w:t xml:space="preserve">ost prominent </w:t>
      </w:r>
      <w:r w:rsidR="0053043D">
        <w:rPr>
          <w:szCs w:val="22"/>
        </w:rPr>
        <w:t xml:space="preserve">violation </w:t>
      </w:r>
      <w:r w:rsidR="00004CC9">
        <w:rPr>
          <w:szCs w:val="22"/>
        </w:rPr>
        <w:t xml:space="preserve">was </w:t>
      </w:r>
      <w:r w:rsidR="00566CAE">
        <w:rPr>
          <w:szCs w:val="22"/>
        </w:rPr>
        <w:t xml:space="preserve">CEB’s </w:t>
      </w:r>
      <w:r w:rsidR="00627415">
        <w:rPr>
          <w:szCs w:val="22"/>
        </w:rPr>
        <w:t xml:space="preserve">failure to correct </w:t>
      </w:r>
      <w:r w:rsidR="002E3CBF">
        <w:rPr>
          <w:szCs w:val="22"/>
        </w:rPr>
        <w:t xml:space="preserve">extensive </w:t>
      </w:r>
      <w:r w:rsidR="00160A43">
        <w:rPr>
          <w:szCs w:val="22"/>
        </w:rPr>
        <w:t xml:space="preserve">FM </w:t>
      </w:r>
      <w:r w:rsidR="000D58AD">
        <w:rPr>
          <w:szCs w:val="22"/>
        </w:rPr>
        <w:t>blanketing interference</w:t>
      </w:r>
      <w:r w:rsidR="00004CC9">
        <w:rPr>
          <w:szCs w:val="22"/>
        </w:rPr>
        <w:t xml:space="preserve"> </w:t>
      </w:r>
      <w:r w:rsidR="00566CAE">
        <w:rPr>
          <w:szCs w:val="22"/>
        </w:rPr>
        <w:t xml:space="preserve">caused </w:t>
      </w:r>
      <w:r w:rsidR="00004CC9">
        <w:rPr>
          <w:szCs w:val="22"/>
        </w:rPr>
        <w:t xml:space="preserve">to </w:t>
      </w:r>
      <w:r w:rsidR="00BF6636">
        <w:rPr>
          <w:szCs w:val="22"/>
        </w:rPr>
        <w:t xml:space="preserve">surrounding </w:t>
      </w:r>
      <w:r w:rsidR="00566CAE">
        <w:rPr>
          <w:szCs w:val="22"/>
        </w:rPr>
        <w:t>homes</w:t>
      </w:r>
      <w:r w:rsidRPr="00160A43" w:rsidR="00160A43">
        <w:rPr>
          <w:szCs w:val="22"/>
        </w:rPr>
        <w:t xml:space="preserve">, </w:t>
      </w:r>
      <w:r w:rsidR="0009380A">
        <w:rPr>
          <w:i/>
          <w:iCs/>
          <w:szCs w:val="22"/>
        </w:rPr>
        <w:t xml:space="preserve">i.e., </w:t>
      </w:r>
      <w:r w:rsidRPr="00160A43" w:rsidR="00160A43">
        <w:rPr>
          <w:szCs w:val="22"/>
        </w:rPr>
        <w:t>a phenomenon whereby the strong signal</w:t>
      </w:r>
      <w:r w:rsidR="00160A43">
        <w:rPr>
          <w:szCs w:val="22"/>
        </w:rPr>
        <w:t xml:space="preserve"> </w:t>
      </w:r>
      <w:r w:rsidRPr="00160A43" w:rsidR="00160A43">
        <w:rPr>
          <w:szCs w:val="22"/>
        </w:rPr>
        <w:t>from a nearby broadcast tower can completely overwhelm receivers in the FM and TV bands</w:t>
      </w:r>
      <w:r w:rsidR="00160A43">
        <w:rPr>
          <w:szCs w:val="22"/>
        </w:rPr>
        <w:t>.</w:t>
      </w:r>
      <w:r>
        <w:rPr>
          <w:rStyle w:val="FootnoteReference"/>
          <w:szCs w:val="22"/>
        </w:rPr>
        <w:footnoteReference w:id="5"/>
      </w:r>
      <w:r w:rsidR="00160A43">
        <w:rPr>
          <w:szCs w:val="22"/>
        </w:rPr>
        <w:t xml:space="preserve">  T</w:t>
      </w:r>
      <w:r w:rsidRPr="00160A43" w:rsidR="000D58AD">
        <w:rPr>
          <w:szCs w:val="22"/>
        </w:rPr>
        <w:t xml:space="preserve">he </w:t>
      </w:r>
      <w:r w:rsidR="00803AE4">
        <w:rPr>
          <w:szCs w:val="22"/>
        </w:rPr>
        <w:t>Commission’s rules (Rules) require</w:t>
      </w:r>
      <w:r w:rsidR="008A099F">
        <w:rPr>
          <w:szCs w:val="22"/>
        </w:rPr>
        <w:t xml:space="preserve"> licensees to</w:t>
      </w:r>
      <w:r w:rsidR="00803AE4">
        <w:rPr>
          <w:szCs w:val="22"/>
        </w:rPr>
        <w:t xml:space="preserve"> remedy</w:t>
      </w:r>
      <w:r w:rsidR="008A099F">
        <w:rPr>
          <w:szCs w:val="22"/>
        </w:rPr>
        <w:t xml:space="preserve"> </w:t>
      </w:r>
      <w:r w:rsidR="00F9234F">
        <w:rPr>
          <w:szCs w:val="22"/>
        </w:rPr>
        <w:t>such</w:t>
      </w:r>
      <w:r w:rsidR="00803AE4">
        <w:rPr>
          <w:szCs w:val="22"/>
        </w:rPr>
        <w:t xml:space="preserve"> interference</w:t>
      </w:r>
      <w:r>
        <w:rPr>
          <w:rStyle w:val="FootnoteReference"/>
          <w:szCs w:val="22"/>
        </w:rPr>
        <w:footnoteReference w:id="6"/>
      </w:r>
      <w:r w:rsidR="00803AE4">
        <w:rPr>
          <w:szCs w:val="22"/>
        </w:rPr>
        <w:t xml:space="preserve"> but the </w:t>
      </w:r>
      <w:r w:rsidRPr="00160A43" w:rsidR="00C64254">
        <w:rPr>
          <w:szCs w:val="22"/>
        </w:rPr>
        <w:t>Stewar</w:t>
      </w:r>
      <w:r w:rsidRPr="00160A43" w:rsidR="002B677C">
        <w:rPr>
          <w:szCs w:val="22"/>
        </w:rPr>
        <w:t>ts</w:t>
      </w:r>
      <w:r w:rsidRPr="00160A43" w:rsidR="00C64254">
        <w:rPr>
          <w:szCs w:val="22"/>
        </w:rPr>
        <w:t xml:space="preserve"> </w:t>
      </w:r>
      <w:r w:rsidRPr="00160A43" w:rsidR="000D58AD">
        <w:rPr>
          <w:szCs w:val="22"/>
        </w:rPr>
        <w:t>lack</w:t>
      </w:r>
      <w:r w:rsidRPr="00160A43" w:rsidR="006038AE">
        <w:rPr>
          <w:szCs w:val="22"/>
        </w:rPr>
        <w:t>ed</w:t>
      </w:r>
      <w:r w:rsidRPr="00160A43" w:rsidR="000D58AD">
        <w:rPr>
          <w:szCs w:val="22"/>
        </w:rPr>
        <w:t xml:space="preserve"> </w:t>
      </w:r>
      <w:r w:rsidRPr="00160A43" w:rsidR="006038AE">
        <w:rPr>
          <w:szCs w:val="22"/>
        </w:rPr>
        <w:t xml:space="preserve">the </w:t>
      </w:r>
      <w:r w:rsidRPr="00160A43" w:rsidR="000D58AD">
        <w:rPr>
          <w:szCs w:val="22"/>
        </w:rPr>
        <w:t xml:space="preserve">technical expertise and financial </w:t>
      </w:r>
      <w:r w:rsidRPr="00160A43" w:rsidR="006038AE">
        <w:rPr>
          <w:szCs w:val="22"/>
        </w:rPr>
        <w:t xml:space="preserve">resources to </w:t>
      </w:r>
      <w:r w:rsidR="00803AE4">
        <w:rPr>
          <w:szCs w:val="22"/>
        </w:rPr>
        <w:t>do so</w:t>
      </w:r>
      <w:r w:rsidRPr="00160A43" w:rsidR="006038AE">
        <w:rPr>
          <w:szCs w:val="22"/>
        </w:rPr>
        <w:t xml:space="preserve">.  </w:t>
      </w:r>
      <w:r w:rsidRPr="00160A43" w:rsidR="002E3CBF">
        <w:rPr>
          <w:szCs w:val="22"/>
        </w:rPr>
        <w:t>As a result</w:t>
      </w:r>
      <w:r w:rsidRPr="00160A43" w:rsidR="00AA69AF">
        <w:rPr>
          <w:szCs w:val="22"/>
        </w:rPr>
        <w:t>,</w:t>
      </w:r>
      <w:r w:rsidRPr="00160A43" w:rsidR="002E3CBF">
        <w:rPr>
          <w:szCs w:val="22"/>
        </w:rPr>
        <w:t xml:space="preserve"> some </w:t>
      </w:r>
      <w:r w:rsidR="00566CAE">
        <w:rPr>
          <w:szCs w:val="22"/>
        </w:rPr>
        <w:t>local residents</w:t>
      </w:r>
      <w:r w:rsidRPr="00160A43" w:rsidR="00C64254">
        <w:rPr>
          <w:szCs w:val="22"/>
        </w:rPr>
        <w:t>, including Smith,</w:t>
      </w:r>
      <w:r w:rsidRPr="00160A43" w:rsidR="002E3CBF">
        <w:rPr>
          <w:szCs w:val="22"/>
        </w:rPr>
        <w:t xml:space="preserve"> </w:t>
      </w:r>
      <w:r w:rsidRPr="00160A43" w:rsidR="00627FA8">
        <w:rPr>
          <w:szCs w:val="22"/>
        </w:rPr>
        <w:t xml:space="preserve">were unable to </w:t>
      </w:r>
      <w:r w:rsidRPr="00160A43" w:rsidR="00AA69AF">
        <w:rPr>
          <w:szCs w:val="22"/>
        </w:rPr>
        <w:t xml:space="preserve">receive </w:t>
      </w:r>
      <w:r w:rsidRPr="00160A43" w:rsidR="00627FA8">
        <w:rPr>
          <w:szCs w:val="22"/>
        </w:rPr>
        <w:t>interference-</w:t>
      </w:r>
      <w:r w:rsidRPr="00160A43" w:rsidR="003B3E87">
        <w:rPr>
          <w:szCs w:val="22"/>
        </w:rPr>
        <w:t xml:space="preserve">free </w:t>
      </w:r>
      <w:r w:rsidRPr="00160A43" w:rsidR="002E3CBF">
        <w:rPr>
          <w:szCs w:val="22"/>
        </w:rPr>
        <w:t>bro</w:t>
      </w:r>
      <w:r w:rsidR="00803AE4">
        <w:rPr>
          <w:szCs w:val="22"/>
        </w:rPr>
        <w:t>ad</w:t>
      </w:r>
      <w:r w:rsidRPr="00160A43" w:rsidR="002E3CBF">
        <w:rPr>
          <w:szCs w:val="22"/>
        </w:rPr>
        <w:t xml:space="preserve">cast signals </w:t>
      </w:r>
      <w:r w:rsidRPr="00160A43" w:rsidR="00AA69AF">
        <w:rPr>
          <w:szCs w:val="22"/>
        </w:rPr>
        <w:t>and p</w:t>
      </w:r>
      <w:r w:rsidRPr="00160A43" w:rsidR="00031465">
        <w:rPr>
          <w:szCs w:val="22"/>
        </w:rPr>
        <w:t>urchase</w:t>
      </w:r>
      <w:r w:rsidR="00090D02">
        <w:rPr>
          <w:szCs w:val="22"/>
        </w:rPr>
        <w:t>d</w:t>
      </w:r>
      <w:r w:rsidRPr="00160A43" w:rsidR="00031465">
        <w:rPr>
          <w:szCs w:val="22"/>
        </w:rPr>
        <w:t xml:space="preserve"> </w:t>
      </w:r>
      <w:r w:rsidRPr="00160A43" w:rsidR="002E3CBF">
        <w:rPr>
          <w:szCs w:val="22"/>
        </w:rPr>
        <w:t xml:space="preserve">cable or satellite </w:t>
      </w:r>
      <w:r w:rsidRPr="00160A43" w:rsidR="00AA69AF">
        <w:rPr>
          <w:szCs w:val="22"/>
        </w:rPr>
        <w:t>service</w:t>
      </w:r>
      <w:r w:rsidR="00566CAE">
        <w:rPr>
          <w:szCs w:val="22"/>
        </w:rPr>
        <w:t xml:space="preserve"> instead</w:t>
      </w:r>
      <w:r w:rsidRPr="00160A43" w:rsidR="002E3CBF">
        <w:rPr>
          <w:szCs w:val="22"/>
        </w:rPr>
        <w:t xml:space="preserve">.  </w:t>
      </w:r>
      <w:r w:rsidR="00E92B66">
        <w:rPr>
          <w:szCs w:val="22"/>
        </w:rPr>
        <w:t>Potential reimbursement of those costs is the primary focus of the Objection.</w:t>
      </w:r>
    </w:p>
    <w:p w:rsidR="00014812" w:rsidP="0094566A" w14:paraId="4242FD6D" w14:textId="11EE0DB0">
      <w:pPr>
        <w:pStyle w:val="ParaNum"/>
        <w:numPr>
          <w:ilvl w:val="0"/>
          <w:numId w:val="0"/>
        </w:numPr>
        <w:ind w:firstLine="720"/>
        <w:rPr>
          <w:szCs w:val="22"/>
        </w:rPr>
      </w:pPr>
      <w:r w:rsidRPr="00160A43">
        <w:rPr>
          <w:szCs w:val="22"/>
        </w:rPr>
        <w:t>In 199</w:t>
      </w:r>
      <w:r w:rsidR="008C716C">
        <w:rPr>
          <w:szCs w:val="22"/>
        </w:rPr>
        <w:t>4</w:t>
      </w:r>
      <w:r w:rsidRPr="00160A43">
        <w:rPr>
          <w:szCs w:val="22"/>
        </w:rPr>
        <w:t>, f</w:t>
      </w:r>
      <w:r w:rsidRPr="00160A43" w:rsidR="006038AE">
        <w:rPr>
          <w:szCs w:val="22"/>
        </w:rPr>
        <w:t>ollowing a</w:t>
      </w:r>
      <w:r w:rsidRPr="00160A43" w:rsidR="002E3CBF">
        <w:rPr>
          <w:szCs w:val="22"/>
        </w:rPr>
        <w:t xml:space="preserve"> </w:t>
      </w:r>
      <w:r w:rsidRPr="00160A43" w:rsidR="006038AE">
        <w:rPr>
          <w:szCs w:val="22"/>
        </w:rPr>
        <w:t>hearing</w:t>
      </w:r>
      <w:r w:rsidR="008C716C">
        <w:rPr>
          <w:szCs w:val="22"/>
        </w:rPr>
        <w:t xml:space="preserve"> before</w:t>
      </w:r>
      <w:r w:rsidRPr="00160A43" w:rsidR="006038AE">
        <w:rPr>
          <w:szCs w:val="22"/>
        </w:rPr>
        <w:t xml:space="preserve"> </w:t>
      </w:r>
      <w:r w:rsidRPr="00160A43" w:rsidR="00954128">
        <w:rPr>
          <w:szCs w:val="22"/>
        </w:rPr>
        <w:t>a</w:t>
      </w:r>
      <w:r w:rsidRPr="00160A43" w:rsidR="00597635">
        <w:rPr>
          <w:szCs w:val="22"/>
        </w:rPr>
        <w:t>n administrative law judge</w:t>
      </w:r>
      <w:r w:rsidR="008C716C">
        <w:rPr>
          <w:szCs w:val="22"/>
        </w:rPr>
        <w:t>,</w:t>
      </w:r>
      <w:r w:rsidRPr="00160A43" w:rsidR="00597635">
        <w:rPr>
          <w:szCs w:val="22"/>
        </w:rPr>
        <w:t xml:space="preserve"> </w:t>
      </w:r>
      <w:r w:rsidR="008C716C">
        <w:rPr>
          <w:szCs w:val="22"/>
        </w:rPr>
        <w:t xml:space="preserve">the Commission’s </w:t>
      </w:r>
      <w:r w:rsidR="00147690">
        <w:rPr>
          <w:szCs w:val="22"/>
        </w:rPr>
        <w:t xml:space="preserve">then-existing </w:t>
      </w:r>
      <w:r w:rsidR="008C716C">
        <w:rPr>
          <w:szCs w:val="22"/>
        </w:rPr>
        <w:t xml:space="preserve">Review Board </w:t>
      </w:r>
      <w:r w:rsidRPr="00160A43" w:rsidR="006038AE">
        <w:rPr>
          <w:szCs w:val="22"/>
        </w:rPr>
        <w:t xml:space="preserve">renewed the </w:t>
      </w:r>
      <w:r w:rsidRPr="00160A43" w:rsidR="00954128">
        <w:rPr>
          <w:szCs w:val="22"/>
        </w:rPr>
        <w:t xml:space="preserve">Station’s </w:t>
      </w:r>
      <w:r w:rsidRPr="00160A43" w:rsidR="00AA69AF">
        <w:rPr>
          <w:szCs w:val="22"/>
        </w:rPr>
        <w:t>l</w:t>
      </w:r>
      <w:r w:rsidRPr="00160A43" w:rsidR="00E72890">
        <w:rPr>
          <w:szCs w:val="22"/>
        </w:rPr>
        <w:t xml:space="preserve">icense for a </w:t>
      </w:r>
      <w:r w:rsidR="0053043D">
        <w:rPr>
          <w:szCs w:val="22"/>
        </w:rPr>
        <w:t xml:space="preserve">one-year </w:t>
      </w:r>
      <w:r w:rsidRPr="00160A43" w:rsidR="00E72890">
        <w:rPr>
          <w:szCs w:val="22"/>
        </w:rPr>
        <w:t xml:space="preserve">term </w:t>
      </w:r>
      <w:r w:rsidRPr="00160A43" w:rsidR="00597635">
        <w:rPr>
          <w:szCs w:val="22"/>
        </w:rPr>
        <w:t>with the expectation that the Station would come into compliance</w:t>
      </w:r>
      <w:r w:rsidRPr="00160A43" w:rsidR="002E3CBF">
        <w:rPr>
          <w:szCs w:val="22"/>
        </w:rPr>
        <w:t xml:space="preserve"> </w:t>
      </w:r>
      <w:r w:rsidR="00A01AF8">
        <w:rPr>
          <w:szCs w:val="22"/>
        </w:rPr>
        <w:t xml:space="preserve">through an engineering solution </w:t>
      </w:r>
      <w:r w:rsidR="009C0332">
        <w:rPr>
          <w:szCs w:val="22"/>
        </w:rPr>
        <w:t>within that time</w:t>
      </w:r>
      <w:r w:rsidR="008B137B">
        <w:rPr>
          <w:szCs w:val="22"/>
        </w:rPr>
        <w:t>.</w:t>
      </w:r>
      <w:r w:rsidRPr="00B35B5C" w:rsidR="00B35B5C">
        <w:rPr>
          <w:rStyle w:val="FootnoteReference"/>
          <w:szCs w:val="22"/>
        </w:rPr>
        <w:t xml:space="preserve"> </w:t>
      </w:r>
      <w:r>
        <w:rPr>
          <w:rStyle w:val="FootnoteReference"/>
          <w:szCs w:val="22"/>
        </w:rPr>
        <w:footnoteReference w:id="7"/>
      </w:r>
      <w:r w:rsidRPr="00160A43" w:rsidR="00B35B5C">
        <w:rPr>
          <w:szCs w:val="22"/>
        </w:rPr>
        <w:t xml:space="preserve"> </w:t>
      </w:r>
      <w:r w:rsidR="008B137B">
        <w:rPr>
          <w:szCs w:val="22"/>
        </w:rPr>
        <w:t xml:space="preserve"> The Review Board </w:t>
      </w:r>
      <w:r w:rsidR="00A01AF8">
        <w:rPr>
          <w:szCs w:val="22"/>
        </w:rPr>
        <w:t xml:space="preserve">also </w:t>
      </w:r>
      <w:r w:rsidR="008B137B">
        <w:rPr>
          <w:szCs w:val="22"/>
        </w:rPr>
        <w:t>accepted a</w:t>
      </w:r>
      <w:r w:rsidR="006B158C">
        <w:rPr>
          <w:szCs w:val="22"/>
        </w:rPr>
        <w:t xml:space="preserve"> proposal </w:t>
      </w:r>
      <w:r w:rsidR="008B137B">
        <w:rPr>
          <w:szCs w:val="22"/>
        </w:rPr>
        <w:t xml:space="preserve">by </w:t>
      </w:r>
      <w:r w:rsidR="006B158C">
        <w:rPr>
          <w:szCs w:val="22"/>
        </w:rPr>
        <w:t xml:space="preserve">CEB </w:t>
      </w:r>
      <w:r w:rsidR="00DC4201">
        <w:rPr>
          <w:szCs w:val="22"/>
        </w:rPr>
        <w:t xml:space="preserve">to potentially achieve compliance in an alternate manner by </w:t>
      </w:r>
      <w:r w:rsidR="008B137B">
        <w:rPr>
          <w:szCs w:val="22"/>
        </w:rPr>
        <w:t>reimburs</w:t>
      </w:r>
      <w:r w:rsidR="00DC4201">
        <w:rPr>
          <w:szCs w:val="22"/>
        </w:rPr>
        <w:t>ing</w:t>
      </w:r>
      <w:r w:rsidR="008B137B">
        <w:rPr>
          <w:szCs w:val="22"/>
        </w:rPr>
        <w:t xml:space="preserve"> </w:t>
      </w:r>
      <w:r w:rsidR="000D2AC4">
        <w:rPr>
          <w:szCs w:val="22"/>
        </w:rPr>
        <w:t xml:space="preserve">affected </w:t>
      </w:r>
      <w:r w:rsidRPr="00160A43" w:rsidR="002E3CBF">
        <w:rPr>
          <w:szCs w:val="22"/>
        </w:rPr>
        <w:t>neighbors for the cost of cable or satellite</w:t>
      </w:r>
      <w:r w:rsidR="006B158C">
        <w:rPr>
          <w:szCs w:val="22"/>
        </w:rPr>
        <w:t xml:space="preserve"> if </w:t>
      </w:r>
      <w:r w:rsidR="00600148">
        <w:rPr>
          <w:szCs w:val="22"/>
        </w:rPr>
        <w:t>CEB</w:t>
      </w:r>
      <w:r w:rsidR="00DC4201">
        <w:rPr>
          <w:szCs w:val="22"/>
        </w:rPr>
        <w:t xml:space="preserve"> determined that </w:t>
      </w:r>
      <w:r w:rsidR="006B158C">
        <w:rPr>
          <w:szCs w:val="22"/>
        </w:rPr>
        <w:t>an engineering solution was not possible</w:t>
      </w:r>
      <w:r w:rsidRPr="00160A43" w:rsidR="00954128">
        <w:rPr>
          <w:szCs w:val="22"/>
        </w:rPr>
        <w:t>.</w:t>
      </w:r>
      <w:r>
        <w:rPr>
          <w:rStyle w:val="FootnoteReference"/>
          <w:szCs w:val="22"/>
        </w:rPr>
        <w:footnoteReference w:id="8"/>
      </w:r>
      <w:r w:rsidRPr="00160A43" w:rsidR="00954128">
        <w:rPr>
          <w:szCs w:val="22"/>
        </w:rPr>
        <w:t xml:space="preserve"> </w:t>
      </w:r>
      <w:r w:rsidRPr="00160A43" w:rsidR="00627FA8">
        <w:rPr>
          <w:szCs w:val="22"/>
        </w:rPr>
        <w:t xml:space="preserve"> </w:t>
      </w:r>
      <w:r w:rsidRPr="00160A43" w:rsidR="00AA69AF">
        <w:rPr>
          <w:szCs w:val="22"/>
        </w:rPr>
        <w:t>CEB</w:t>
      </w:r>
      <w:r w:rsidR="00A01AF8">
        <w:rPr>
          <w:szCs w:val="22"/>
        </w:rPr>
        <w:t>, however,</w:t>
      </w:r>
      <w:r w:rsidR="003A3027">
        <w:rPr>
          <w:szCs w:val="22"/>
        </w:rPr>
        <w:t xml:space="preserve"> </w:t>
      </w:r>
      <w:r w:rsidR="00C04254">
        <w:rPr>
          <w:szCs w:val="22"/>
        </w:rPr>
        <w:t xml:space="preserve">neither </w:t>
      </w:r>
      <w:r w:rsidR="006B158C">
        <w:rPr>
          <w:szCs w:val="22"/>
        </w:rPr>
        <w:t>correct</w:t>
      </w:r>
      <w:r w:rsidR="00C04254">
        <w:rPr>
          <w:szCs w:val="22"/>
        </w:rPr>
        <w:t>ed</w:t>
      </w:r>
      <w:r w:rsidR="006B158C">
        <w:rPr>
          <w:szCs w:val="22"/>
        </w:rPr>
        <w:t xml:space="preserve"> the interference </w:t>
      </w:r>
      <w:r w:rsidR="00C04254">
        <w:rPr>
          <w:szCs w:val="22"/>
        </w:rPr>
        <w:t>n</w:t>
      </w:r>
      <w:r w:rsidR="006B158C">
        <w:rPr>
          <w:szCs w:val="22"/>
        </w:rPr>
        <w:t>or reimburse</w:t>
      </w:r>
      <w:r w:rsidR="00C04254">
        <w:rPr>
          <w:szCs w:val="22"/>
        </w:rPr>
        <w:t>d the neighbors at that time</w:t>
      </w:r>
      <w:r w:rsidR="006B158C">
        <w:rPr>
          <w:szCs w:val="22"/>
        </w:rPr>
        <w:t>.  T</w:t>
      </w:r>
      <w:r w:rsidRPr="00160A43" w:rsidR="00597635">
        <w:rPr>
          <w:szCs w:val="22"/>
        </w:rPr>
        <w:t>he Bureau</w:t>
      </w:r>
      <w:r w:rsidR="00A01595">
        <w:rPr>
          <w:szCs w:val="22"/>
        </w:rPr>
        <w:t xml:space="preserve">, thus, could not find that CEB was operating in the public interest without serious violations and </w:t>
      </w:r>
      <w:r w:rsidR="00CB6C3C">
        <w:rPr>
          <w:szCs w:val="22"/>
        </w:rPr>
        <w:t xml:space="preserve">held in abeyance </w:t>
      </w:r>
      <w:r w:rsidR="00496213">
        <w:rPr>
          <w:szCs w:val="22"/>
        </w:rPr>
        <w:t xml:space="preserve">several </w:t>
      </w:r>
      <w:r w:rsidRPr="00160A43" w:rsidR="00E72890">
        <w:rPr>
          <w:szCs w:val="22"/>
        </w:rPr>
        <w:t xml:space="preserve">subsequent </w:t>
      </w:r>
      <w:r w:rsidR="00600148">
        <w:rPr>
          <w:szCs w:val="22"/>
        </w:rPr>
        <w:t xml:space="preserve">license </w:t>
      </w:r>
      <w:r w:rsidRPr="00160A43" w:rsidR="00E72890">
        <w:rPr>
          <w:szCs w:val="22"/>
        </w:rPr>
        <w:t xml:space="preserve">renewal applications </w:t>
      </w:r>
      <w:r w:rsidR="00C04254">
        <w:rPr>
          <w:szCs w:val="22"/>
        </w:rPr>
        <w:t>that</w:t>
      </w:r>
      <w:r w:rsidRPr="00160A43" w:rsidR="00627FA8">
        <w:rPr>
          <w:szCs w:val="22"/>
        </w:rPr>
        <w:t xml:space="preserve"> CEB </w:t>
      </w:r>
      <w:r w:rsidRPr="00160A43" w:rsidR="006038AE">
        <w:rPr>
          <w:szCs w:val="22"/>
        </w:rPr>
        <w:t xml:space="preserve">filed in </w:t>
      </w:r>
      <w:r w:rsidR="006038AE">
        <w:t>1995, 2005, and 2012</w:t>
      </w:r>
      <w:r w:rsidR="00F9234F">
        <w:t>.</w:t>
      </w:r>
      <w:r>
        <w:rPr>
          <w:rStyle w:val="FootnoteReference"/>
        </w:rPr>
        <w:footnoteReference w:id="9"/>
      </w:r>
      <w:r w:rsidR="00F9234F">
        <w:t xml:space="preserve">  </w:t>
      </w:r>
      <w:r w:rsidRPr="00160A43" w:rsidR="00571DD0">
        <w:rPr>
          <w:szCs w:val="22"/>
        </w:rPr>
        <w:t>Smith object</w:t>
      </w:r>
      <w:r w:rsidR="009C0332">
        <w:rPr>
          <w:szCs w:val="22"/>
        </w:rPr>
        <w:t>ed</w:t>
      </w:r>
      <w:r w:rsidR="003A3027">
        <w:rPr>
          <w:szCs w:val="22"/>
        </w:rPr>
        <w:t xml:space="preserve"> </w:t>
      </w:r>
      <w:r w:rsidR="00F9234F">
        <w:rPr>
          <w:szCs w:val="22"/>
        </w:rPr>
        <w:t xml:space="preserve">to some of these applications </w:t>
      </w:r>
      <w:r w:rsidR="00CB6AAF">
        <w:rPr>
          <w:szCs w:val="22"/>
        </w:rPr>
        <w:t xml:space="preserve">on behalf of herself and </w:t>
      </w:r>
      <w:r w:rsidR="00A01AF8">
        <w:rPr>
          <w:szCs w:val="22"/>
        </w:rPr>
        <w:t xml:space="preserve">as a spokesperson for </w:t>
      </w:r>
      <w:r w:rsidR="00CB6AAF">
        <w:rPr>
          <w:szCs w:val="22"/>
        </w:rPr>
        <w:t>neighbors</w:t>
      </w:r>
      <w:r w:rsidRPr="00160A43" w:rsidR="00571DD0">
        <w:rPr>
          <w:szCs w:val="22"/>
        </w:rPr>
        <w:t xml:space="preserve">.  </w:t>
      </w:r>
    </w:p>
    <w:p w:rsidR="00F9234F" w:rsidP="00CC7DFD" w14:paraId="70A78D14" w14:textId="5A9A9398">
      <w:pPr>
        <w:pStyle w:val="ParaNum"/>
        <w:numPr>
          <w:ilvl w:val="0"/>
          <w:numId w:val="0"/>
        </w:numPr>
        <w:ind w:firstLine="720"/>
        <w:rPr>
          <w:szCs w:val="22"/>
        </w:rPr>
      </w:pPr>
      <w:r>
        <w:rPr>
          <w:szCs w:val="22"/>
        </w:rPr>
        <w:t>In 2017</w:t>
      </w:r>
      <w:r w:rsidR="00F11923">
        <w:rPr>
          <w:szCs w:val="22"/>
        </w:rPr>
        <w:t>,</w:t>
      </w:r>
      <w:r>
        <w:rPr>
          <w:szCs w:val="22"/>
        </w:rPr>
        <w:t xml:space="preserve"> the Bureau sought to update the record o</w:t>
      </w:r>
      <w:r w:rsidR="00E71579">
        <w:rPr>
          <w:szCs w:val="22"/>
        </w:rPr>
        <w:t>f</w:t>
      </w:r>
      <w:r>
        <w:rPr>
          <w:szCs w:val="22"/>
        </w:rPr>
        <w:t xml:space="preserve"> CEB’s efforts</w:t>
      </w:r>
      <w:r w:rsidR="00996D60">
        <w:rPr>
          <w:szCs w:val="22"/>
        </w:rPr>
        <w:t xml:space="preserve"> to address the blanketing interference problem.</w:t>
      </w:r>
      <w:r w:rsidR="00E71579">
        <w:rPr>
          <w:szCs w:val="22"/>
        </w:rPr>
        <w:t xml:space="preserve">  The Bureau </w:t>
      </w:r>
      <w:r w:rsidR="00E25E80">
        <w:rPr>
          <w:szCs w:val="22"/>
        </w:rPr>
        <w:t>request</w:t>
      </w:r>
      <w:r w:rsidR="009C0332">
        <w:rPr>
          <w:szCs w:val="22"/>
        </w:rPr>
        <w:t xml:space="preserve">ed </w:t>
      </w:r>
      <w:r w:rsidR="00E25E80">
        <w:rPr>
          <w:szCs w:val="22"/>
        </w:rPr>
        <w:t>information from CEB as well as from eight residents who had previously received blanketing interference.</w:t>
      </w:r>
      <w:r>
        <w:rPr>
          <w:rStyle w:val="FootnoteReference"/>
          <w:szCs w:val="22"/>
        </w:rPr>
        <w:footnoteReference w:id="10"/>
      </w:r>
      <w:r w:rsidR="00E25E80">
        <w:rPr>
          <w:szCs w:val="22"/>
        </w:rPr>
        <w:t xml:space="preserve">  Of the residents, only Smith indicated a continuing interest.  </w:t>
      </w:r>
      <w:r w:rsidR="00F11923">
        <w:rPr>
          <w:szCs w:val="22"/>
        </w:rPr>
        <w:t>Although s</w:t>
      </w:r>
      <w:r w:rsidR="00414C5E">
        <w:rPr>
          <w:szCs w:val="22"/>
        </w:rPr>
        <w:t>he was not receiving blanketing interference at that time</w:t>
      </w:r>
      <w:r w:rsidR="00F11923">
        <w:rPr>
          <w:szCs w:val="22"/>
        </w:rPr>
        <w:t xml:space="preserve">, she </w:t>
      </w:r>
      <w:r w:rsidR="006B31A2">
        <w:rPr>
          <w:szCs w:val="22"/>
        </w:rPr>
        <w:t xml:space="preserve">could not determine whether interference might return </w:t>
      </w:r>
      <w:r w:rsidR="00414C5E">
        <w:rPr>
          <w:szCs w:val="22"/>
        </w:rPr>
        <w:t xml:space="preserve">because the Station was </w:t>
      </w:r>
      <w:r w:rsidR="006B31A2">
        <w:rPr>
          <w:szCs w:val="22"/>
        </w:rPr>
        <w:t xml:space="preserve">then </w:t>
      </w:r>
      <w:r w:rsidR="00414C5E">
        <w:rPr>
          <w:szCs w:val="22"/>
        </w:rPr>
        <w:t>operating at substantially reduced power due to failing equipment.</w:t>
      </w:r>
      <w:r>
        <w:rPr>
          <w:rStyle w:val="FootnoteReference"/>
          <w:szCs w:val="22"/>
        </w:rPr>
        <w:footnoteReference w:id="11"/>
      </w:r>
      <w:r w:rsidR="00414C5E">
        <w:rPr>
          <w:szCs w:val="22"/>
        </w:rPr>
        <w:t xml:space="preserve">  </w:t>
      </w:r>
      <w:r w:rsidR="00E25E80">
        <w:rPr>
          <w:szCs w:val="22"/>
        </w:rPr>
        <w:t xml:space="preserve">CEB’s response was filed </w:t>
      </w:r>
      <w:r>
        <w:rPr>
          <w:szCs w:val="22"/>
        </w:rPr>
        <w:t xml:space="preserve">in early 2018 </w:t>
      </w:r>
      <w:r w:rsidR="00E25E80">
        <w:rPr>
          <w:szCs w:val="22"/>
        </w:rPr>
        <w:t xml:space="preserve">by </w:t>
      </w:r>
      <w:r w:rsidR="00C64254">
        <w:rPr>
          <w:szCs w:val="22"/>
        </w:rPr>
        <w:t>Gerald W</w:t>
      </w:r>
      <w:r w:rsidR="00D43B7A">
        <w:rPr>
          <w:szCs w:val="22"/>
        </w:rPr>
        <w:t>o</w:t>
      </w:r>
      <w:r w:rsidR="00C64254">
        <w:rPr>
          <w:szCs w:val="22"/>
        </w:rPr>
        <w:t>olverton</w:t>
      </w:r>
      <w:r w:rsidR="00D43B7A">
        <w:rPr>
          <w:szCs w:val="22"/>
        </w:rPr>
        <w:t xml:space="preserve"> (Woolverton)</w:t>
      </w:r>
      <w:r w:rsidR="00C64254">
        <w:rPr>
          <w:szCs w:val="22"/>
        </w:rPr>
        <w:t xml:space="preserve"> who had</w:t>
      </w:r>
      <w:r w:rsidR="00E72114">
        <w:rPr>
          <w:szCs w:val="22"/>
        </w:rPr>
        <w:t>, as a volunteer,</w:t>
      </w:r>
      <w:r w:rsidR="00C64254">
        <w:rPr>
          <w:szCs w:val="22"/>
        </w:rPr>
        <w:t xml:space="preserve"> been </w:t>
      </w:r>
      <w:r w:rsidR="00627FA8">
        <w:rPr>
          <w:szCs w:val="22"/>
        </w:rPr>
        <w:t xml:space="preserve">donating time and money to </w:t>
      </w:r>
      <w:r w:rsidR="00E72114">
        <w:rPr>
          <w:szCs w:val="22"/>
        </w:rPr>
        <w:t>keep the Station operating</w:t>
      </w:r>
      <w:r w:rsidR="00E61BCC">
        <w:rPr>
          <w:szCs w:val="22"/>
        </w:rPr>
        <w:t xml:space="preserve"> </w:t>
      </w:r>
      <w:r w:rsidR="00AC308C">
        <w:rPr>
          <w:szCs w:val="22"/>
        </w:rPr>
        <w:t xml:space="preserve">and who the Bureau later </w:t>
      </w:r>
      <w:r w:rsidR="008D2CA9">
        <w:rPr>
          <w:szCs w:val="22"/>
        </w:rPr>
        <w:t>determined</w:t>
      </w:r>
      <w:r w:rsidR="00AC308C">
        <w:rPr>
          <w:szCs w:val="22"/>
        </w:rPr>
        <w:t xml:space="preserve"> had been exercising </w:t>
      </w:r>
      <w:r w:rsidRPr="00AC308C" w:rsidR="00AC308C">
        <w:rPr>
          <w:i/>
          <w:iCs/>
          <w:szCs w:val="22"/>
        </w:rPr>
        <w:t>de facto</w:t>
      </w:r>
      <w:r w:rsidR="00AC308C">
        <w:rPr>
          <w:szCs w:val="22"/>
        </w:rPr>
        <w:t xml:space="preserve"> control of the Station </w:t>
      </w:r>
      <w:r w:rsidR="007B17FA">
        <w:rPr>
          <w:szCs w:val="22"/>
        </w:rPr>
        <w:t xml:space="preserve">in the role of CEB President </w:t>
      </w:r>
      <w:r w:rsidR="009C0332">
        <w:rPr>
          <w:szCs w:val="22"/>
        </w:rPr>
        <w:t>because</w:t>
      </w:r>
      <w:r w:rsidR="00AC308C">
        <w:rPr>
          <w:szCs w:val="22"/>
        </w:rPr>
        <w:t xml:space="preserve"> Nina Stewart</w:t>
      </w:r>
      <w:r w:rsidR="009C0332">
        <w:rPr>
          <w:szCs w:val="22"/>
        </w:rPr>
        <w:t xml:space="preserve"> was in poor health.</w:t>
      </w:r>
      <w:r>
        <w:rPr>
          <w:rStyle w:val="FootnoteReference"/>
          <w:szCs w:val="22"/>
        </w:rPr>
        <w:footnoteReference w:id="12"/>
      </w:r>
      <w:r w:rsidR="009C0332">
        <w:rPr>
          <w:szCs w:val="22"/>
        </w:rPr>
        <w:t xml:space="preserve">  </w:t>
      </w:r>
      <w:r>
        <w:rPr>
          <w:szCs w:val="22"/>
        </w:rPr>
        <w:t>Woolverton indicated that the Station’s finances were dire, with the Station’s utility bills unpaid and land in danger of foreclosure.</w:t>
      </w:r>
      <w:r>
        <w:rPr>
          <w:rStyle w:val="FootnoteReference"/>
          <w:szCs w:val="22"/>
        </w:rPr>
        <w:footnoteReference w:id="13"/>
      </w:r>
      <w:r>
        <w:rPr>
          <w:szCs w:val="22"/>
        </w:rPr>
        <w:t xml:space="preserve">  </w:t>
      </w:r>
      <w:r w:rsidR="0061495C">
        <w:rPr>
          <w:szCs w:val="22"/>
        </w:rPr>
        <w:t>About this time t</w:t>
      </w:r>
      <w:r w:rsidR="009C0332">
        <w:rPr>
          <w:szCs w:val="22"/>
        </w:rPr>
        <w:t>he Bureau learned</w:t>
      </w:r>
      <w:r w:rsidR="0061495C">
        <w:rPr>
          <w:szCs w:val="22"/>
        </w:rPr>
        <w:t>,</w:t>
      </w:r>
      <w:r w:rsidR="009C0332">
        <w:rPr>
          <w:szCs w:val="22"/>
        </w:rPr>
        <w:t xml:space="preserve"> </w:t>
      </w:r>
      <w:r w:rsidR="0061495C">
        <w:rPr>
          <w:szCs w:val="22"/>
        </w:rPr>
        <w:t xml:space="preserve">through Commission inspections, </w:t>
      </w:r>
      <w:r w:rsidR="009C0332">
        <w:rPr>
          <w:szCs w:val="22"/>
        </w:rPr>
        <w:t>of a</w:t>
      </w:r>
      <w:r w:rsidRPr="00160A43" w:rsidR="009C0332">
        <w:rPr>
          <w:szCs w:val="22"/>
        </w:rPr>
        <w:t xml:space="preserve">dditional </w:t>
      </w:r>
      <w:r w:rsidR="009C0332">
        <w:rPr>
          <w:szCs w:val="22"/>
        </w:rPr>
        <w:t xml:space="preserve">rule violations that </w:t>
      </w:r>
      <w:r w:rsidRPr="00160A43" w:rsidR="009C0332">
        <w:rPr>
          <w:szCs w:val="22"/>
        </w:rPr>
        <w:t xml:space="preserve">arose with the </w:t>
      </w:r>
      <w:r w:rsidR="009C0332">
        <w:rPr>
          <w:szCs w:val="22"/>
        </w:rPr>
        <w:t xml:space="preserve">failing health and </w:t>
      </w:r>
      <w:r w:rsidR="009C0332">
        <w:rPr>
          <w:szCs w:val="22"/>
        </w:rPr>
        <w:t xml:space="preserve">finances </w:t>
      </w:r>
      <w:r w:rsidRPr="00160A43" w:rsidR="009C0332">
        <w:rPr>
          <w:szCs w:val="22"/>
        </w:rPr>
        <w:t>of Nina Stewart</w:t>
      </w:r>
      <w:r w:rsidR="009C0332">
        <w:rPr>
          <w:szCs w:val="22"/>
        </w:rPr>
        <w:t xml:space="preserve"> including </w:t>
      </w:r>
      <w:r w:rsidRPr="00160A43" w:rsidR="009C0332">
        <w:rPr>
          <w:szCs w:val="22"/>
        </w:rPr>
        <w:t>tower lighting outages that had not been properly reported to the Federal Aviation Administration (FAA)</w:t>
      </w:r>
      <w:r w:rsidR="009C0332">
        <w:rPr>
          <w:szCs w:val="22"/>
        </w:rPr>
        <w:t xml:space="preserve">, </w:t>
      </w:r>
      <w:r w:rsidR="000F6460">
        <w:rPr>
          <w:szCs w:val="22"/>
        </w:rPr>
        <w:t xml:space="preserve">reduced power </w:t>
      </w:r>
      <w:r w:rsidR="00A37B4D">
        <w:rPr>
          <w:szCs w:val="22"/>
        </w:rPr>
        <w:t>without authority</w:t>
      </w:r>
      <w:r w:rsidR="00414C5E">
        <w:rPr>
          <w:szCs w:val="22"/>
        </w:rPr>
        <w:t>,</w:t>
      </w:r>
      <w:r w:rsidR="00A37B4D">
        <w:rPr>
          <w:szCs w:val="22"/>
        </w:rPr>
        <w:t xml:space="preserve"> </w:t>
      </w:r>
      <w:r w:rsidR="009C0332">
        <w:rPr>
          <w:szCs w:val="22"/>
        </w:rPr>
        <w:t xml:space="preserve">lack of station logs, and an incomplete </w:t>
      </w:r>
      <w:r w:rsidRPr="00160A43" w:rsidR="009C0332">
        <w:rPr>
          <w:szCs w:val="22"/>
        </w:rPr>
        <w:t>public inspection file.</w:t>
      </w:r>
      <w:r>
        <w:rPr>
          <w:rStyle w:val="FootnoteReference"/>
          <w:szCs w:val="22"/>
        </w:rPr>
        <w:footnoteReference w:id="14"/>
      </w:r>
      <w:r w:rsidR="009C0332">
        <w:rPr>
          <w:szCs w:val="22"/>
        </w:rPr>
        <w:t xml:space="preserve"> </w:t>
      </w:r>
    </w:p>
    <w:p w:rsidR="006B158C" w:rsidP="00CC7DFD" w14:paraId="77F33377" w14:textId="4508F336">
      <w:pPr>
        <w:pStyle w:val="ParaNum"/>
        <w:numPr>
          <w:ilvl w:val="0"/>
          <w:numId w:val="0"/>
        </w:numPr>
        <w:ind w:firstLine="720"/>
        <w:rPr>
          <w:szCs w:val="22"/>
        </w:rPr>
      </w:pPr>
      <w:r>
        <w:rPr>
          <w:szCs w:val="22"/>
        </w:rPr>
        <w:t xml:space="preserve">In 2019, Woolverton </w:t>
      </w:r>
      <w:r w:rsidR="00B51220">
        <w:rPr>
          <w:szCs w:val="22"/>
        </w:rPr>
        <w:t xml:space="preserve">sought </w:t>
      </w:r>
      <w:r w:rsidR="004F5FAF">
        <w:rPr>
          <w:szCs w:val="22"/>
        </w:rPr>
        <w:t xml:space="preserve">Bureau consent to </w:t>
      </w:r>
      <w:r w:rsidR="009A6386">
        <w:rPr>
          <w:szCs w:val="22"/>
        </w:rPr>
        <w:t xml:space="preserve">transfer </w:t>
      </w:r>
      <w:r w:rsidR="00C64254">
        <w:rPr>
          <w:szCs w:val="22"/>
        </w:rPr>
        <w:t xml:space="preserve">control </w:t>
      </w:r>
      <w:r w:rsidR="009A6386">
        <w:rPr>
          <w:szCs w:val="22"/>
        </w:rPr>
        <w:t xml:space="preserve">of </w:t>
      </w:r>
      <w:r w:rsidR="00C64254">
        <w:rPr>
          <w:szCs w:val="22"/>
        </w:rPr>
        <w:t>CEB</w:t>
      </w:r>
      <w:r w:rsidR="009A6386">
        <w:rPr>
          <w:szCs w:val="22"/>
        </w:rPr>
        <w:t xml:space="preserve"> to a new governing board </w:t>
      </w:r>
      <w:r w:rsidR="003B06FD">
        <w:rPr>
          <w:szCs w:val="22"/>
        </w:rPr>
        <w:t xml:space="preserve">controlled by </w:t>
      </w:r>
      <w:r w:rsidR="009A6386">
        <w:rPr>
          <w:szCs w:val="22"/>
        </w:rPr>
        <w:t>members of the Woolverton family</w:t>
      </w:r>
      <w:r>
        <w:rPr>
          <w:szCs w:val="22"/>
        </w:rPr>
        <w:t xml:space="preserve">.  He </w:t>
      </w:r>
      <w:r w:rsidR="00AD6B11">
        <w:rPr>
          <w:szCs w:val="22"/>
        </w:rPr>
        <w:t>argued that the station’s compliance was improving under his leadership</w:t>
      </w:r>
      <w:r w:rsidR="009477B7">
        <w:rPr>
          <w:szCs w:val="22"/>
        </w:rPr>
        <w:t xml:space="preserve"> but </w:t>
      </w:r>
      <w:r w:rsidR="00AD6B11">
        <w:rPr>
          <w:szCs w:val="22"/>
        </w:rPr>
        <w:t>acknowled</w:t>
      </w:r>
      <w:r w:rsidR="009477B7">
        <w:rPr>
          <w:szCs w:val="22"/>
        </w:rPr>
        <w:t>ged</w:t>
      </w:r>
      <w:r w:rsidR="00AD6B11">
        <w:rPr>
          <w:szCs w:val="22"/>
        </w:rPr>
        <w:t xml:space="preserve"> that problems remained.</w:t>
      </w:r>
      <w:r>
        <w:rPr>
          <w:rStyle w:val="FootnoteReference"/>
          <w:szCs w:val="22"/>
        </w:rPr>
        <w:footnoteReference w:id="15"/>
      </w:r>
      <w:r w:rsidR="00AD6B11">
        <w:rPr>
          <w:szCs w:val="22"/>
        </w:rPr>
        <w:t xml:space="preserve">  Woolverton </w:t>
      </w:r>
      <w:r>
        <w:rPr>
          <w:szCs w:val="22"/>
        </w:rPr>
        <w:t xml:space="preserve">expressed a desire </w:t>
      </w:r>
      <w:r w:rsidR="00C64254">
        <w:rPr>
          <w:szCs w:val="22"/>
        </w:rPr>
        <w:t xml:space="preserve">to bring the Station </w:t>
      </w:r>
      <w:r w:rsidR="00B51220">
        <w:rPr>
          <w:szCs w:val="22"/>
        </w:rPr>
        <w:t xml:space="preserve">into full </w:t>
      </w:r>
      <w:r w:rsidR="00BF1936">
        <w:rPr>
          <w:szCs w:val="22"/>
        </w:rPr>
        <w:t>R</w:t>
      </w:r>
      <w:r w:rsidR="0016633C">
        <w:rPr>
          <w:szCs w:val="22"/>
        </w:rPr>
        <w:t xml:space="preserve">ule </w:t>
      </w:r>
      <w:r w:rsidRPr="005E36C4" w:rsidR="00B51220">
        <w:rPr>
          <w:szCs w:val="22"/>
        </w:rPr>
        <w:t>compliance</w:t>
      </w:r>
      <w:r w:rsidR="009C0332">
        <w:rPr>
          <w:szCs w:val="22"/>
        </w:rPr>
        <w:t xml:space="preserve"> but </w:t>
      </w:r>
      <w:r w:rsidR="00D34023">
        <w:rPr>
          <w:szCs w:val="22"/>
        </w:rPr>
        <w:t xml:space="preserve">stated that CEB did not have the </w:t>
      </w:r>
      <w:r w:rsidR="00426791">
        <w:rPr>
          <w:szCs w:val="22"/>
        </w:rPr>
        <w:t xml:space="preserve">substantial funds </w:t>
      </w:r>
      <w:r w:rsidR="00D34023">
        <w:rPr>
          <w:szCs w:val="22"/>
        </w:rPr>
        <w:t xml:space="preserve">necessary </w:t>
      </w:r>
      <w:r w:rsidR="00A96CA3">
        <w:rPr>
          <w:szCs w:val="22"/>
        </w:rPr>
        <w:t xml:space="preserve">and </w:t>
      </w:r>
      <w:r w:rsidR="006C04D1">
        <w:rPr>
          <w:szCs w:val="22"/>
        </w:rPr>
        <w:t xml:space="preserve">that </w:t>
      </w:r>
      <w:r w:rsidR="00A96CA3">
        <w:rPr>
          <w:szCs w:val="22"/>
        </w:rPr>
        <w:t xml:space="preserve">he </w:t>
      </w:r>
      <w:r w:rsidR="00BC30B6">
        <w:rPr>
          <w:szCs w:val="22"/>
        </w:rPr>
        <w:t>w</w:t>
      </w:r>
      <w:r w:rsidR="006C04D1">
        <w:rPr>
          <w:szCs w:val="22"/>
        </w:rPr>
        <w:t>ould be</w:t>
      </w:r>
      <w:r w:rsidR="00BC30B6">
        <w:rPr>
          <w:szCs w:val="22"/>
        </w:rPr>
        <w:t xml:space="preserve"> </w:t>
      </w:r>
      <w:r w:rsidR="00AD6B11">
        <w:rPr>
          <w:szCs w:val="22"/>
        </w:rPr>
        <w:t xml:space="preserve">unable </w:t>
      </w:r>
      <w:r w:rsidR="00BC30B6">
        <w:rPr>
          <w:szCs w:val="22"/>
        </w:rPr>
        <w:t>to</w:t>
      </w:r>
      <w:r w:rsidR="009629DD">
        <w:rPr>
          <w:szCs w:val="22"/>
        </w:rPr>
        <w:t xml:space="preserve"> donate</w:t>
      </w:r>
      <w:r w:rsidR="00426791">
        <w:rPr>
          <w:szCs w:val="22"/>
        </w:rPr>
        <w:t xml:space="preserve"> </w:t>
      </w:r>
      <w:r w:rsidR="00A96CA3">
        <w:rPr>
          <w:szCs w:val="22"/>
        </w:rPr>
        <w:t xml:space="preserve">funds </w:t>
      </w:r>
      <w:r w:rsidR="009629DD">
        <w:rPr>
          <w:szCs w:val="22"/>
        </w:rPr>
        <w:t xml:space="preserve">to </w:t>
      </w:r>
      <w:r w:rsidR="00EA5343">
        <w:rPr>
          <w:szCs w:val="22"/>
        </w:rPr>
        <w:t xml:space="preserve">CEB </w:t>
      </w:r>
      <w:r w:rsidR="009C0332">
        <w:rPr>
          <w:szCs w:val="22"/>
        </w:rPr>
        <w:t xml:space="preserve">if </w:t>
      </w:r>
      <w:r w:rsidR="00AD6B11">
        <w:rPr>
          <w:szCs w:val="22"/>
        </w:rPr>
        <w:t xml:space="preserve">uncertainty remained about whether </w:t>
      </w:r>
      <w:r w:rsidR="009477B7">
        <w:rPr>
          <w:szCs w:val="22"/>
        </w:rPr>
        <w:t xml:space="preserve">CEB’s </w:t>
      </w:r>
      <w:r w:rsidR="009C0332">
        <w:rPr>
          <w:szCs w:val="22"/>
        </w:rPr>
        <w:t xml:space="preserve">license applications </w:t>
      </w:r>
      <w:r w:rsidR="00AD6B11">
        <w:rPr>
          <w:szCs w:val="22"/>
        </w:rPr>
        <w:t>would be designated for</w:t>
      </w:r>
      <w:r w:rsidR="00BF1936">
        <w:rPr>
          <w:szCs w:val="22"/>
        </w:rPr>
        <w:t xml:space="preserve"> hearing </w:t>
      </w:r>
      <w:r w:rsidR="00AD6B11">
        <w:rPr>
          <w:szCs w:val="22"/>
        </w:rPr>
        <w:t xml:space="preserve">due to </w:t>
      </w:r>
      <w:r w:rsidR="009629DD">
        <w:rPr>
          <w:szCs w:val="22"/>
        </w:rPr>
        <w:t>past violations</w:t>
      </w:r>
      <w:r w:rsidR="00B51220">
        <w:rPr>
          <w:szCs w:val="22"/>
        </w:rPr>
        <w:t>.</w:t>
      </w:r>
      <w:r>
        <w:rPr>
          <w:rStyle w:val="FootnoteReference"/>
          <w:szCs w:val="22"/>
        </w:rPr>
        <w:footnoteReference w:id="16"/>
      </w:r>
      <w:r w:rsidR="00B51220">
        <w:rPr>
          <w:szCs w:val="22"/>
        </w:rPr>
        <w:t xml:space="preserve">  </w:t>
      </w:r>
      <w:r>
        <w:rPr>
          <w:szCs w:val="22"/>
        </w:rPr>
        <w:t xml:space="preserve">Woolverton, on behalf of CEB, </w:t>
      </w:r>
      <w:r w:rsidR="0009724D">
        <w:rPr>
          <w:szCs w:val="22"/>
        </w:rPr>
        <w:t xml:space="preserve">contacted </w:t>
      </w:r>
      <w:r>
        <w:rPr>
          <w:szCs w:val="22"/>
        </w:rPr>
        <w:t xml:space="preserve">households </w:t>
      </w:r>
      <w:r w:rsidR="0009724D">
        <w:rPr>
          <w:szCs w:val="22"/>
        </w:rPr>
        <w:t>that had received blanketing</w:t>
      </w:r>
      <w:r w:rsidR="00A9535A">
        <w:rPr>
          <w:szCs w:val="22"/>
        </w:rPr>
        <w:t xml:space="preserve"> interference</w:t>
      </w:r>
      <w:r w:rsidR="0009724D">
        <w:rPr>
          <w:szCs w:val="22"/>
        </w:rPr>
        <w:t xml:space="preserve">, including Smith, and offered to pay a small amount of money toward their cable </w:t>
      </w:r>
      <w:r w:rsidR="006B1E6E">
        <w:rPr>
          <w:szCs w:val="22"/>
        </w:rPr>
        <w:t>bills</w:t>
      </w:r>
      <w:r w:rsidR="0009724D">
        <w:rPr>
          <w:szCs w:val="22"/>
        </w:rPr>
        <w:t xml:space="preserve"> i</w:t>
      </w:r>
      <w:r w:rsidR="00D65BA8">
        <w:rPr>
          <w:szCs w:val="22"/>
        </w:rPr>
        <w:t>n exchange for a release from their claims</w:t>
      </w:r>
      <w:r w:rsidR="00A9535A">
        <w:rPr>
          <w:szCs w:val="22"/>
        </w:rPr>
        <w:t>.  N</w:t>
      </w:r>
      <w:r>
        <w:rPr>
          <w:szCs w:val="22"/>
        </w:rPr>
        <w:t>o party accepted that offer.</w:t>
      </w:r>
      <w:r>
        <w:rPr>
          <w:rStyle w:val="FootnoteReference"/>
          <w:szCs w:val="22"/>
        </w:rPr>
        <w:footnoteReference w:id="17"/>
      </w:r>
      <w:r>
        <w:rPr>
          <w:szCs w:val="22"/>
        </w:rPr>
        <w:t xml:space="preserve">  </w:t>
      </w:r>
    </w:p>
    <w:p w:rsidR="00667ADF" w:rsidP="006B158C" w14:paraId="2AD172E4" w14:textId="277DEE3E">
      <w:pPr>
        <w:pStyle w:val="ParaNum"/>
        <w:numPr>
          <w:ilvl w:val="0"/>
          <w:numId w:val="0"/>
        </w:numPr>
        <w:ind w:firstLine="720"/>
        <w:rPr>
          <w:szCs w:val="22"/>
        </w:rPr>
      </w:pPr>
      <w:r>
        <w:rPr>
          <w:szCs w:val="22"/>
        </w:rPr>
        <w:t xml:space="preserve">The Bureau </w:t>
      </w:r>
      <w:r w:rsidR="00B51220">
        <w:rPr>
          <w:szCs w:val="22"/>
        </w:rPr>
        <w:t xml:space="preserve">and the </w:t>
      </w:r>
      <w:r w:rsidR="00D43B7A">
        <w:rPr>
          <w:szCs w:val="22"/>
        </w:rPr>
        <w:t xml:space="preserve">proposed </w:t>
      </w:r>
      <w:r w:rsidR="00B51220">
        <w:rPr>
          <w:szCs w:val="22"/>
        </w:rPr>
        <w:t xml:space="preserve">new </w:t>
      </w:r>
      <w:r>
        <w:rPr>
          <w:szCs w:val="22"/>
        </w:rPr>
        <w:t xml:space="preserve">CEB </w:t>
      </w:r>
      <w:r w:rsidR="00B51220">
        <w:rPr>
          <w:szCs w:val="22"/>
        </w:rPr>
        <w:t xml:space="preserve">board entered into a Consent Decree </w:t>
      </w:r>
      <w:r w:rsidR="008E7ECE">
        <w:rPr>
          <w:szCs w:val="22"/>
        </w:rPr>
        <w:t xml:space="preserve">in September 2020 </w:t>
      </w:r>
      <w:r w:rsidR="002B5ACB">
        <w:rPr>
          <w:szCs w:val="22"/>
        </w:rPr>
        <w:t xml:space="preserve">in which CEB </w:t>
      </w:r>
      <w:r w:rsidR="004F5FAF">
        <w:rPr>
          <w:szCs w:val="22"/>
        </w:rPr>
        <w:t>admitt</w:t>
      </w:r>
      <w:r w:rsidR="00F9234F">
        <w:rPr>
          <w:szCs w:val="22"/>
        </w:rPr>
        <w:t>ed</w:t>
      </w:r>
      <w:r w:rsidR="004F5FAF">
        <w:rPr>
          <w:szCs w:val="22"/>
        </w:rPr>
        <w:t xml:space="preserve"> to </w:t>
      </w:r>
      <w:r w:rsidR="00881EC8">
        <w:rPr>
          <w:szCs w:val="22"/>
        </w:rPr>
        <w:t xml:space="preserve">past </w:t>
      </w:r>
      <w:r w:rsidR="004F5FAF">
        <w:rPr>
          <w:szCs w:val="22"/>
        </w:rPr>
        <w:t xml:space="preserve">rule violations </w:t>
      </w:r>
      <w:r w:rsidR="006E5090">
        <w:rPr>
          <w:rFonts w:asciiTheme="majorBidi" w:hAnsiTheme="majorBidi" w:cstheme="majorBidi"/>
          <w:szCs w:val="22"/>
        </w:rPr>
        <w:t>and</w:t>
      </w:r>
      <w:r w:rsidR="00BC30B6">
        <w:rPr>
          <w:rFonts w:asciiTheme="majorBidi" w:hAnsiTheme="majorBidi" w:cstheme="majorBidi"/>
          <w:szCs w:val="22"/>
        </w:rPr>
        <w:t xml:space="preserve"> </w:t>
      </w:r>
      <w:r w:rsidR="00295DCE">
        <w:rPr>
          <w:rFonts w:asciiTheme="majorBidi" w:hAnsiTheme="majorBidi" w:cstheme="majorBidi"/>
          <w:szCs w:val="22"/>
        </w:rPr>
        <w:t xml:space="preserve">agreed </w:t>
      </w:r>
      <w:r w:rsidR="008F7DE8">
        <w:rPr>
          <w:szCs w:val="22"/>
        </w:rPr>
        <w:t xml:space="preserve">to </w:t>
      </w:r>
      <w:r w:rsidR="004F5FAF">
        <w:rPr>
          <w:szCs w:val="22"/>
        </w:rPr>
        <w:t xml:space="preserve">a plan </w:t>
      </w:r>
      <w:r w:rsidR="00B51220">
        <w:rPr>
          <w:szCs w:val="22"/>
        </w:rPr>
        <w:t xml:space="preserve">for </w:t>
      </w:r>
      <w:r w:rsidR="000D7406">
        <w:rPr>
          <w:szCs w:val="22"/>
        </w:rPr>
        <w:t xml:space="preserve">potential </w:t>
      </w:r>
      <w:r w:rsidR="006F6D72">
        <w:rPr>
          <w:szCs w:val="22"/>
        </w:rPr>
        <w:t>resol</w:t>
      </w:r>
      <w:r w:rsidR="00B51220">
        <w:rPr>
          <w:szCs w:val="22"/>
        </w:rPr>
        <w:t>ution</w:t>
      </w:r>
      <w:r w:rsidR="00C25AB3">
        <w:rPr>
          <w:szCs w:val="22"/>
        </w:rPr>
        <w:t xml:space="preserve"> without hearing</w:t>
      </w:r>
      <w:r w:rsidR="008D2CA9">
        <w:rPr>
          <w:szCs w:val="22"/>
        </w:rPr>
        <w:t>.</w:t>
      </w:r>
      <w:r>
        <w:rPr>
          <w:sz w:val="20"/>
          <w:vertAlign w:val="superscript"/>
        </w:rPr>
        <w:footnoteReference w:id="18"/>
      </w:r>
      <w:r w:rsidR="008D2CA9">
        <w:rPr>
          <w:szCs w:val="22"/>
        </w:rPr>
        <w:t xml:space="preserve">  </w:t>
      </w:r>
      <w:r w:rsidR="003B3A53">
        <w:rPr>
          <w:szCs w:val="22"/>
        </w:rPr>
        <w:t>Pursuant to</w:t>
      </w:r>
      <w:r w:rsidR="00290CB7">
        <w:rPr>
          <w:szCs w:val="22"/>
        </w:rPr>
        <w:t xml:space="preserve"> the Consent Decree, t</w:t>
      </w:r>
      <w:r w:rsidR="00B51220">
        <w:rPr>
          <w:szCs w:val="22"/>
        </w:rPr>
        <w:t xml:space="preserve">he Bureau </w:t>
      </w:r>
      <w:r w:rsidR="00A72C9D">
        <w:rPr>
          <w:szCs w:val="22"/>
        </w:rPr>
        <w:t>grant</w:t>
      </w:r>
      <w:r w:rsidR="008E7ECE">
        <w:rPr>
          <w:szCs w:val="22"/>
        </w:rPr>
        <w:t>ed</w:t>
      </w:r>
      <w:r w:rsidR="00A72C9D">
        <w:rPr>
          <w:szCs w:val="22"/>
        </w:rPr>
        <w:t xml:space="preserve"> </w:t>
      </w:r>
      <w:r w:rsidR="00426791">
        <w:rPr>
          <w:szCs w:val="22"/>
        </w:rPr>
        <w:t xml:space="preserve">CEB’s </w:t>
      </w:r>
      <w:r w:rsidR="00A72C9D">
        <w:rPr>
          <w:szCs w:val="22"/>
        </w:rPr>
        <w:t>application</w:t>
      </w:r>
      <w:r w:rsidR="008E7ECE">
        <w:rPr>
          <w:szCs w:val="22"/>
        </w:rPr>
        <w:t>s</w:t>
      </w:r>
      <w:r w:rsidR="00A72C9D">
        <w:rPr>
          <w:szCs w:val="22"/>
        </w:rPr>
        <w:t xml:space="preserve"> to</w:t>
      </w:r>
      <w:r w:rsidR="00D43B7A">
        <w:rPr>
          <w:szCs w:val="22"/>
        </w:rPr>
        <w:t xml:space="preserve"> transfer control to the </w:t>
      </w:r>
      <w:r w:rsidR="00B51220">
        <w:rPr>
          <w:szCs w:val="22"/>
        </w:rPr>
        <w:t>new board</w:t>
      </w:r>
      <w:r w:rsidR="008E7ECE">
        <w:rPr>
          <w:szCs w:val="22"/>
        </w:rPr>
        <w:t xml:space="preserve">, </w:t>
      </w:r>
      <w:r w:rsidR="0016633C">
        <w:rPr>
          <w:szCs w:val="22"/>
        </w:rPr>
        <w:t xml:space="preserve">to construct facilities with </w:t>
      </w:r>
      <w:r w:rsidR="005B219C">
        <w:rPr>
          <w:szCs w:val="22"/>
        </w:rPr>
        <w:t>downgrade</w:t>
      </w:r>
      <w:r w:rsidR="0016633C">
        <w:rPr>
          <w:szCs w:val="22"/>
        </w:rPr>
        <w:t>d</w:t>
      </w:r>
      <w:r w:rsidR="005B219C">
        <w:rPr>
          <w:szCs w:val="22"/>
        </w:rPr>
        <w:t xml:space="preserve"> power,</w:t>
      </w:r>
      <w:r w:rsidR="00B51220">
        <w:rPr>
          <w:szCs w:val="22"/>
        </w:rPr>
        <w:t xml:space="preserve"> </w:t>
      </w:r>
      <w:r w:rsidR="00627371">
        <w:rPr>
          <w:szCs w:val="22"/>
        </w:rPr>
        <w:t xml:space="preserve">to operate with reduced power </w:t>
      </w:r>
      <w:r w:rsidR="00426791">
        <w:rPr>
          <w:szCs w:val="22"/>
        </w:rPr>
        <w:t>pursuant to</w:t>
      </w:r>
      <w:r w:rsidR="00627371">
        <w:rPr>
          <w:szCs w:val="22"/>
        </w:rPr>
        <w:t xml:space="preserve"> special temporary authority pending completion of the downgrade, </w:t>
      </w:r>
      <w:r w:rsidR="00B51220">
        <w:rPr>
          <w:szCs w:val="22"/>
        </w:rPr>
        <w:t>a</w:t>
      </w:r>
      <w:r w:rsidR="00D43B7A">
        <w:rPr>
          <w:szCs w:val="22"/>
        </w:rPr>
        <w:t xml:space="preserve">nd </w:t>
      </w:r>
      <w:r w:rsidR="008E7ECE">
        <w:rPr>
          <w:szCs w:val="22"/>
        </w:rPr>
        <w:t xml:space="preserve">to </w:t>
      </w:r>
      <w:r w:rsidR="005B219C">
        <w:rPr>
          <w:szCs w:val="22"/>
        </w:rPr>
        <w:t xml:space="preserve">renew </w:t>
      </w:r>
      <w:r w:rsidR="00A663CB">
        <w:rPr>
          <w:szCs w:val="22"/>
        </w:rPr>
        <w:t xml:space="preserve">(conditioned upon compliance with the Consent Decree) </w:t>
      </w:r>
      <w:r w:rsidR="005B219C">
        <w:rPr>
          <w:szCs w:val="22"/>
        </w:rPr>
        <w:t>the Station’s license through February 1, 2021, when all radio stations in Missouri w</w:t>
      </w:r>
      <w:r w:rsidR="0016633C">
        <w:rPr>
          <w:szCs w:val="22"/>
        </w:rPr>
        <w:t>ere set to</w:t>
      </w:r>
      <w:r w:rsidR="005B219C">
        <w:rPr>
          <w:szCs w:val="22"/>
        </w:rPr>
        <w:t xml:space="preserve"> expire.</w:t>
      </w:r>
      <w:r>
        <w:rPr>
          <w:rStyle w:val="FootnoteReference"/>
          <w:szCs w:val="22"/>
        </w:rPr>
        <w:footnoteReference w:id="19"/>
      </w:r>
      <w:r w:rsidR="005B219C">
        <w:rPr>
          <w:szCs w:val="22"/>
        </w:rPr>
        <w:t xml:space="preserve">  </w:t>
      </w:r>
      <w:r w:rsidR="008E7ECE">
        <w:rPr>
          <w:szCs w:val="22"/>
        </w:rPr>
        <w:t xml:space="preserve">The </w:t>
      </w:r>
      <w:r w:rsidR="008028C7">
        <w:rPr>
          <w:szCs w:val="22"/>
        </w:rPr>
        <w:t>Consent Decree provided</w:t>
      </w:r>
      <w:r>
        <w:rPr>
          <w:szCs w:val="22"/>
        </w:rPr>
        <w:t>, however,</w:t>
      </w:r>
      <w:r w:rsidR="005B219C">
        <w:rPr>
          <w:szCs w:val="22"/>
        </w:rPr>
        <w:t xml:space="preserve"> </w:t>
      </w:r>
      <w:r w:rsidR="008028C7">
        <w:rPr>
          <w:szCs w:val="22"/>
        </w:rPr>
        <w:t xml:space="preserve">that the Bureau would </w:t>
      </w:r>
      <w:r w:rsidR="005B219C">
        <w:rPr>
          <w:szCs w:val="22"/>
        </w:rPr>
        <w:t xml:space="preserve">leave pending for at least a year </w:t>
      </w:r>
      <w:r w:rsidR="00B0074C">
        <w:rPr>
          <w:szCs w:val="22"/>
        </w:rPr>
        <w:t xml:space="preserve">a future </w:t>
      </w:r>
      <w:r w:rsidR="005B219C">
        <w:rPr>
          <w:szCs w:val="22"/>
        </w:rPr>
        <w:t xml:space="preserve">license renewal application </w:t>
      </w:r>
      <w:r w:rsidR="000F1386">
        <w:rPr>
          <w:szCs w:val="22"/>
        </w:rPr>
        <w:t xml:space="preserve">that </w:t>
      </w:r>
      <w:r w:rsidR="005B219C">
        <w:rPr>
          <w:szCs w:val="22"/>
        </w:rPr>
        <w:t>the Station, like all Missouri licensees, was due to file by October 1, 2020.</w:t>
      </w:r>
      <w:r>
        <w:rPr>
          <w:rStyle w:val="FootnoteReference"/>
          <w:szCs w:val="22"/>
        </w:rPr>
        <w:footnoteReference w:id="20"/>
      </w:r>
      <w:r w:rsidR="005B219C">
        <w:rPr>
          <w:szCs w:val="22"/>
        </w:rPr>
        <w:t xml:space="preserve">  </w:t>
      </w:r>
      <w:r>
        <w:rPr>
          <w:szCs w:val="22"/>
        </w:rPr>
        <w:t xml:space="preserve">Grant of the </w:t>
      </w:r>
      <w:r w:rsidR="00165FD3">
        <w:rPr>
          <w:szCs w:val="22"/>
        </w:rPr>
        <w:t>A</w:t>
      </w:r>
      <w:r>
        <w:rPr>
          <w:szCs w:val="22"/>
        </w:rPr>
        <w:t xml:space="preserve">pplication </w:t>
      </w:r>
      <w:r w:rsidR="00165FD3">
        <w:rPr>
          <w:szCs w:val="22"/>
        </w:rPr>
        <w:t xml:space="preserve">or, alternatively, automatic </w:t>
      </w:r>
      <w:r w:rsidR="001803AE">
        <w:rPr>
          <w:szCs w:val="22"/>
        </w:rPr>
        <w:t xml:space="preserve">and permanent </w:t>
      </w:r>
      <w:r w:rsidR="00165FD3">
        <w:rPr>
          <w:szCs w:val="22"/>
        </w:rPr>
        <w:t xml:space="preserve">termination of </w:t>
      </w:r>
      <w:r w:rsidR="001803AE">
        <w:rPr>
          <w:szCs w:val="22"/>
        </w:rPr>
        <w:t xml:space="preserve">the Station’s </w:t>
      </w:r>
      <w:r w:rsidR="00165FD3">
        <w:rPr>
          <w:szCs w:val="22"/>
        </w:rPr>
        <w:t>operating authority</w:t>
      </w:r>
      <w:r w:rsidR="00867D5C">
        <w:rPr>
          <w:szCs w:val="22"/>
        </w:rPr>
        <w:t>,</w:t>
      </w:r>
      <w:r w:rsidR="00165FD3">
        <w:rPr>
          <w:szCs w:val="22"/>
        </w:rPr>
        <w:t xml:space="preserve"> </w:t>
      </w:r>
      <w:r>
        <w:rPr>
          <w:szCs w:val="22"/>
        </w:rPr>
        <w:t>would depend upon CEB’s performance during a one-year probationary period.</w:t>
      </w:r>
      <w:r>
        <w:rPr>
          <w:rStyle w:val="FootnoteReference"/>
          <w:szCs w:val="22"/>
        </w:rPr>
        <w:footnoteReference w:id="21"/>
      </w:r>
    </w:p>
    <w:p w:rsidR="00667ADF" w:rsidP="008E51D6" w14:paraId="39562C01" w14:textId="4E84023B">
      <w:pPr>
        <w:pStyle w:val="ParaNum"/>
        <w:numPr>
          <w:ilvl w:val="0"/>
          <w:numId w:val="0"/>
        </w:numPr>
        <w:ind w:firstLine="720"/>
        <w:rPr>
          <w:szCs w:val="22"/>
        </w:rPr>
      </w:pPr>
      <w:r>
        <w:rPr>
          <w:szCs w:val="22"/>
        </w:rPr>
        <w:t xml:space="preserve">During the probationary period, CEB would attempt to bring the Station into full compliance </w:t>
      </w:r>
      <w:r w:rsidRPr="008E51D6" w:rsidR="008E51D6">
        <w:rPr>
          <w:szCs w:val="22"/>
        </w:rPr>
        <w:t xml:space="preserve">with </w:t>
      </w:r>
      <w:r w:rsidR="008E51D6">
        <w:rPr>
          <w:szCs w:val="22"/>
        </w:rPr>
        <w:t xml:space="preserve">all </w:t>
      </w:r>
      <w:r w:rsidRPr="008E51D6" w:rsidR="008E51D6">
        <w:rPr>
          <w:szCs w:val="22"/>
        </w:rPr>
        <w:t xml:space="preserve">broadcast rules, statutes, and </w:t>
      </w:r>
      <w:r w:rsidR="008C1BBA">
        <w:rPr>
          <w:szCs w:val="22"/>
        </w:rPr>
        <w:t>policies</w:t>
      </w:r>
      <w:r w:rsidRPr="008E51D6" w:rsidR="008E51D6">
        <w:rPr>
          <w:szCs w:val="22"/>
        </w:rPr>
        <w:t xml:space="preserve"> </w:t>
      </w:r>
      <w:r w:rsidR="008E51D6">
        <w:rPr>
          <w:szCs w:val="22"/>
        </w:rPr>
        <w:t xml:space="preserve">(not just those for which it admitted past violations) </w:t>
      </w:r>
      <w:r w:rsidRPr="008E51D6" w:rsidR="008E51D6">
        <w:rPr>
          <w:szCs w:val="22"/>
        </w:rPr>
        <w:t>and with the terms and conditions of the Consent Decree</w:t>
      </w:r>
      <w:r>
        <w:rPr>
          <w:szCs w:val="22"/>
        </w:rPr>
        <w:t xml:space="preserve">.  </w:t>
      </w:r>
      <w:r w:rsidR="00C43AD4">
        <w:rPr>
          <w:szCs w:val="22"/>
        </w:rPr>
        <w:t>CEB</w:t>
      </w:r>
      <w:r w:rsidR="005B219C">
        <w:rPr>
          <w:szCs w:val="22"/>
        </w:rPr>
        <w:t xml:space="preserve"> </w:t>
      </w:r>
      <w:r w:rsidR="0061297E">
        <w:rPr>
          <w:szCs w:val="22"/>
        </w:rPr>
        <w:t xml:space="preserve">also </w:t>
      </w:r>
      <w:r>
        <w:rPr>
          <w:szCs w:val="22"/>
        </w:rPr>
        <w:t>agreed to</w:t>
      </w:r>
      <w:r w:rsidR="005B219C">
        <w:rPr>
          <w:szCs w:val="22"/>
        </w:rPr>
        <w:t xml:space="preserve"> </w:t>
      </w:r>
      <w:r>
        <w:rPr>
          <w:szCs w:val="22"/>
        </w:rPr>
        <w:t>take</w:t>
      </w:r>
      <w:r w:rsidR="00DE3CA8">
        <w:rPr>
          <w:szCs w:val="22"/>
        </w:rPr>
        <w:t xml:space="preserve"> </w:t>
      </w:r>
      <w:r w:rsidR="0061297E">
        <w:rPr>
          <w:szCs w:val="22"/>
        </w:rPr>
        <w:t>specific actions including</w:t>
      </w:r>
      <w:r w:rsidR="00DE3CA8">
        <w:rPr>
          <w:szCs w:val="22"/>
        </w:rPr>
        <w:t>, for example,</w:t>
      </w:r>
      <w:r w:rsidR="0061297E">
        <w:rPr>
          <w:szCs w:val="22"/>
        </w:rPr>
        <w:t xml:space="preserve"> </w:t>
      </w:r>
      <w:r>
        <w:rPr>
          <w:szCs w:val="22"/>
        </w:rPr>
        <w:t>to</w:t>
      </w:r>
      <w:r w:rsidR="00490841">
        <w:rPr>
          <w:szCs w:val="22"/>
        </w:rPr>
        <w:t xml:space="preserve"> </w:t>
      </w:r>
      <w:r w:rsidR="003B0491">
        <w:rPr>
          <w:szCs w:val="22"/>
        </w:rPr>
        <w:t xml:space="preserve">complete a </w:t>
      </w:r>
      <w:r w:rsidR="00C43AD4">
        <w:rPr>
          <w:szCs w:val="22"/>
        </w:rPr>
        <w:t>downgrad</w:t>
      </w:r>
      <w:r w:rsidR="005B219C">
        <w:rPr>
          <w:szCs w:val="22"/>
        </w:rPr>
        <w:t xml:space="preserve">e </w:t>
      </w:r>
      <w:r w:rsidR="00F93E74">
        <w:rPr>
          <w:szCs w:val="22"/>
        </w:rPr>
        <w:t xml:space="preserve">of </w:t>
      </w:r>
      <w:r w:rsidR="00C43AD4">
        <w:rPr>
          <w:szCs w:val="22"/>
        </w:rPr>
        <w:t xml:space="preserve">the Station’s </w:t>
      </w:r>
      <w:r w:rsidR="000F2B10">
        <w:rPr>
          <w:szCs w:val="22"/>
        </w:rPr>
        <w:t xml:space="preserve">class and </w:t>
      </w:r>
      <w:r w:rsidR="00C43AD4">
        <w:rPr>
          <w:szCs w:val="22"/>
        </w:rPr>
        <w:t>power</w:t>
      </w:r>
      <w:r w:rsidR="005B219C">
        <w:rPr>
          <w:szCs w:val="22"/>
        </w:rPr>
        <w:t xml:space="preserve"> </w:t>
      </w:r>
      <w:r w:rsidR="00055873">
        <w:rPr>
          <w:szCs w:val="22"/>
        </w:rPr>
        <w:t xml:space="preserve">which it expected </w:t>
      </w:r>
      <w:r w:rsidR="005B219C">
        <w:rPr>
          <w:szCs w:val="22"/>
        </w:rPr>
        <w:t xml:space="preserve">to address </w:t>
      </w:r>
      <w:r w:rsidR="00FA1BB7">
        <w:rPr>
          <w:szCs w:val="22"/>
        </w:rPr>
        <w:t xml:space="preserve">the blanketing </w:t>
      </w:r>
      <w:r w:rsidR="005B219C">
        <w:rPr>
          <w:szCs w:val="22"/>
        </w:rPr>
        <w:t>interference</w:t>
      </w:r>
      <w:r w:rsidR="00C43AD4">
        <w:rPr>
          <w:szCs w:val="22"/>
        </w:rPr>
        <w:t>,</w:t>
      </w:r>
      <w:r>
        <w:rPr>
          <w:rStyle w:val="FootnoteReference"/>
          <w:szCs w:val="22"/>
        </w:rPr>
        <w:footnoteReference w:id="22"/>
      </w:r>
      <w:r w:rsidR="00C43AD4">
        <w:rPr>
          <w:szCs w:val="22"/>
        </w:rPr>
        <w:t xml:space="preserve"> </w:t>
      </w:r>
      <w:r w:rsidR="0061297E">
        <w:rPr>
          <w:szCs w:val="22"/>
        </w:rPr>
        <w:t xml:space="preserve">to </w:t>
      </w:r>
      <w:r w:rsidR="00CD74D3">
        <w:rPr>
          <w:szCs w:val="22"/>
        </w:rPr>
        <w:t>place a prominent notice on its web</w:t>
      </w:r>
      <w:r w:rsidR="001332B1">
        <w:rPr>
          <w:szCs w:val="22"/>
        </w:rPr>
        <w:t xml:space="preserve"> </w:t>
      </w:r>
      <w:r w:rsidR="00CD74D3">
        <w:rPr>
          <w:szCs w:val="22"/>
        </w:rPr>
        <w:t xml:space="preserve">site informing the public of its responsibility for </w:t>
      </w:r>
      <w:r w:rsidR="002E5D03">
        <w:rPr>
          <w:szCs w:val="22"/>
        </w:rPr>
        <w:t>address</w:t>
      </w:r>
      <w:r w:rsidR="00CD74D3">
        <w:rPr>
          <w:szCs w:val="22"/>
        </w:rPr>
        <w:t>ing interference</w:t>
      </w:r>
      <w:r w:rsidR="002E5D03">
        <w:rPr>
          <w:szCs w:val="22"/>
        </w:rPr>
        <w:t xml:space="preserve"> and to resolve any such complaints</w:t>
      </w:r>
      <w:r w:rsidR="00CD74D3">
        <w:rPr>
          <w:szCs w:val="22"/>
        </w:rPr>
        <w:t xml:space="preserve">, </w:t>
      </w:r>
      <w:r w:rsidR="0061297E">
        <w:rPr>
          <w:szCs w:val="22"/>
        </w:rPr>
        <w:t xml:space="preserve">to </w:t>
      </w:r>
      <w:r w:rsidR="00C13388">
        <w:rPr>
          <w:szCs w:val="22"/>
        </w:rPr>
        <w:t>procure</w:t>
      </w:r>
      <w:r w:rsidR="00490841">
        <w:rPr>
          <w:szCs w:val="22"/>
        </w:rPr>
        <w:t xml:space="preserve"> a</w:t>
      </w:r>
      <w:r w:rsidR="00C13388">
        <w:rPr>
          <w:szCs w:val="22"/>
        </w:rPr>
        <w:t xml:space="preserve"> new </w:t>
      </w:r>
      <w:r w:rsidR="00490841">
        <w:rPr>
          <w:szCs w:val="22"/>
        </w:rPr>
        <w:t xml:space="preserve">fully functioning </w:t>
      </w:r>
      <w:r w:rsidR="00C13388">
        <w:rPr>
          <w:szCs w:val="22"/>
        </w:rPr>
        <w:t>transmi</w:t>
      </w:r>
      <w:r w:rsidR="00490841">
        <w:rPr>
          <w:szCs w:val="22"/>
        </w:rPr>
        <w:t>tter</w:t>
      </w:r>
      <w:r w:rsidR="00C13388">
        <w:rPr>
          <w:szCs w:val="22"/>
        </w:rPr>
        <w:t xml:space="preserve">, </w:t>
      </w:r>
      <w:r w:rsidR="0061297E">
        <w:rPr>
          <w:szCs w:val="22"/>
        </w:rPr>
        <w:t xml:space="preserve">to </w:t>
      </w:r>
      <w:r w:rsidR="008F4E65">
        <w:rPr>
          <w:szCs w:val="22"/>
        </w:rPr>
        <w:t xml:space="preserve">train its staff to abide by </w:t>
      </w:r>
      <w:r w:rsidR="00FA1BB7">
        <w:rPr>
          <w:szCs w:val="22"/>
        </w:rPr>
        <w:t xml:space="preserve">operating </w:t>
      </w:r>
      <w:r w:rsidR="00DE0D94">
        <w:rPr>
          <w:szCs w:val="22"/>
        </w:rPr>
        <w:t xml:space="preserve">and recordkeeping </w:t>
      </w:r>
      <w:r w:rsidR="0001558F">
        <w:rPr>
          <w:szCs w:val="22"/>
        </w:rPr>
        <w:t xml:space="preserve">procedures </w:t>
      </w:r>
      <w:r w:rsidR="00FA1BB7">
        <w:rPr>
          <w:szCs w:val="22"/>
        </w:rPr>
        <w:t xml:space="preserve">established </w:t>
      </w:r>
      <w:r w:rsidR="0001558F">
        <w:rPr>
          <w:szCs w:val="22"/>
        </w:rPr>
        <w:t xml:space="preserve">in </w:t>
      </w:r>
      <w:r w:rsidR="008F4E65">
        <w:rPr>
          <w:szCs w:val="22"/>
        </w:rPr>
        <w:t xml:space="preserve">a </w:t>
      </w:r>
      <w:r w:rsidR="002E5D03">
        <w:rPr>
          <w:szCs w:val="22"/>
        </w:rPr>
        <w:t xml:space="preserve">compliance </w:t>
      </w:r>
      <w:r w:rsidR="008F4E65">
        <w:rPr>
          <w:szCs w:val="22"/>
        </w:rPr>
        <w:t xml:space="preserve">manual written by counsel, </w:t>
      </w:r>
      <w:r w:rsidR="0061297E">
        <w:rPr>
          <w:szCs w:val="22"/>
        </w:rPr>
        <w:t xml:space="preserve">to </w:t>
      </w:r>
      <w:r w:rsidR="00C43AD4">
        <w:rPr>
          <w:szCs w:val="22"/>
        </w:rPr>
        <w:t>hir</w:t>
      </w:r>
      <w:r w:rsidR="008F4E65">
        <w:rPr>
          <w:szCs w:val="22"/>
        </w:rPr>
        <w:t>e</w:t>
      </w:r>
      <w:r w:rsidR="00C43AD4">
        <w:rPr>
          <w:szCs w:val="22"/>
        </w:rPr>
        <w:t xml:space="preserve"> consultants to remediate tower lighting</w:t>
      </w:r>
      <w:r w:rsidR="00FA1BB7">
        <w:rPr>
          <w:szCs w:val="22"/>
        </w:rPr>
        <w:t xml:space="preserve"> on an ongoing basis,</w:t>
      </w:r>
      <w:r w:rsidR="00C43AD4">
        <w:rPr>
          <w:szCs w:val="22"/>
        </w:rPr>
        <w:t xml:space="preserve"> </w:t>
      </w:r>
      <w:r w:rsidR="0061297E">
        <w:rPr>
          <w:szCs w:val="22"/>
        </w:rPr>
        <w:t xml:space="preserve">to </w:t>
      </w:r>
      <w:r w:rsidR="00FA1BB7">
        <w:rPr>
          <w:szCs w:val="22"/>
        </w:rPr>
        <w:t xml:space="preserve">correct </w:t>
      </w:r>
      <w:r w:rsidR="00C43AD4">
        <w:rPr>
          <w:szCs w:val="22"/>
        </w:rPr>
        <w:t>public inspection file</w:t>
      </w:r>
      <w:r w:rsidR="008F4E65">
        <w:rPr>
          <w:szCs w:val="22"/>
        </w:rPr>
        <w:t xml:space="preserve"> violations</w:t>
      </w:r>
      <w:r>
        <w:rPr>
          <w:szCs w:val="22"/>
        </w:rPr>
        <w:t xml:space="preserve">, </w:t>
      </w:r>
      <w:r w:rsidR="005B219C">
        <w:rPr>
          <w:szCs w:val="22"/>
        </w:rPr>
        <w:t xml:space="preserve">and </w:t>
      </w:r>
      <w:r>
        <w:rPr>
          <w:szCs w:val="22"/>
        </w:rPr>
        <w:t xml:space="preserve">to </w:t>
      </w:r>
      <w:r w:rsidR="005B219C">
        <w:rPr>
          <w:szCs w:val="22"/>
        </w:rPr>
        <w:t xml:space="preserve">file </w:t>
      </w:r>
      <w:r w:rsidR="003B0491">
        <w:rPr>
          <w:szCs w:val="22"/>
        </w:rPr>
        <w:t xml:space="preserve">periodic </w:t>
      </w:r>
      <w:r w:rsidR="005B219C">
        <w:rPr>
          <w:szCs w:val="22"/>
        </w:rPr>
        <w:t>progress reports</w:t>
      </w:r>
      <w:r w:rsidR="000E249D">
        <w:rPr>
          <w:szCs w:val="22"/>
        </w:rPr>
        <w:t>.</w:t>
      </w:r>
      <w:r>
        <w:rPr>
          <w:rStyle w:val="FootnoteReference"/>
          <w:szCs w:val="22"/>
        </w:rPr>
        <w:footnoteReference w:id="23"/>
      </w:r>
      <w:r w:rsidR="000E249D">
        <w:rPr>
          <w:szCs w:val="22"/>
        </w:rPr>
        <w:t xml:space="preserve">  CEB was required under the Consent Decree to report and explain any non-compliance within 15 days of discovery.</w:t>
      </w:r>
      <w:r>
        <w:rPr>
          <w:rStyle w:val="FootnoteReference"/>
          <w:szCs w:val="22"/>
        </w:rPr>
        <w:footnoteReference w:id="24"/>
      </w:r>
      <w:r w:rsidR="000E249D">
        <w:rPr>
          <w:szCs w:val="22"/>
        </w:rPr>
        <w:t xml:space="preserve">  </w:t>
      </w:r>
      <w:r>
        <w:rPr>
          <w:szCs w:val="22"/>
        </w:rPr>
        <w:t xml:space="preserve">The Bureau indicated that, although it ordinarily would have imposed a monetary </w:t>
      </w:r>
      <w:r w:rsidR="00426791">
        <w:rPr>
          <w:szCs w:val="22"/>
        </w:rPr>
        <w:t xml:space="preserve">civil </w:t>
      </w:r>
      <w:r>
        <w:rPr>
          <w:szCs w:val="22"/>
        </w:rPr>
        <w:t xml:space="preserve">penalty for the </w:t>
      </w:r>
      <w:r w:rsidR="0061297E">
        <w:rPr>
          <w:szCs w:val="22"/>
        </w:rPr>
        <w:t xml:space="preserve">past </w:t>
      </w:r>
      <w:r>
        <w:rPr>
          <w:szCs w:val="22"/>
        </w:rPr>
        <w:t xml:space="preserve">violations </w:t>
      </w:r>
      <w:r w:rsidR="001B2C5D">
        <w:rPr>
          <w:szCs w:val="22"/>
        </w:rPr>
        <w:t>admitted in the Consent Decree</w:t>
      </w:r>
      <w:r w:rsidR="008C1BBA">
        <w:rPr>
          <w:szCs w:val="22"/>
        </w:rPr>
        <w:t>,</w:t>
      </w:r>
      <w:r w:rsidR="001B2C5D">
        <w:rPr>
          <w:szCs w:val="22"/>
        </w:rPr>
        <w:t xml:space="preserve"> </w:t>
      </w:r>
      <w:r>
        <w:rPr>
          <w:szCs w:val="22"/>
        </w:rPr>
        <w:t xml:space="preserve">it was not doing so because: </w:t>
      </w:r>
      <w:r w:rsidR="008C1BBA">
        <w:rPr>
          <w:szCs w:val="22"/>
        </w:rPr>
        <w:t xml:space="preserve"> </w:t>
      </w:r>
      <w:r>
        <w:rPr>
          <w:szCs w:val="22"/>
        </w:rPr>
        <w:t xml:space="preserve">(1) </w:t>
      </w:r>
      <w:r w:rsidRPr="00FC3750">
        <w:rPr>
          <w:szCs w:val="22"/>
        </w:rPr>
        <w:t xml:space="preserve">CEB </w:t>
      </w:r>
      <w:r>
        <w:rPr>
          <w:szCs w:val="22"/>
        </w:rPr>
        <w:t xml:space="preserve">had </w:t>
      </w:r>
      <w:r w:rsidRPr="00FC3750">
        <w:rPr>
          <w:szCs w:val="22"/>
        </w:rPr>
        <w:t xml:space="preserve">submitted financial documentation including tax returns </w:t>
      </w:r>
      <w:r w:rsidR="002E5D03">
        <w:rPr>
          <w:szCs w:val="22"/>
        </w:rPr>
        <w:t xml:space="preserve">demonstrating an </w:t>
      </w:r>
      <w:r w:rsidRPr="00FC3750">
        <w:rPr>
          <w:szCs w:val="22"/>
        </w:rPr>
        <w:t>inability to pay</w:t>
      </w:r>
      <w:r>
        <w:rPr>
          <w:szCs w:val="22"/>
        </w:rPr>
        <w:t>; and (2)</w:t>
      </w:r>
      <w:r w:rsidRPr="00FC3750">
        <w:rPr>
          <w:szCs w:val="22"/>
        </w:rPr>
        <w:t xml:space="preserve"> </w:t>
      </w:r>
      <w:r>
        <w:rPr>
          <w:szCs w:val="22"/>
        </w:rPr>
        <w:t>the Bureau</w:t>
      </w:r>
      <w:r w:rsidRPr="00FC3750">
        <w:rPr>
          <w:szCs w:val="22"/>
        </w:rPr>
        <w:t xml:space="preserve"> believe</w:t>
      </w:r>
      <w:r>
        <w:rPr>
          <w:szCs w:val="22"/>
        </w:rPr>
        <w:t>d</w:t>
      </w:r>
      <w:r w:rsidRPr="00FC3750">
        <w:rPr>
          <w:szCs w:val="22"/>
        </w:rPr>
        <w:t xml:space="preserve"> that CEB would best direct its limited resources to fulfilling obligations under th</w:t>
      </w:r>
      <w:r>
        <w:rPr>
          <w:szCs w:val="22"/>
        </w:rPr>
        <w:t xml:space="preserve">e </w:t>
      </w:r>
      <w:r w:rsidRPr="00FC3750">
        <w:rPr>
          <w:szCs w:val="22"/>
        </w:rPr>
        <w:t>Consent Decree, which w</w:t>
      </w:r>
      <w:r>
        <w:rPr>
          <w:szCs w:val="22"/>
        </w:rPr>
        <w:t>ould</w:t>
      </w:r>
      <w:r w:rsidRPr="00FC3750">
        <w:rPr>
          <w:szCs w:val="22"/>
        </w:rPr>
        <w:t xml:space="preserve"> require substantial expenditures.</w:t>
      </w:r>
      <w:r>
        <w:rPr>
          <w:rStyle w:val="FootnoteReference"/>
          <w:szCs w:val="22"/>
        </w:rPr>
        <w:footnoteReference w:id="25"/>
      </w:r>
      <w:r w:rsidR="006B158C">
        <w:rPr>
          <w:szCs w:val="22"/>
        </w:rPr>
        <w:t xml:space="preserve">  The Consent Decree did not </w:t>
      </w:r>
      <w:r w:rsidR="00055873">
        <w:rPr>
          <w:szCs w:val="22"/>
        </w:rPr>
        <w:t xml:space="preserve">specifically </w:t>
      </w:r>
      <w:r w:rsidR="00EE3D41">
        <w:rPr>
          <w:szCs w:val="22"/>
        </w:rPr>
        <w:t xml:space="preserve">reference or </w:t>
      </w:r>
      <w:r w:rsidR="006B158C">
        <w:rPr>
          <w:szCs w:val="22"/>
        </w:rPr>
        <w:t xml:space="preserve">address reimbursement of </w:t>
      </w:r>
      <w:r w:rsidR="009662CC">
        <w:rPr>
          <w:szCs w:val="22"/>
        </w:rPr>
        <w:t xml:space="preserve">residents for </w:t>
      </w:r>
      <w:r w:rsidR="00B3287F">
        <w:rPr>
          <w:szCs w:val="22"/>
        </w:rPr>
        <w:t xml:space="preserve">past </w:t>
      </w:r>
      <w:r w:rsidR="009662CC">
        <w:rPr>
          <w:szCs w:val="22"/>
        </w:rPr>
        <w:t>satellite and cable service.</w:t>
      </w:r>
      <w:r>
        <w:rPr>
          <w:rStyle w:val="FootnoteReference"/>
          <w:szCs w:val="22"/>
        </w:rPr>
        <w:footnoteReference w:id="26"/>
      </w:r>
    </w:p>
    <w:p w:rsidR="00251800" w:rsidP="00667ADF" w14:paraId="79B9A9D4" w14:textId="771D0B47">
      <w:pPr>
        <w:pStyle w:val="ParaNum"/>
        <w:numPr>
          <w:ilvl w:val="0"/>
          <w:numId w:val="0"/>
        </w:numPr>
        <w:ind w:firstLine="720"/>
        <w:rPr>
          <w:szCs w:val="22"/>
        </w:rPr>
      </w:pPr>
      <w:r>
        <w:rPr>
          <w:szCs w:val="22"/>
        </w:rPr>
        <w:t>Under the terms of the Consent Decree, t</w:t>
      </w:r>
      <w:r w:rsidR="008E1D68">
        <w:rPr>
          <w:szCs w:val="22"/>
        </w:rPr>
        <w:t xml:space="preserve">he </w:t>
      </w:r>
      <w:r w:rsidR="00055873">
        <w:rPr>
          <w:szCs w:val="22"/>
        </w:rPr>
        <w:t>Bureau</w:t>
      </w:r>
      <w:r w:rsidR="00B70A34">
        <w:rPr>
          <w:szCs w:val="22"/>
        </w:rPr>
        <w:t xml:space="preserve"> </w:t>
      </w:r>
      <w:r w:rsidR="00D52F7F">
        <w:rPr>
          <w:szCs w:val="22"/>
        </w:rPr>
        <w:t>must</w:t>
      </w:r>
      <w:r w:rsidR="00B70A34">
        <w:rPr>
          <w:szCs w:val="22"/>
        </w:rPr>
        <w:t xml:space="preserve"> </w:t>
      </w:r>
      <w:r w:rsidR="008E1D68">
        <w:rPr>
          <w:szCs w:val="22"/>
        </w:rPr>
        <w:t>consider</w:t>
      </w:r>
      <w:r>
        <w:rPr>
          <w:szCs w:val="22"/>
        </w:rPr>
        <w:t xml:space="preserve"> </w:t>
      </w:r>
      <w:r w:rsidR="007E27CD">
        <w:rPr>
          <w:szCs w:val="22"/>
        </w:rPr>
        <w:t xml:space="preserve">CEB’s </w:t>
      </w:r>
      <w:r>
        <w:rPr>
          <w:szCs w:val="22"/>
        </w:rPr>
        <w:t xml:space="preserve">probation period </w:t>
      </w:r>
      <w:r w:rsidR="007E27CD">
        <w:rPr>
          <w:szCs w:val="22"/>
        </w:rPr>
        <w:t>performance and arrive at a “probationary outcome.”</w:t>
      </w:r>
      <w:r>
        <w:rPr>
          <w:rStyle w:val="FootnoteReference"/>
          <w:szCs w:val="22"/>
        </w:rPr>
        <w:footnoteReference w:id="27"/>
      </w:r>
      <w:r w:rsidR="007E27CD">
        <w:rPr>
          <w:szCs w:val="22"/>
        </w:rPr>
        <w:t xml:space="preserve">  I</w:t>
      </w:r>
      <w:r w:rsidR="00D43B7A">
        <w:rPr>
          <w:szCs w:val="22"/>
        </w:rPr>
        <w:t>f</w:t>
      </w:r>
      <w:r w:rsidR="00A50FCA">
        <w:rPr>
          <w:szCs w:val="22"/>
        </w:rPr>
        <w:t xml:space="preserve"> </w:t>
      </w:r>
      <w:r w:rsidR="00B70A34">
        <w:rPr>
          <w:szCs w:val="22"/>
        </w:rPr>
        <w:t xml:space="preserve">the Bureau finds that </w:t>
      </w:r>
      <w:r w:rsidR="001B2C5D">
        <w:rPr>
          <w:szCs w:val="22"/>
        </w:rPr>
        <w:t xml:space="preserve">CEB </w:t>
      </w:r>
      <w:r w:rsidR="00FA1BB7">
        <w:rPr>
          <w:szCs w:val="22"/>
        </w:rPr>
        <w:t xml:space="preserve">successfully </w:t>
      </w:r>
      <w:r w:rsidR="00BC4D3F">
        <w:rPr>
          <w:szCs w:val="22"/>
        </w:rPr>
        <w:t xml:space="preserve">brought the Station into </w:t>
      </w:r>
      <w:r w:rsidR="00667ADF">
        <w:rPr>
          <w:szCs w:val="22"/>
        </w:rPr>
        <w:t xml:space="preserve">full Rule </w:t>
      </w:r>
      <w:r w:rsidR="00BC4D3F">
        <w:rPr>
          <w:szCs w:val="22"/>
        </w:rPr>
        <w:t>compliance</w:t>
      </w:r>
      <w:r w:rsidR="00665F8E">
        <w:rPr>
          <w:szCs w:val="22"/>
        </w:rPr>
        <w:t xml:space="preserve"> and </w:t>
      </w:r>
      <w:r w:rsidR="00B95309">
        <w:rPr>
          <w:szCs w:val="22"/>
        </w:rPr>
        <w:t xml:space="preserve">if </w:t>
      </w:r>
      <w:r w:rsidR="00665F8E">
        <w:rPr>
          <w:szCs w:val="22"/>
        </w:rPr>
        <w:t xml:space="preserve">the </w:t>
      </w:r>
      <w:r w:rsidR="00424ABE">
        <w:rPr>
          <w:szCs w:val="22"/>
        </w:rPr>
        <w:t xml:space="preserve">Bureau </w:t>
      </w:r>
      <w:r w:rsidR="00B70A34">
        <w:rPr>
          <w:szCs w:val="22"/>
        </w:rPr>
        <w:t xml:space="preserve">also </w:t>
      </w:r>
      <w:r w:rsidR="00424ABE">
        <w:rPr>
          <w:szCs w:val="22"/>
        </w:rPr>
        <w:t>f</w:t>
      </w:r>
      <w:r w:rsidR="00B70A34">
        <w:rPr>
          <w:szCs w:val="22"/>
        </w:rPr>
        <w:t>inds</w:t>
      </w:r>
      <w:r w:rsidR="00424ABE">
        <w:rPr>
          <w:szCs w:val="22"/>
        </w:rPr>
        <w:t xml:space="preserve"> that the A</w:t>
      </w:r>
      <w:r w:rsidR="00665F8E">
        <w:rPr>
          <w:szCs w:val="22"/>
        </w:rPr>
        <w:t xml:space="preserve">pplication </w:t>
      </w:r>
      <w:r w:rsidR="00B70A34">
        <w:rPr>
          <w:szCs w:val="22"/>
        </w:rPr>
        <w:t>i</w:t>
      </w:r>
      <w:r w:rsidR="00665F8E">
        <w:rPr>
          <w:szCs w:val="22"/>
        </w:rPr>
        <w:t>s otherwise grantable</w:t>
      </w:r>
      <w:r w:rsidR="00BC4D3F">
        <w:rPr>
          <w:szCs w:val="22"/>
        </w:rPr>
        <w:t>, the Bureau w</w:t>
      </w:r>
      <w:r w:rsidR="00B70A34">
        <w:rPr>
          <w:szCs w:val="22"/>
        </w:rPr>
        <w:t xml:space="preserve">ill </w:t>
      </w:r>
      <w:r w:rsidR="00665F8E">
        <w:rPr>
          <w:szCs w:val="22"/>
        </w:rPr>
        <w:t xml:space="preserve">grant the </w:t>
      </w:r>
      <w:r w:rsidR="00424ABE">
        <w:rPr>
          <w:szCs w:val="22"/>
        </w:rPr>
        <w:t>A</w:t>
      </w:r>
      <w:r w:rsidR="00665F8E">
        <w:rPr>
          <w:szCs w:val="22"/>
        </w:rPr>
        <w:t>pplication</w:t>
      </w:r>
      <w:r w:rsidR="00BC4D3F">
        <w:rPr>
          <w:szCs w:val="22"/>
        </w:rPr>
        <w:t xml:space="preserve"> conditioned upon </w:t>
      </w:r>
      <w:r w:rsidR="00FA1BB7">
        <w:rPr>
          <w:szCs w:val="22"/>
        </w:rPr>
        <w:t xml:space="preserve">CEB’s </w:t>
      </w:r>
      <w:r w:rsidR="00BC4D3F">
        <w:rPr>
          <w:szCs w:val="22"/>
        </w:rPr>
        <w:t xml:space="preserve">continued compliance with the Consent Decree, including </w:t>
      </w:r>
      <w:r w:rsidR="005E688F">
        <w:rPr>
          <w:szCs w:val="22"/>
        </w:rPr>
        <w:t xml:space="preserve">continued </w:t>
      </w:r>
      <w:r w:rsidR="00D2402F">
        <w:rPr>
          <w:szCs w:val="22"/>
        </w:rPr>
        <w:t xml:space="preserve">filing of compliance </w:t>
      </w:r>
      <w:r w:rsidR="00BC4D3F">
        <w:rPr>
          <w:szCs w:val="22"/>
        </w:rPr>
        <w:t>report</w:t>
      </w:r>
      <w:r w:rsidR="00D2402F">
        <w:rPr>
          <w:szCs w:val="22"/>
        </w:rPr>
        <w:t>s</w:t>
      </w:r>
      <w:r w:rsidR="00BC4D3F">
        <w:rPr>
          <w:szCs w:val="22"/>
        </w:rPr>
        <w:t xml:space="preserve"> </w:t>
      </w:r>
      <w:bookmarkStart w:id="1" w:name="_Hlk504747058"/>
      <w:r w:rsidR="00FA1BB7">
        <w:rPr>
          <w:szCs w:val="22"/>
        </w:rPr>
        <w:t>through September 2025</w:t>
      </w:r>
      <w:r w:rsidR="00BC4D3F">
        <w:rPr>
          <w:szCs w:val="22"/>
        </w:rPr>
        <w:t>.</w:t>
      </w:r>
      <w:r>
        <w:rPr>
          <w:rStyle w:val="FootnoteReference"/>
          <w:szCs w:val="22"/>
        </w:rPr>
        <w:footnoteReference w:id="28"/>
      </w:r>
      <w:r w:rsidR="00BC4D3F">
        <w:rPr>
          <w:szCs w:val="22"/>
        </w:rPr>
        <w:t xml:space="preserve">  </w:t>
      </w:r>
      <w:bookmarkEnd w:id="1"/>
      <w:r w:rsidR="00577594">
        <w:rPr>
          <w:szCs w:val="22"/>
        </w:rPr>
        <w:t>In making</w:t>
      </w:r>
      <w:r w:rsidR="00302530">
        <w:rPr>
          <w:szCs w:val="22"/>
        </w:rPr>
        <w:t xml:space="preserve"> that</w:t>
      </w:r>
      <w:r w:rsidR="00577594">
        <w:rPr>
          <w:szCs w:val="22"/>
        </w:rPr>
        <w:t xml:space="preserve"> determination the Bureau </w:t>
      </w:r>
      <w:r w:rsidR="000D1983">
        <w:rPr>
          <w:szCs w:val="22"/>
        </w:rPr>
        <w:t>w</w:t>
      </w:r>
      <w:r w:rsidR="00302530">
        <w:rPr>
          <w:szCs w:val="22"/>
        </w:rPr>
        <w:t>ill</w:t>
      </w:r>
      <w:r w:rsidR="000D1983">
        <w:rPr>
          <w:szCs w:val="22"/>
        </w:rPr>
        <w:t>, a</w:t>
      </w:r>
      <w:r w:rsidR="003C048A">
        <w:rPr>
          <w:szCs w:val="22"/>
        </w:rPr>
        <w:t xml:space="preserve">s with all license renewal applications, </w:t>
      </w:r>
      <w:r w:rsidR="0051113E">
        <w:rPr>
          <w:szCs w:val="22"/>
        </w:rPr>
        <w:t xml:space="preserve">apply renewal standards and </w:t>
      </w:r>
      <w:r w:rsidR="000D1983">
        <w:rPr>
          <w:szCs w:val="22"/>
        </w:rPr>
        <w:t xml:space="preserve">consider any submissions from </w:t>
      </w:r>
      <w:r w:rsidR="003C048A">
        <w:rPr>
          <w:szCs w:val="22"/>
        </w:rPr>
        <w:t>the public.</w:t>
      </w:r>
      <w:r>
        <w:rPr>
          <w:rStyle w:val="FootnoteReference"/>
          <w:szCs w:val="22"/>
        </w:rPr>
        <w:footnoteReference w:id="29"/>
      </w:r>
      <w:r w:rsidR="003C048A">
        <w:rPr>
          <w:szCs w:val="22"/>
        </w:rPr>
        <w:t xml:space="preserve">  </w:t>
      </w:r>
      <w:r w:rsidR="0057074C">
        <w:rPr>
          <w:szCs w:val="22"/>
        </w:rPr>
        <w:t>Alternatively, i</w:t>
      </w:r>
      <w:r w:rsidR="00FA1BB7">
        <w:rPr>
          <w:szCs w:val="22"/>
        </w:rPr>
        <w:t>f</w:t>
      </w:r>
      <w:r w:rsidR="000D1983">
        <w:rPr>
          <w:szCs w:val="22"/>
        </w:rPr>
        <w:t xml:space="preserve"> </w:t>
      </w:r>
      <w:r w:rsidR="0057074C">
        <w:rPr>
          <w:szCs w:val="22"/>
        </w:rPr>
        <w:t xml:space="preserve">the Bureau determines that </w:t>
      </w:r>
      <w:r w:rsidR="00A50FCA">
        <w:rPr>
          <w:szCs w:val="22"/>
        </w:rPr>
        <w:t xml:space="preserve">CEB did not achieve compliance, </w:t>
      </w:r>
      <w:r w:rsidR="00FA1BB7">
        <w:rPr>
          <w:szCs w:val="22"/>
        </w:rPr>
        <w:t xml:space="preserve">all of the Station’s authorizations would </w:t>
      </w:r>
      <w:r w:rsidRPr="00471704" w:rsidR="00FA1BB7">
        <w:rPr>
          <w:szCs w:val="22"/>
        </w:rPr>
        <w:t>automatic</w:t>
      </w:r>
      <w:r w:rsidR="00FA1BB7">
        <w:rPr>
          <w:szCs w:val="22"/>
        </w:rPr>
        <w:t>ally</w:t>
      </w:r>
      <w:r w:rsidRPr="00471704" w:rsidR="00FA1BB7">
        <w:rPr>
          <w:szCs w:val="22"/>
        </w:rPr>
        <w:t xml:space="preserve"> terminat</w:t>
      </w:r>
      <w:r w:rsidR="00FA1BB7">
        <w:rPr>
          <w:szCs w:val="22"/>
        </w:rPr>
        <w:t>e</w:t>
      </w:r>
      <w:r w:rsidRPr="00471704" w:rsidR="00FA1BB7">
        <w:rPr>
          <w:szCs w:val="22"/>
        </w:rPr>
        <w:t xml:space="preserve"> without a hearing proceeding</w:t>
      </w:r>
      <w:r w:rsidR="00FA1BB7">
        <w:rPr>
          <w:szCs w:val="22"/>
        </w:rPr>
        <w:t xml:space="preserve"> </w:t>
      </w:r>
      <w:r w:rsidR="001B2C5D">
        <w:rPr>
          <w:szCs w:val="22"/>
        </w:rPr>
        <w:t xml:space="preserve">or </w:t>
      </w:r>
      <w:r w:rsidR="00FA1BB7">
        <w:rPr>
          <w:szCs w:val="22"/>
        </w:rPr>
        <w:t>administrative</w:t>
      </w:r>
      <w:r w:rsidR="001B2C5D">
        <w:rPr>
          <w:szCs w:val="22"/>
        </w:rPr>
        <w:t>/</w:t>
      </w:r>
      <w:r w:rsidR="00FA1BB7">
        <w:rPr>
          <w:szCs w:val="22"/>
        </w:rPr>
        <w:t xml:space="preserve">judicial review, </w:t>
      </w:r>
      <w:r w:rsidR="000D1983">
        <w:rPr>
          <w:szCs w:val="22"/>
        </w:rPr>
        <w:t xml:space="preserve">all of </w:t>
      </w:r>
      <w:r w:rsidR="00FA1BB7">
        <w:rPr>
          <w:szCs w:val="22"/>
        </w:rPr>
        <w:t>which CEB waived</w:t>
      </w:r>
      <w:r w:rsidR="006F5EEE">
        <w:rPr>
          <w:szCs w:val="22"/>
        </w:rPr>
        <w:t xml:space="preserve">, </w:t>
      </w:r>
      <w:r w:rsidR="00B07015">
        <w:rPr>
          <w:szCs w:val="22"/>
        </w:rPr>
        <w:t xml:space="preserve">the Station would be permanently removed from the air, </w:t>
      </w:r>
      <w:r w:rsidR="006F5EEE">
        <w:rPr>
          <w:szCs w:val="22"/>
        </w:rPr>
        <w:t>and that the Bureau would dismiss the Application</w:t>
      </w:r>
      <w:r w:rsidR="00FA1BB7">
        <w:rPr>
          <w:szCs w:val="22"/>
        </w:rPr>
        <w:t>.</w:t>
      </w:r>
      <w:r>
        <w:rPr>
          <w:rStyle w:val="FootnoteReference"/>
          <w:szCs w:val="22"/>
        </w:rPr>
        <w:footnoteReference w:id="30"/>
      </w:r>
      <w:r w:rsidR="00FA1BB7">
        <w:rPr>
          <w:szCs w:val="22"/>
        </w:rPr>
        <w:t xml:space="preserve">  </w:t>
      </w:r>
      <w:r w:rsidR="0016633C">
        <w:rPr>
          <w:szCs w:val="22"/>
        </w:rPr>
        <w:t xml:space="preserve">  </w:t>
      </w:r>
    </w:p>
    <w:p w:rsidR="00AC1625" w:rsidP="00AC1625" w14:paraId="0CB321AC" w14:textId="3F0314CB">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r>
      <w:r w:rsidR="00447093">
        <w:rPr>
          <w:rFonts w:asciiTheme="majorBidi" w:hAnsiTheme="majorBidi" w:cstheme="majorBidi"/>
          <w:b/>
          <w:bCs/>
          <w:sz w:val="22"/>
          <w:szCs w:val="22"/>
        </w:rPr>
        <w:t>License Renewal Standards</w:t>
      </w:r>
      <w:r w:rsidRPr="009064ED">
        <w:rPr>
          <w:rFonts w:asciiTheme="majorBidi" w:hAnsiTheme="majorBidi" w:cstheme="majorBidi"/>
          <w:b/>
          <w:bCs/>
          <w:sz w:val="22"/>
          <w:szCs w:val="22"/>
        </w:rPr>
        <w:t>.</w:t>
      </w:r>
      <w:r w:rsidR="00F6264C">
        <w:rPr>
          <w:rFonts w:asciiTheme="majorBidi" w:hAnsiTheme="majorBidi" w:cstheme="majorBidi"/>
          <w:b/>
          <w:bCs/>
          <w:sz w:val="22"/>
          <w:szCs w:val="22"/>
        </w:rPr>
        <w:t xml:space="preserve">  </w:t>
      </w:r>
      <w:r w:rsidR="00447093">
        <w:rPr>
          <w:rFonts w:asciiTheme="majorBidi" w:hAnsiTheme="majorBidi" w:cstheme="majorBidi"/>
          <w:sz w:val="22"/>
          <w:szCs w:val="22"/>
        </w:rPr>
        <w:t>As set forth below, we</w:t>
      </w:r>
      <w:r w:rsidR="00AF69FA">
        <w:rPr>
          <w:rFonts w:asciiTheme="majorBidi" w:hAnsiTheme="majorBidi" w:cstheme="majorBidi"/>
          <w:sz w:val="22"/>
          <w:szCs w:val="22"/>
        </w:rPr>
        <w:t xml:space="preserve"> find that CEB has </w:t>
      </w:r>
      <w:r w:rsidR="00055873">
        <w:rPr>
          <w:rFonts w:asciiTheme="majorBidi" w:hAnsiTheme="majorBidi" w:cstheme="majorBidi"/>
          <w:sz w:val="22"/>
          <w:szCs w:val="22"/>
        </w:rPr>
        <w:t>met</w:t>
      </w:r>
      <w:r w:rsidR="00AF69FA">
        <w:rPr>
          <w:rFonts w:asciiTheme="majorBidi" w:hAnsiTheme="majorBidi" w:cstheme="majorBidi"/>
          <w:sz w:val="22"/>
          <w:szCs w:val="22"/>
        </w:rPr>
        <w:t xml:space="preserve"> the requirements for license renewal.  </w:t>
      </w:r>
      <w:r w:rsidR="00DC1386">
        <w:rPr>
          <w:rFonts w:asciiTheme="majorBidi" w:hAnsiTheme="majorBidi" w:cstheme="majorBidi"/>
          <w:sz w:val="22"/>
          <w:szCs w:val="22"/>
        </w:rPr>
        <w:t xml:space="preserve">It has </w:t>
      </w:r>
      <w:r w:rsidR="007E27CD">
        <w:rPr>
          <w:rFonts w:asciiTheme="majorBidi" w:hAnsiTheme="majorBidi" w:cstheme="majorBidi"/>
          <w:sz w:val="22"/>
          <w:szCs w:val="22"/>
        </w:rPr>
        <w:t>satisfied the</w:t>
      </w:r>
      <w:r w:rsidR="00DC1386">
        <w:rPr>
          <w:rFonts w:asciiTheme="majorBidi" w:hAnsiTheme="majorBidi" w:cstheme="majorBidi"/>
          <w:sz w:val="22"/>
          <w:szCs w:val="22"/>
        </w:rPr>
        <w:t xml:space="preserve"> Consent Decree requirements</w:t>
      </w:r>
      <w:r w:rsidR="007E27CD">
        <w:rPr>
          <w:rFonts w:asciiTheme="majorBidi" w:hAnsiTheme="majorBidi" w:cstheme="majorBidi"/>
          <w:sz w:val="22"/>
          <w:szCs w:val="22"/>
        </w:rPr>
        <w:t xml:space="preserve"> by taking significant corrective actions to come into Rule compliance</w:t>
      </w:r>
      <w:r w:rsidR="00D74211">
        <w:rPr>
          <w:rFonts w:asciiTheme="majorBidi" w:hAnsiTheme="majorBidi" w:cstheme="majorBidi"/>
          <w:sz w:val="22"/>
          <w:szCs w:val="22"/>
        </w:rPr>
        <w:t xml:space="preserve">.  None of its responses </w:t>
      </w:r>
      <w:r w:rsidR="008E4BBE">
        <w:rPr>
          <w:rFonts w:asciiTheme="majorBidi" w:hAnsiTheme="majorBidi" w:cstheme="majorBidi"/>
          <w:sz w:val="22"/>
          <w:szCs w:val="22"/>
        </w:rPr>
        <w:t xml:space="preserve">to standard questions </w:t>
      </w:r>
      <w:r w:rsidR="00D74211">
        <w:rPr>
          <w:rFonts w:asciiTheme="majorBidi" w:hAnsiTheme="majorBidi" w:cstheme="majorBidi"/>
          <w:sz w:val="22"/>
          <w:szCs w:val="22"/>
        </w:rPr>
        <w:t>on the Application raise any additional concerns.  We have considered Smith’s Objection but do not find any matter therein to preclude license renewal under appli</w:t>
      </w:r>
      <w:r w:rsidR="008C1BBA">
        <w:rPr>
          <w:rFonts w:asciiTheme="majorBidi" w:hAnsiTheme="majorBidi" w:cstheme="majorBidi"/>
          <w:sz w:val="22"/>
          <w:szCs w:val="22"/>
        </w:rPr>
        <w:t>c</w:t>
      </w:r>
      <w:r w:rsidR="00D74211">
        <w:rPr>
          <w:rFonts w:asciiTheme="majorBidi" w:hAnsiTheme="majorBidi" w:cstheme="majorBidi"/>
          <w:sz w:val="22"/>
          <w:szCs w:val="22"/>
        </w:rPr>
        <w:t xml:space="preserve">able standards.  </w:t>
      </w:r>
    </w:p>
    <w:p w:rsidR="00AC1625" w:rsidP="00AC1625" w14:paraId="04FE2EB9" w14:textId="77777777">
      <w:pPr>
        <w:tabs>
          <w:tab w:val="left" w:pos="0"/>
        </w:tabs>
        <w:suppressAutoHyphens/>
        <w:outlineLvl w:val="0"/>
        <w:rPr>
          <w:rFonts w:asciiTheme="majorBidi" w:hAnsiTheme="majorBidi" w:cstheme="majorBidi"/>
          <w:sz w:val="22"/>
          <w:szCs w:val="22"/>
        </w:rPr>
      </w:pPr>
    </w:p>
    <w:p w:rsidR="00616163" w:rsidP="00AC1625" w14:paraId="37616313" w14:textId="4EEF8081">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r>
      <w:r w:rsidRPr="008E55E6" w:rsidR="008E55E6">
        <w:rPr>
          <w:rFonts w:asciiTheme="majorBidi" w:hAnsiTheme="majorBidi" w:cstheme="majorBidi"/>
          <w:sz w:val="22"/>
          <w:szCs w:val="22"/>
        </w:rPr>
        <w:t>Section 309(k) of the Communications Act of 1934, as amended (Act)</w:t>
      </w:r>
      <w:r w:rsidR="00831C1A">
        <w:rPr>
          <w:rFonts w:asciiTheme="majorBidi" w:hAnsiTheme="majorBidi" w:cstheme="majorBidi"/>
          <w:sz w:val="22"/>
          <w:szCs w:val="22"/>
        </w:rPr>
        <w:t>,</w:t>
      </w:r>
      <w:r w:rsidRPr="008E55E6" w:rsidR="008E55E6">
        <w:rPr>
          <w:rFonts w:asciiTheme="majorBidi" w:hAnsiTheme="majorBidi" w:cstheme="majorBidi"/>
          <w:sz w:val="22"/>
          <w:szCs w:val="22"/>
        </w:rPr>
        <w:t xml:space="preserve"> establishes that the </w:t>
      </w:r>
      <w:r w:rsidRPr="008E55E6" w:rsidR="008E55E6">
        <w:rPr>
          <w:rFonts w:asciiTheme="majorBidi" w:hAnsiTheme="majorBidi" w:cstheme="majorBidi"/>
          <w:sz w:val="22"/>
          <w:szCs w:val="22"/>
        </w:rPr>
        <w:t>Commission, in order to renew the license of a broadcast station routinely, must determine that the station has had no serious violations and/or violations that, when taken together, constitute a pattern of abuse.</w:t>
      </w:r>
      <w:r>
        <w:rPr>
          <w:rStyle w:val="FootnoteReference"/>
          <w:rFonts w:cstheme="majorBidi"/>
          <w:szCs w:val="22"/>
        </w:rPr>
        <w:footnoteReference w:id="31"/>
      </w:r>
      <w:r w:rsidRPr="008E55E6" w:rsidR="008E55E6">
        <w:rPr>
          <w:rFonts w:asciiTheme="majorBidi" w:hAnsiTheme="majorBidi" w:cstheme="majorBidi"/>
          <w:b/>
          <w:bCs/>
          <w:sz w:val="22"/>
          <w:szCs w:val="22"/>
        </w:rPr>
        <w:t xml:space="preserve"> </w:t>
      </w:r>
      <w:r>
        <w:rPr>
          <w:rFonts w:asciiTheme="majorBidi" w:hAnsiTheme="majorBidi" w:cstheme="majorBidi"/>
          <w:b/>
          <w:bCs/>
          <w:sz w:val="22"/>
          <w:szCs w:val="22"/>
        </w:rPr>
        <w:t xml:space="preserve"> </w:t>
      </w:r>
      <w:r w:rsidR="00D74211">
        <w:rPr>
          <w:rFonts w:asciiTheme="majorBidi" w:hAnsiTheme="majorBidi" w:cstheme="majorBidi"/>
          <w:sz w:val="22"/>
          <w:szCs w:val="22"/>
        </w:rPr>
        <w:t xml:space="preserve">We </w:t>
      </w:r>
      <w:r w:rsidR="00AF69FA">
        <w:rPr>
          <w:rFonts w:asciiTheme="majorBidi" w:hAnsiTheme="majorBidi" w:cstheme="majorBidi"/>
          <w:sz w:val="22"/>
          <w:szCs w:val="22"/>
        </w:rPr>
        <w:t xml:space="preserve">first </w:t>
      </w:r>
      <w:r>
        <w:rPr>
          <w:rFonts w:asciiTheme="majorBidi" w:hAnsiTheme="majorBidi" w:cstheme="majorBidi"/>
          <w:sz w:val="22"/>
          <w:szCs w:val="22"/>
        </w:rPr>
        <w:t xml:space="preserve">address </w:t>
      </w:r>
      <w:r w:rsidR="00AF69FA">
        <w:rPr>
          <w:rFonts w:asciiTheme="majorBidi" w:hAnsiTheme="majorBidi" w:cstheme="majorBidi"/>
          <w:sz w:val="22"/>
          <w:szCs w:val="22"/>
        </w:rPr>
        <w:t>CEB’s performance under the Consent Decree because, a</w:t>
      </w:r>
      <w:r w:rsidR="00B926D8">
        <w:rPr>
          <w:rFonts w:asciiTheme="majorBidi" w:hAnsiTheme="majorBidi" w:cstheme="majorBidi"/>
          <w:sz w:val="22"/>
          <w:szCs w:val="22"/>
        </w:rPr>
        <w:t xml:space="preserve">s described previously, </w:t>
      </w:r>
      <w:r w:rsidRPr="00616163">
        <w:rPr>
          <w:rFonts w:asciiTheme="majorBidi" w:hAnsiTheme="majorBidi" w:cstheme="majorBidi"/>
          <w:sz w:val="22"/>
          <w:szCs w:val="22"/>
        </w:rPr>
        <w:t xml:space="preserve">CEB has stipulated </w:t>
      </w:r>
      <w:r>
        <w:rPr>
          <w:rFonts w:asciiTheme="majorBidi" w:hAnsiTheme="majorBidi" w:cstheme="majorBidi"/>
          <w:sz w:val="22"/>
          <w:szCs w:val="22"/>
        </w:rPr>
        <w:t>that</w:t>
      </w:r>
      <w:r w:rsidR="00B926D8">
        <w:rPr>
          <w:rFonts w:asciiTheme="majorBidi" w:hAnsiTheme="majorBidi" w:cstheme="majorBidi"/>
          <w:sz w:val="22"/>
          <w:szCs w:val="22"/>
        </w:rPr>
        <w:t xml:space="preserve"> </w:t>
      </w:r>
      <w:r>
        <w:rPr>
          <w:rFonts w:asciiTheme="majorBidi" w:hAnsiTheme="majorBidi" w:cstheme="majorBidi"/>
          <w:sz w:val="22"/>
          <w:szCs w:val="22"/>
        </w:rPr>
        <w:t xml:space="preserve">its </w:t>
      </w:r>
      <w:r w:rsidR="00551B6D">
        <w:rPr>
          <w:rFonts w:asciiTheme="majorBidi" w:hAnsiTheme="majorBidi" w:cstheme="majorBidi"/>
          <w:sz w:val="22"/>
          <w:szCs w:val="22"/>
        </w:rPr>
        <w:t xml:space="preserve">prior </w:t>
      </w:r>
      <w:r>
        <w:rPr>
          <w:rFonts w:asciiTheme="majorBidi" w:hAnsiTheme="majorBidi" w:cstheme="majorBidi"/>
          <w:sz w:val="22"/>
          <w:szCs w:val="22"/>
        </w:rPr>
        <w:t xml:space="preserve">admitted violations would not satisfy the section </w:t>
      </w:r>
      <w:r w:rsidR="00057B8F">
        <w:rPr>
          <w:rFonts w:asciiTheme="majorBidi" w:hAnsiTheme="majorBidi" w:cstheme="majorBidi"/>
          <w:sz w:val="22"/>
          <w:szCs w:val="22"/>
        </w:rPr>
        <w:t xml:space="preserve">309(k) </w:t>
      </w:r>
      <w:r w:rsidR="00AF69FA">
        <w:rPr>
          <w:rFonts w:asciiTheme="majorBidi" w:hAnsiTheme="majorBidi" w:cstheme="majorBidi"/>
          <w:sz w:val="22"/>
          <w:szCs w:val="22"/>
        </w:rPr>
        <w:t xml:space="preserve">renewal </w:t>
      </w:r>
      <w:r>
        <w:rPr>
          <w:rFonts w:asciiTheme="majorBidi" w:hAnsiTheme="majorBidi" w:cstheme="majorBidi"/>
          <w:sz w:val="22"/>
          <w:szCs w:val="22"/>
        </w:rPr>
        <w:t>standard</w:t>
      </w:r>
      <w:r w:rsidR="00520B2D">
        <w:rPr>
          <w:rFonts w:asciiTheme="majorBidi" w:hAnsiTheme="majorBidi" w:cstheme="majorBidi"/>
          <w:sz w:val="22"/>
          <w:szCs w:val="22"/>
        </w:rPr>
        <w:t xml:space="preserve"> </w:t>
      </w:r>
      <w:r w:rsidR="00B926D8">
        <w:rPr>
          <w:rFonts w:asciiTheme="majorBidi" w:hAnsiTheme="majorBidi" w:cstheme="majorBidi"/>
          <w:sz w:val="22"/>
          <w:szCs w:val="22"/>
        </w:rPr>
        <w:t xml:space="preserve">absent </w:t>
      </w:r>
      <w:r w:rsidR="00057B8F">
        <w:rPr>
          <w:rFonts w:asciiTheme="majorBidi" w:hAnsiTheme="majorBidi" w:cstheme="majorBidi"/>
          <w:sz w:val="22"/>
          <w:szCs w:val="22"/>
        </w:rPr>
        <w:t xml:space="preserve">required Consent Decree </w:t>
      </w:r>
      <w:r w:rsidR="00B926D8">
        <w:rPr>
          <w:rFonts w:asciiTheme="majorBidi" w:hAnsiTheme="majorBidi" w:cstheme="majorBidi"/>
          <w:sz w:val="22"/>
          <w:szCs w:val="22"/>
        </w:rPr>
        <w:t>compliance</w:t>
      </w:r>
      <w:r w:rsidR="00057B8F">
        <w:rPr>
          <w:rFonts w:asciiTheme="majorBidi" w:hAnsiTheme="majorBidi" w:cstheme="majorBidi"/>
          <w:sz w:val="22"/>
          <w:szCs w:val="22"/>
        </w:rPr>
        <w:t xml:space="preserve"> actions</w:t>
      </w:r>
      <w:r w:rsidR="00AF69FA">
        <w:rPr>
          <w:rFonts w:asciiTheme="majorBidi" w:hAnsiTheme="majorBidi" w:cstheme="majorBidi"/>
          <w:sz w:val="22"/>
          <w:szCs w:val="22"/>
        </w:rPr>
        <w:t xml:space="preserve">, </w:t>
      </w:r>
      <w:r w:rsidR="00520B2D">
        <w:rPr>
          <w:rFonts w:asciiTheme="majorBidi" w:hAnsiTheme="majorBidi" w:cstheme="majorBidi"/>
          <w:sz w:val="22"/>
          <w:szCs w:val="22"/>
        </w:rPr>
        <w:t>and</w:t>
      </w:r>
      <w:r w:rsidR="00AF69FA">
        <w:rPr>
          <w:rFonts w:asciiTheme="majorBidi" w:hAnsiTheme="majorBidi" w:cstheme="majorBidi"/>
          <w:sz w:val="22"/>
          <w:szCs w:val="22"/>
        </w:rPr>
        <w:t xml:space="preserve"> that</w:t>
      </w:r>
      <w:r w:rsidR="00B926D8">
        <w:rPr>
          <w:rFonts w:asciiTheme="majorBidi" w:hAnsiTheme="majorBidi" w:cstheme="majorBidi"/>
          <w:sz w:val="22"/>
          <w:szCs w:val="22"/>
        </w:rPr>
        <w:t xml:space="preserve"> </w:t>
      </w:r>
      <w:r>
        <w:rPr>
          <w:rFonts w:asciiTheme="majorBidi" w:hAnsiTheme="majorBidi" w:cstheme="majorBidi"/>
          <w:sz w:val="22"/>
          <w:szCs w:val="22"/>
        </w:rPr>
        <w:t xml:space="preserve">failure to come into </w:t>
      </w:r>
      <w:r w:rsidR="00520B2D">
        <w:rPr>
          <w:rFonts w:asciiTheme="majorBidi" w:hAnsiTheme="majorBidi" w:cstheme="majorBidi"/>
          <w:sz w:val="22"/>
          <w:szCs w:val="22"/>
        </w:rPr>
        <w:t>compliance would result in termination of all Station authority</w:t>
      </w:r>
      <w:r>
        <w:rPr>
          <w:rFonts w:asciiTheme="majorBidi" w:hAnsiTheme="majorBidi" w:cstheme="majorBidi"/>
          <w:sz w:val="22"/>
          <w:szCs w:val="22"/>
        </w:rPr>
        <w:t>.</w:t>
      </w:r>
      <w:r>
        <w:rPr>
          <w:rStyle w:val="FootnoteReference"/>
          <w:rFonts w:cstheme="majorBidi"/>
          <w:szCs w:val="22"/>
        </w:rPr>
        <w:footnoteReference w:id="32"/>
      </w:r>
      <w:r>
        <w:rPr>
          <w:rFonts w:asciiTheme="majorBidi" w:hAnsiTheme="majorBidi" w:cstheme="majorBidi"/>
          <w:sz w:val="22"/>
          <w:szCs w:val="22"/>
        </w:rPr>
        <w:t xml:space="preserve">  </w:t>
      </w:r>
    </w:p>
    <w:p w:rsidR="00616163" w:rsidP="008E55E6" w14:paraId="0415C158" w14:textId="77777777">
      <w:pPr>
        <w:tabs>
          <w:tab w:val="left" w:pos="0"/>
        </w:tabs>
        <w:suppressAutoHyphens/>
        <w:outlineLvl w:val="0"/>
        <w:rPr>
          <w:rFonts w:asciiTheme="majorBidi" w:hAnsiTheme="majorBidi" w:cstheme="majorBidi"/>
          <w:sz w:val="22"/>
          <w:szCs w:val="22"/>
        </w:rPr>
      </w:pPr>
    </w:p>
    <w:p w:rsidR="001D38C3" w:rsidP="00882E9A" w14:paraId="09E0939E" w14:textId="267B7753">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r>
      <w:r w:rsidR="00447093">
        <w:rPr>
          <w:rFonts w:asciiTheme="majorBidi" w:hAnsiTheme="majorBidi" w:cstheme="majorBidi"/>
          <w:b/>
          <w:bCs/>
          <w:sz w:val="22"/>
          <w:szCs w:val="22"/>
        </w:rPr>
        <w:t xml:space="preserve">Consent Decree Performance During Probation Period.  </w:t>
      </w:r>
      <w:r w:rsidR="00520B2D">
        <w:rPr>
          <w:rFonts w:asciiTheme="majorBidi" w:hAnsiTheme="majorBidi" w:cstheme="majorBidi"/>
          <w:sz w:val="22"/>
          <w:szCs w:val="22"/>
        </w:rPr>
        <w:t>CEB has</w:t>
      </w:r>
      <w:r w:rsidR="00C247D0">
        <w:rPr>
          <w:rFonts w:asciiTheme="majorBidi" w:hAnsiTheme="majorBidi" w:cstheme="majorBidi"/>
          <w:sz w:val="22"/>
          <w:szCs w:val="22"/>
        </w:rPr>
        <w:t>, within the probationary period,</w:t>
      </w:r>
      <w:r w:rsidR="00520B2D">
        <w:rPr>
          <w:rFonts w:asciiTheme="majorBidi" w:hAnsiTheme="majorBidi" w:cstheme="majorBidi"/>
          <w:sz w:val="22"/>
          <w:szCs w:val="22"/>
        </w:rPr>
        <w:t xml:space="preserve"> </w:t>
      </w:r>
      <w:r w:rsidR="00C247D0">
        <w:rPr>
          <w:rFonts w:asciiTheme="majorBidi" w:hAnsiTheme="majorBidi" w:cstheme="majorBidi"/>
          <w:sz w:val="22"/>
          <w:szCs w:val="22"/>
        </w:rPr>
        <w:t xml:space="preserve">taken </w:t>
      </w:r>
      <w:r w:rsidR="00BA371F">
        <w:rPr>
          <w:rFonts w:asciiTheme="majorBidi" w:hAnsiTheme="majorBidi" w:cstheme="majorBidi"/>
          <w:sz w:val="22"/>
          <w:szCs w:val="22"/>
        </w:rPr>
        <w:t xml:space="preserve">all </w:t>
      </w:r>
      <w:r w:rsidR="001332B1">
        <w:rPr>
          <w:rFonts w:asciiTheme="majorBidi" w:hAnsiTheme="majorBidi" w:cstheme="majorBidi"/>
          <w:sz w:val="22"/>
          <w:szCs w:val="22"/>
        </w:rPr>
        <w:t>actions</w:t>
      </w:r>
      <w:r w:rsidR="00BA371F">
        <w:rPr>
          <w:rFonts w:asciiTheme="majorBidi" w:hAnsiTheme="majorBidi" w:cstheme="majorBidi"/>
          <w:sz w:val="22"/>
          <w:szCs w:val="22"/>
        </w:rPr>
        <w:t xml:space="preserve"> required under the Consent Decree</w:t>
      </w:r>
      <w:r w:rsidR="00C247D0">
        <w:rPr>
          <w:rFonts w:asciiTheme="majorBidi" w:hAnsiTheme="majorBidi" w:cstheme="majorBidi"/>
          <w:sz w:val="22"/>
          <w:szCs w:val="22"/>
        </w:rPr>
        <w:t xml:space="preserve">.  </w:t>
      </w:r>
      <w:r w:rsidR="004B50CE">
        <w:rPr>
          <w:rFonts w:asciiTheme="majorBidi" w:hAnsiTheme="majorBidi" w:cstheme="majorBidi"/>
          <w:sz w:val="22"/>
          <w:szCs w:val="22"/>
        </w:rPr>
        <w:t xml:space="preserve">CEB </w:t>
      </w:r>
      <w:r w:rsidR="00E3132D">
        <w:rPr>
          <w:rFonts w:asciiTheme="majorBidi" w:hAnsiTheme="majorBidi" w:cstheme="majorBidi"/>
          <w:sz w:val="22"/>
          <w:szCs w:val="22"/>
        </w:rPr>
        <w:t>modified its facilities</w:t>
      </w:r>
      <w:r w:rsidR="00D24ACE">
        <w:rPr>
          <w:rFonts w:asciiTheme="majorBidi" w:hAnsiTheme="majorBidi" w:cstheme="majorBidi"/>
          <w:sz w:val="22"/>
          <w:szCs w:val="22"/>
        </w:rPr>
        <w:t xml:space="preserve"> by reducing power and class</w:t>
      </w:r>
      <w:r w:rsidR="006863B8">
        <w:rPr>
          <w:rFonts w:asciiTheme="majorBidi" w:hAnsiTheme="majorBidi" w:cstheme="majorBidi"/>
          <w:sz w:val="22"/>
          <w:szCs w:val="22"/>
        </w:rPr>
        <w:t xml:space="preserve">, </w:t>
      </w:r>
      <w:r w:rsidR="00E3132D">
        <w:rPr>
          <w:rFonts w:asciiTheme="majorBidi" w:hAnsiTheme="majorBidi" w:cstheme="majorBidi"/>
          <w:sz w:val="22"/>
          <w:szCs w:val="22"/>
        </w:rPr>
        <w:t>applied for a covering license</w:t>
      </w:r>
      <w:r w:rsidR="00D24ACE">
        <w:rPr>
          <w:rFonts w:asciiTheme="majorBidi" w:hAnsiTheme="majorBidi" w:cstheme="majorBidi"/>
          <w:sz w:val="22"/>
          <w:szCs w:val="22"/>
        </w:rPr>
        <w:t xml:space="preserve"> which the Bureau granted</w:t>
      </w:r>
      <w:r w:rsidR="006863B8">
        <w:rPr>
          <w:rFonts w:asciiTheme="majorBidi" w:hAnsiTheme="majorBidi" w:cstheme="majorBidi"/>
          <w:sz w:val="22"/>
          <w:szCs w:val="22"/>
        </w:rPr>
        <w:t>, and replaced its transmitter</w:t>
      </w:r>
      <w:r w:rsidR="00E3132D">
        <w:rPr>
          <w:rFonts w:asciiTheme="majorBidi" w:hAnsiTheme="majorBidi" w:cstheme="majorBidi"/>
          <w:sz w:val="22"/>
          <w:szCs w:val="22"/>
        </w:rPr>
        <w:t>.</w:t>
      </w:r>
      <w:r>
        <w:rPr>
          <w:rStyle w:val="FootnoteReference"/>
          <w:rFonts w:cstheme="majorBidi"/>
          <w:szCs w:val="22"/>
        </w:rPr>
        <w:footnoteReference w:id="33"/>
      </w:r>
      <w:r w:rsidR="00C247D0">
        <w:rPr>
          <w:rFonts w:asciiTheme="majorBidi" w:hAnsiTheme="majorBidi" w:cstheme="majorBidi"/>
          <w:sz w:val="22"/>
          <w:szCs w:val="22"/>
        </w:rPr>
        <w:t xml:space="preserve">  </w:t>
      </w:r>
      <w:r w:rsidR="00E3132D">
        <w:rPr>
          <w:rFonts w:asciiTheme="majorBidi" w:hAnsiTheme="majorBidi" w:cstheme="majorBidi"/>
          <w:sz w:val="22"/>
          <w:szCs w:val="22"/>
        </w:rPr>
        <w:t>CEB</w:t>
      </w:r>
      <w:r w:rsidR="00662EDF">
        <w:rPr>
          <w:rFonts w:asciiTheme="majorBidi" w:hAnsiTheme="majorBidi" w:cstheme="majorBidi"/>
          <w:sz w:val="22"/>
          <w:szCs w:val="22"/>
        </w:rPr>
        <w:t xml:space="preserve">’s </w:t>
      </w:r>
      <w:r w:rsidR="0091586D">
        <w:rPr>
          <w:rFonts w:asciiTheme="majorBidi" w:hAnsiTheme="majorBidi" w:cstheme="majorBidi"/>
          <w:sz w:val="22"/>
          <w:szCs w:val="22"/>
        </w:rPr>
        <w:t>compliance reports</w:t>
      </w:r>
      <w:r w:rsidR="00662EDF">
        <w:rPr>
          <w:rFonts w:asciiTheme="majorBidi" w:hAnsiTheme="majorBidi" w:cstheme="majorBidi"/>
          <w:sz w:val="22"/>
          <w:szCs w:val="22"/>
        </w:rPr>
        <w:t>, which it</w:t>
      </w:r>
      <w:r w:rsidR="00C247D0">
        <w:rPr>
          <w:rFonts w:asciiTheme="majorBidi" w:hAnsiTheme="majorBidi" w:cstheme="majorBidi"/>
          <w:sz w:val="22"/>
          <w:szCs w:val="22"/>
        </w:rPr>
        <w:t xml:space="preserve"> </w:t>
      </w:r>
      <w:r w:rsidR="00662EDF">
        <w:rPr>
          <w:rFonts w:asciiTheme="majorBidi" w:hAnsiTheme="majorBidi" w:cstheme="majorBidi"/>
          <w:sz w:val="22"/>
          <w:szCs w:val="22"/>
        </w:rPr>
        <w:t>has been filing quarterly, reflect</w:t>
      </w:r>
      <w:r w:rsidR="00C247D0">
        <w:rPr>
          <w:rFonts w:asciiTheme="majorBidi" w:hAnsiTheme="majorBidi" w:cstheme="majorBidi"/>
          <w:sz w:val="22"/>
          <w:szCs w:val="22"/>
        </w:rPr>
        <w:t xml:space="preserve"> that it is using </w:t>
      </w:r>
      <w:r w:rsidR="00662EDF">
        <w:rPr>
          <w:rFonts w:asciiTheme="majorBidi" w:hAnsiTheme="majorBidi" w:cstheme="majorBidi"/>
          <w:sz w:val="22"/>
          <w:szCs w:val="22"/>
        </w:rPr>
        <w:t xml:space="preserve">its </w:t>
      </w:r>
      <w:r w:rsidR="00551B6D">
        <w:rPr>
          <w:rFonts w:asciiTheme="majorBidi" w:hAnsiTheme="majorBidi" w:cstheme="majorBidi"/>
          <w:sz w:val="22"/>
          <w:szCs w:val="22"/>
        </w:rPr>
        <w:t xml:space="preserve">compliance </w:t>
      </w:r>
      <w:r w:rsidR="00E3132D">
        <w:rPr>
          <w:rFonts w:asciiTheme="majorBidi" w:hAnsiTheme="majorBidi" w:cstheme="majorBidi"/>
          <w:sz w:val="22"/>
          <w:szCs w:val="22"/>
        </w:rPr>
        <w:t>manual</w:t>
      </w:r>
      <w:r>
        <w:rPr>
          <w:rFonts w:asciiTheme="majorBidi" w:hAnsiTheme="majorBidi" w:cstheme="majorBidi"/>
          <w:sz w:val="22"/>
          <w:szCs w:val="22"/>
        </w:rPr>
        <w:t xml:space="preserve">, </w:t>
      </w:r>
      <w:r w:rsidR="00C247D0">
        <w:rPr>
          <w:rFonts w:asciiTheme="majorBidi" w:hAnsiTheme="majorBidi" w:cstheme="majorBidi"/>
          <w:sz w:val="22"/>
          <w:szCs w:val="22"/>
        </w:rPr>
        <w:t xml:space="preserve">training its staff to </w:t>
      </w:r>
      <w:r w:rsidR="00E3132D">
        <w:rPr>
          <w:rFonts w:asciiTheme="majorBidi" w:hAnsiTheme="majorBidi" w:cstheme="majorBidi"/>
          <w:sz w:val="22"/>
          <w:szCs w:val="22"/>
        </w:rPr>
        <w:t>follow the procedures therein</w:t>
      </w:r>
      <w:r>
        <w:rPr>
          <w:rFonts w:asciiTheme="majorBidi" w:hAnsiTheme="majorBidi" w:cstheme="majorBidi"/>
          <w:sz w:val="22"/>
          <w:szCs w:val="22"/>
        </w:rPr>
        <w:t xml:space="preserve">, and having quarterly </w:t>
      </w:r>
      <w:r w:rsidR="00D24ACE">
        <w:rPr>
          <w:rFonts w:asciiTheme="majorBidi" w:hAnsiTheme="majorBidi" w:cstheme="majorBidi"/>
          <w:sz w:val="22"/>
          <w:szCs w:val="22"/>
        </w:rPr>
        <w:t xml:space="preserve">compliance </w:t>
      </w:r>
      <w:r>
        <w:rPr>
          <w:rFonts w:asciiTheme="majorBidi" w:hAnsiTheme="majorBidi" w:cstheme="majorBidi"/>
          <w:sz w:val="22"/>
          <w:szCs w:val="22"/>
        </w:rPr>
        <w:t>meetings</w:t>
      </w:r>
      <w:r w:rsidR="00662EDF">
        <w:rPr>
          <w:rFonts w:asciiTheme="majorBidi" w:hAnsiTheme="majorBidi" w:cstheme="majorBidi"/>
          <w:sz w:val="22"/>
          <w:szCs w:val="22"/>
        </w:rPr>
        <w:t xml:space="preserve"> with counsel</w:t>
      </w:r>
      <w:r w:rsidR="00E3132D">
        <w:rPr>
          <w:rFonts w:asciiTheme="majorBidi" w:hAnsiTheme="majorBidi" w:cstheme="majorBidi"/>
          <w:sz w:val="22"/>
          <w:szCs w:val="22"/>
        </w:rPr>
        <w:t xml:space="preserve">.  </w:t>
      </w:r>
      <w:r w:rsidR="000D10A8">
        <w:rPr>
          <w:rFonts w:asciiTheme="majorBidi" w:hAnsiTheme="majorBidi" w:cstheme="majorBidi"/>
          <w:sz w:val="22"/>
          <w:szCs w:val="22"/>
        </w:rPr>
        <w:t xml:space="preserve">The reports </w:t>
      </w:r>
      <w:r w:rsidR="00C247D0">
        <w:rPr>
          <w:rFonts w:asciiTheme="majorBidi" w:hAnsiTheme="majorBidi" w:cstheme="majorBidi"/>
          <w:sz w:val="22"/>
          <w:szCs w:val="22"/>
        </w:rPr>
        <w:t xml:space="preserve">also </w:t>
      </w:r>
      <w:r w:rsidR="000D10A8">
        <w:rPr>
          <w:rFonts w:asciiTheme="majorBidi" w:hAnsiTheme="majorBidi" w:cstheme="majorBidi"/>
          <w:sz w:val="22"/>
          <w:szCs w:val="22"/>
        </w:rPr>
        <w:t xml:space="preserve">show that CEB has been keeping </w:t>
      </w:r>
      <w:r w:rsidR="00D24ACE">
        <w:rPr>
          <w:rFonts w:asciiTheme="majorBidi" w:hAnsiTheme="majorBidi" w:cstheme="majorBidi"/>
          <w:sz w:val="22"/>
          <w:szCs w:val="22"/>
        </w:rPr>
        <w:t xml:space="preserve">daily </w:t>
      </w:r>
      <w:r w:rsidR="000D10A8">
        <w:rPr>
          <w:rFonts w:asciiTheme="majorBidi" w:hAnsiTheme="majorBidi" w:cstheme="majorBidi"/>
          <w:sz w:val="22"/>
          <w:szCs w:val="22"/>
        </w:rPr>
        <w:t>technical logs</w:t>
      </w:r>
      <w:r w:rsidR="00D24ACE">
        <w:rPr>
          <w:rFonts w:asciiTheme="majorBidi" w:hAnsiTheme="majorBidi" w:cstheme="majorBidi"/>
          <w:sz w:val="22"/>
          <w:szCs w:val="22"/>
        </w:rPr>
        <w:t xml:space="preserve"> of transmitter performance</w:t>
      </w:r>
      <w:r w:rsidR="000D10A8">
        <w:rPr>
          <w:rFonts w:asciiTheme="majorBidi" w:hAnsiTheme="majorBidi" w:cstheme="majorBidi"/>
          <w:sz w:val="22"/>
          <w:szCs w:val="22"/>
        </w:rPr>
        <w:t>, checking its tower lighting, and consulting an engineer</w:t>
      </w:r>
      <w:r>
        <w:rPr>
          <w:rFonts w:asciiTheme="majorBidi" w:hAnsiTheme="majorBidi" w:cstheme="majorBidi"/>
          <w:sz w:val="22"/>
          <w:szCs w:val="22"/>
        </w:rPr>
        <w:t xml:space="preserve"> when a problem arises</w:t>
      </w:r>
      <w:r w:rsidR="000D10A8">
        <w:rPr>
          <w:rFonts w:asciiTheme="majorBidi" w:hAnsiTheme="majorBidi" w:cstheme="majorBidi"/>
          <w:sz w:val="22"/>
          <w:szCs w:val="22"/>
        </w:rPr>
        <w:t>.</w:t>
      </w:r>
      <w:r>
        <w:rPr>
          <w:rStyle w:val="FootnoteReference"/>
          <w:rFonts w:cstheme="majorBidi"/>
          <w:szCs w:val="22"/>
        </w:rPr>
        <w:footnoteReference w:id="34"/>
      </w:r>
      <w:r w:rsidR="000D10A8">
        <w:rPr>
          <w:rFonts w:asciiTheme="majorBidi" w:hAnsiTheme="majorBidi" w:cstheme="majorBidi"/>
          <w:sz w:val="22"/>
          <w:szCs w:val="22"/>
        </w:rPr>
        <w:t xml:space="preserve">  </w:t>
      </w:r>
      <w:r w:rsidR="00C247D0">
        <w:rPr>
          <w:rFonts w:asciiTheme="majorBidi" w:hAnsiTheme="majorBidi" w:cstheme="majorBidi"/>
          <w:sz w:val="22"/>
          <w:szCs w:val="22"/>
        </w:rPr>
        <w:t>CEB indicates that it</w:t>
      </w:r>
      <w:r>
        <w:rPr>
          <w:rFonts w:asciiTheme="majorBidi" w:hAnsiTheme="majorBidi" w:cstheme="majorBidi"/>
          <w:sz w:val="22"/>
          <w:szCs w:val="22"/>
        </w:rPr>
        <w:t xml:space="preserve"> </w:t>
      </w:r>
      <w:r w:rsidR="00E762BE">
        <w:rPr>
          <w:rFonts w:asciiTheme="majorBidi" w:hAnsiTheme="majorBidi" w:cstheme="majorBidi"/>
          <w:sz w:val="22"/>
          <w:szCs w:val="22"/>
        </w:rPr>
        <w:t xml:space="preserve">engaged </w:t>
      </w:r>
      <w:r>
        <w:rPr>
          <w:rFonts w:asciiTheme="majorBidi" w:hAnsiTheme="majorBidi" w:cstheme="majorBidi"/>
          <w:sz w:val="22"/>
          <w:szCs w:val="22"/>
        </w:rPr>
        <w:t xml:space="preserve">an engineer on a part-time basis </w:t>
      </w:r>
      <w:r w:rsidR="00C247D0">
        <w:rPr>
          <w:rFonts w:asciiTheme="majorBidi" w:hAnsiTheme="majorBidi" w:cstheme="majorBidi"/>
          <w:sz w:val="22"/>
          <w:szCs w:val="22"/>
        </w:rPr>
        <w:t xml:space="preserve">during the probationary period </w:t>
      </w:r>
      <w:r w:rsidR="00E762BE">
        <w:rPr>
          <w:rFonts w:asciiTheme="majorBidi" w:hAnsiTheme="majorBidi" w:cstheme="majorBidi"/>
          <w:sz w:val="22"/>
          <w:szCs w:val="22"/>
        </w:rPr>
        <w:t xml:space="preserve">and </w:t>
      </w:r>
      <w:r w:rsidR="00C247D0">
        <w:rPr>
          <w:rFonts w:asciiTheme="majorBidi" w:hAnsiTheme="majorBidi" w:cstheme="majorBidi"/>
          <w:sz w:val="22"/>
          <w:szCs w:val="22"/>
        </w:rPr>
        <w:t>that</w:t>
      </w:r>
      <w:r w:rsidR="001332B1">
        <w:rPr>
          <w:rFonts w:asciiTheme="majorBidi" w:hAnsiTheme="majorBidi" w:cstheme="majorBidi"/>
          <w:sz w:val="22"/>
          <w:szCs w:val="22"/>
        </w:rPr>
        <w:t>,</w:t>
      </w:r>
      <w:r w:rsidR="00C247D0">
        <w:rPr>
          <w:rFonts w:asciiTheme="majorBidi" w:hAnsiTheme="majorBidi" w:cstheme="majorBidi"/>
          <w:sz w:val="22"/>
          <w:szCs w:val="22"/>
        </w:rPr>
        <w:t xml:space="preserve"> in response to </w:t>
      </w:r>
      <w:r w:rsidR="00E762BE">
        <w:rPr>
          <w:rFonts w:asciiTheme="majorBidi" w:hAnsiTheme="majorBidi" w:cstheme="majorBidi"/>
          <w:sz w:val="22"/>
          <w:szCs w:val="22"/>
        </w:rPr>
        <w:t xml:space="preserve">some scheduling delays </w:t>
      </w:r>
      <w:r w:rsidR="00C247D0">
        <w:rPr>
          <w:rFonts w:asciiTheme="majorBidi" w:hAnsiTheme="majorBidi" w:cstheme="majorBidi"/>
          <w:sz w:val="22"/>
          <w:szCs w:val="22"/>
        </w:rPr>
        <w:t xml:space="preserve">resulting </w:t>
      </w:r>
      <w:r w:rsidR="00E762BE">
        <w:rPr>
          <w:rFonts w:asciiTheme="majorBidi" w:hAnsiTheme="majorBidi" w:cstheme="majorBidi"/>
          <w:sz w:val="22"/>
          <w:szCs w:val="22"/>
        </w:rPr>
        <w:t>from th</w:t>
      </w:r>
      <w:r w:rsidR="00954462">
        <w:rPr>
          <w:rFonts w:asciiTheme="majorBidi" w:hAnsiTheme="majorBidi" w:cstheme="majorBidi"/>
          <w:sz w:val="22"/>
          <w:szCs w:val="22"/>
        </w:rPr>
        <w:t>at</w:t>
      </w:r>
      <w:r w:rsidR="00C247D0">
        <w:rPr>
          <w:rFonts w:asciiTheme="majorBidi" w:hAnsiTheme="majorBidi" w:cstheme="majorBidi"/>
          <w:sz w:val="22"/>
          <w:szCs w:val="22"/>
        </w:rPr>
        <w:t xml:space="preserve"> part-time</w:t>
      </w:r>
      <w:r w:rsidR="00E762BE">
        <w:rPr>
          <w:rFonts w:asciiTheme="majorBidi" w:hAnsiTheme="majorBidi" w:cstheme="majorBidi"/>
          <w:sz w:val="22"/>
          <w:szCs w:val="22"/>
        </w:rPr>
        <w:t xml:space="preserve"> arrangement, </w:t>
      </w:r>
      <w:r w:rsidR="001332B1">
        <w:rPr>
          <w:rFonts w:asciiTheme="majorBidi" w:hAnsiTheme="majorBidi" w:cstheme="majorBidi"/>
          <w:sz w:val="22"/>
          <w:szCs w:val="22"/>
        </w:rPr>
        <w:t xml:space="preserve">it </w:t>
      </w:r>
      <w:r w:rsidR="00E762BE">
        <w:rPr>
          <w:rFonts w:asciiTheme="majorBidi" w:hAnsiTheme="majorBidi" w:cstheme="majorBidi"/>
          <w:sz w:val="22"/>
          <w:szCs w:val="22"/>
        </w:rPr>
        <w:t>hire</w:t>
      </w:r>
      <w:r w:rsidR="00954462">
        <w:rPr>
          <w:rFonts w:asciiTheme="majorBidi" w:hAnsiTheme="majorBidi" w:cstheme="majorBidi"/>
          <w:sz w:val="22"/>
          <w:szCs w:val="22"/>
        </w:rPr>
        <w:t>d</w:t>
      </w:r>
      <w:r>
        <w:rPr>
          <w:rFonts w:asciiTheme="majorBidi" w:hAnsiTheme="majorBidi" w:cstheme="majorBidi"/>
          <w:sz w:val="22"/>
          <w:szCs w:val="22"/>
        </w:rPr>
        <w:t xml:space="preserve"> </w:t>
      </w:r>
      <w:r w:rsidR="00954462">
        <w:rPr>
          <w:rFonts w:asciiTheme="majorBidi" w:hAnsiTheme="majorBidi" w:cstheme="majorBidi"/>
          <w:sz w:val="22"/>
          <w:szCs w:val="22"/>
        </w:rPr>
        <w:t xml:space="preserve">a </w:t>
      </w:r>
      <w:r>
        <w:rPr>
          <w:rFonts w:asciiTheme="majorBidi" w:hAnsiTheme="majorBidi" w:cstheme="majorBidi"/>
          <w:sz w:val="22"/>
          <w:szCs w:val="22"/>
        </w:rPr>
        <w:t>full</w:t>
      </w:r>
      <w:r w:rsidR="006A7305">
        <w:rPr>
          <w:rFonts w:asciiTheme="majorBidi" w:hAnsiTheme="majorBidi" w:cstheme="majorBidi"/>
          <w:sz w:val="22"/>
          <w:szCs w:val="22"/>
        </w:rPr>
        <w:t>-</w:t>
      </w:r>
      <w:r>
        <w:rPr>
          <w:rFonts w:asciiTheme="majorBidi" w:hAnsiTheme="majorBidi" w:cstheme="majorBidi"/>
          <w:sz w:val="22"/>
          <w:szCs w:val="22"/>
        </w:rPr>
        <w:t xml:space="preserve">time </w:t>
      </w:r>
      <w:r w:rsidR="00954462">
        <w:rPr>
          <w:rFonts w:asciiTheme="majorBidi" w:hAnsiTheme="majorBidi" w:cstheme="majorBidi"/>
          <w:sz w:val="22"/>
          <w:szCs w:val="22"/>
        </w:rPr>
        <w:t xml:space="preserve">engineer </w:t>
      </w:r>
      <w:r>
        <w:rPr>
          <w:rFonts w:asciiTheme="majorBidi" w:hAnsiTheme="majorBidi" w:cstheme="majorBidi"/>
          <w:sz w:val="22"/>
          <w:szCs w:val="22"/>
        </w:rPr>
        <w:t>in 2022.</w:t>
      </w:r>
      <w:r>
        <w:rPr>
          <w:rStyle w:val="FootnoteReference"/>
          <w:rFonts w:cstheme="majorBidi"/>
          <w:szCs w:val="22"/>
        </w:rPr>
        <w:footnoteReference w:id="35"/>
      </w:r>
      <w:r w:rsidR="00515639">
        <w:rPr>
          <w:rFonts w:asciiTheme="majorBidi" w:hAnsiTheme="majorBidi" w:cstheme="majorBidi"/>
          <w:sz w:val="22"/>
          <w:szCs w:val="22"/>
        </w:rPr>
        <w:t xml:space="preserve">  </w:t>
      </w:r>
    </w:p>
    <w:p w:rsidR="00993F67" w:rsidP="00993F67" w14:paraId="33A1A017" w14:textId="1CE35BF5">
      <w:pPr>
        <w:tabs>
          <w:tab w:val="left" w:pos="0"/>
        </w:tabs>
        <w:suppressAutoHyphens/>
        <w:outlineLvl w:val="0"/>
        <w:rPr>
          <w:rFonts w:asciiTheme="majorBidi" w:hAnsiTheme="majorBidi" w:cstheme="majorBidi"/>
          <w:sz w:val="22"/>
          <w:szCs w:val="22"/>
        </w:rPr>
      </w:pPr>
    </w:p>
    <w:p w:rsidR="00A73E66" w:rsidP="006A1FB3" w14:paraId="5272237A" w14:textId="311963FA">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r>
      <w:r w:rsidR="00FD3746">
        <w:rPr>
          <w:rFonts w:asciiTheme="majorBidi" w:hAnsiTheme="majorBidi" w:cstheme="majorBidi"/>
          <w:sz w:val="22"/>
          <w:szCs w:val="22"/>
        </w:rPr>
        <w:t>The Bureau viewed the Station’s web site several times following the Consent Decree</w:t>
      </w:r>
      <w:r w:rsidR="006378F4">
        <w:rPr>
          <w:rFonts w:asciiTheme="majorBidi" w:hAnsiTheme="majorBidi" w:cstheme="majorBidi"/>
          <w:sz w:val="22"/>
          <w:szCs w:val="22"/>
        </w:rPr>
        <w:t>.  The site</w:t>
      </w:r>
      <w:r w:rsidR="00FD3746">
        <w:rPr>
          <w:rFonts w:asciiTheme="majorBidi" w:hAnsiTheme="majorBidi" w:cstheme="majorBidi"/>
          <w:sz w:val="22"/>
          <w:szCs w:val="22"/>
        </w:rPr>
        <w:t xml:space="preserve"> contain</w:t>
      </w:r>
      <w:r w:rsidR="006378F4">
        <w:rPr>
          <w:rFonts w:asciiTheme="majorBidi" w:hAnsiTheme="majorBidi" w:cstheme="majorBidi"/>
          <w:sz w:val="22"/>
          <w:szCs w:val="22"/>
        </w:rPr>
        <w:t>s</w:t>
      </w:r>
      <w:r w:rsidR="006A5BDD">
        <w:rPr>
          <w:rFonts w:asciiTheme="majorBidi" w:hAnsiTheme="majorBidi" w:cstheme="majorBidi"/>
          <w:sz w:val="22"/>
          <w:szCs w:val="22"/>
        </w:rPr>
        <w:t xml:space="preserve"> </w:t>
      </w:r>
      <w:r w:rsidR="00FD3746">
        <w:rPr>
          <w:rFonts w:asciiTheme="majorBidi" w:hAnsiTheme="majorBidi" w:cstheme="majorBidi"/>
          <w:sz w:val="22"/>
          <w:szCs w:val="22"/>
        </w:rPr>
        <w:t>information</w:t>
      </w:r>
      <w:r w:rsidR="007973FD">
        <w:rPr>
          <w:rFonts w:asciiTheme="majorBidi" w:hAnsiTheme="majorBidi" w:cstheme="majorBidi"/>
          <w:sz w:val="22"/>
          <w:szCs w:val="22"/>
        </w:rPr>
        <w:t xml:space="preserve">, as required under the Consent Decree, </w:t>
      </w:r>
      <w:r w:rsidR="00FD3746">
        <w:rPr>
          <w:rFonts w:asciiTheme="majorBidi" w:hAnsiTheme="majorBidi" w:cstheme="majorBidi"/>
          <w:sz w:val="22"/>
          <w:szCs w:val="22"/>
        </w:rPr>
        <w:t>about how the public can seek help from the station if they experience blanketing interference.</w:t>
      </w:r>
      <w:r>
        <w:rPr>
          <w:rStyle w:val="FootnoteReference"/>
          <w:rFonts w:cstheme="majorBidi"/>
          <w:szCs w:val="22"/>
        </w:rPr>
        <w:footnoteReference w:id="36"/>
      </w:r>
      <w:r w:rsidR="00FD3746">
        <w:rPr>
          <w:rFonts w:asciiTheme="majorBidi" w:hAnsiTheme="majorBidi" w:cstheme="majorBidi"/>
          <w:sz w:val="22"/>
          <w:szCs w:val="22"/>
        </w:rPr>
        <w:t xml:space="preserve">  </w:t>
      </w:r>
      <w:r w:rsidR="00E3132D">
        <w:rPr>
          <w:rFonts w:asciiTheme="majorBidi" w:hAnsiTheme="majorBidi" w:cstheme="majorBidi"/>
          <w:sz w:val="22"/>
          <w:szCs w:val="22"/>
        </w:rPr>
        <w:t xml:space="preserve">According to </w:t>
      </w:r>
      <w:r w:rsidR="00FD3746">
        <w:rPr>
          <w:rFonts w:asciiTheme="majorBidi" w:hAnsiTheme="majorBidi" w:cstheme="majorBidi"/>
          <w:sz w:val="22"/>
          <w:szCs w:val="22"/>
        </w:rPr>
        <w:t>compliance</w:t>
      </w:r>
      <w:r w:rsidR="00E3132D">
        <w:rPr>
          <w:rFonts w:asciiTheme="majorBidi" w:hAnsiTheme="majorBidi" w:cstheme="majorBidi"/>
          <w:sz w:val="22"/>
          <w:szCs w:val="22"/>
        </w:rPr>
        <w:t xml:space="preserve"> reports</w:t>
      </w:r>
      <w:r w:rsidR="00FD3746">
        <w:rPr>
          <w:rFonts w:asciiTheme="majorBidi" w:hAnsiTheme="majorBidi" w:cstheme="majorBidi"/>
          <w:sz w:val="22"/>
          <w:szCs w:val="22"/>
        </w:rPr>
        <w:t xml:space="preserve"> filed with the Bureau,</w:t>
      </w:r>
      <w:r w:rsidR="00E3132D">
        <w:rPr>
          <w:rFonts w:asciiTheme="majorBidi" w:hAnsiTheme="majorBidi" w:cstheme="majorBidi"/>
          <w:sz w:val="22"/>
          <w:szCs w:val="22"/>
        </w:rPr>
        <w:t xml:space="preserve"> the Station </w:t>
      </w:r>
      <w:r w:rsidR="006378F4">
        <w:rPr>
          <w:rFonts w:asciiTheme="majorBidi" w:hAnsiTheme="majorBidi" w:cstheme="majorBidi"/>
          <w:sz w:val="22"/>
          <w:szCs w:val="22"/>
        </w:rPr>
        <w:t xml:space="preserve">has </w:t>
      </w:r>
      <w:r w:rsidR="00E3132D">
        <w:rPr>
          <w:rFonts w:asciiTheme="majorBidi" w:hAnsiTheme="majorBidi" w:cstheme="majorBidi"/>
          <w:sz w:val="22"/>
          <w:szCs w:val="22"/>
        </w:rPr>
        <w:t>received no complaints about interference or any other matter</w:t>
      </w:r>
      <w:r w:rsidR="006A7305">
        <w:rPr>
          <w:rFonts w:asciiTheme="majorBidi" w:hAnsiTheme="majorBidi" w:cstheme="majorBidi"/>
          <w:sz w:val="22"/>
          <w:szCs w:val="22"/>
        </w:rPr>
        <w:t xml:space="preserve"> during the probationary period or thereafter</w:t>
      </w:r>
      <w:r w:rsidR="00E3132D">
        <w:rPr>
          <w:rFonts w:asciiTheme="majorBidi" w:hAnsiTheme="majorBidi" w:cstheme="majorBidi"/>
          <w:sz w:val="22"/>
          <w:szCs w:val="22"/>
        </w:rPr>
        <w:t xml:space="preserve">.  </w:t>
      </w:r>
      <w:r w:rsidR="00982AF8">
        <w:rPr>
          <w:rFonts w:asciiTheme="majorBidi" w:hAnsiTheme="majorBidi" w:cstheme="majorBidi"/>
          <w:sz w:val="22"/>
          <w:szCs w:val="22"/>
        </w:rPr>
        <w:t xml:space="preserve">It, thus, appears that the </w:t>
      </w:r>
      <w:r w:rsidR="00C46F02">
        <w:rPr>
          <w:rFonts w:asciiTheme="majorBidi" w:hAnsiTheme="majorBidi" w:cstheme="majorBidi"/>
          <w:sz w:val="22"/>
          <w:szCs w:val="22"/>
        </w:rPr>
        <w:t xml:space="preserve">recently </w:t>
      </w:r>
      <w:r w:rsidR="00982AF8">
        <w:rPr>
          <w:rFonts w:asciiTheme="majorBidi" w:hAnsiTheme="majorBidi" w:cstheme="majorBidi"/>
          <w:sz w:val="22"/>
          <w:szCs w:val="22"/>
        </w:rPr>
        <w:t>authorized reduc</w:t>
      </w:r>
      <w:r w:rsidR="00031939">
        <w:rPr>
          <w:rFonts w:asciiTheme="majorBidi" w:hAnsiTheme="majorBidi" w:cstheme="majorBidi"/>
          <w:sz w:val="22"/>
          <w:szCs w:val="22"/>
        </w:rPr>
        <w:t xml:space="preserve">tion in </w:t>
      </w:r>
      <w:r w:rsidR="00982AF8">
        <w:rPr>
          <w:rFonts w:asciiTheme="majorBidi" w:hAnsiTheme="majorBidi" w:cstheme="majorBidi"/>
          <w:sz w:val="22"/>
          <w:szCs w:val="22"/>
        </w:rPr>
        <w:t xml:space="preserve">power </w:t>
      </w:r>
      <w:r w:rsidR="0011592D">
        <w:rPr>
          <w:rFonts w:asciiTheme="majorBidi" w:hAnsiTheme="majorBidi" w:cstheme="majorBidi"/>
          <w:sz w:val="22"/>
          <w:szCs w:val="22"/>
        </w:rPr>
        <w:t xml:space="preserve">and </w:t>
      </w:r>
      <w:r w:rsidR="00031939">
        <w:rPr>
          <w:rFonts w:asciiTheme="majorBidi" w:hAnsiTheme="majorBidi" w:cstheme="majorBidi"/>
          <w:sz w:val="22"/>
          <w:szCs w:val="22"/>
        </w:rPr>
        <w:t xml:space="preserve">the </w:t>
      </w:r>
      <w:r w:rsidR="0013213B">
        <w:rPr>
          <w:rFonts w:asciiTheme="majorBidi" w:hAnsiTheme="majorBidi" w:cstheme="majorBidi"/>
          <w:sz w:val="22"/>
          <w:szCs w:val="22"/>
        </w:rPr>
        <w:t>transmitter</w:t>
      </w:r>
      <w:r w:rsidR="0011592D">
        <w:rPr>
          <w:rFonts w:asciiTheme="majorBidi" w:hAnsiTheme="majorBidi" w:cstheme="majorBidi"/>
          <w:sz w:val="22"/>
          <w:szCs w:val="22"/>
        </w:rPr>
        <w:t xml:space="preserve"> replacement </w:t>
      </w:r>
      <w:r w:rsidR="00982AF8">
        <w:rPr>
          <w:rFonts w:asciiTheme="majorBidi" w:hAnsiTheme="majorBidi" w:cstheme="majorBidi"/>
          <w:sz w:val="22"/>
          <w:szCs w:val="22"/>
        </w:rPr>
        <w:t>ha</w:t>
      </w:r>
      <w:r w:rsidR="0011592D">
        <w:rPr>
          <w:rFonts w:asciiTheme="majorBidi" w:hAnsiTheme="majorBidi" w:cstheme="majorBidi"/>
          <w:sz w:val="22"/>
          <w:szCs w:val="22"/>
        </w:rPr>
        <w:t>ve</w:t>
      </w:r>
      <w:r w:rsidR="00982AF8">
        <w:rPr>
          <w:rFonts w:asciiTheme="majorBidi" w:hAnsiTheme="majorBidi" w:cstheme="majorBidi"/>
          <w:sz w:val="22"/>
          <w:szCs w:val="22"/>
        </w:rPr>
        <w:t xml:space="preserve"> been effective.  </w:t>
      </w:r>
      <w:r w:rsidR="0013213B">
        <w:rPr>
          <w:rFonts w:asciiTheme="majorBidi" w:hAnsiTheme="majorBidi" w:cstheme="majorBidi"/>
          <w:sz w:val="22"/>
          <w:szCs w:val="22"/>
        </w:rPr>
        <w:t xml:space="preserve">CEB </w:t>
      </w:r>
      <w:r w:rsidR="00263716">
        <w:rPr>
          <w:rFonts w:asciiTheme="majorBidi" w:hAnsiTheme="majorBidi" w:cstheme="majorBidi"/>
          <w:sz w:val="22"/>
          <w:szCs w:val="22"/>
        </w:rPr>
        <w:t xml:space="preserve">reports </w:t>
      </w:r>
      <w:r w:rsidR="006A5BDD">
        <w:rPr>
          <w:rFonts w:asciiTheme="majorBidi" w:hAnsiTheme="majorBidi" w:cstheme="majorBidi"/>
          <w:sz w:val="22"/>
          <w:szCs w:val="22"/>
        </w:rPr>
        <w:t xml:space="preserve">an inquiry (though not a complaint) from </w:t>
      </w:r>
      <w:r w:rsidR="0088333C">
        <w:rPr>
          <w:rFonts w:asciiTheme="majorBidi" w:hAnsiTheme="majorBidi" w:cstheme="majorBidi"/>
          <w:sz w:val="22"/>
          <w:szCs w:val="22"/>
        </w:rPr>
        <w:t xml:space="preserve">Smith </w:t>
      </w:r>
      <w:r w:rsidR="006A7305">
        <w:rPr>
          <w:rFonts w:asciiTheme="majorBidi" w:hAnsiTheme="majorBidi" w:cstheme="majorBidi"/>
          <w:sz w:val="22"/>
          <w:szCs w:val="22"/>
        </w:rPr>
        <w:t>during the probationary period</w:t>
      </w:r>
      <w:r w:rsidR="00263716">
        <w:rPr>
          <w:rFonts w:asciiTheme="majorBidi" w:hAnsiTheme="majorBidi" w:cstheme="majorBidi"/>
          <w:sz w:val="22"/>
          <w:szCs w:val="22"/>
        </w:rPr>
        <w:t xml:space="preserve">.  </w:t>
      </w:r>
      <w:r w:rsidR="006A7305">
        <w:rPr>
          <w:rFonts w:asciiTheme="majorBidi" w:hAnsiTheme="majorBidi" w:cstheme="majorBidi"/>
          <w:sz w:val="22"/>
          <w:szCs w:val="22"/>
        </w:rPr>
        <w:t xml:space="preserve">Specifically, </w:t>
      </w:r>
      <w:r w:rsidR="00263716">
        <w:rPr>
          <w:rFonts w:asciiTheme="majorBidi" w:hAnsiTheme="majorBidi" w:cstheme="majorBidi"/>
          <w:sz w:val="22"/>
          <w:szCs w:val="22"/>
        </w:rPr>
        <w:t xml:space="preserve">CEB </w:t>
      </w:r>
      <w:r w:rsidR="006A7305">
        <w:rPr>
          <w:rFonts w:asciiTheme="majorBidi" w:hAnsiTheme="majorBidi" w:cstheme="majorBidi"/>
          <w:sz w:val="22"/>
          <w:szCs w:val="22"/>
        </w:rPr>
        <w:t>states that it</w:t>
      </w:r>
      <w:r w:rsidR="006B5AC3">
        <w:rPr>
          <w:rFonts w:asciiTheme="majorBidi" w:hAnsiTheme="majorBidi" w:cstheme="majorBidi"/>
          <w:sz w:val="22"/>
          <w:szCs w:val="22"/>
        </w:rPr>
        <w:t xml:space="preserve"> receiv</w:t>
      </w:r>
      <w:r w:rsidR="006A7305">
        <w:rPr>
          <w:rFonts w:asciiTheme="majorBidi" w:hAnsiTheme="majorBidi" w:cstheme="majorBidi"/>
          <w:sz w:val="22"/>
          <w:szCs w:val="22"/>
        </w:rPr>
        <w:t>ed</w:t>
      </w:r>
      <w:r w:rsidR="006B5AC3">
        <w:rPr>
          <w:rFonts w:asciiTheme="majorBidi" w:hAnsiTheme="majorBidi" w:cstheme="majorBidi"/>
          <w:sz w:val="22"/>
          <w:szCs w:val="22"/>
        </w:rPr>
        <w:t xml:space="preserve"> a telephone call on </w:t>
      </w:r>
      <w:r w:rsidR="00263716">
        <w:rPr>
          <w:rFonts w:asciiTheme="majorBidi" w:hAnsiTheme="majorBidi" w:cstheme="majorBidi"/>
          <w:sz w:val="22"/>
          <w:szCs w:val="22"/>
        </w:rPr>
        <w:t>January 13, 2021</w:t>
      </w:r>
      <w:r w:rsidR="006A7305">
        <w:rPr>
          <w:rFonts w:asciiTheme="majorBidi" w:hAnsiTheme="majorBidi" w:cstheme="majorBidi"/>
          <w:sz w:val="22"/>
          <w:szCs w:val="22"/>
        </w:rPr>
        <w:t xml:space="preserve"> in which Smith reportedly </w:t>
      </w:r>
      <w:r w:rsidR="00263716">
        <w:rPr>
          <w:rFonts w:asciiTheme="majorBidi" w:hAnsiTheme="majorBidi" w:cstheme="majorBidi"/>
          <w:sz w:val="22"/>
          <w:szCs w:val="22"/>
        </w:rPr>
        <w:t>ask</w:t>
      </w:r>
      <w:r w:rsidR="00515639">
        <w:rPr>
          <w:rFonts w:asciiTheme="majorBidi" w:hAnsiTheme="majorBidi" w:cstheme="majorBidi"/>
          <w:sz w:val="22"/>
          <w:szCs w:val="22"/>
        </w:rPr>
        <w:t>ed</w:t>
      </w:r>
      <w:r w:rsidR="006B5AC3">
        <w:rPr>
          <w:rFonts w:asciiTheme="majorBidi" w:hAnsiTheme="majorBidi" w:cstheme="majorBidi"/>
          <w:sz w:val="22"/>
          <w:szCs w:val="22"/>
        </w:rPr>
        <w:t xml:space="preserve"> for </w:t>
      </w:r>
      <w:r w:rsidR="00677D43">
        <w:rPr>
          <w:rFonts w:asciiTheme="majorBidi" w:hAnsiTheme="majorBidi" w:cstheme="majorBidi"/>
          <w:sz w:val="22"/>
          <w:szCs w:val="22"/>
        </w:rPr>
        <w:t xml:space="preserve">information about the power of the </w:t>
      </w:r>
      <w:r w:rsidR="00C56DAD">
        <w:rPr>
          <w:rFonts w:asciiTheme="majorBidi" w:hAnsiTheme="majorBidi" w:cstheme="majorBidi"/>
          <w:sz w:val="22"/>
          <w:szCs w:val="22"/>
        </w:rPr>
        <w:t xml:space="preserve">Station’s </w:t>
      </w:r>
      <w:r w:rsidR="00265C29">
        <w:rPr>
          <w:rFonts w:asciiTheme="majorBidi" w:hAnsiTheme="majorBidi" w:cstheme="majorBidi"/>
          <w:sz w:val="22"/>
          <w:szCs w:val="22"/>
        </w:rPr>
        <w:t xml:space="preserve">new transmitter </w:t>
      </w:r>
      <w:r w:rsidR="006B5AC3">
        <w:rPr>
          <w:rFonts w:asciiTheme="majorBidi" w:hAnsiTheme="majorBidi" w:cstheme="majorBidi"/>
          <w:sz w:val="22"/>
          <w:szCs w:val="22"/>
        </w:rPr>
        <w:t xml:space="preserve">and </w:t>
      </w:r>
      <w:r w:rsidR="00C56DAD">
        <w:rPr>
          <w:rFonts w:asciiTheme="majorBidi" w:hAnsiTheme="majorBidi" w:cstheme="majorBidi"/>
          <w:sz w:val="22"/>
          <w:szCs w:val="22"/>
        </w:rPr>
        <w:t xml:space="preserve">sought </w:t>
      </w:r>
      <w:r w:rsidR="006B5AC3">
        <w:rPr>
          <w:rFonts w:asciiTheme="majorBidi" w:hAnsiTheme="majorBidi" w:cstheme="majorBidi"/>
          <w:sz w:val="22"/>
          <w:szCs w:val="22"/>
        </w:rPr>
        <w:t>assurance</w:t>
      </w:r>
      <w:r w:rsidR="00056943">
        <w:rPr>
          <w:rFonts w:asciiTheme="majorBidi" w:hAnsiTheme="majorBidi" w:cstheme="majorBidi"/>
          <w:sz w:val="22"/>
          <w:szCs w:val="22"/>
        </w:rPr>
        <w:t xml:space="preserve">, which the </w:t>
      </w:r>
      <w:r w:rsidR="00613296">
        <w:rPr>
          <w:rFonts w:asciiTheme="majorBidi" w:hAnsiTheme="majorBidi" w:cstheme="majorBidi"/>
          <w:sz w:val="22"/>
          <w:szCs w:val="22"/>
        </w:rPr>
        <w:t>S</w:t>
      </w:r>
      <w:r w:rsidR="00056943">
        <w:rPr>
          <w:rFonts w:asciiTheme="majorBidi" w:hAnsiTheme="majorBidi" w:cstheme="majorBidi"/>
          <w:sz w:val="22"/>
          <w:szCs w:val="22"/>
        </w:rPr>
        <w:t>tation provided,</w:t>
      </w:r>
      <w:r w:rsidR="006B5AC3">
        <w:rPr>
          <w:rFonts w:asciiTheme="majorBidi" w:hAnsiTheme="majorBidi" w:cstheme="majorBidi"/>
          <w:sz w:val="22"/>
          <w:szCs w:val="22"/>
        </w:rPr>
        <w:t xml:space="preserve"> </w:t>
      </w:r>
      <w:r w:rsidR="00265C29">
        <w:rPr>
          <w:rFonts w:asciiTheme="majorBidi" w:hAnsiTheme="majorBidi" w:cstheme="majorBidi"/>
          <w:sz w:val="22"/>
          <w:szCs w:val="22"/>
        </w:rPr>
        <w:t xml:space="preserve">that </w:t>
      </w:r>
      <w:r w:rsidR="00677D43">
        <w:rPr>
          <w:rFonts w:asciiTheme="majorBidi" w:hAnsiTheme="majorBidi" w:cstheme="majorBidi"/>
          <w:sz w:val="22"/>
          <w:szCs w:val="22"/>
        </w:rPr>
        <w:t xml:space="preserve">CEB did not intend </w:t>
      </w:r>
      <w:r w:rsidR="00A87FEA">
        <w:rPr>
          <w:rFonts w:asciiTheme="majorBidi" w:hAnsiTheme="majorBidi" w:cstheme="majorBidi"/>
          <w:sz w:val="22"/>
          <w:szCs w:val="22"/>
        </w:rPr>
        <w:t xml:space="preserve">to </w:t>
      </w:r>
      <w:r w:rsidR="006A7305">
        <w:rPr>
          <w:rFonts w:asciiTheme="majorBidi" w:hAnsiTheme="majorBidi" w:cstheme="majorBidi"/>
          <w:sz w:val="22"/>
          <w:szCs w:val="22"/>
        </w:rPr>
        <w:t>return</w:t>
      </w:r>
      <w:r w:rsidR="00A87FEA">
        <w:rPr>
          <w:rFonts w:asciiTheme="majorBidi" w:hAnsiTheme="majorBidi" w:cstheme="majorBidi"/>
          <w:sz w:val="22"/>
          <w:szCs w:val="22"/>
        </w:rPr>
        <w:t xml:space="preserve"> </w:t>
      </w:r>
      <w:r w:rsidR="006A7305">
        <w:rPr>
          <w:rFonts w:asciiTheme="majorBidi" w:hAnsiTheme="majorBidi" w:cstheme="majorBidi"/>
          <w:sz w:val="22"/>
          <w:szCs w:val="22"/>
        </w:rPr>
        <w:t xml:space="preserve">to </w:t>
      </w:r>
      <w:r w:rsidR="00515639">
        <w:rPr>
          <w:rFonts w:asciiTheme="majorBidi" w:hAnsiTheme="majorBidi" w:cstheme="majorBidi"/>
          <w:sz w:val="22"/>
          <w:szCs w:val="22"/>
        </w:rPr>
        <w:t xml:space="preserve">the </w:t>
      </w:r>
      <w:r w:rsidR="006B5AC3">
        <w:rPr>
          <w:rFonts w:asciiTheme="majorBidi" w:hAnsiTheme="majorBidi" w:cstheme="majorBidi"/>
          <w:sz w:val="22"/>
          <w:szCs w:val="22"/>
        </w:rPr>
        <w:t xml:space="preserve">higher </w:t>
      </w:r>
      <w:r w:rsidR="00A87FEA">
        <w:rPr>
          <w:rFonts w:asciiTheme="majorBidi" w:hAnsiTheme="majorBidi" w:cstheme="majorBidi"/>
          <w:sz w:val="22"/>
          <w:szCs w:val="22"/>
        </w:rPr>
        <w:t xml:space="preserve">operating </w:t>
      </w:r>
      <w:r w:rsidR="006B5AC3">
        <w:rPr>
          <w:rFonts w:asciiTheme="majorBidi" w:hAnsiTheme="majorBidi" w:cstheme="majorBidi"/>
          <w:sz w:val="22"/>
          <w:szCs w:val="22"/>
        </w:rPr>
        <w:t>power</w:t>
      </w:r>
      <w:r w:rsidR="00515639">
        <w:rPr>
          <w:rFonts w:asciiTheme="majorBidi" w:hAnsiTheme="majorBidi" w:cstheme="majorBidi"/>
          <w:sz w:val="22"/>
          <w:szCs w:val="22"/>
        </w:rPr>
        <w:t xml:space="preserve"> </w:t>
      </w:r>
      <w:r w:rsidR="00A87FEA">
        <w:rPr>
          <w:rFonts w:asciiTheme="majorBidi" w:hAnsiTheme="majorBidi" w:cstheme="majorBidi"/>
          <w:sz w:val="22"/>
          <w:szCs w:val="22"/>
        </w:rPr>
        <w:t xml:space="preserve">used </w:t>
      </w:r>
      <w:r w:rsidR="00515639">
        <w:rPr>
          <w:rFonts w:asciiTheme="majorBidi" w:hAnsiTheme="majorBidi" w:cstheme="majorBidi"/>
          <w:sz w:val="22"/>
          <w:szCs w:val="22"/>
        </w:rPr>
        <w:t>while the Stewarts were in control</w:t>
      </w:r>
      <w:r w:rsidR="006B5AC3">
        <w:rPr>
          <w:rFonts w:asciiTheme="majorBidi" w:hAnsiTheme="majorBidi" w:cstheme="majorBidi"/>
          <w:sz w:val="22"/>
          <w:szCs w:val="22"/>
        </w:rPr>
        <w:t xml:space="preserve">.  </w:t>
      </w:r>
      <w:r w:rsidR="006A7305">
        <w:rPr>
          <w:rFonts w:asciiTheme="majorBidi" w:hAnsiTheme="majorBidi" w:cstheme="majorBidi"/>
          <w:sz w:val="22"/>
          <w:szCs w:val="22"/>
        </w:rPr>
        <w:t>CEB</w:t>
      </w:r>
      <w:r w:rsidR="006B5AC3">
        <w:rPr>
          <w:rFonts w:asciiTheme="majorBidi" w:hAnsiTheme="majorBidi" w:cstheme="majorBidi"/>
          <w:sz w:val="22"/>
          <w:szCs w:val="22"/>
        </w:rPr>
        <w:t xml:space="preserve"> states that Smith </w:t>
      </w:r>
      <w:r w:rsidR="00A87FEA">
        <w:rPr>
          <w:rFonts w:asciiTheme="majorBidi" w:hAnsiTheme="majorBidi" w:cstheme="majorBidi"/>
          <w:sz w:val="22"/>
          <w:szCs w:val="22"/>
        </w:rPr>
        <w:t>indicated</w:t>
      </w:r>
      <w:r w:rsidR="006A7305">
        <w:rPr>
          <w:rFonts w:asciiTheme="majorBidi" w:hAnsiTheme="majorBidi" w:cstheme="majorBidi"/>
          <w:sz w:val="22"/>
          <w:szCs w:val="22"/>
        </w:rPr>
        <w:t xml:space="preserve"> that she </w:t>
      </w:r>
      <w:r w:rsidR="006B5AC3">
        <w:rPr>
          <w:rFonts w:asciiTheme="majorBidi" w:hAnsiTheme="majorBidi" w:cstheme="majorBidi"/>
          <w:sz w:val="22"/>
          <w:szCs w:val="22"/>
        </w:rPr>
        <w:t xml:space="preserve">had not </w:t>
      </w:r>
      <w:r w:rsidR="006A7305">
        <w:rPr>
          <w:rFonts w:asciiTheme="majorBidi" w:hAnsiTheme="majorBidi" w:cstheme="majorBidi"/>
          <w:sz w:val="22"/>
          <w:szCs w:val="22"/>
        </w:rPr>
        <w:t>yet</w:t>
      </w:r>
      <w:r w:rsidR="00515639">
        <w:rPr>
          <w:rFonts w:asciiTheme="majorBidi" w:hAnsiTheme="majorBidi" w:cstheme="majorBidi"/>
          <w:sz w:val="22"/>
          <w:szCs w:val="22"/>
        </w:rPr>
        <w:t xml:space="preserve"> </w:t>
      </w:r>
      <w:r w:rsidR="006B5AC3">
        <w:rPr>
          <w:rFonts w:asciiTheme="majorBidi" w:hAnsiTheme="majorBidi" w:cstheme="majorBidi"/>
          <w:sz w:val="22"/>
          <w:szCs w:val="22"/>
        </w:rPr>
        <w:t xml:space="preserve">checked for broadcast interference </w:t>
      </w:r>
      <w:r w:rsidR="006A7305">
        <w:rPr>
          <w:rFonts w:asciiTheme="majorBidi" w:hAnsiTheme="majorBidi" w:cstheme="majorBidi"/>
          <w:sz w:val="22"/>
          <w:szCs w:val="22"/>
        </w:rPr>
        <w:t>at that time</w:t>
      </w:r>
      <w:r w:rsidR="00E3229A">
        <w:rPr>
          <w:rFonts w:asciiTheme="majorBidi" w:hAnsiTheme="majorBidi" w:cstheme="majorBidi"/>
          <w:sz w:val="22"/>
          <w:szCs w:val="22"/>
        </w:rPr>
        <w:t xml:space="preserve">, </w:t>
      </w:r>
      <w:r w:rsidR="00677D43">
        <w:rPr>
          <w:rFonts w:asciiTheme="majorBidi" w:hAnsiTheme="majorBidi" w:cstheme="majorBidi"/>
          <w:sz w:val="22"/>
          <w:szCs w:val="22"/>
        </w:rPr>
        <w:t xml:space="preserve">but </w:t>
      </w:r>
      <w:r w:rsidR="006B5AC3">
        <w:rPr>
          <w:rFonts w:asciiTheme="majorBidi" w:hAnsiTheme="majorBidi" w:cstheme="majorBidi"/>
          <w:sz w:val="22"/>
          <w:szCs w:val="22"/>
        </w:rPr>
        <w:t xml:space="preserve">that </w:t>
      </w:r>
      <w:r>
        <w:rPr>
          <w:rFonts w:asciiTheme="majorBidi" w:hAnsiTheme="majorBidi" w:cstheme="majorBidi"/>
          <w:sz w:val="22"/>
          <w:szCs w:val="22"/>
        </w:rPr>
        <w:t>CEB</w:t>
      </w:r>
      <w:r w:rsidR="006B5AC3">
        <w:rPr>
          <w:rFonts w:asciiTheme="majorBidi" w:hAnsiTheme="majorBidi" w:cstheme="majorBidi"/>
          <w:sz w:val="22"/>
          <w:szCs w:val="22"/>
        </w:rPr>
        <w:t xml:space="preserve"> advised her </w:t>
      </w:r>
      <w:r w:rsidR="00677D43">
        <w:rPr>
          <w:rFonts w:asciiTheme="majorBidi" w:hAnsiTheme="majorBidi" w:cstheme="majorBidi"/>
          <w:sz w:val="22"/>
          <w:szCs w:val="22"/>
        </w:rPr>
        <w:t xml:space="preserve">that it would fix </w:t>
      </w:r>
      <w:r w:rsidR="007966F9">
        <w:rPr>
          <w:rFonts w:asciiTheme="majorBidi" w:hAnsiTheme="majorBidi" w:cstheme="majorBidi"/>
          <w:sz w:val="22"/>
          <w:szCs w:val="22"/>
        </w:rPr>
        <w:t xml:space="preserve">any </w:t>
      </w:r>
      <w:r w:rsidR="00677D43">
        <w:rPr>
          <w:rFonts w:asciiTheme="majorBidi" w:hAnsiTheme="majorBidi" w:cstheme="majorBidi"/>
          <w:sz w:val="22"/>
          <w:szCs w:val="22"/>
        </w:rPr>
        <w:t xml:space="preserve">interference she </w:t>
      </w:r>
      <w:r w:rsidR="007966F9">
        <w:rPr>
          <w:rFonts w:asciiTheme="majorBidi" w:hAnsiTheme="majorBidi" w:cstheme="majorBidi"/>
          <w:sz w:val="22"/>
          <w:szCs w:val="22"/>
        </w:rPr>
        <w:t xml:space="preserve">might </w:t>
      </w:r>
      <w:r w:rsidR="00014588">
        <w:rPr>
          <w:rFonts w:asciiTheme="majorBidi" w:hAnsiTheme="majorBidi" w:cstheme="majorBidi"/>
          <w:sz w:val="22"/>
          <w:szCs w:val="22"/>
        </w:rPr>
        <w:t>discover</w:t>
      </w:r>
      <w:r w:rsidR="007966F9">
        <w:rPr>
          <w:rFonts w:asciiTheme="majorBidi" w:hAnsiTheme="majorBidi" w:cstheme="majorBidi"/>
          <w:sz w:val="22"/>
          <w:szCs w:val="22"/>
        </w:rPr>
        <w:t xml:space="preserve"> if she</w:t>
      </w:r>
      <w:r w:rsidR="00677D43">
        <w:rPr>
          <w:rFonts w:asciiTheme="majorBidi" w:hAnsiTheme="majorBidi" w:cstheme="majorBidi"/>
          <w:sz w:val="22"/>
          <w:szCs w:val="22"/>
        </w:rPr>
        <w:t xml:space="preserve"> called back to report it, </w:t>
      </w:r>
      <w:r w:rsidR="00E3229A">
        <w:rPr>
          <w:rFonts w:asciiTheme="majorBidi" w:hAnsiTheme="majorBidi" w:cstheme="majorBidi"/>
          <w:sz w:val="22"/>
          <w:szCs w:val="22"/>
        </w:rPr>
        <w:t xml:space="preserve">and that Smith had not called back </w:t>
      </w:r>
      <w:r w:rsidR="006A7305">
        <w:rPr>
          <w:rFonts w:asciiTheme="majorBidi" w:hAnsiTheme="majorBidi" w:cstheme="majorBidi"/>
          <w:sz w:val="22"/>
          <w:szCs w:val="22"/>
        </w:rPr>
        <w:t>since</w:t>
      </w:r>
      <w:r w:rsidRPr="006B5AC3" w:rsidR="006B5AC3">
        <w:rPr>
          <w:rFonts w:asciiTheme="majorBidi" w:hAnsiTheme="majorBidi" w:cstheme="majorBidi"/>
          <w:sz w:val="22"/>
          <w:szCs w:val="22"/>
        </w:rPr>
        <w:t>.</w:t>
      </w:r>
      <w:r>
        <w:rPr>
          <w:rStyle w:val="FootnoteReference"/>
          <w:rFonts w:cstheme="majorBidi"/>
          <w:szCs w:val="22"/>
        </w:rPr>
        <w:footnoteReference w:id="37"/>
      </w:r>
      <w:r w:rsidR="00515639">
        <w:rPr>
          <w:rFonts w:asciiTheme="majorBidi" w:hAnsiTheme="majorBidi" w:cstheme="majorBidi"/>
          <w:sz w:val="22"/>
          <w:szCs w:val="22"/>
        </w:rPr>
        <w:t xml:space="preserve">  </w:t>
      </w:r>
      <w:r w:rsidR="00F12C22">
        <w:rPr>
          <w:rFonts w:asciiTheme="majorBidi" w:hAnsiTheme="majorBidi" w:cstheme="majorBidi"/>
          <w:sz w:val="22"/>
          <w:szCs w:val="22"/>
        </w:rPr>
        <w:t xml:space="preserve">Smith raises </w:t>
      </w:r>
      <w:r w:rsidR="00FD0F65">
        <w:rPr>
          <w:rFonts w:asciiTheme="majorBidi" w:hAnsiTheme="majorBidi" w:cstheme="majorBidi"/>
          <w:sz w:val="22"/>
          <w:szCs w:val="22"/>
        </w:rPr>
        <w:t>related</w:t>
      </w:r>
      <w:r w:rsidR="00F12C22">
        <w:rPr>
          <w:rFonts w:asciiTheme="majorBidi" w:hAnsiTheme="majorBidi" w:cstheme="majorBidi"/>
          <w:sz w:val="22"/>
          <w:szCs w:val="22"/>
        </w:rPr>
        <w:t xml:space="preserve"> concern</w:t>
      </w:r>
      <w:r w:rsidR="00FD0F65">
        <w:rPr>
          <w:rFonts w:asciiTheme="majorBidi" w:hAnsiTheme="majorBidi" w:cstheme="majorBidi"/>
          <w:sz w:val="22"/>
          <w:szCs w:val="22"/>
        </w:rPr>
        <w:t>s</w:t>
      </w:r>
      <w:r w:rsidR="00F12C22">
        <w:rPr>
          <w:rFonts w:asciiTheme="majorBidi" w:hAnsiTheme="majorBidi" w:cstheme="majorBidi"/>
          <w:sz w:val="22"/>
          <w:szCs w:val="22"/>
        </w:rPr>
        <w:t xml:space="preserve"> in her Objection</w:t>
      </w:r>
      <w:r w:rsidR="008161C7">
        <w:rPr>
          <w:rFonts w:asciiTheme="majorBidi" w:hAnsiTheme="majorBidi" w:cstheme="majorBidi"/>
          <w:sz w:val="22"/>
          <w:szCs w:val="22"/>
        </w:rPr>
        <w:t>,</w:t>
      </w:r>
      <w:r w:rsidR="00F12C22">
        <w:rPr>
          <w:rFonts w:asciiTheme="majorBidi" w:hAnsiTheme="majorBidi" w:cstheme="majorBidi"/>
          <w:sz w:val="22"/>
          <w:szCs w:val="22"/>
        </w:rPr>
        <w:t xml:space="preserve"> and we will address </w:t>
      </w:r>
      <w:r w:rsidR="00FD0F65">
        <w:rPr>
          <w:rFonts w:asciiTheme="majorBidi" w:hAnsiTheme="majorBidi" w:cstheme="majorBidi"/>
          <w:sz w:val="22"/>
          <w:szCs w:val="22"/>
        </w:rPr>
        <w:t>them</w:t>
      </w:r>
      <w:r w:rsidR="00F12C22">
        <w:rPr>
          <w:rFonts w:asciiTheme="majorBidi" w:hAnsiTheme="majorBidi" w:cstheme="majorBidi"/>
          <w:sz w:val="22"/>
          <w:szCs w:val="22"/>
        </w:rPr>
        <w:t xml:space="preserve"> </w:t>
      </w:r>
      <w:r w:rsidR="00C56DAD">
        <w:rPr>
          <w:rFonts w:asciiTheme="majorBidi" w:hAnsiTheme="majorBidi" w:cstheme="majorBidi"/>
          <w:sz w:val="22"/>
          <w:szCs w:val="22"/>
        </w:rPr>
        <w:t xml:space="preserve">below </w:t>
      </w:r>
      <w:r w:rsidR="00F12C22">
        <w:rPr>
          <w:rFonts w:asciiTheme="majorBidi" w:hAnsiTheme="majorBidi" w:cstheme="majorBidi"/>
          <w:sz w:val="22"/>
          <w:szCs w:val="22"/>
        </w:rPr>
        <w:t xml:space="preserve">in that context.  </w:t>
      </w:r>
    </w:p>
    <w:p w:rsidR="001D38C3" w:rsidP="00882E9A" w14:paraId="59082A98" w14:textId="77777777">
      <w:pPr>
        <w:tabs>
          <w:tab w:val="left" w:pos="0"/>
        </w:tabs>
        <w:suppressAutoHyphens/>
        <w:outlineLvl w:val="0"/>
        <w:rPr>
          <w:rFonts w:asciiTheme="majorBidi" w:hAnsiTheme="majorBidi" w:cstheme="majorBidi"/>
          <w:sz w:val="22"/>
          <w:szCs w:val="22"/>
        </w:rPr>
      </w:pPr>
    </w:p>
    <w:p w:rsidR="00A73E66" w:rsidP="00014588" w14:paraId="33BFCA97" w14:textId="7BA5F218">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t xml:space="preserve">With respect to tower lighting and marking, the Station’s reports show </w:t>
      </w:r>
      <w:r w:rsidR="00AA1D59">
        <w:rPr>
          <w:rFonts w:asciiTheme="majorBidi" w:hAnsiTheme="majorBidi" w:cstheme="majorBidi"/>
          <w:sz w:val="22"/>
          <w:szCs w:val="22"/>
        </w:rPr>
        <w:t>that CE</w:t>
      </w:r>
      <w:r w:rsidR="00E762BE">
        <w:rPr>
          <w:rFonts w:asciiTheme="majorBidi" w:hAnsiTheme="majorBidi" w:cstheme="majorBidi"/>
          <w:sz w:val="22"/>
          <w:szCs w:val="22"/>
        </w:rPr>
        <w:t>B</w:t>
      </w:r>
      <w:r w:rsidR="00AA1D59">
        <w:rPr>
          <w:rFonts w:asciiTheme="majorBidi" w:hAnsiTheme="majorBidi" w:cstheme="majorBidi"/>
          <w:sz w:val="22"/>
          <w:szCs w:val="22"/>
        </w:rPr>
        <w:t xml:space="preserve"> monitor</w:t>
      </w:r>
      <w:r w:rsidR="001B2B4F">
        <w:rPr>
          <w:rFonts w:asciiTheme="majorBidi" w:hAnsiTheme="majorBidi" w:cstheme="majorBidi"/>
          <w:sz w:val="22"/>
          <w:szCs w:val="22"/>
        </w:rPr>
        <w:t xml:space="preserve">ed </w:t>
      </w:r>
      <w:r w:rsidR="00AA1D59">
        <w:rPr>
          <w:rFonts w:asciiTheme="majorBidi" w:hAnsiTheme="majorBidi" w:cstheme="majorBidi"/>
          <w:sz w:val="22"/>
          <w:szCs w:val="22"/>
        </w:rPr>
        <w:t xml:space="preserve">tower lighting </w:t>
      </w:r>
      <w:r w:rsidR="001B2B4F">
        <w:rPr>
          <w:rFonts w:asciiTheme="majorBidi" w:hAnsiTheme="majorBidi" w:cstheme="majorBidi"/>
          <w:sz w:val="22"/>
          <w:szCs w:val="22"/>
        </w:rPr>
        <w:t xml:space="preserve">during the probationary period forward </w:t>
      </w:r>
      <w:r w:rsidR="00AA1D59">
        <w:rPr>
          <w:rFonts w:asciiTheme="majorBidi" w:hAnsiTheme="majorBidi" w:cstheme="majorBidi"/>
          <w:sz w:val="22"/>
          <w:szCs w:val="22"/>
        </w:rPr>
        <w:t>and</w:t>
      </w:r>
      <w:r>
        <w:rPr>
          <w:rFonts w:asciiTheme="majorBidi" w:hAnsiTheme="majorBidi" w:cstheme="majorBidi"/>
          <w:sz w:val="22"/>
          <w:szCs w:val="22"/>
        </w:rPr>
        <w:t xml:space="preserve">, upon noticing </w:t>
      </w:r>
      <w:r w:rsidR="0010194F">
        <w:rPr>
          <w:rFonts w:asciiTheme="majorBidi" w:hAnsiTheme="majorBidi" w:cstheme="majorBidi"/>
          <w:sz w:val="22"/>
          <w:szCs w:val="22"/>
        </w:rPr>
        <w:t>a problem</w:t>
      </w:r>
      <w:r>
        <w:rPr>
          <w:rFonts w:asciiTheme="majorBidi" w:hAnsiTheme="majorBidi" w:cstheme="majorBidi"/>
          <w:sz w:val="22"/>
          <w:szCs w:val="22"/>
        </w:rPr>
        <w:t xml:space="preserve"> notifie</w:t>
      </w:r>
      <w:r w:rsidR="001B2B4F">
        <w:rPr>
          <w:rFonts w:asciiTheme="majorBidi" w:hAnsiTheme="majorBidi" w:cstheme="majorBidi"/>
          <w:sz w:val="22"/>
          <w:szCs w:val="22"/>
        </w:rPr>
        <w:t>d</w:t>
      </w:r>
      <w:r>
        <w:rPr>
          <w:rFonts w:asciiTheme="majorBidi" w:hAnsiTheme="majorBidi" w:cstheme="majorBidi"/>
          <w:sz w:val="22"/>
          <w:szCs w:val="22"/>
        </w:rPr>
        <w:t xml:space="preserve"> the FAA and t</w:t>
      </w:r>
      <w:r w:rsidR="001B2B4F">
        <w:rPr>
          <w:rFonts w:asciiTheme="majorBidi" w:hAnsiTheme="majorBidi" w:cstheme="majorBidi"/>
          <w:sz w:val="22"/>
          <w:szCs w:val="22"/>
        </w:rPr>
        <w:t>ook</w:t>
      </w:r>
      <w:r>
        <w:rPr>
          <w:rFonts w:asciiTheme="majorBidi" w:hAnsiTheme="majorBidi" w:cstheme="majorBidi"/>
          <w:sz w:val="22"/>
          <w:szCs w:val="22"/>
        </w:rPr>
        <w:t xml:space="preserve"> corrective action</w:t>
      </w:r>
      <w:r w:rsidR="0010194F">
        <w:rPr>
          <w:rFonts w:asciiTheme="majorBidi" w:hAnsiTheme="majorBidi" w:cstheme="majorBidi"/>
          <w:sz w:val="22"/>
          <w:szCs w:val="22"/>
        </w:rPr>
        <w:t xml:space="preserve"> within FAA deadlines</w:t>
      </w:r>
      <w:r>
        <w:rPr>
          <w:rFonts w:asciiTheme="majorBidi" w:hAnsiTheme="majorBidi" w:cstheme="majorBidi"/>
          <w:sz w:val="22"/>
          <w:szCs w:val="22"/>
        </w:rPr>
        <w:t>.</w:t>
      </w:r>
      <w:r>
        <w:rPr>
          <w:rStyle w:val="FootnoteReference"/>
          <w:rFonts w:cstheme="majorBidi"/>
          <w:szCs w:val="22"/>
        </w:rPr>
        <w:footnoteReference w:id="38"/>
      </w:r>
      <w:r>
        <w:rPr>
          <w:rFonts w:asciiTheme="majorBidi" w:hAnsiTheme="majorBidi" w:cstheme="majorBidi"/>
          <w:sz w:val="22"/>
          <w:szCs w:val="22"/>
        </w:rPr>
        <w:t xml:space="preserve">  The reports also show that CEB repainted the tower </w:t>
      </w:r>
      <w:r w:rsidR="00334DD9">
        <w:rPr>
          <w:rFonts w:asciiTheme="majorBidi" w:hAnsiTheme="majorBidi" w:cstheme="majorBidi"/>
          <w:sz w:val="22"/>
          <w:szCs w:val="22"/>
        </w:rPr>
        <w:t xml:space="preserve">during the </w:t>
      </w:r>
      <w:r w:rsidR="00334DD9">
        <w:rPr>
          <w:rFonts w:asciiTheme="majorBidi" w:hAnsiTheme="majorBidi" w:cstheme="majorBidi"/>
          <w:sz w:val="22"/>
          <w:szCs w:val="22"/>
        </w:rPr>
        <w:t xml:space="preserve">probationary period </w:t>
      </w:r>
      <w:r>
        <w:rPr>
          <w:rFonts w:asciiTheme="majorBidi" w:hAnsiTheme="majorBidi" w:cstheme="majorBidi"/>
          <w:sz w:val="22"/>
          <w:szCs w:val="22"/>
        </w:rPr>
        <w:t>at a reported cost of $10,000.</w:t>
      </w:r>
      <w:r>
        <w:rPr>
          <w:rStyle w:val="FootnoteReference"/>
          <w:rFonts w:cstheme="majorBidi"/>
          <w:szCs w:val="22"/>
        </w:rPr>
        <w:footnoteReference w:id="39"/>
      </w:r>
    </w:p>
    <w:p w:rsidR="00E3132D" w:rsidP="00C41F31" w14:paraId="647D68C5" w14:textId="77777777">
      <w:pPr>
        <w:tabs>
          <w:tab w:val="left" w:pos="0"/>
        </w:tabs>
        <w:suppressAutoHyphens/>
        <w:outlineLvl w:val="0"/>
        <w:rPr>
          <w:rFonts w:asciiTheme="majorBidi" w:hAnsiTheme="majorBidi" w:cstheme="majorBidi"/>
          <w:sz w:val="22"/>
          <w:szCs w:val="22"/>
        </w:rPr>
      </w:pPr>
    </w:p>
    <w:p w:rsidR="00ED50D0" w:rsidP="00C41F31" w14:paraId="67B94D80" w14:textId="2D5EE4CA">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r>
      <w:r w:rsidR="00401364">
        <w:rPr>
          <w:rFonts w:asciiTheme="majorBidi" w:hAnsiTheme="majorBidi" w:cstheme="majorBidi"/>
          <w:sz w:val="22"/>
          <w:szCs w:val="22"/>
        </w:rPr>
        <w:t>The Station’s</w:t>
      </w:r>
      <w:r w:rsidR="0087151E">
        <w:rPr>
          <w:rFonts w:asciiTheme="majorBidi" w:hAnsiTheme="majorBidi" w:cstheme="majorBidi"/>
          <w:sz w:val="22"/>
          <w:szCs w:val="22"/>
        </w:rPr>
        <w:t xml:space="preserve"> online public inspection file </w:t>
      </w:r>
      <w:r w:rsidR="00DC1386">
        <w:rPr>
          <w:rFonts w:asciiTheme="majorBidi" w:hAnsiTheme="majorBidi" w:cstheme="majorBidi"/>
          <w:sz w:val="22"/>
          <w:szCs w:val="22"/>
        </w:rPr>
        <w:t xml:space="preserve">for </w:t>
      </w:r>
      <w:r w:rsidR="002B47C4">
        <w:rPr>
          <w:rFonts w:asciiTheme="majorBidi" w:hAnsiTheme="majorBidi" w:cstheme="majorBidi"/>
          <w:sz w:val="22"/>
          <w:szCs w:val="22"/>
        </w:rPr>
        <w:t>the probationary period</w:t>
      </w:r>
      <w:r w:rsidR="00324B4C">
        <w:rPr>
          <w:rFonts w:asciiTheme="majorBidi" w:hAnsiTheme="majorBidi" w:cstheme="majorBidi"/>
          <w:sz w:val="22"/>
          <w:szCs w:val="22"/>
        </w:rPr>
        <w:t xml:space="preserve"> (and through present)</w:t>
      </w:r>
      <w:r w:rsidR="002B47C4">
        <w:rPr>
          <w:rFonts w:asciiTheme="majorBidi" w:hAnsiTheme="majorBidi" w:cstheme="majorBidi"/>
          <w:sz w:val="22"/>
          <w:szCs w:val="22"/>
        </w:rPr>
        <w:t xml:space="preserve"> is </w:t>
      </w:r>
      <w:r w:rsidR="0087151E">
        <w:rPr>
          <w:rFonts w:asciiTheme="majorBidi" w:hAnsiTheme="majorBidi" w:cstheme="majorBidi"/>
          <w:sz w:val="22"/>
          <w:szCs w:val="22"/>
        </w:rPr>
        <w:t xml:space="preserve">complete, including those elements for which there were prior violations. </w:t>
      </w:r>
      <w:r w:rsidR="00401364">
        <w:rPr>
          <w:rFonts w:asciiTheme="majorBidi" w:hAnsiTheme="majorBidi" w:cstheme="majorBidi"/>
          <w:sz w:val="22"/>
          <w:szCs w:val="22"/>
        </w:rPr>
        <w:t xml:space="preserve"> For example</w:t>
      </w:r>
      <w:r w:rsidR="0087151E">
        <w:rPr>
          <w:rFonts w:asciiTheme="majorBidi" w:hAnsiTheme="majorBidi" w:cstheme="majorBidi"/>
          <w:sz w:val="22"/>
          <w:szCs w:val="22"/>
        </w:rPr>
        <w:t xml:space="preserve">, CEB filed </w:t>
      </w:r>
      <w:r w:rsidR="00DB38DE">
        <w:rPr>
          <w:rFonts w:asciiTheme="majorBidi" w:hAnsiTheme="majorBidi" w:cstheme="majorBidi"/>
          <w:sz w:val="22"/>
          <w:szCs w:val="22"/>
        </w:rPr>
        <w:t xml:space="preserve">a </w:t>
      </w:r>
      <w:r w:rsidR="0087151E">
        <w:rPr>
          <w:rFonts w:asciiTheme="majorBidi" w:hAnsiTheme="majorBidi" w:cstheme="majorBidi"/>
          <w:sz w:val="22"/>
          <w:szCs w:val="22"/>
        </w:rPr>
        <w:t xml:space="preserve">biennial ownership report in October 2021; the next report is not due until October 2023.  </w:t>
      </w:r>
      <w:r w:rsidR="00E476BD">
        <w:rPr>
          <w:rFonts w:asciiTheme="majorBidi" w:hAnsiTheme="majorBidi" w:cstheme="majorBidi"/>
          <w:sz w:val="22"/>
          <w:szCs w:val="22"/>
        </w:rPr>
        <w:t>CEB placed donor lists in the file each quarter</w:t>
      </w:r>
      <w:r w:rsidR="002B47C4">
        <w:rPr>
          <w:rFonts w:asciiTheme="majorBidi" w:hAnsiTheme="majorBidi" w:cstheme="majorBidi"/>
          <w:sz w:val="22"/>
          <w:szCs w:val="22"/>
        </w:rPr>
        <w:t xml:space="preserve">.  </w:t>
      </w:r>
      <w:r w:rsidR="00C41F31">
        <w:rPr>
          <w:rFonts w:asciiTheme="majorBidi" w:hAnsiTheme="majorBidi" w:cstheme="majorBidi"/>
          <w:sz w:val="22"/>
          <w:szCs w:val="22"/>
        </w:rPr>
        <w:t xml:space="preserve">CEB’s Issues/Programs </w:t>
      </w:r>
      <w:r w:rsidR="000327F7">
        <w:rPr>
          <w:rFonts w:asciiTheme="majorBidi" w:hAnsiTheme="majorBidi" w:cstheme="majorBidi"/>
          <w:sz w:val="22"/>
          <w:szCs w:val="22"/>
        </w:rPr>
        <w:t xml:space="preserve">lists </w:t>
      </w:r>
      <w:r w:rsidR="002B47C4">
        <w:rPr>
          <w:rFonts w:asciiTheme="majorBidi" w:hAnsiTheme="majorBidi" w:cstheme="majorBidi"/>
          <w:sz w:val="22"/>
          <w:szCs w:val="22"/>
        </w:rPr>
        <w:t>during the period</w:t>
      </w:r>
      <w:r w:rsidR="00CB729C">
        <w:rPr>
          <w:rFonts w:asciiTheme="majorBidi" w:hAnsiTheme="majorBidi" w:cstheme="majorBidi"/>
          <w:sz w:val="22"/>
          <w:szCs w:val="22"/>
        </w:rPr>
        <w:t xml:space="preserve"> </w:t>
      </w:r>
      <w:r w:rsidR="00C41F31">
        <w:rPr>
          <w:rFonts w:asciiTheme="majorBidi" w:hAnsiTheme="majorBidi" w:cstheme="majorBidi"/>
          <w:sz w:val="22"/>
          <w:szCs w:val="22"/>
        </w:rPr>
        <w:t xml:space="preserve">improved in format and reflect </w:t>
      </w:r>
      <w:r w:rsidR="00025226">
        <w:rPr>
          <w:rFonts w:asciiTheme="majorBidi" w:hAnsiTheme="majorBidi" w:cstheme="majorBidi"/>
          <w:sz w:val="22"/>
          <w:szCs w:val="22"/>
        </w:rPr>
        <w:t xml:space="preserve">that the station </w:t>
      </w:r>
      <w:r w:rsidR="00250967">
        <w:rPr>
          <w:rFonts w:asciiTheme="majorBidi" w:hAnsiTheme="majorBidi" w:cstheme="majorBidi"/>
          <w:sz w:val="22"/>
          <w:szCs w:val="22"/>
        </w:rPr>
        <w:t xml:space="preserve">has expanded </w:t>
      </w:r>
      <w:r w:rsidR="00025226">
        <w:rPr>
          <w:rFonts w:asciiTheme="majorBidi" w:hAnsiTheme="majorBidi" w:cstheme="majorBidi"/>
          <w:sz w:val="22"/>
          <w:szCs w:val="22"/>
        </w:rPr>
        <w:t>i</w:t>
      </w:r>
      <w:r w:rsidR="00CB729C">
        <w:rPr>
          <w:rFonts w:asciiTheme="majorBidi" w:hAnsiTheme="majorBidi" w:cstheme="majorBidi"/>
          <w:sz w:val="22"/>
          <w:szCs w:val="22"/>
        </w:rPr>
        <w:t>t</w:t>
      </w:r>
      <w:r w:rsidR="00025226">
        <w:rPr>
          <w:rFonts w:asciiTheme="majorBidi" w:hAnsiTheme="majorBidi" w:cstheme="majorBidi"/>
          <w:sz w:val="22"/>
          <w:szCs w:val="22"/>
        </w:rPr>
        <w:t xml:space="preserve">s </w:t>
      </w:r>
      <w:r w:rsidR="00C41F31">
        <w:rPr>
          <w:rFonts w:asciiTheme="majorBidi" w:hAnsiTheme="majorBidi" w:cstheme="majorBidi"/>
          <w:sz w:val="22"/>
          <w:szCs w:val="22"/>
        </w:rPr>
        <w:t xml:space="preserve">informational </w:t>
      </w:r>
      <w:r w:rsidR="00025226">
        <w:rPr>
          <w:rFonts w:asciiTheme="majorBidi" w:hAnsiTheme="majorBidi" w:cstheme="majorBidi"/>
          <w:sz w:val="22"/>
          <w:szCs w:val="22"/>
        </w:rPr>
        <w:t>programming</w:t>
      </w:r>
      <w:r w:rsidR="00250967">
        <w:rPr>
          <w:rFonts w:asciiTheme="majorBidi" w:hAnsiTheme="majorBidi" w:cstheme="majorBidi"/>
          <w:sz w:val="22"/>
          <w:szCs w:val="22"/>
        </w:rPr>
        <w:t xml:space="preserve"> in terms of length, type, and source</w:t>
      </w:r>
      <w:r w:rsidR="00C41F31">
        <w:rPr>
          <w:rFonts w:asciiTheme="majorBidi" w:hAnsiTheme="majorBidi" w:cstheme="majorBidi"/>
          <w:sz w:val="22"/>
          <w:szCs w:val="22"/>
        </w:rPr>
        <w:t>.</w:t>
      </w:r>
      <w:r>
        <w:rPr>
          <w:rStyle w:val="FootnoteReference"/>
          <w:rFonts w:cstheme="majorBidi"/>
          <w:szCs w:val="22"/>
        </w:rPr>
        <w:footnoteReference w:id="40"/>
      </w:r>
      <w:r w:rsidR="00C41F31">
        <w:rPr>
          <w:rFonts w:asciiTheme="majorBidi" w:hAnsiTheme="majorBidi" w:cstheme="majorBidi"/>
          <w:sz w:val="22"/>
          <w:szCs w:val="22"/>
        </w:rPr>
        <w:t xml:space="preserve">  </w:t>
      </w:r>
    </w:p>
    <w:p w:rsidR="00A129D4" w:rsidP="00C41F31" w14:paraId="33F91C50" w14:textId="76BFF39D">
      <w:pPr>
        <w:tabs>
          <w:tab w:val="left" w:pos="0"/>
        </w:tabs>
        <w:suppressAutoHyphens/>
        <w:outlineLvl w:val="0"/>
        <w:rPr>
          <w:rFonts w:asciiTheme="majorBidi" w:hAnsiTheme="majorBidi" w:cstheme="majorBidi"/>
          <w:sz w:val="22"/>
          <w:szCs w:val="22"/>
        </w:rPr>
      </w:pPr>
    </w:p>
    <w:p w:rsidR="00A129D4" w:rsidP="002B47C4" w14:paraId="3CF1C3F9" w14:textId="5919B9AA">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t xml:space="preserve">CEB reported some issues of non-compliance </w:t>
      </w:r>
      <w:r w:rsidR="002B47C4">
        <w:rPr>
          <w:rFonts w:asciiTheme="majorBidi" w:hAnsiTheme="majorBidi" w:cstheme="majorBidi"/>
          <w:sz w:val="22"/>
          <w:szCs w:val="22"/>
        </w:rPr>
        <w:t xml:space="preserve">during the </w:t>
      </w:r>
      <w:r w:rsidR="00DC1386">
        <w:rPr>
          <w:rFonts w:asciiTheme="majorBidi" w:hAnsiTheme="majorBidi" w:cstheme="majorBidi"/>
          <w:sz w:val="22"/>
          <w:szCs w:val="22"/>
        </w:rPr>
        <w:t xml:space="preserve">probation </w:t>
      </w:r>
      <w:r w:rsidR="002B47C4">
        <w:rPr>
          <w:rFonts w:asciiTheme="majorBidi" w:hAnsiTheme="majorBidi" w:cstheme="majorBidi"/>
          <w:sz w:val="22"/>
          <w:szCs w:val="22"/>
        </w:rPr>
        <w:t>period,</w:t>
      </w:r>
      <w:r w:rsidR="00C51DA2">
        <w:rPr>
          <w:rFonts w:asciiTheme="majorBidi" w:hAnsiTheme="majorBidi" w:cstheme="majorBidi"/>
          <w:sz w:val="22"/>
          <w:szCs w:val="22"/>
        </w:rPr>
        <w:t xml:space="preserve"> all</w:t>
      </w:r>
      <w:r w:rsidR="001D38C3">
        <w:rPr>
          <w:rFonts w:asciiTheme="majorBidi" w:hAnsiTheme="majorBidi" w:cstheme="majorBidi"/>
          <w:sz w:val="22"/>
          <w:szCs w:val="22"/>
        </w:rPr>
        <w:t xml:space="preserve"> concerning late filings.  </w:t>
      </w:r>
      <w:r>
        <w:rPr>
          <w:rFonts w:asciiTheme="majorBidi" w:hAnsiTheme="majorBidi" w:cstheme="majorBidi"/>
          <w:sz w:val="22"/>
          <w:szCs w:val="22"/>
        </w:rPr>
        <w:t xml:space="preserve">For example, CEB </w:t>
      </w:r>
      <w:r w:rsidR="00910FDD">
        <w:rPr>
          <w:rFonts w:asciiTheme="majorBidi" w:hAnsiTheme="majorBidi" w:cstheme="majorBidi"/>
          <w:sz w:val="22"/>
          <w:szCs w:val="22"/>
        </w:rPr>
        <w:t xml:space="preserve">was late in </w:t>
      </w:r>
      <w:r>
        <w:rPr>
          <w:rFonts w:asciiTheme="majorBidi" w:hAnsiTheme="majorBidi" w:cstheme="majorBidi"/>
          <w:sz w:val="22"/>
          <w:szCs w:val="22"/>
        </w:rPr>
        <w:t>report</w:t>
      </w:r>
      <w:r w:rsidR="00910FDD">
        <w:rPr>
          <w:rFonts w:asciiTheme="majorBidi" w:hAnsiTheme="majorBidi" w:cstheme="majorBidi"/>
          <w:sz w:val="22"/>
          <w:szCs w:val="22"/>
        </w:rPr>
        <w:t>ing</w:t>
      </w:r>
      <w:r>
        <w:rPr>
          <w:rFonts w:asciiTheme="majorBidi" w:hAnsiTheme="majorBidi" w:cstheme="majorBidi"/>
          <w:sz w:val="22"/>
          <w:szCs w:val="22"/>
        </w:rPr>
        <w:t xml:space="preserve"> that it operated at reduced power </w:t>
      </w:r>
      <w:r w:rsidR="00910FDD">
        <w:rPr>
          <w:rFonts w:asciiTheme="majorBidi" w:hAnsiTheme="majorBidi" w:cstheme="majorBidi"/>
          <w:sz w:val="22"/>
          <w:szCs w:val="22"/>
        </w:rPr>
        <w:t>for 12 days from</w:t>
      </w:r>
      <w:r>
        <w:rPr>
          <w:rFonts w:asciiTheme="majorBidi" w:hAnsiTheme="majorBidi" w:cstheme="majorBidi"/>
          <w:sz w:val="22"/>
          <w:szCs w:val="22"/>
        </w:rPr>
        <w:t xml:space="preserve"> February </w:t>
      </w:r>
      <w:r w:rsidR="00910FDD">
        <w:rPr>
          <w:rFonts w:asciiTheme="majorBidi" w:hAnsiTheme="majorBidi" w:cstheme="majorBidi"/>
          <w:sz w:val="22"/>
          <w:szCs w:val="22"/>
        </w:rPr>
        <w:t xml:space="preserve">11-23, </w:t>
      </w:r>
      <w:r>
        <w:rPr>
          <w:rFonts w:asciiTheme="majorBidi" w:hAnsiTheme="majorBidi" w:cstheme="majorBidi"/>
          <w:sz w:val="22"/>
          <w:szCs w:val="22"/>
        </w:rPr>
        <w:t>2021</w:t>
      </w:r>
      <w:r w:rsidR="00715741">
        <w:rPr>
          <w:rFonts w:asciiTheme="majorBidi" w:hAnsiTheme="majorBidi" w:cstheme="majorBidi"/>
          <w:sz w:val="22"/>
          <w:szCs w:val="22"/>
        </w:rPr>
        <w:t>,</w:t>
      </w:r>
      <w:r>
        <w:rPr>
          <w:rFonts w:asciiTheme="majorBidi" w:hAnsiTheme="majorBidi" w:cstheme="majorBidi"/>
          <w:sz w:val="22"/>
          <w:szCs w:val="22"/>
        </w:rPr>
        <w:t xml:space="preserve"> </w:t>
      </w:r>
      <w:r w:rsidR="00C51DA2">
        <w:rPr>
          <w:rFonts w:asciiTheme="majorBidi" w:hAnsiTheme="majorBidi" w:cstheme="majorBidi"/>
          <w:sz w:val="22"/>
          <w:szCs w:val="22"/>
        </w:rPr>
        <w:t xml:space="preserve">when </w:t>
      </w:r>
      <w:r w:rsidR="0046303A">
        <w:rPr>
          <w:rFonts w:asciiTheme="majorBidi" w:hAnsiTheme="majorBidi" w:cstheme="majorBidi"/>
          <w:sz w:val="22"/>
          <w:szCs w:val="22"/>
        </w:rPr>
        <w:t>the tower froze in an ice storm</w:t>
      </w:r>
      <w:r w:rsidR="00910FDD">
        <w:rPr>
          <w:rFonts w:asciiTheme="majorBidi" w:hAnsiTheme="majorBidi" w:cstheme="majorBidi"/>
          <w:sz w:val="22"/>
          <w:szCs w:val="22"/>
        </w:rPr>
        <w:t>.</w:t>
      </w:r>
      <w:r>
        <w:rPr>
          <w:rStyle w:val="FootnoteReference"/>
          <w:rFonts w:cstheme="majorBidi"/>
          <w:szCs w:val="22"/>
        </w:rPr>
        <w:footnoteReference w:id="41"/>
      </w:r>
      <w:r w:rsidR="00A25D64">
        <w:rPr>
          <w:rFonts w:asciiTheme="majorBidi" w:hAnsiTheme="majorBidi" w:cstheme="majorBidi"/>
          <w:sz w:val="22"/>
          <w:szCs w:val="22"/>
        </w:rPr>
        <w:t xml:space="preserve">  </w:t>
      </w:r>
      <w:r w:rsidR="00CD125F">
        <w:rPr>
          <w:rFonts w:asciiTheme="majorBidi" w:hAnsiTheme="majorBidi" w:cstheme="majorBidi"/>
          <w:sz w:val="22"/>
          <w:szCs w:val="22"/>
        </w:rPr>
        <w:t xml:space="preserve">CEB was approximately two weeks late in filing a compliance report for Fourth Quarter 2021 due to a family health emergency </w:t>
      </w:r>
      <w:r w:rsidR="00C51DA2">
        <w:rPr>
          <w:rFonts w:asciiTheme="majorBidi" w:hAnsiTheme="majorBidi" w:cstheme="majorBidi"/>
          <w:sz w:val="22"/>
          <w:szCs w:val="22"/>
        </w:rPr>
        <w:t xml:space="preserve">which it states was </w:t>
      </w:r>
      <w:r w:rsidR="00CD125F">
        <w:rPr>
          <w:rFonts w:asciiTheme="majorBidi" w:hAnsiTheme="majorBidi" w:cstheme="majorBidi"/>
          <w:sz w:val="22"/>
          <w:szCs w:val="22"/>
        </w:rPr>
        <w:t xml:space="preserve">related to the COVID pandemic.  </w:t>
      </w:r>
      <w:r w:rsidR="002B47C4">
        <w:rPr>
          <w:rFonts w:asciiTheme="majorBidi" w:hAnsiTheme="majorBidi" w:cstheme="majorBidi"/>
          <w:sz w:val="22"/>
          <w:szCs w:val="22"/>
        </w:rPr>
        <w:t xml:space="preserve">Late-filing of information </w:t>
      </w:r>
      <w:r w:rsidR="00E0450D">
        <w:rPr>
          <w:rFonts w:asciiTheme="majorBidi" w:hAnsiTheme="majorBidi" w:cstheme="majorBidi"/>
          <w:sz w:val="22"/>
          <w:szCs w:val="22"/>
        </w:rPr>
        <w:t xml:space="preserve">also </w:t>
      </w:r>
      <w:r w:rsidR="002B47C4">
        <w:rPr>
          <w:rFonts w:asciiTheme="majorBidi" w:hAnsiTheme="majorBidi" w:cstheme="majorBidi"/>
          <w:sz w:val="22"/>
          <w:szCs w:val="22"/>
        </w:rPr>
        <w:t xml:space="preserve">continued after the probationary period.  For example, </w:t>
      </w:r>
      <w:r w:rsidR="00D82A11">
        <w:rPr>
          <w:rFonts w:asciiTheme="majorBidi" w:hAnsiTheme="majorBidi" w:cstheme="majorBidi"/>
          <w:sz w:val="22"/>
          <w:szCs w:val="22"/>
        </w:rPr>
        <w:t xml:space="preserve">CEB was late </w:t>
      </w:r>
      <w:r w:rsidR="00E0450D">
        <w:rPr>
          <w:rFonts w:asciiTheme="majorBidi" w:hAnsiTheme="majorBidi" w:cstheme="majorBidi"/>
          <w:sz w:val="22"/>
          <w:szCs w:val="22"/>
        </w:rPr>
        <w:t xml:space="preserve">in </w:t>
      </w:r>
      <w:r w:rsidR="00D82A11">
        <w:rPr>
          <w:rFonts w:asciiTheme="majorBidi" w:hAnsiTheme="majorBidi" w:cstheme="majorBidi"/>
          <w:sz w:val="22"/>
          <w:szCs w:val="22"/>
        </w:rPr>
        <w:t xml:space="preserve">placing its issues/programs and donor lists for Third Quarter 2022 in its </w:t>
      </w:r>
      <w:r w:rsidR="00E0450D">
        <w:rPr>
          <w:rFonts w:asciiTheme="majorBidi" w:hAnsiTheme="majorBidi" w:cstheme="majorBidi"/>
          <w:sz w:val="22"/>
          <w:szCs w:val="22"/>
        </w:rPr>
        <w:t>o</w:t>
      </w:r>
      <w:r w:rsidR="00D82A11">
        <w:rPr>
          <w:rFonts w:asciiTheme="majorBidi" w:hAnsiTheme="majorBidi" w:cstheme="majorBidi"/>
          <w:sz w:val="22"/>
          <w:szCs w:val="22"/>
        </w:rPr>
        <w:t xml:space="preserve">nline </w:t>
      </w:r>
      <w:r w:rsidR="00E0450D">
        <w:rPr>
          <w:rFonts w:asciiTheme="majorBidi" w:hAnsiTheme="majorBidi" w:cstheme="majorBidi"/>
          <w:sz w:val="22"/>
          <w:szCs w:val="22"/>
        </w:rPr>
        <w:t>p</w:t>
      </w:r>
      <w:r w:rsidR="00D82A11">
        <w:rPr>
          <w:rFonts w:asciiTheme="majorBidi" w:hAnsiTheme="majorBidi" w:cstheme="majorBidi"/>
          <w:sz w:val="22"/>
          <w:szCs w:val="22"/>
        </w:rPr>
        <w:t xml:space="preserve">ublic </w:t>
      </w:r>
      <w:r w:rsidR="00E0450D">
        <w:rPr>
          <w:rFonts w:asciiTheme="majorBidi" w:hAnsiTheme="majorBidi" w:cstheme="majorBidi"/>
          <w:sz w:val="22"/>
          <w:szCs w:val="22"/>
        </w:rPr>
        <w:t>i</w:t>
      </w:r>
      <w:r w:rsidR="00D82A11">
        <w:rPr>
          <w:rFonts w:asciiTheme="majorBidi" w:hAnsiTheme="majorBidi" w:cstheme="majorBidi"/>
          <w:sz w:val="22"/>
          <w:szCs w:val="22"/>
        </w:rPr>
        <w:t>nspection file</w:t>
      </w:r>
      <w:r w:rsidR="00C51DA2">
        <w:rPr>
          <w:rFonts w:asciiTheme="majorBidi" w:hAnsiTheme="majorBidi" w:cstheme="majorBidi"/>
          <w:sz w:val="22"/>
          <w:szCs w:val="22"/>
        </w:rPr>
        <w:t>, reportedly</w:t>
      </w:r>
      <w:r w:rsidR="00D82A11">
        <w:rPr>
          <w:rFonts w:asciiTheme="majorBidi" w:hAnsiTheme="majorBidi" w:cstheme="majorBidi"/>
          <w:sz w:val="22"/>
          <w:szCs w:val="22"/>
        </w:rPr>
        <w:t xml:space="preserve"> due to</w:t>
      </w:r>
      <w:r w:rsidR="00E0450D">
        <w:rPr>
          <w:rFonts w:asciiTheme="majorBidi" w:hAnsiTheme="majorBidi" w:cstheme="majorBidi"/>
          <w:sz w:val="22"/>
          <w:szCs w:val="22"/>
        </w:rPr>
        <w:t xml:space="preserve"> trouble </w:t>
      </w:r>
      <w:r w:rsidR="00D82A11">
        <w:rPr>
          <w:rFonts w:asciiTheme="majorBidi" w:hAnsiTheme="majorBidi" w:cstheme="majorBidi"/>
          <w:sz w:val="22"/>
          <w:szCs w:val="22"/>
        </w:rPr>
        <w:t>access</w:t>
      </w:r>
      <w:r w:rsidR="00E0450D">
        <w:rPr>
          <w:rFonts w:asciiTheme="majorBidi" w:hAnsiTheme="majorBidi" w:cstheme="majorBidi"/>
          <w:sz w:val="22"/>
          <w:szCs w:val="22"/>
        </w:rPr>
        <w:t xml:space="preserve">ing </w:t>
      </w:r>
      <w:r w:rsidR="00C51DA2">
        <w:rPr>
          <w:rFonts w:asciiTheme="majorBidi" w:hAnsiTheme="majorBidi" w:cstheme="majorBidi"/>
          <w:sz w:val="22"/>
          <w:szCs w:val="22"/>
        </w:rPr>
        <w:t>needed</w:t>
      </w:r>
      <w:r w:rsidR="00E0450D">
        <w:rPr>
          <w:rFonts w:asciiTheme="majorBidi" w:hAnsiTheme="majorBidi" w:cstheme="majorBidi"/>
          <w:sz w:val="22"/>
          <w:szCs w:val="22"/>
        </w:rPr>
        <w:t xml:space="preserve"> information</w:t>
      </w:r>
      <w:r w:rsidR="00D82A11">
        <w:rPr>
          <w:rFonts w:asciiTheme="majorBidi" w:hAnsiTheme="majorBidi" w:cstheme="majorBidi"/>
          <w:sz w:val="22"/>
          <w:szCs w:val="22"/>
        </w:rPr>
        <w:t xml:space="preserve"> following replacement of its computers. </w:t>
      </w:r>
      <w:r w:rsidR="00C66F06">
        <w:rPr>
          <w:rFonts w:asciiTheme="majorBidi" w:hAnsiTheme="majorBidi" w:cstheme="majorBidi"/>
          <w:sz w:val="22"/>
          <w:szCs w:val="22"/>
        </w:rPr>
        <w:t xml:space="preserve"> </w:t>
      </w:r>
      <w:r w:rsidR="00C51DA2">
        <w:rPr>
          <w:rFonts w:asciiTheme="majorBidi" w:hAnsiTheme="majorBidi" w:cstheme="majorBidi"/>
          <w:sz w:val="22"/>
          <w:szCs w:val="22"/>
        </w:rPr>
        <w:t>Although t</w:t>
      </w:r>
      <w:r w:rsidR="00E0450D">
        <w:rPr>
          <w:rFonts w:asciiTheme="majorBidi" w:hAnsiTheme="majorBidi" w:cstheme="majorBidi"/>
          <w:sz w:val="22"/>
          <w:szCs w:val="22"/>
        </w:rPr>
        <w:t xml:space="preserve">hese matters are not </w:t>
      </w:r>
      <w:r w:rsidR="00F01E61">
        <w:rPr>
          <w:rFonts w:asciiTheme="majorBidi" w:hAnsiTheme="majorBidi" w:cstheme="majorBidi"/>
          <w:sz w:val="22"/>
          <w:szCs w:val="22"/>
        </w:rPr>
        <w:t>so</w:t>
      </w:r>
      <w:r w:rsidR="00E0450D">
        <w:rPr>
          <w:rFonts w:asciiTheme="majorBidi" w:hAnsiTheme="majorBidi" w:cstheme="majorBidi"/>
          <w:sz w:val="22"/>
          <w:szCs w:val="22"/>
        </w:rPr>
        <w:t xml:space="preserve"> “serious” </w:t>
      </w:r>
      <w:r w:rsidR="00F01E61">
        <w:rPr>
          <w:rFonts w:asciiTheme="majorBidi" w:hAnsiTheme="majorBidi" w:cstheme="majorBidi"/>
          <w:sz w:val="22"/>
          <w:szCs w:val="22"/>
        </w:rPr>
        <w:t>as</w:t>
      </w:r>
      <w:r w:rsidR="00E0450D">
        <w:rPr>
          <w:rFonts w:asciiTheme="majorBidi" w:hAnsiTheme="majorBidi" w:cstheme="majorBidi"/>
          <w:sz w:val="22"/>
          <w:szCs w:val="22"/>
        </w:rPr>
        <w:t xml:space="preserve"> to prevent license renewal under Section </w:t>
      </w:r>
      <w:r w:rsidR="00DC1386">
        <w:rPr>
          <w:rFonts w:asciiTheme="majorBidi" w:hAnsiTheme="majorBidi" w:cstheme="majorBidi"/>
          <w:sz w:val="22"/>
          <w:szCs w:val="22"/>
        </w:rPr>
        <w:t>309</w:t>
      </w:r>
      <w:r w:rsidR="00E0450D">
        <w:rPr>
          <w:rFonts w:asciiTheme="majorBidi" w:hAnsiTheme="majorBidi" w:cstheme="majorBidi"/>
          <w:sz w:val="22"/>
          <w:szCs w:val="22"/>
        </w:rPr>
        <w:t>(k) of the Act</w:t>
      </w:r>
      <w:r w:rsidR="00865361">
        <w:rPr>
          <w:rFonts w:asciiTheme="majorBidi" w:hAnsiTheme="majorBidi" w:cstheme="majorBidi"/>
          <w:sz w:val="22"/>
          <w:szCs w:val="22"/>
        </w:rPr>
        <w:t xml:space="preserve"> and </w:t>
      </w:r>
      <w:r w:rsidR="00F01E61">
        <w:rPr>
          <w:rFonts w:asciiTheme="majorBidi" w:hAnsiTheme="majorBidi" w:cstheme="majorBidi"/>
          <w:sz w:val="22"/>
          <w:szCs w:val="22"/>
        </w:rPr>
        <w:t xml:space="preserve">CEB provides </w:t>
      </w:r>
      <w:r w:rsidR="00865361">
        <w:rPr>
          <w:rFonts w:asciiTheme="majorBidi" w:hAnsiTheme="majorBidi" w:cstheme="majorBidi"/>
          <w:sz w:val="22"/>
          <w:szCs w:val="22"/>
        </w:rPr>
        <w:t>explanations for the lateness</w:t>
      </w:r>
      <w:r w:rsidR="00C51DA2">
        <w:rPr>
          <w:rFonts w:asciiTheme="majorBidi" w:hAnsiTheme="majorBidi" w:cstheme="majorBidi"/>
          <w:sz w:val="22"/>
          <w:szCs w:val="22"/>
        </w:rPr>
        <w:t xml:space="preserve">, </w:t>
      </w:r>
      <w:r w:rsidR="00F01E61">
        <w:rPr>
          <w:rFonts w:asciiTheme="majorBidi" w:hAnsiTheme="majorBidi" w:cstheme="majorBidi"/>
          <w:sz w:val="22"/>
          <w:szCs w:val="22"/>
        </w:rPr>
        <w:t xml:space="preserve">we </w:t>
      </w:r>
      <w:r w:rsidR="004327F8">
        <w:rPr>
          <w:rFonts w:asciiTheme="majorBidi" w:hAnsiTheme="majorBidi" w:cstheme="majorBidi"/>
          <w:sz w:val="22"/>
          <w:szCs w:val="22"/>
        </w:rPr>
        <w:t xml:space="preserve">find that </w:t>
      </w:r>
      <w:r w:rsidR="00C66F06">
        <w:rPr>
          <w:rFonts w:asciiTheme="majorBidi" w:hAnsiTheme="majorBidi" w:cstheme="majorBidi"/>
          <w:sz w:val="22"/>
          <w:szCs w:val="22"/>
        </w:rPr>
        <w:t xml:space="preserve">CEB </w:t>
      </w:r>
      <w:r w:rsidR="00DC1386">
        <w:rPr>
          <w:rFonts w:asciiTheme="majorBidi" w:hAnsiTheme="majorBidi" w:cstheme="majorBidi"/>
          <w:sz w:val="22"/>
          <w:szCs w:val="22"/>
        </w:rPr>
        <w:t>must</w:t>
      </w:r>
      <w:r w:rsidR="00C66F06">
        <w:rPr>
          <w:rFonts w:asciiTheme="majorBidi" w:hAnsiTheme="majorBidi" w:cstheme="majorBidi"/>
          <w:sz w:val="22"/>
          <w:szCs w:val="22"/>
        </w:rPr>
        <w:t xml:space="preserve"> </w:t>
      </w:r>
      <w:r w:rsidR="00DC1386">
        <w:rPr>
          <w:rFonts w:asciiTheme="majorBidi" w:hAnsiTheme="majorBidi" w:cstheme="majorBidi"/>
          <w:sz w:val="22"/>
          <w:szCs w:val="22"/>
        </w:rPr>
        <w:t xml:space="preserve">promptly </w:t>
      </w:r>
      <w:r w:rsidR="00C66F06">
        <w:rPr>
          <w:rFonts w:asciiTheme="majorBidi" w:hAnsiTheme="majorBidi" w:cstheme="majorBidi"/>
          <w:sz w:val="22"/>
          <w:szCs w:val="22"/>
        </w:rPr>
        <w:t xml:space="preserve">improve the timeliness of </w:t>
      </w:r>
      <w:r w:rsidR="00DC1386">
        <w:rPr>
          <w:rFonts w:asciiTheme="majorBidi" w:hAnsiTheme="majorBidi" w:cstheme="majorBidi"/>
          <w:sz w:val="22"/>
          <w:szCs w:val="22"/>
        </w:rPr>
        <w:t xml:space="preserve">its </w:t>
      </w:r>
      <w:r w:rsidR="00C66F06">
        <w:rPr>
          <w:rFonts w:asciiTheme="majorBidi" w:hAnsiTheme="majorBidi" w:cstheme="majorBidi"/>
          <w:sz w:val="22"/>
          <w:szCs w:val="22"/>
        </w:rPr>
        <w:t>filings</w:t>
      </w:r>
      <w:r w:rsidR="00F01E61">
        <w:rPr>
          <w:rFonts w:asciiTheme="majorBidi" w:hAnsiTheme="majorBidi" w:cstheme="majorBidi"/>
          <w:sz w:val="22"/>
          <w:szCs w:val="22"/>
        </w:rPr>
        <w:t xml:space="preserve"> with the Commission</w:t>
      </w:r>
      <w:r w:rsidR="00C66F06">
        <w:rPr>
          <w:rFonts w:asciiTheme="majorBidi" w:hAnsiTheme="majorBidi" w:cstheme="majorBidi"/>
          <w:sz w:val="22"/>
          <w:szCs w:val="22"/>
        </w:rPr>
        <w:t xml:space="preserve">.  </w:t>
      </w:r>
      <w:r w:rsidR="009F2234">
        <w:rPr>
          <w:rFonts w:asciiTheme="majorBidi" w:hAnsiTheme="majorBidi" w:cstheme="majorBidi"/>
          <w:sz w:val="22"/>
          <w:szCs w:val="22"/>
        </w:rPr>
        <w:t xml:space="preserve">Such improvement should not be difficult.  </w:t>
      </w:r>
      <w:r w:rsidR="002B47C4">
        <w:rPr>
          <w:rFonts w:asciiTheme="majorBidi" w:hAnsiTheme="majorBidi" w:cstheme="majorBidi"/>
          <w:sz w:val="22"/>
          <w:szCs w:val="22"/>
        </w:rPr>
        <w:t xml:space="preserve">We </w:t>
      </w:r>
      <w:r w:rsidR="00F01E61">
        <w:rPr>
          <w:rFonts w:asciiTheme="majorBidi" w:hAnsiTheme="majorBidi" w:cstheme="majorBidi"/>
          <w:sz w:val="22"/>
          <w:szCs w:val="22"/>
        </w:rPr>
        <w:t>will require</w:t>
      </w:r>
      <w:r w:rsidR="002B47C4">
        <w:rPr>
          <w:rFonts w:asciiTheme="majorBidi" w:hAnsiTheme="majorBidi" w:cstheme="majorBidi"/>
          <w:sz w:val="22"/>
          <w:szCs w:val="22"/>
        </w:rPr>
        <w:t xml:space="preserve"> that CEB</w:t>
      </w:r>
      <w:r w:rsidR="0029613B">
        <w:rPr>
          <w:rFonts w:asciiTheme="majorBidi" w:hAnsiTheme="majorBidi" w:cstheme="majorBidi"/>
          <w:sz w:val="22"/>
          <w:szCs w:val="22"/>
        </w:rPr>
        <w:t xml:space="preserve"> amend its existing compliance plan</w:t>
      </w:r>
      <w:r w:rsidR="00E0450D">
        <w:rPr>
          <w:rFonts w:asciiTheme="majorBidi" w:hAnsiTheme="majorBidi" w:cstheme="majorBidi"/>
          <w:sz w:val="22"/>
          <w:szCs w:val="22"/>
        </w:rPr>
        <w:t>, perhaps with the assistance of counsel or another consultant,</w:t>
      </w:r>
      <w:r w:rsidR="002B47C4">
        <w:rPr>
          <w:rFonts w:asciiTheme="majorBidi" w:hAnsiTheme="majorBidi" w:cstheme="majorBidi"/>
          <w:sz w:val="22"/>
          <w:szCs w:val="22"/>
        </w:rPr>
        <w:t xml:space="preserve"> to meet deadlines even if unexpected emergencies arise</w:t>
      </w:r>
      <w:r w:rsidR="008931B7">
        <w:rPr>
          <w:rFonts w:asciiTheme="majorBidi" w:hAnsiTheme="majorBidi" w:cstheme="majorBidi"/>
          <w:sz w:val="22"/>
          <w:szCs w:val="22"/>
        </w:rPr>
        <w:t>.</w:t>
      </w:r>
      <w:r>
        <w:rPr>
          <w:rStyle w:val="FootnoteReference"/>
          <w:rFonts w:cstheme="majorBidi"/>
          <w:szCs w:val="22"/>
        </w:rPr>
        <w:footnoteReference w:id="42"/>
      </w:r>
      <w:r w:rsidR="008931B7">
        <w:rPr>
          <w:rFonts w:asciiTheme="majorBidi" w:hAnsiTheme="majorBidi" w:cstheme="majorBidi"/>
          <w:sz w:val="22"/>
          <w:szCs w:val="22"/>
        </w:rPr>
        <w:t xml:space="preserve">  CEB </w:t>
      </w:r>
      <w:r w:rsidR="0029613B">
        <w:rPr>
          <w:rFonts w:asciiTheme="majorBidi" w:hAnsiTheme="majorBidi" w:cstheme="majorBidi"/>
          <w:sz w:val="22"/>
          <w:szCs w:val="22"/>
        </w:rPr>
        <w:t>must devise the plan within 60 days and</w:t>
      </w:r>
      <w:r w:rsidR="008931B7">
        <w:rPr>
          <w:rFonts w:asciiTheme="majorBidi" w:hAnsiTheme="majorBidi" w:cstheme="majorBidi"/>
          <w:sz w:val="22"/>
          <w:szCs w:val="22"/>
        </w:rPr>
        <w:t xml:space="preserve"> </w:t>
      </w:r>
      <w:r w:rsidR="004327F8">
        <w:rPr>
          <w:rFonts w:asciiTheme="majorBidi" w:hAnsiTheme="majorBidi" w:cstheme="majorBidi"/>
          <w:sz w:val="22"/>
          <w:szCs w:val="22"/>
        </w:rPr>
        <w:t xml:space="preserve">place </w:t>
      </w:r>
      <w:r w:rsidR="002B47C4">
        <w:rPr>
          <w:rFonts w:asciiTheme="majorBidi" w:hAnsiTheme="majorBidi" w:cstheme="majorBidi"/>
          <w:sz w:val="22"/>
          <w:szCs w:val="22"/>
        </w:rPr>
        <w:t xml:space="preserve">the details of that plan </w:t>
      </w:r>
      <w:r w:rsidR="004327F8">
        <w:rPr>
          <w:rFonts w:asciiTheme="majorBidi" w:hAnsiTheme="majorBidi" w:cstheme="majorBidi"/>
          <w:sz w:val="22"/>
          <w:szCs w:val="22"/>
        </w:rPr>
        <w:t xml:space="preserve">in the “FCC Investigations or Complaints” section of its online public inspection file </w:t>
      </w:r>
      <w:r w:rsidR="00166AF9">
        <w:rPr>
          <w:rFonts w:asciiTheme="majorBidi" w:hAnsiTheme="majorBidi" w:cstheme="majorBidi"/>
          <w:sz w:val="22"/>
          <w:szCs w:val="22"/>
        </w:rPr>
        <w:t xml:space="preserve">within </w:t>
      </w:r>
      <w:r w:rsidR="0029613B">
        <w:rPr>
          <w:rFonts w:asciiTheme="majorBidi" w:hAnsiTheme="majorBidi" w:cstheme="majorBidi"/>
          <w:sz w:val="22"/>
          <w:szCs w:val="22"/>
        </w:rPr>
        <w:t>14 days thereafter.  CEB must also</w:t>
      </w:r>
      <w:r w:rsidR="004327F8">
        <w:rPr>
          <w:rFonts w:asciiTheme="majorBidi" w:hAnsiTheme="majorBidi" w:cstheme="majorBidi"/>
          <w:sz w:val="22"/>
          <w:szCs w:val="22"/>
        </w:rPr>
        <w:t xml:space="preserve"> continue to report any non-compliance within 15 days under the terms of the Consent Decree</w:t>
      </w:r>
      <w:r w:rsidR="002B47C4">
        <w:rPr>
          <w:rFonts w:asciiTheme="majorBidi" w:hAnsiTheme="majorBidi" w:cstheme="majorBidi"/>
          <w:sz w:val="22"/>
          <w:szCs w:val="22"/>
        </w:rPr>
        <w:t xml:space="preserve">.  </w:t>
      </w:r>
      <w:r w:rsidR="00DC1386">
        <w:rPr>
          <w:rFonts w:asciiTheme="majorBidi" w:hAnsiTheme="majorBidi" w:cstheme="majorBidi"/>
          <w:sz w:val="22"/>
          <w:szCs w:val="22"/>
        </w:rPr>
        <w:t>Failure to meet future deadlines on a regular basis could result in sanctions.</w:t>
      </w:r>
    </w:p>
    <w:p w:rsidR="00867417" w:rsidP="002B47C4" w14:paraId="15C64B3D" w14:textId="73412924">
      <w:pPr>
        <w:tabs>
          <w:tab w:val="left" w:pos="0"/>
        </w:tabs>
        <w:suppressAutoHyphens/>
        <w:outlineLvl w:val="0"/>
        <w:rPr>
          <w:rFonts w:asciiTheme="majorBidi" w:hAnsiTheme="majorBidi" w:cstheme="majorBidi"/>
          <w:sz w:val="22"/>
          <w:szCs w:val="22"/>
        </w:rPr>
      </w:pPr>
    </w:p>
    <w:p w:rsidR="00867417" w:rsidRPr="007F6EC7" w:rsidP="00F01E61" w14:paraId="25D43CF2" w14:textId="30469390">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r>
      <w:r w:rsidR="007F6EC7">
        <w:rPr>
          <w:rFonts w:asciiTheme="majorBidi" w:hAnsiTheme="majorBidi" w:cstheme="majorBidi"/>
          <w:b/>
          <w:bCs/>
          <w:sz w:val="22"/>
          <w:szCs w:val="22"/>
        </w:rPr>
        <w:t xml:space="preserve">Probationary </w:t>
      </w:r>
      <w:r w:rsidRPr="007F6EC7">
        <w:rPr>
          <w:rFonts w:asciiTheme="majorBidi" w:hAnsiTheme="majorBidi" w:cstheme="majorBidi"/>
          <w:b/>
          <w:bCs/>
          <w:sz w:val="22"/>
          <w:szCs w:val="22"/>
        </w:rPr>
        <w:t>Outcome.</w:t>
      </w:r>
      <w:r w:rsidR="007F6EC7">
        <w:rPr>
          <w:rFonts w:asciiTheme="majorBidi" w:hAnsiTheme="majorBidi" w:cstheme="majorBidi"/>
          <w:b/>
          <w:bCs/>
          <w:sz w:val="22"/>
          <w:szCs w:val="22"/>
        </w:rPr>
        <w:t xml:space="preserve">  </w:t>
      </w:r>
      <w:r w:rsidRPr="00F01E61" w:rsidR="00F01E61">
        <w:rPr>
          <w:rFonts w:asciiTheme="majorBidi" w:hAnsiTheme="majorBidi" w:cstheme="majorBidi"/>
          <w:sz w:val="22"/>
          <w:szCs w:val="22"/>
        </w:rPr>
        <w:t xml:space="preserve">As set forth above, we find that CEB has met its obligations under the Consent Decree.  </w:t>
      </w:r>
      <w:r w:rsidR="00F01E61">
        <w:rPr>
          <w:rFonts w:asciiTheme="majorBidi" w:hAnsiTheme="majorBidi" w:cstheme="majorBidi"/>
          <w:sz w:val="22"/>
          <w:szCs w:val="22"/>
        </w:rPr>
        <w:t>Accordingly, CEB’s “probationary outcome” is satisfactory and further consideration of its license renewal Application can proceed</w:t>
      </w:r>
      <w:r w:rsidR="007F6EC7">
        <w:rPr>
          <w:rFonts w:asciiTheme="majorBidi" w:hAnsiTheme="majorBidi" w:cstheme="majorBidi"/>
          <w:sz w:val="22"/>
          <w:szCs w:val="22"/>
        </w:rPr>
        <w:t xml:space="preserve">.  </w:t>
      </w:r>
      <w:r w:rsidR="00A05B25">
        <w:rPr>
          <w:rFonts w:asciiTheme="majorBidi" w:hAnsiTheme="majorBidi" w:cstheme="majorBidi"/>
          <w:sz w:val="22"/>
          <w:szCs w:val="22"/>
        </w:rPr>
        <w:t>We</w:t>
      </w:r>
      <w:r w:rsidR="00F01E61">
        <w:rPr>
          <w:rFonts w:asciiTheme="majorBidi" w:hAnsiTheme="majorBidi" w:cstheme="majorBidi"/>
          <w:sz w:val="22"/>
          <w:szCs w:val="22"/>
        </w:rPr>
        <w:t xml:space="preserve"> </w:t>
      </w:r>
      <w:r w:rsidR="007F6F9E">
        <w:rPr>
          <w:rFonts w:asciiTheme="majorBidi" w:hAnsiTheme="majorBidi" w:cstheme="majorBidi"/>
          <w:sz w:val="22"/>
          <w:szCs w:val="22"/>
        </w:rPr>
        <w:t>next consider whether there are any other matters, including petitions and objections, potentially affecting the</w:t>
      </w:r>
      <w:r w:rsidR="00996C87">
        <w:rPr>
          <w:rFonts w:asciiTheme="majorBidi" w:hAnsiTheme="majorBidi" w:cstheme="majorBidi"/>
          <w:sz w:val="22"/>
          <w:szCs w:val="22"/>
        </w:rPr>
        <w:t xml:space="preserve"> </w:t>
      </w:r>
      <w:r w:rsidR="007F6F9E">
        <w:rPr>
          <w:rFonts w:asciiTheme="majorBidi" w:hAnsiTheme="majorBidi" w:cstheme="majorBidi"/>
          <w:sz w:val="22"/>
          <w:szCs w:val="22"/>
        </w:rPr>
        <w:t>Application.</w:t>
      </w:r>
      <w:r w:rsidR="00450FA8">
        <w:rPr>
          <w:rFonts w:asciiTheme="majorBidi" w:hAnsiTheme="majorBidi" w:cstheme="majorBidi"/>
          <w:sz w:val="22"/>
          <w:szCs w:val="22"/>
        </w:rPr>
        <w:t xml:space="preserve">  None of CEB’s answers to the questions on the renewal form raise any additional concerns.  </w:t>
      </w:r>
      <w:r w:rsidR="00396DDE">
        <w:rPr>
          <w:rFonts w:asciiTheme="majorBidi" w:hAnsiTheme="majorBidi" w:cstheme="majorBidi"/>
          <w:sz w:val="22"/>
          <w:szCs w:val="22"/>
        </w:rPr>
        <w:t>The Application is, however, contested as a result of Smith’s Objection, which we consider below.</w:t>
      </w:r>
    </w:p>
    <w:p w:rsidR="0051408C" w:rsidP="00C41F31" w14:paraId="2DD1EABD" w14:textId="692730E5">
      <w:pPr>
        <w:tabs>
          <w:tab w:val="left" w:pos="0"/>
        </w:tabs>
        <w:suppressAutoHyphens/>
        <w:outlineLvl w:val="0"/>
        <w:rPr>
          <w:rFonts w:asciiTheme="majorBidi" w:hAnsiTheme="majorBidi" w:cstheme="majorBidi"/>
          <w:sz w:val="22"/>
          <w:szCs w:val="22"/>
        </w:rPr>
      </w:pPr>
    </w:p>
    <w:p w:rsidR="0051408C" w:rsidP="0051408C" w14:paraId="4D39CBE0" w14:textId="02D742D1">
      <w:pPr>
        <w:pStyle w:val="ParaNum"/>
        <w:numPr>
          <w:ilvl w:val="0"/>
          <w:numId w:val="0"/>
        </w:numPr>
        <w:ind w:firstLine="720"/>
        <w:rPr>
          <w:szCs w:val="22"/>
        </w:rPr>
      </w:pPr>
      <w:r>
        <w:rPr>
          <w:b/>
          <w:bCs/>
          <w:szCs w:val="22"/>
        </w:rPr>
        <w:t xml:space="preserve">Smith </w:t>
      </w:r>
      <w:r w:rsidRPr="00B0460F">
        <w:rPr>
          <w:b/>
          <w:bCs/>
          <w:szCs w:val="22"/>
        </w:rPr>
        <w:t>Objection.</w:t>
      </w:r>
      <w:r>
        <w:rPr>
          <w:b/>
          <w:bCs/>
          <w:szCs w:val="22"/>
        </w:rPr>
        <w:t xml:space="preserve">  </w:t>
      </w:r>
      <w:r w:rsidR="009740E2">
        <w:rPr>
          <w:szCs w:val="22"/>
        </w:rPr>
        <w:t xml:space="preserve">We find that Smith’s Objection does not raise any matter that would prevent favorable action on the Application.  </w:t>
      </w:r>
      <w:r>
        <w:rPr>
          <w:szCs w:val="22"/>
        </w:rPr>
        <w:t xml:space="preserve">Smith does not </w:t>
      </w:r>
      <w:r w:rsidR="00356A0A">
        <w:rPr>
          <w:szCs w:val="22"/>
        </w:rPr>
        <w:t xml:space="preserve">allege that </w:t>
      </w:r>
      <w:r w:rsidR="00625867">
        <w:rPr>
          <w:szCs w:val="22"/>
        </w:rPr>
        <w:t xml:space="preserve">CEB </w:t>
      </w:r>
      <w:r w:rsidR="00356A0A">
        <w:rPr>
          <w:szCs w:val="22"/>
        </w:rPr>
        <w:t xml:space="preserve">failed to </w:t>
      </w:r>
      <w:r w:rsidR="00625867">
        <w:rPr>
          <w:szCs w:val="22"/>
        </w:rPr>
        <w:t>compl</w:t>
      </w:r>
      <w:r w:rsidR="00356A0A">
        <w:rPr>
          <w:szCs w:val="22"/>
        </w:rPr>
        <w:t xml:space="preserve">y </w:t>
      </w:r>
      <w:r w:rsidR="00625867">
        <w:rPr>
          <w:szCs w:val="22"/>
        </w:rPr>
        <w:t xml:space="preserve">with </w:t>
      </w:r>
      <w:r>
        <w:rPr>
          <w:szCs w:val="22"/>
        </w:rPr>
        <w:t xml:space="preserve">the Consent </w:t>
      </w:r>
      <w:r>
        <w:rPr>
          <w:szCs w:val="22"/>
        </w:rPr>
        <w:t xml:space="preserve">Decree </w:t>
      </w:r>
      <w:r w:rsidR="00F96D0E">
        <w:rPr>
          <w:szCs w:val="22"/>
        </w:rPr>
        <w:t xml:space="preserve">or </w:t>
      </w:r>
      <w:r w:rsidR="009740E2">
        <w:rPr>
          <w:szCs w:val="22"/>
        </w:rPr>
        <w:t xml:space="preserve">has </w:t>
      </w:r>
      <w:r w:rsidR="00356A0A">
        <w:rPr>
          <w:szCs w:val="22"/>
        </w:rPr>
        <w:t>commit</w:t>
      </w:r>
      <w:r w:rsidR="00521B6F">
        <w:rPr>
          <w:szCs w:val="22"/>
        </w:rPr>
        <w:t>t</w:t>
      </w:r>
      <w:r w:rsidR="00356A0A">
        <w:rPr>
          <w:szCs w:val="22"/>
        </w:rPr>
        <w:t xml:space="preserve">ed </w:t>
      </w:r>
      <w:r w:rsidR="00F96D0E">
        <w:rPr>
          <w:szCs w:val="22"/>
        </w:rPr>
        <w:t>any new violation of the Rules</w:t>
      </w:r>
      <w:r>
        <w:rPr>
          <w:szCs w:val="22"/>
        </w:rPr>
        <w:t>.</w:t>
      </w:r>
      <w:r>
        <w:rPr>
          <w:rStyle w:val="FootnoteReference"/>
          <w:szCs w:val="22"/>
        </w:rPr>
        <w:footnoteReference w:id="43"/>
      </w:r>
      <w:r>
        <w:rPr>
          <w:szCs w:val="22"/>
        </w:rPr>
        <w:t xml:space="preserve">  Rather, she argues that the changes CEB has made under the Consent Decree are “too little, too late.”</w:t>
      </w:r>
      <w:r>
        <w:rPr>
          <w:rStyle w:val="FootnoteReference"/>
          <w:szCs w:val="22"/>
        </w:rPr>
        <w:footnoteReference w:id="44"/>
      </w:r>
      <w:r>
        <w:rPr>
          <w:szCs w:val="22"/>
        </w:rPr>
        <w:t xml:space="preserve">  Smith</w:t>
      </w:r>
      <w:r w:rsidR="00CC05D1">
        <w:rPr>
          <w:szCs w:val="22"/>
        </w:rPr>
        <w:t xml:space="preserve"> raises two </w:t>
      </w:r>
      <w:r w:rsidR="00B116BE">
        <w:rPr>
          <w:szCs w:val="22"/>
        </w:rPr>
        <w:t xml:space="preserve">main </w:t>
      </w:r>
      <w:r w:rsidR="00CC05D1">
        <w:rPr>
          <w:szCs w:val="22"/>
        </w:rPr>
        <w:t xml:space="preserve">concerns.  First, she states that </w:t>
      </w:r>
      <w:r>
        <w:rPr>
          <w:szCs w:val="22"/>
        </w:rPr>
        <w:t xml:space="preserve">CEB has not reimbursed her for years of satellite service which </w:t>
      </w:r>
      <w:r w:rsidR="00CC05D1">
        <w:rPr>
          <w:szCs w:val="22"/>
        </w:rPr>
        <w:t xml:space="preserve">she </w:t>
      </w:r>
      <w:r>
        <w:rPr>
          <w:szCs w:val="22"/>
        </w:rPr>
        <w:t xml:space="preserve">obtained while the </w:t>
      </w:r>
      <w:r w:rsidR="00710EC4">
        <w:rPr>
          <w:szCs w:val="22"/>
        </w:rPr>
        <w:t>S</w:t>
      </w:r>
      <w:r>
        <w:rPr>
          <w:szCs w:val="22"/>
        </w:rPr>
        <w:t xml:space="preserve">tation was causing interference to </w:t>
      </w:r>
      <w:r w:rsidR="001D3310">
        <w:rPr>
          <w:szCs w:val="22"/>
        </w:rPr>
        <w:t xml:space="preserve">her </w:t>
      </w:r>
      <w:r>
        <w:rPr>
          <w:szCs w:val="22"/>
        </w:rPr>
        <w:t xml:space="preserve">television signals.  </w:t>
      </w:r>
      <w:r w:rsidR="001D3310">
        <w:rPr>
          <w:szCs w:val="22"/>
        </w:rPr>
        <w:t xml:space="preserve">Second, she is concerned that </w:t>
      </w:r>
      <w:r>
        <w:rPr>
          <w:szCs w:val="22"/>
        </w:rPr>
        <w:t>CEB might</w:t>
      </w:r>
      <w:r w:rsidR="00CC05D1">
        <w:rPr>
          <w:szCs w:val="22"/>
        </w:rPr>
        <w:t xml:space="preserve"> in the future</w:t>
      </w:r>
      <w:r>
        <w:rPr>
          <w:szCs w:val="22"/>
        </w:rPr>
        <w:t xml:space="preserve"> sell the Station to someone who </w:t>
      </w:r>
      <w:r w:rsidR="00B116BE">
        <w:rPr>
          <w:szCs w:val="22"/>
        </w:rPr>
        <w:t>might</w:t>
      </w:r>
      <w:r>
        <w:rPr>
          <w:szCs w:val="22"/>
        </w:rPr>
        <w:t xml:space="preserve"> attempt to increase power </w:t>
      </w:r>
      <w:r w:rsidR="009740E2">
        <w:rPr>
          <w:szCs w:val="22"/>
        </w:rPr>
        <w:t xml:space="preserve">back to that which existed under </w:t>
      </w:r>
      <w:r w:rsidR="00EB5B95">
        <w:rPr>
          <w:szCs w:val="22"/>
        </w:rPr>
        <w:t>former management</w:t>
      </w:r>
      <w:r w:rsidR="009740E2">
        <w:rPr>
          <w:szCs w:val="22"/>
        </w:rPr>
        <w:t>.  She</w:t>
      </w:r>
      <w:r>
        <w:rPr>
          <w:szCs w:val="22"/>
        </w:rPr>
        <w:t xml:space="preserve"> asks whether the Bureau can guarantee that will not happen.</w:t>
      </w:r>
      <w:r>
        <w:rPr>
          <w:rStyle w:val="FootnoteReference"/>
          <w:szCs w:val="22"/>
        </w:rPr>
        <w:footnoteReference w:id="45"/>
      </w:r>
      <w:r>
        <w:rPr>
          <w:szCs w:val="22"/>
        </w:rPr>
        <w:t xml:space="preserve">  </w:t>
      </w:r>
    </w:p>
    <w:p w:rsidR="008B4DD2" w:rsidP="0051408C" w14:paraId="3D8072CE" w14:textId="71ACF5DF">
      <w:pPr>
        <w:pStyle w:val="ParaNum"/>
        <w:numPr>
          <w:ilvl w:val="0"/>
          <w:numId w:val="0"/>
        </w:numPr>
        <w:ind w:firstLine="720"/>
        <w:rPr>
          <w:szCs w:val="22"/>
        </w:rPr>
      </w:pPr>
      <w:r>
        <w:rPr>
          <w:szCs w:val="22"/>
        </w:rPr>
        <w:t>We will not require CEB</w:t>
      </w:r>
      <w:r w:rsidR="003D357C">
        <w:rPr>
          <w:szCs w:val="22"/>
        </w:rPr>
        <w:t>’s new management</w:t>
      </w:r>
      <w:r>
        <w:rPr>
          <w:szCs w:val="22"/>
        </w:rPr>
        <w:t xml:space="preserve"> to reimburse Smith for </w:t>
      </w:r>
      <w:r w:rsidR="008B2BE5">
        <w:rPr>
          <w:szCs w:val="22"/>
        </w:rPr>
        <w:t>the</w:t>
      </w:r>
      <w:r>
        <w:rPr>
          <w:szCs w:val="22"/>
        </w:rPr>
        <w:t xml:space="preserve"> satellite service</w:t>
      </w:r>
      <w:r w:rsidR="00800B54">
        <w:rPr>
          <w:szCs w:val="22"/>
        </w:rPr>
        <w:t xml:space="preserve"> </w:t>
      </w:r>
      <w:r w:rsidR="008B2BE5">
        <w:rPr>
          <w:szCs w:val="22"/>
        </w:rPr>
        <w:t xml:space="preserve">she </w:t>
      </w:r>
      <w:r w:rsidR="00800B54">
        <w:rPr>
          <w:szCs w:val="22"/>
        </w:rPr>
        <w:t>obtained in response to blanketing interference</w:t>
      </w:r>
      <w:r w:rsidR="00AC7EF3">
        <w:rPr>
          <w:szCs w:val="22"/>
        </w:rPr>
        <w:t xml:space="preserve"> under</w:t>
      </w:r>
      <w:r w:rsidR="00800B54">
        <w:rPr>
          <w:szCs w:val="22"/>
        </w:rPr>
        <w:t xml:space="preserve"> former management</w:t>
      </w:r>
      <w:r>
        <w:rPr>
          <w:szCs w:val="22"/>
        </w:rPr>
        <w:t xml:space="preserve">.  </w:t>
      </w:r>
      <w:r w:rsidR="00800B54">
        <w:rPr>
          <w:szCs w:val="22"/>
        </w:rPr>
        <w:t>I</w:t>
      </w:r>
      <w:r w:rsidR="005A1C7E">
        <w:rPr>
          <w:szCs w:val="22"/>
        </w:rPr>
        <w:t xml:space="preserve">t is </w:t>
      </w:r>
      <w:r w:rsidR="00800B54">
        <w:rPr>
          <w:szCs w:val="22"/>
        </w:rPr>
        <w:t xml:space="preserve">certainly </w:t>
      </w:r>
      <w:r w:rsidR="005A1C7E">
        <w:rPr>
          <w:szCs w:val="22"/>
        </w:rPr>
        <w:t xml:space="preserve">unfortunate that Smith </w:t>
      </w:r>
      <w:r w:rsidR="00800B54">
        <w:rPr>
          <w:szCs w:val="22"/>
        </w:rPr>
        <w:t xml:space="preserve">experienced </w:t>
      </w:r>
      <w:r w:rsidR="008B2BE5">
        <w:rPr>
          <w:szCs w:val="22"/>
        </w:rPr>
        <w:t xml:space="preserve">long term </w:t>
      </w:r>
      <w:r w:rsidR="00800B54">
        <w:rPr>
          <w:szCs w:val="22"/>
        </w:rPr>
        <w:t>interference</w:t>
      </w:r>
      <w:r w:rsidR="00EC1358">
        <w:rPr>
          <w:szCs w:val="22"/>
        </w:rPr>
        <w:t xml:space="preserve">, </w:t>
      </w:r>
      <w:r w:rsidR="005A1C7E">
        <w:rPr>
          <w:szCs w:val="22"/>
        </w:rPr>
        <w:t xml:space="preserve">incurred </w:t>
      </w:r>
      <w:r w:rsidR="00B61147">
        <w:rPr>
          <w:szCs w:val="22"/>
        </w:rPr>
        <w:t xml:space="preserve">satellite </w:t>
      </w:r>
      <w:r w:rsidR="007A301B">
        <w:rPr>
          <w:szCs w:val="22"/>
        </w:rPr>
        <w:t>expense</w:t>
      </w:r>
      <w:r w:rsidR="00800B54">
        <w:rPr>
          <w:szCs w:val="22"/>
        </w:rPr>
        <w:t>s</w:t>
      </w:r>
      <w:r w:rsidR="00EC1358">
        <w:rPr>
          <w:szCs w:val="22"/>
        </w:rPr>
        <w:t>, and that CEB did not reimburse as the Stewarts</w:t>
      </w:r>
      <w:r w:rsidR="00B61147">
        <w:rPr>
          <w:szCs w:val="22"/>
        </w:rPr>
        <w:t xml:space="preserve"> had proposed</w:t>
      </w:r>
      <w:r w:rsidR="00800B54">
        <w:rPr>
          <w:szCs w:val="22"/>
        </w:rPr>
        <w:t xml:space="preserve">.  </w:t>
      </w:r>
      <w:r w:rsidR="008B2BE5">
        <w:rPr>
          <w:szCs w:val="22"/>
        </w:rPr>
        <w:t xml:space="preserve">Nevertheless, </w:t>
      </w:r>
      <w:r w:rsidR="00097989">
        <w:rPr>
          <w:szCs w:val="22"/>
        </w:rPr>
        <w:t>Smith is incorrect</w:t>
      </w:r>
      <w:r w:rsidR="008B2BE5">
        <w:rPr>
          <w:szCs w:val="22"/>
        </w:rPr>
        <w:t xml:space="preserve"> </w:t>
      </w:r>
      <w:r w:rsidR="00097989">
        <w:rPr>
          <w:szCs w:val="22"/>
        </w:rPr>
        <w:t xml:space="preserve">in her contention that reimbursement is a requirement of Commission Rules.  </w:t>
      </w:r>
      <w:r w:rsidR="00EC1358">
        <w:rPr>
          <w:szCs w:val="22"/>
        </w:rPr>
        <w:t>The Rules require stations to remedy interference, which is generally accomplished through engineering solutions.</w:t>
      </w:r>
      <w:r>
        <w:rPr>
          <w:rStyle w:val="FootnoteReference"/>
          <w:szCs w:val="22"/>
        </w:rPr>
        <w:footnoteReference w:id="46"/>
      </w:r>
      <w:r w:rsidR="00EC1358">
        <w:rPr>
          <w:szCs w:val="22"/>
        </w:rPr>
        <w:t xml:space="preserve">  </w:t>
      </w:r>
      <w:r w:rsidR="00542A4A">
        <w:rPr>
          <w:szCs w:val="22"/>
        </w:rPr>
        <w:t xml:space="preserve">Reimbursement for cable and satellite was a creative, short-term option proposed by CEB in 1994, as a </w:t>
      </w:r>
      <w:r w:rsidR="00C71A02">
        <w:rPr>
          <w:szCs w:val="22"/>
        </w:rPr>
        <w:t xml:space="preserve">potential </w:t>
      </w:r>
      <w:r w:rsidR="00542A4A">
        <w:rPr>
          <w:szCs w:val="22"/>
        </w:rPr>
        <w:t>compliance alternative solely for the instant Station.</w:t>
      </w:r>
      <w:r w:rsidR="00903B30">
        <w:rPr>
          <w:szCs w:val="22"/>
        </w:rPr>
        <w:t xml:space="preserve">  </w:t>
      </w:r>
      <w:r w:rsidR="00C71A02">
        <w:rPr>
          <w:szCs w:val="22"/>
        </w:rPr>
        <w:t>T</w:t>
      </w:r>
      <w:r w:rsidR="008B2BE5">
        <w:rPr>
          <w:szCs w:val="22"/>
        </w:rPr>
        <w:t xml:space="preserve">he </w:t>
      </w:r>
      <w:r w:rsidR="00147690">
        <w:rPr>
          <w:szCs w:val="22"/>
        </w:rPr>
        <w:t xml:space="preserve">FCC’s </w:t>
      </w:r>
      <w:r w:rsidR="008B2BE5">
        <w:rPr>
          <w:szCs w:val="22"/>
        </w:rPr>
        <w:t>Review Board</w:t>
      </w:r>
      <w:r w:rsidR="00542A4A">
        <w:rPr>
          <w:szCs w:val="22"/>
        </w:rPr>
        <w:t xml:space="preserve"> </w:t>
      </w:r>
      <w:r w:rsidR="00C71A02">
        <w:rPr>
          <w:szCs w:val="22"/>
        </w:rPr>
        <w:t xml:space="preserve">did not </w:t>
      </w:r>
      <w:r w:rsidR="00726A60">
        <w:rPr>
          <w:szCs w:val="22"/>
        </w:rPr>
        <w:t>view</w:t>
      </w:r>
      <w:r w:rsidR="00542A4A">
        <w:rPr>
          <w:szCs w:val="22"/>
        </w:rPr>
        <w:t xml:space="preserve"> </w:t>
      </w:r>
      <w:r w:rsidR="0071625B">
        <w:rPr>
          <w:szCs w:val="22"/>
        </w:rPr>
        <w:t xml:space="preserve">the potential </w:t>
      </w:r>
      <w:r w:rsidR="00542A4A">
        <w:rPr>
          <w:szCs w:val="22"/>
        </w:rPr>
        <w:t>reimbursement as a permanent, ongoing</w:t>
      </w:r>
      <w:r w:rsidR="00726A60">
        <w:rPr>
          <w:szCs w:val="22"/>
        </w:rPr>
        <w:t xml:space="preserve"> measure</w:t>
      </w:r>
      <w:r w:rsidR="00A97BF4">
        <w:rPr>
          <w:szCs w:val="22"/>
        </w:rPr>
        <w:t xml:space="preserve"> but, rather, as a basis for grant of </w:t>
      </w:r>
      <w:r w:rsidR="00542A4A">
        <w:rPr>
          <w:szCs w:val="22"/>
        </w:rPr>
        <w:t xml:space="preserve">one license renewal </w:t>
      </w:r>
      <w:r w:rsidR="00A97BF4">
        <w:rPr>
          <w:szCs w:val="22"/>
        </w:rPr>
        <w:t xml:space="preserve">application </w:t>
      </w:r>
      <w:r w:rsidR="00C71A02">
        <w:rPr>
          <w:szCs w:val="22"/>
        </w:rPr>
        <w:t xml:space="preserve">in the </w:t>
      </w:r>
      <w:r w:rsidR="00E6177E">
        <w:rPr>
          <w:szCs w:val="22"/>
        </w:rPr>
        <w:t xml:space="preserve">early </w:t>
      </w:r>
      <w:r w:rsidR="00C71A02">
        <w:rPr>
          <w:szCs w:val="22"/>
        </w:rPr>
        <w:t>1990s</w:t>
      </w:r>
      <w:r w:rsidR="00A97BF4">
        <w:rPr>
          <w:szCs w:val="22"/>
        </w:rPr>
        <w:t xml:space="preserve">.  Thus, the Review Board </w:t>
      </w:r>
      <w:r w:rsidR="00726A60">
        <w:rPr>
          <w:szCs w:val="22"/>
        </w:rPr>
        <w:t>stat</w:t>
      </w:r>
      <w:r w:rsidR="00C71A02">
        <w:rPr>
          <w:szCs w:val="22"/>
        </w:rPr>
        <w:t>ed</w:t>
      </w:r>
      <w:r w:rsidR="00726A60">
        <w:rPr>
          <w:szCs w:val="22"/>
        </w:rPr>
        <w:t xml:space="preserve"> that the Commission would reevaluate the matter in connection with subsequent license renewal applications.</w:t>
      </w:r>
      <w:r>
        <w:rPr>
          <w:rStyle w:val="FootnoteReference"/>
          <w:szCs w:val="22"/>
        </w:rPr>
        <w:footnoteReference w:id="47"/>
      </w:r>
      <w:r w:rsidR="00726A60">
        <w:rPr>
          <w:szCs w:val="22"/>
        </w:rPr>
        <w:t xml:space="preserve">  </w:t>
      </w:r>
    </w:p>
    <w:p w:rsidR="00CC05D1" w:rsidP="0051408C" w14:paraId="5451B958" w14:textId="3E3B747C">
      <w:pPr>
        <w:pStyle w:val="ParaNum"/>
        <w:numPr>
          <w:ilvl w:val="0"/>
          <w:numId w:val="0"/>
        </w:numPr>
        <w:ind w:firstLine="720"/>
        <w:rPr>
          <w:szCs w:val="22"/>
        </w:rPr>
      </w:pPr>
      <w:r>
        <w:rPr>
          <w:szCs w:val="22"/>
        </w:rPr>
        <w:t xml:space="preserve">When the Bureau evaluated </w:t>
      </w:r>
      <w:r w:rsidR="008B2BE5">
        <w:rPr>
          <w:szCs w:val="22"/>
        </w:rPr>
        <w:t xml:space="preserve">CEB’s </w:t>
      </w:r>
      <w:r w:rsidR="00153789">
        <w:t xml:space="preserve">1995, 2005, and 2012 </w:t>
      </w:r>
      <w:r w:rsidR="00416AA7">
        <w:t xml:space="preserve">license </w:t>
      </w:r>
      <w:r w:rsidR="008B2BE5">
        <w:rPr>
          <w:szCs w:val="22"/>
        </w:rPr>
        <w:t xml:space="preserve">renewal applications </w:t>
      </w:r>
      <w:r>
        <w:rPr>
          <w:szCs w:val="22"/>
        </w:rPr>
        <w:t xml:space="preserve">and granted them </w:t>
      </w:r>
      <w:r w:rsidR="008B2BE5">
        <w:rPr>
          <w:szCs w:val="22"/>
        </w:rPr>
        <w:t>pursuant to the Consent Decree</w:t>
      </w:r>
      <w:r w:rsidR="003F18EC">
        <w:rPr>
          <w:szCs w:val="22"/>
        </w:rPr>
        <w:t xml:space="preserve"> in 2020</w:t>
      </w:r>
      <w:r>
        <w:rPr>
          <w:szCs w:val="22"/>
        </w:rPr>
        <w:t>,</w:t>
      </w:r>
      <w:r w:rsidR="008B2BE5">
        <w:rPr>
          <w:szCs w:val="22"/>
        </w:rPr>
        <w:t xml:space="preserve"> the Bureau did not </w:t>
      </w:r>
      <w:r w:rsidR="00547BDD">
        <w:rPr>
          <w:szCs w:val="22"/>
        </w:rPr>
        <w:t xml:space="preserve">add a </w:t>
      </w:r>
      <w:r w:rsidR="00B116BE">
        <w:rPr>
          <w:szCs w:val="22"/>
        </w:rPr>
        <w:t xml:space="preserve">cable/satellite </w:t>
      </w:r>
      <w:r w:rsidR="00547BDD">
        <w:rPr>
          <w:szCs w:val="22"/>
        </w:rPr>
        <w:t>reimbursement requirement</w:t>
      </w:r>
      <w:r w:rsidR="008B2BE5">
        <w:rPr>
          <w:szCs w:val="22"/>
        </w:rPr>
        <w:t xml:space="preserve">, </w:t>
      </w:r>
      <w:r w:rsidR="00547BDD">
        <w:rPr>
          <w:szCs w:val="22"/>
        </w:rPr>
        <w:t>consistent with</w:t>
      </w:r>
      <w:r w:rsidR="008B4DD2">
        <w:rPr>
          <w:szCs w:val="22"/>
        </w:rPr>
        <w:t xml:space="preserve"> </w:t>
      </w:r>
      <w:r w:rsidR="00547BDD">
        <w:rPr>
          <w:szCs w:val="22"/>
        </w:rPr>
        <w:t>CEB</w:t>
      </w:r>
      <w:r w:rsidR="00153789">
        <w:rPr>
          <w:szCs w:val="22"/>
        </w:rPr>
        <w:t xml:space="preserve">’s </w:t>
      </w:r>
      <w:r w:rsidR="00547BDD">
        <w:rPr>
          <w:szCs w:val="22"/>
        </w:rPr>
        <w:t>documented financ</w:t>
      </w:r>
      <w:r w:rsidR="00B116BE">
        <w:rPr>
          <w:szCs w:val="22"/>
        </w:rPr>
        <w:t xml:space="preserve">ial </w:t>
      </w:r>
      <w:r w:rsidR="00416AA7">
        <w:rPr>
          <w:szCs w:val="22"/>
        </w:rPr>
        <w:t>difficulties</w:t>
      </w:r>
      <w:r w:rsidR="008B4DD2">
        <w:rPr>
          <w:szCs w:val="22"/>
        </w:rPr>
        <w:t xml:space="preserve">.  </w:t>
      </w:r>
      <w:r w:rsidR="00547BDD">
        <w:rPr>
          <w:szCs w:val="22"/>
        </w:rPr>
        <w:t xml:space="preserve">Smith argues in her Objection </w:t>
      </w:r>
      <w:r w:rsidR="001D3310">
        <w:rPr>
          <w:szCs w:val="22"/>
        </w:rPr>
        <w:t xml:space="preserve">that KOKS is not a “poor station” and </w:t>
      </w:r>
      <w:r w:rsidR="00040134">
        <w:rPr>
          <w:szCs w:val="22"/>
        </w:rPr>
        <w:t xml:space="preserve">should be required to </w:t>
      </w:r>
      <w:r w:rsidR="001D3310">
        <w:rPr>
          <w:szCs w:val="22"/>
        </w:rPr>
        <w:t xml:space="preserve">reimburse her </w:t>
      </w:r>
      <w:r w:rsidR="00091996">
        <w:rPr>
          <w:szCs w:val="22"/>
        </w:rPr>
        <w:t xml:space="preserve">from </w:t>
      </w:r>
      <w:r w:rsidR="00040134">
        <w:rPr>
          <w:szCs w:val="22"/>
        </w:rPr>
        <w:t xml:space="preserve">funds </w:t>
      </w:r>
      <w:r w:rsidR="008B4DD2">
        <w:rPr>
          <w:szCs w:val="22"/>
        </w:rPr>
        <w:t xml:space="preserve">Woolverton </w:t>
      </w:r>
      <w:r w:rsidR="00B116BE">
        <w:rPr>
          <w:szCs w:val="22"/>
        </w:rPr>
        <w:t xml:space="preserve">purportedly </w:t>
      </w:r>
      <w:r w:rsidR="008B4DD2">
        <w:rPr>
          <w:szCs w:val="22"/>
        </w:rPr>
        <w:t xml:space="preserve">obtained </w:t>
      </w:r>
      <w:r w:rsidR="003F18EC">
        <w:rPr>
          <w:szCs w:val="22"/>
        </w:rPr>
        <w:t xml:space="preserve">from a recent sale of </w:t>
      </w:r>
      <w:r w:rsidR="008B4DD2">
        <w:rPr>
          <w:szCs w:val="22"/>
        </w:rPr>
        <w:t>some</w:t>
      </w:r>
      <w:r w:rsidR="001D3310">
        <w:rPr>
          <w:szCs w:val="22"/>
        </w:rPr>
        <w:t xml:space="preserve"> of the Station’s land.</w:t>
      </w:r>
      <w:r>
        <w:rPr>
          <w:rStyle w:val="FootnoteReference"/>
          <w:szCs w:val="22"/>
        </w:rPr>
        <w:footnoteReference w:id="48"/>
      </w:r>
      <w:r w:rsidR="001D3310">
        <w:rPr>
          <w:szCs w:val="22"/>
        </w:rPr>
        <w:t xml:space="preserve">  </w:t>
      </w:r>
      <w:r w:rsidR="00547BDD">
        <w:rPr>
          <w:szCs w:val="22"/>
        </w:rPr>
        <w:t xml:space="preserve">We disagree.  </w:t>
      </w:r>
      <w:r w:rsidR="00CB5A82">
        <w:rPr>
          <w:szCs w:val="22"/>
        </w:rPr>
        <w:t>NCE stations are licensed to non-profit organizations, not to individuals.</w:t>
      </w:r>
      <w:r>
        <w:rPr>
          <w:rStyle w:val="FootnoteReference"/>
          <w:szCs w:val="22"/>
        </w:rPr>
        <w:footnoteReference w:id="49"/>
      </w:r>
      <w:r w:rsidR="00CB5A82">
        <w:rPr>
          <w:szCs w:val="22"/>
        </w:rPr>
        <w:t xml:space="preserve">  </w:t>
      </w:r>
      <w:r w:rsidR="00903B30">
        <w:rPr>
          <w:szCs w:val="22"/>
        </w:rPr>
        <w:t xml:space="preserve">The record reflects that </w:t>
      </w:r>
      <w:r w:rsidR="002E4236">
        <w:rPr>
          <w:szCs w:val="22"/>
        </w:rPr>
        <w:t xml:space="preserve">the Station’s licensee, </w:t>
      </w:r>
      <w:r w:rsidR="003D4903">
        <w:rPr>
          <w:szCs w:val="22"/>
        </w:rPr>
        <w:t>CEB</w:t>
      </w:r>
      <w:r w:rsidR="002E4236">
        <w:rPr>
          <w:szCs w:val="22"/>
        </w:rPr>
        <w:t>,</w:t>
      </w:r>
      <w:r w:rsidR="003D4903">
        <w:rPr>
          <w:szCs w:val="22"/>
        </w:rPr>
        <w:t xml:space="preserve"> </w:t>
      </w:r>
      <w:r w:rsidR="008F2E6E">
        <w:rPr>
          <w:szCs w:val="22"/>
        </w:rPr>
        <w:t xml:space="preserve">is </w:t>
      </w:r>
      <w:r w:rsidR="003D4903">
        <w:rPr>
          <w:szCs w:val="22"/>
        </w:rPr>
        <w:t xml:space="preserve">a </w:t>
      </w:r>
      <w:r w:rsidR="008F2E6E">
        <w:rPr>
          <w:szCs w:val="22"/>
        </w:rPr>
        <w:t xml:space="preserve">financially fragile </w:t>
      </w:r>
      <w:r w:rsidR="003D4903">
        <w:rPr>
          <w:szCs w:val="22"/>
        </w:rPr>
        <w:t xml:space="preserve">corporation that relies on donations, </w:t>
      </w:r>
      <w:r w:rsidR="008F2E6E">
        <w:rPr>
          <w:szCs w:val="22"/>
        </w:rPr>
        <w:t xml:space="preserve">with </w:t>
      </w:r>
      <w:r w:rsidR="000A3BEF">
        <w:rPr>
          <w:szCs w:val="22"/>
        </w:rPr>
        <w:t xml:space="preserve">essential bills </w:t>
      </w:r>
      <w:r w:rsidR="003D4903">
        <w:rPr>
          <w:szCs w:val="22"/>
        </w:rPr>
        <w:t>having gone</w:t>
      </w:r>
      <w:r w:rsidR="000A3BEF">
        <w:rPr>
          <w:szCs w:val="22"/>
        </w:rPr>
        <w:t xml:space="preserve"> </w:t>
      </w:r>
      <w:r w:rsidR="008F2E6E">
        <w:rPr>
          <w:szCs w:val="22"/>
        </w:rPr>
        <w:t>un</w:t>
      </w:r>
      <w:r w:rsidR="000A3BEF">
        <w:rPr>
          <w:szCs w:val="22"/>
        </w:rPr>
        <w:t>paid under prior management</w:t>
      </w:r>
      <w:r w:rsidR="003D4903">
        <w:rPr>
          <w:szCs w:val="22"/>
        </w:rPr>
        <w:t>,</w:t>
      </w:r>
      <w:r w:rsidR="000A3BEF">
        <w:rPr>
          <w:szCs w:val="22"/>
        </w:rPr>
        <w:t xml:space="preserve"> and </w:t>
      </w:r>
      <w:r w:rsidR="00903B30">
        <w:rPr>
          <w:szCs w:val="22"/>
        </w:rPr>
        <w:t>Woolverton personally purchas</w:t>
      </w:r>
      <w:r w:rsidR="008F2E6E">
        <w:rPr>
          <w:szCs w:val="22"/>
        </w:rPr>
        <w:t>ing</w:t>
      </w:r>
      <w:r w:rsidR="00903B30">
        <w:rPr>
          <w:szCs w:val="22"/>
        </w:rPr>
        <w:t xml:space="preserve"> </w:t>
      </w:r>
      <w:r w:rsidR="00B64682">
        <w:rPr>
          <w:szCs w:val="22"/>
        </w:rPr>
        <w:t>land</w:t>
      </w:r>
      <w:r w:rsidR="00903B30">
        <w:rPr>
          <w:szCs w:val="22"/>
        </w:rPr>
        <w:t xml:space="preserve"> </w:t>
      </w:r>
      <w:r w:rsidR="000B3A22">
        <w:rPr>
          <w:szCs w:val="22"/>
        </w:rPr>
        <w:t xml:space="preserve">once belonging to CEB </w:t>
      </w:r>
      <w:r w:rsidR="00903B30">
        <w:rPr>
          <w:szCs w:val="22"/>
        </w:rPr>
        <w:t xml:space="preserve">to prevent </w:t>
      </w:r>
      <w:r w:rsidR="00B64682">
        <w:rPr>
          <w:szCs w:val="22"/>
        </w:rPr>
        <w:t xml:space="preserve">bank </w:t>
      </w:r>
      <w:r w:rsidR="00903B30">
        <w:rPr>
          <w:szCs w:val="22"/>
        </w:rPr>
        <w:t>foreclosure</w:t>
      </w:r>
      <w:r w:rsidR="00B64682">
        <w:rPr>
          <w:szCs w:val="22"/>
        </w:rPr>
        <w:t>.</w:t>
      </w:r>
      <w:r>
        <w:rPr>
          <w:rStyle w:val="FootnoteReference"/>
          <w:szCs w:val="22"/>
        </w:rPr>
        <w:footnoteReference w:id="50"/>
      </w:r>
      <w:r w:rsidR="00B64682">
        <w:rPr>
          <w:szCs w:val="22"/>
        </w:rPr>
        <w:t xml:space="preserve">  </w:t>
      </w:r>
      <w:r w:rsidR="00762A2A">
        <w:rPr>
          <w:szCs w:val="22"/>
        </w:rPr>
        <w:t xml:space="preserve">If, as Smith alleges, </w:t>
      </w:r>
      <w:r w:rsidR="00B64682">
        <w:rPr>
          <w:szCs w:val="22"/>
        </w:rPr>
        <w:t xml:space="preserve">Woolverton </w:t>
      </w:r>
      <w:r w:rsidR="008B4DD2">
        <w:rPr>
          <w:szCs w:val="22"/>
        </w:rPr>
        <w:t xml:space="preserve">later </w:t>
      </w:r>
      <w:r w:rsidR="00B64682">
        <w:rPr>
          <w:szCs w:val="22"/>
        </w:rPr>
        <w:t>sold some of th</w:t>
      </w:r>
      <w:r w:rsidR="005F20A1">
        <w:rPr>
          <w:szCs w:val="22"/>
        </w:rPr>
        <w:t xml:space="preserve">e </w:t>
      </w:r>
      <w:r w:rsidR="00B64682">
        <w:rPr>
          <w:szCs w:val="22"/>
        </w:rPr>
        <w:t>land</w:t>
      </w:r>
      <w:r w:rsidR="005F20A1">
        <w:rPr>
          <w:szCs w:val="22"/>
        </w:rPr>
        <w:t xml:space="preserve"> that he purchased as an individual</w:t>
      </w:r>
      <w:r w:rsidR="00B64682">
        <w:rPr>
          <w:szCs w:val="22"/>
        </w:rPr>
        <w:t xml:space="preserve">, the proceeds would belong to him personally and not to CEB.  </w:t>
      </w:r>
      <w:r w:rsidR="008F2E6E">
        <w:rPr>
          <w:szCs w:val="22"/>
        </w:rPr>
        <w:t>While corporate law</w:t>
      </w:r>
      <w:r w:rsidR="000B3A22">
        <w:rPr>
          <w:szCs w:val="22"/>
        </w:rPr>
        <w:t>s</w:t>
      </w:r>
      <w:r w:rsidR="008F2E6E">
        <w:rPr>
          <w:szCs w:val="22"/>
        </w:rPr>
        <w:t xml:space="preserve"> var</w:t>
      </w:r>
      <w:r w:rsidR="000B3A22">
        <w:rPr>
          <w:szCs w:val="22"/>
        </w:rPr>
        <w:t>y</w:t>
      </w:r>
      <w:r w:rsidR="008F2E6E">
        <w:rPr>
          <w:szCs w:val="22"/>
        </w:rPr>
        <w:t xml:space="preserve"> from state to state, it is a generally recognized </w:t>
      </w:r>
      <w:r w:rsidR="00FD7DD6">
        <w:rPr>
          <w:szCs w:val="22"/>
        </w:rPr>
        <w:t xml:space="preserve">business </w:t>
      </w:r>
      <w:r w:rsidR="008F2E6E">
        <w:rPr>
          <w:szCs w:val="22"/>
        </w:rPr>
        <w:t xml:space="preserve">principle that </w:t>
      </w:r>
      <w:r w:rsidR="00B64682">
        <w:rPr>
          <w:szCs w:val="22"/>
        </w:rPr>
        <w:t xml:space="preserve">officers or directors of </w:t>
      </w:r>
      <w:r w:rsidR="008F2E6E">
        <w:rPr>
          <w:szCs w:val="22"/>
        </w:rPr>
        <w:t xml:space="preserve">a </w:t>
      </w:r>
      <w:r w:rsidR="008F2E6E">
        <w:rPr>
          <w:szCs w:val="22"/>
        </w:rPr>
        <w:t xml:space="preserve">corporation are not </w:t>
      </w:r>
      <w:r w:rsidR="00547BDD">
        <w:rPr>
          <w:szCs w:val="22"/>
        </w:rPr>
        <w:t xml:space="preserve">personally </w:t>
      </w:r>
      <w:r w:rsidR="008F2E6E">
        <w:rPr>
          <w:szCs w:val="22"/>
        </w:rPr>
        <w:t>liable</w:t>
      </w:r>
      <w:r w:rsidR="00091996">
        <w:rPr>
          <w:szCs w:val="22"/>
        </w:rPr>
        <w:t xml:space="preserve"> for corporate </w:t>
      </w:r>
      <w:r w:rsidR="002D22ED">
        <w:rPr>
          <w:szCs w:val="22"/>
        </w:rPr>
        <w:t>debts</w:t>
      </w:r>
      <w:r w:rsidR="00B64682">
        <w:rPr>
          <w:szCs w:val="22"/>
        </w:rPr>
        <w:t>.</w:t>
      </w:r>
      <w:r>
        <w:rPr>
          <w:rStyle w:val="FootnoteReference"/>
          <w:szCs w:val="22"/>
        </w:rPr>
        <w:footnoteReference w:id="51"/>
      </w:r>
      <w:r w:rsidR="00B64682">
        <w:rPr>
          <w:szCs w:val="22"/>
        </w:rPr>
        <w:t xml:space="preserve">  Accordingly, </w:t>
      </w:r>
      <w:r w:rsidR="008F2E6E">
        <w:rPr>
          <w:szCs w:val="22"/>
        </w:rPr>
        <w:t xml:space="preserve">even if we were to assume for sake of argument that CEB </w:t>
      </w:r>
      <w:r w:rsidR="00091996">
        <w:rPr>
          <w:szCs w:val="22"/>
        </w:rPr>
        <w:t>wrong</w:t>
      </w:r>
      <w:r w:rsidR="003D4903">
        <w:rPr>
          <w:szCs w:val="22"/>
        </w:rPr>
        <w:t>ful</w:t>
      </w:r>
      <w:r w:rsidR="00091996">
        <w:rPr>
          <w:szCs w:val="22"/>
        </w:rPr>
        <w:t xml:space="preserve">ly failed to </w:t>
      </w:r>
      <w:r w:rsidR="008F2E6E">
        <w:rPr>
          <w:szCs w:val="22"/>
        </w:rPr>
        <w:t xml:space="preserve">reimburse Smith in the 1990s and that such a claim is not time-barred, </w:t>
      </w:r>
      <w:r w:rsidR="00B64682">
        <w:rPr>
          <w:szCs w:val="22"/>
        </w:rPr>
        <w:t xml:space="preserve">we </w:t>
      </w:r>
      <w:r w:rsidR="008F2E6E">
        <w:rPr>
          <w:szCs w:val="22"/>
        </w:rPr>
        <w:t xml:space="preserve">would not accept </w:t>
      </w:r>
      <w:r w:rsidR="003D4903">
        <w:rPr>
          <w:szCs w:val="22"/>
        </w:rPr>
        <w:t>her</w:t>
      </w:r>
      <w:r w:rsidR="00B64682">
        <w:rPr>
          <w:szCs w:val="22"/>
        </w:rPr>
        <w:t xml:space="preserve"> suggestion that </w:t>
      </w:r>
      <w:r w:rsidR="00D77405">
        <w:rPr>
          <w:szCs w:val="22"/>
        </w:rPr>
        <w:t>action on the</w:t>
      </w:r>
      <w:r w:rsidR="002D2B35">
        <w:rPr>
          <w:szCs w:val="22"/>
        </w:rPr>
        <w:t xml:space="preserve"> Station’s </w:t>
      </w:r>
      <w:r w:rsidR="001C358A">
        <w:rPr>
          <w:szCs w:val="22"/>
        </w:rPr>
        <w:t xml:space="preserve">2020 </w:t>
      </w:r>
      <w:r w:rsidR="002D2B35">
        <w:rPr>
          <w:szCs w:val="22"/>
        </w:rPr>
        <w:t xml:space="preserve">license </w:t>
      </w:r>
      <w:r w:rsidR="001C358A">
        <w:rPr>
          <w:szCs w:val="22"/>
        </w:rPr>
        <w:t xml:space="preserve">renewal Application </w:t>
      </w:r>
      <w:r w:rsidR="00D77405">
        <w:rPr>
          <w:szCs w:val="22"/>
        </w:rPr>
        <w:t xml:space="preserve">is dependent upon </w:t>
      </w:r>
      <w:r w:rsidR="00B64682">
        <w:rPr>
          <w:szCs w:val="22"/>
        </w:rPr>
        <w:t>Woolverton</w:t>
      </w:r>
      <w:r w:rsidR="003D4903">
        <w:rPr>
          <w:szCs w:val="22"/>
        </w:rPr>
        <w:t>’s</w:t>
      </w:r>
      <w:r w:rsidR="00091996">
        <w:rPr>
          <w:szCs w:val="22"/>
        </w:rPr>
        <w:t xml:space="preserve"> use</w:t>
      </w:r>
      <w:r w:rsidR="00D77405">
        <w:rPr>
          <w:szCs w:val="22"/>
        </w:rPr>
        <w:t xml:space="preserve"> of </w:t>
      </w:r>
      <w:r w:rsidR="008F2E6E">
        <w:rPr>
          <w:szCs w:val="22"/>
        </w:rPr>
        <w:t>his personal assets</w:t>
      </w:r>
      <w:r w:rsidR="00091996">
        <w:rPr>
          <w:szCs w:val="22"/>
        </w:rPr>
        <w:t xml:space="preserve"> to reimburse Smith f</w:t>
      </w:r>
      <w:r w:rsidR="002D2B35">
        <w:rPr>
          <w:szCs w:val="22"/>
        </w:rPr>
        <w:t>or</w:t>
      </w:r>
      <w:r w:rsidR="00091996">
        <w:rPr>
          <w:szCs w:val="22"/>
        </w:rPr>
        <w:t xml:space="preserve"> a CEB failure that occurred years before he became associated with the corporation</w:t>
      </w:r>
      <w:r w:rsidR="00B64682">
        <w:rPr>
          <w:szCs w:val="22"/>
        </w:rPr>
        <w:t>.</w:t>
      </w:r>
      <w:r w:rsidR="00547BDD">
        <w:rPr>
          <w:szCs w:val="22"/>
        </w:rPr>
        <w:t xml:space="preserve"> </w:t>
      </w:r>
    </w:p>
    <w:p w:rsidR="004F2AEB" w:rsidP="009740E2" w14:paraId="2F870D4D" w14:textId="1219EA26">
      <w:pPr>
        <w:pStyle w:val="ParaNum"/>
        <w:numPr>
          <w:ilvl w:val="0"/>
          <w:numId w:val="0"/>
        </w:numPr>
        <w:ind w:firstLine="720"/>
        <w:rPr>
          <w:szCs w:val="22"/>
        </w:rPr>
      </w:pPr>
      <w:r>
        <w:rPr>
          <w:szCs w:val="22"/>
        </w:rPr>
        <w:t>Smith’s second concern</w:t>
      </w:r>
      <w:r w:rsidR="00457991">
        <w:rPr>
          <w:szCs w:val="22"/>
        </w:rPr>
        <w:t xml:space="preserve"> </w:t>
      </w:r>
      <w:r w:rsidR="006C3A6E">
        <w:rPr>
          <w:szCs w:val="22"/>
        </w:rPr>
        <w:t xml:space="preserve">is that </w:t>
      </w:r>
      <w:r w:rsidR="009B2FAF">
        <w:rPr>
          <w:szCs w:val="22"/>
        </w:rPr>
        <w:t xml:space="preserve">the Station might </w:t>
      </w:r>
      <w:r w:rsidR="00457991">
        <w:rPr>
          <w:szCs w:val="22"/>
        </w:rPr>
        <w:t xml:space="preserve">increase power if sold </w:t>
      </w:r>
      <w:r w:rsidR="009B2FAF">
        <w:rPr>
          <w:szCs w:val="22"/>
        </w:rPr>
        <w:t xml:space="preserve">to another entity.  This concern </w:t>
      </w:r>
      <w:r w:rsidR="00457991">
        <w:rPr>
          <w:szCs w:val="22"/>
        </w:rPr>
        <w:t>is speculative and not material to our review of the Application</w:t>
      </w:r>
      <w:r w:rsidR="00A3540E">
        <w:rPr>
          <w:szCs w:val="22"/>
        </w:rPr>
        <w:t xml:space="preserve"> because l</w:t>
      </w:r>
      <w:r w:rsidR="009B2FAF">
        <w:rPr>
          <w:szCs w:val="22"/>
        </w:rPr>
        <w:t>icense r</w:t>
      </w:r>
      <w:r w:rsidR="00457991">
        <w:rPr>
          <w:szCs w:val="22"/>
        </w:rPr>
        <w:t xml:space="preserve">enewal decisions are based on past performance.  </w:t>
      </w:r>
      <w:r w:rsidR="009B2FAF">
        <w:rPr>
          <w:szCs w:val="22"/>
        </w:rPr>
        <w:t>In any even</w:t>
      </w:r>
      <w:r w:rsidR="00A3540E">
        <w:rPr>
          <w:szCs w:val="22"/>
        </w:rPr>
        <w:t>t, we</w:t>
      </w:r>
      <w:r w:rsidR="009B2FAF">
        <w:rPr>
          <w:szCs w:val="22"/>
        </w:rPr>
        <w:t xml:space="preserve"> note that existing Commission procedures would address </w:t>
      </w:r>
      <w:r w:rsidR="00457991">
        <w:rPr>
          <w:szCs w:val="22"/>
        </w:rPr>
        <w:t>Smith’s concerns</w:t>
      </w:r>
      <w:r w:rsidR="009B2FAF">
        <w:rPr>
          <w:szCs w:val="22"/>
        </w:rPr>
        <w:t xml:space="preserve">.  </w:t>
      </w:r>
      <w:r w:rsidR="0030689A">
        <w:rPr>
          <w:szCs w:val="22"/>
        </w:rPr>
        <w:t>First, CEB agreed in the Consent Decree that its terms would be binding on any successors and assignees.</w:t>
      </w:r>
      <w:r>
        <w:rPr>
          <w:rStyle w:val="FootnoteReference"/>
          <w:szCs w:val="22"/>
        </w:rPr>
        <w:footnoteReference w:id="52"/>
      </w:r>
      <w:r w:rsidR="0030689A">
        <w:rPr>
          <w:szCs w:val="22"/>
        </w:rPr>
        <w:t xml:space="preserve">  </w:t>
      </w:r>
      <w:r w:rsidR="008D7366">
        <w:rPr>
          <w:szCs w:val="22"/>
        </w:rPr>
        <w:t xml:space="preserve">Second, </w:t>
      </w:r>
      <w:r w:rsidR="00457991">
        <w:rPr>
          <w:szCs w:val="22"/>
        </w:rPr>
        <w:t>CEB would not be able to sell or upgrade the Station unilaterally; it would need Commission consent.</w:t>
      </w:r>
      <w:r>
        <w:rPr>
          <w:rStyle w:val="FootnoteReference"/>
          <w:szCs w:val="22"/>
        </w:rPr>
        <w:footnoteReference w:id="53"/>
      </w:r>
      <w:r w:rsidR="00457991">
        <w:rPr>
          <w:szCs w:val="22"/>
        </w:rPr>
        <w:t xml:space="preserve">  In an application </w:t>
      </w:r>
      <w:r w:rsidR="0071625B">
        <w:rPr>
          <w:szCs w:val="22"/>
        </w:rPr>
        <w:t xml:space="preserve">for consent </w:t>
      </w:r>
      <w:r w:rsidR="00457991">
        <w:rPr>
          <w:szCs w:val="22"/>
        </w:rPr>
        <w:t xml:space="preserve">to </w:t>
      </w:r>
      <w:r w:rsidR="0001146C">
        <w:rPr>
          <w:szCs w:val="22"/>
        </w:rPr>
        <w:t>assign</w:t>
      </w:r>
      <w:r w:rsidR="00457991">
        <w:rPr>
          <w:szCs w:val="22"/>
        </w:rPr>
        <w:t xml:space="preserve"> a license, the </w:t>
      </w:r>
      <w:r w:rsidR="0001146C">
        <w:rPr>
          <w:szCs w:val="22"/>
        </w:rPr>
        <w:t xml:space="preserve">potential assignee </w:t>
      </w:r>
      <w:r w:rsidR="00457991">
        <w:rPr>
          <w:szCs w:val="22"/>
        </w:rPr>
        <w:t>must</w:t>
      </w:r>
      <w:r w:rsidR="0001146C">
        <w:rPr>
          <w:szCs w:val="22"/>
        </w:rPr>
        <w:t xml:space="preserve"> demonstrate its qualifications and </w:t>
      </w:r>
      <w:r w:rsidR="00EC1789">
        <w:rPr>
          <w:szCs w:val="22"/>
        </w:rPr>
        <w:t>any interested party</w:t>
      </w:r>
      <w:r w:rsidR="0001146C">
        <w:rPr>
          <w:szCs w:val="22"/>
        </w:rPr>
        <w:t xml:space="preserve">, including Smith, would have an opportunity to object.  Similarly, any </w:t>
      </w:r>
      <w:r w:rsidR="00F322B7">
        <w:rPr>
          <w:szCs w:val="22"/>
        </w:rPr>
        <w:t xml:space="preserve">NCE </w:t>
      </w:r>
      <w:r w:rsidR="0001146C">
        <w:rPr>
          <w:szCs w:val="22"/>
        </w:rPr>
        <w:t xml:space="preserve">licensee desiring to increase power </w:t>
      </w:r>
      <w:r w:rsidR="00ED49B0">
        <w:rPr>
          <w:szCs w:val="22"/>
        </w:rPr>
        <w:t xml:space="preserve">through a minor facility change </w:t>
      </w:r>
      <w:r w:rsidR="0001146C">
        <w:rPr>
          <w:szCs w:val="22"/>
        </w:rPr>
        <w:t xml:space="preserve">would have to </w:t>
      </w:r>
      <w:r w:rsidR="00F322B7">
        <w:rPr>
          <w:szCs w:val="22"/>
        </w:rPr>
        <w:t xml:space="preserve">file an application </w:t>
      </w:r>
      <w:r w:rsidR="00457991">
        <w:rPr>
          <w:szCs w:val="22"/>
        </w:rPr>
        <w:t>mak</w:t>
      </w:r>
      <w:r w:rsidR="00F322B7">
        <w:rPr>
          <w:szCs w:val="22"/>
        </w:rPr>
        <w:t xml:space="preserve">ing appropriate </w:t>
      </w:r>
      <w:r w:rsidR="00457991">
        <w:rPr>
          <w:szCs w:val="22"/>
        </w:rPr>
        <w:t>engineering showing</w:t>
      </w:r>
      <w:r w:rsidR="00F322B7">
        <w:rPr>
          <w:szCs w:val="22"/>
        </w:rPr>
        <w:t>s</w:t>
      </w:r>
      <w:r w:rsidR="001C39C3">
        <w:rPr>
          <w:szCs w:val="22"/>
        </w:rPr>
        <w:t>.</w:t>
      </w:r>
      <w:r>
        <w:rPr>
          <w:rStyle w:val="FootnoteReference"/>
          <w:szCs w:val="22"/>
        </w:rPr>
        <w:footnoteReference w:id="54"/>
      </w:r>
      <w:r w:rsidR="001C39C3">
        <w:rPr>
          <w:szCs w:val="22"/>
        </w:rPr>
        <w:t xml:space="preserve">  Again, there would be an opportunity for public input.  If </w:t>
      </w:r>
      <w:r w:rsidR="0055662D">
        <w:rPr>
          <w:szCs w:val="22"/>
        </w:rPr>
        <w:t xml:space="preserve">a power increase were </w:t>
      </w:r>
      <w:r w:rsidR="001C39C3">
        <w:rPr>
          <w:szCs w:val="22"/>
        </w:rPr>
        <w:t xml:space="preserve">approved, </w:t>
      </w:r>
      <w:r w:rsidR="001C358A">
        <w:rPr>
          <w:szCs w:val="22"/>
        </w:rPr>
        <w:t xml:space="preserve">Commission Rules would require the </w:t>
      </w:r>
      <w:r w:rsidR="001C39C3">
        <w:rPr>
          <w:szCs w:val="22"/>
        </w:rPr>
        <w:t>licensee to address any interference caused by the upgraded facilities.</w:t>
      </w:r>
      <w:r>
        <w:rPr>
          <w:rStyle w:val="FootnoteReference"/>
          <w:szCs w:val="22"/>
        </w:rPr>
        <w:footnoteReference w:id="55"/>
      </w:r>
      <w:r w:rsidR="001C39C3">
        <w:rPr>
          <w:szCs w:val="22"/>
        </w:rPr>
        <w:t xml:space="preserve">  We recognize that </w:t>
      </w:r>
      <w:r w:rsidR="00457991">
        <w:rPr>
          <w:szCs w:val="22"/>
        </w:rPr>
        <w:t xml:space="preserve">this </w:t>
      </w:r>
      <w:r w:rsidR="001C39C3">
        <w:rPr>
          <w:szCs w:val="22"/>
        </w:rPr>
        <w:t xml:space="preserve">requirement has not worked well for Smith </w:t>
      </w:r>
      <w:r w:rsidR="0055662D">
        <w:rPr>
          <w:szCs w:val="22"/>
        </w:rPr>
        <w:t xml:space="preserve">in the past </w:t>
      </w:r>
      <w:r w:rsidR="001C39C3">
        <w:rPr>
          <w:szCs w:val="22"/>
        </w:rPr>
        <w:t>because the Stewarts had neither the expertise nor finances to comply</w:t>
      </w:r>
      <w:r w:rsidR="00457991">
        <w:rPr>
          <w:szCs w:val="22"/>
        </w:rPr>
        <w:t xml:space="preserve"> with blanketing </w:t>
      </w:r>
      <w:r w:rsidR="004B1BE5">
        <w:rPr>
          <w:szCs w:val="22"/>
        </w:rPr>
        <w:t xml:space="preserve">remediation </w:t>
      </w:r>
      <w:r w:rsidR="00457991">
        <w:rPr>
          <w:szCs w:val="22"/>
        </w:rPr>
        <w:t>requirements</w:t>
      </w:r>
      <w:r w:rsidR="001C39C3">
        <w:rPr>
          <w:szCs w:val="22"/>
        </w:rPr>
        <w:t xml:space="preserve">.  That is, however, highly unusual.  In our experience, licensees </w:t>
      </w:r>
      <w:r w:rsidR="004B1BE5">
        <w:rPr>
          <w:szCs w:val="22"/>
        </w:rPr>
        <w:t>do satisfy</w:t>
      </w:r>
      <w:r w:rsidR="0055662D">
        <w:rPr>
          <w:szCs w:val="22"/>
        </w:rPr>
        <w:t xml:space="preserve"> the requirement to </w:t>
      </w:r>
      <w:r w:rsidR="001C39C3">
        <w:rPr>
          <w:szCs w:val="22"/>
        </w:rPr>
        <w:t>remediate any blanketing interference</w:t>
      </w:r>
      <w:r w:rsidR="00F870F5">
        <w:rPr>
          <w:szCs w:val="22"/>
        </w:rPr>
        <w:t xml:space="preserve"> following a facility modification</w:t>
      </w:r>
      <w:r w:rsidR="001C39C3">
        <w:rPr>
          <w:szCs w:val="22"/>
        </w:rPr>
        <w:t>.</w:t>
      </w:r>
    </w:p>
    <w:p w:rsidR="00105FEC" w:rsidRPr="00105FEC" w:rsidP="009740E2" w14:paraId="0C7FFF32" w14:textId="7B0F6952">
      <w:pPr>
        <w:pStyle w:val="ParaNum"/>
        <w:numPr>
          <w:ilvl w:val="0"/>
          <w:numId w:val="0"/>
        </w:numPr>
        <w:ind w:firstLine="720"/>
        <w:rPr>
          <w:b/>
          <w:bCs/>
          <w:szCs w:val="22"/>
        </w:rPr>
      </w:pPr>
      <w:r>
        <w:rPr>
          <w:b/>
          <w:bCs/>
          <w:szCs w:val="22"/>
        </w:rPr>
        <w:t>Ordering Clauses.</w:t>
      </w:r>
    </w:p>
    <w:p w:rsidR="00480B0B" w:rsidP="00480B0B" w14:paraId="32BBB32C" w14:textId="309C2927">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t>Accordingly</w:t>
      </w:r>
      <w:r w:rsidR="0071625B">
        <w:rPr>
          <w:rFonts w:asciiTheme="majorBidi" w:hAnsiTheme="majorBidi" w:cstheme="majorBidi"/>
          <w:sz w:val="22"/>
          <w:szCs w:val="22"/>
        </w:rPr>
        <w:t>,</w:t>
      </w:r>
      <w:r>
        <w:rPr>
          <w:rFonts w:asciiTheme="majorBidi" w:hAnsiTheme="majorBidi" w:cstheme="majorBidi"/>
          <w:sz w:val="22"/>
          <w:szCs w:val="22"/>
        </w:rPr>
        <w:t xml:space="preserve"> IT IS ORDERED that </w:t>
      </w:r>
      <w:r w:rsidR="00D2043F">
        <w:rPr>
          <w:rFonts w:asciiTheme="majorBidi" w:hAnsiTheme="majorBidi" w:cstheme="majorBidi"/>
          <w:sz w:val="22"/>
          <w:szCs w:val="22"/>
        </w:rPr>
        <w:t xml:space="preserve">the </w:t>
      </w:r>
      <w:r w:rsidR="001F0590">
        <w:rPr>
          <w:rFonts w:asciiTheme="majorBidi" w:hAnsiTheme="majorBidi" w:cstheme="majorBidi"/>
          <w:sz w:val="22"/>
          <w:szCs w:val="22"/>
        </w:rPr>
        <w:t xml:space="preserve">application of </w:t>
      </w:r>
      <w:r w:rsidRPr="005E36C4" w:rsidR="001F0590">
        <w:rPr>
          <w:szCs w:val="22"/>
        </w:rPr>
        <w:t xml:space="preserve">Educational Broadcasting Network, Inc. </w:t>
      </w:r>
      <w:r w:rsidR="001F0590">
        <w:rPr>
          <w:szCs w:val="22"/>
        </w:rPr>
        <w:t xml:space="preserve">to renew the </w:t>
      </w:r>
      <w:r w:rsidRPr="005E36C4" w:rsidR="001F0590">
        <w:rPr>
          <w:szCs w:val="22"/>
        </w:rPr>
        <w:t xml:space="preserve">license of station KOKS(FM), Poplar Bluff, Missouri </w:t>
      </w:r>
      <w:r w:rsidR="00D2043F">
        <w:rPr>
          <w:rFonts w:asciiTheme="majorBidi" w:hAnsiTheme="majorBidi" w:cstheme="majorBidi"/>
          <w:sz w:val="22"/>
          <w:szCs w:val="22"/>
        </w:rPr>
        <w:t xml:space="preserve">license renewal application </w:t>
      </w:r>
      <w:r w:rsidR="00F870F5">
        <w:rPr>
          <w:rFonts w:asciiTheme="majorBidi" w:hAnsiTheme="majorBidi" w:cstheme="majorBidi"/>
          <w:sz w:val="22"/>
          <w:szCs w:val="22"/>
        </w:rPr>
        <w:t xml:space="preserve">(File No. </w:t>
      </w:r>
      <w:r w:rsidRPr="007E30B8" w:rsidR="00F870F5">
        <w:rPr>
          <w:rFonts w:asciiTheme="majorBidi" w:hAnsiTheme="majorBidi" w:cstheme="majorBidi"/>
          <w:sz w:val="22"/>
          <w:szCs w:val="22"/>
        </w:rPr>
        <w:t>0000122765</w:t>
      </w:r>
      <w:r w:rsidR="00F870F5">
        <w:rPr>
          <w:rFonts w:asciiTheme="majorBidi" w:hAnsiTheme="majorBidi" w:cstheme="majorBidi"/>
          <w:sz w:val="22"/>
          <w:szCs w:val="22"/>
        </w:rPr>
        <w:t xml:space="preserve">) </w:t>
      </w:r>
      <w:r>
        <w:rPr>
          <w:rFonts w:asciiTheme="majorBidi" w:hAnsiTheme="majorBidi" w:cstheme="majorBidi"/>
          <w:sz w:val="22"/>
          <w:szCs w:val="22"/>
        </w:rPr>
        <w:t xml:space="preserve">IS </w:t>
      </w:r>
      <w:r w:rsidR="001F0590">
        <w:rPr>
          <w:rFonts w:asciiTheme="majorBidi" w:hAnsiTheme="majorBidi" w:cstheme="majorBidi"/>
          <w:sz w:val="22"/>
          <w:szCs w:val="22"/>
        </w:rPr>
        <w:t>GRANT</w:t>
      </w:r>
      <w:r>
        <w:rPr>
          <w:rFonts w:asciiTheme="majorBidi" w:hAnsiTheme="majorBidi" w:cstheme="majorBidi"/>
          <w:sz w:val="22"/>
          <w:szCs w:val="22"/>
        </w:rPr>
        <w:t>ED</w:t>
      </w:r>
      <w:r w:rsidR="001F0590">
        <w:rPr>
          <w:rFonts w:asciiTheme="majorBidi" w:hAnsiTheme="majorBidi" w:cstheme="majorBidi"/>
          <w:sz w:val="22"/>
          <w:szCs w:val="22"/>
        </w:rPr>
        <w:t xml:space="preserve"> with the following CONDITIONS:</w:t>
      </w:r>
    </w:p>
    <w:p w:rsidR="001F0590" w:rsidP="00480B0B" w14:paraId="36CCF55F" w14:textId="6FEE103B">
      <w:pPr>
        <w:tabs>
          <w:tab w:val="left" w:pos="0"/>
        </w:tabs>
        <w:suppressAutoHyphens/>
        <w:outlineLvl w:val="0"/>
        <w:rPr>
          <w:rFonts w:asciiTheme="majorBidi" w:hAnsiTheme="majorBidi" w:cstheme="majorBidi"/>
          <w:sz w:val="22"/>
          <w:szCs w:val="22"/>
        </w:rPr>
      </w:pPr>
    </w:p>
    <w:p w:rsidR="001F0590" w:rsidP="007C15E8" w14:paraId="1AF195A8" w14:textId="464F17F3">
      <w:pPr>
        <w:tabs>
          <w:tab w:val="left" w:pos="0"/>
        </w:tabs>
        <w:suppressAutoHyphens/>
        <w:ind w:left="720"/>
        <w:outlineLvl w:val="0"/>
        <w:rPr>
          <w:rFonts w:asciiTheme="majorBidi" w:hAnsiTheme="majorBidi" w:cstheme="majorBidi"/>
          <w:sz w:val="22"/>
          <w:szCs w:val="22"/>
        </w:rPr>
      </w:pPr>
      <w:r>
        <w:rPr>
          <w:rFonts w:asciiTheme="majorBidi" w:hAnsiTheme="majorBidi" w:cstheme="majorBidi"/>
          <w:sz w:val="22"/>
          <w:szCs w:val="22"/>
        </w:rPr>
        <w:t xml:space="preserve">Grant of this license is conditioned upon the licensee’s </w:t>
      </w:r>
      <w:r w:rsidR="00166AF9">
        <w:rPr>
          <w:rFonts w:asciiTheme="majorBidi" w:hAnsiTheme="majorBidi" w:cstheme="majorBidi"/>
          <w:sz w:val="22"/>
          <w:szCs w:val="22"/>
        </w:rPr>
        <w:t xml:space="preserve">continued compliance with </w:t>
      </w:r>
      <w:r w:rsidR="00924884">
        <w:rPr>
          <w:rFonts w:asciiTheme="majorBidi" w:hAnsiTheme="majorBidi" w:cstheme="majorBidi"/>
          <w:sz w:val="22"/>
          <w:szCs w:val="22"/>
        </w:rPr>
        <w:t>the</w:t>
      </w:r>
      <w:r w:rsidR="00166AF9">
        <w:rPr>
          <w:rFonts w:asciiTheme="majorBidi" w:hAnsiTheme="majorBidi" w:cstheme="majorBidi"/>
          <w:sz w:val="22"/>
          <w:szCs w:val="22"/>
        </w:rPr>
        <w:t xml:space="preserve"> Consent Decree published at 35 FCC </w:t>
      </w:r>
      <w:r w:rsidR="00166AF9">
        <w:rPr>
          <w:rFonts w:asciiTheme="majorBidi" w:hAnsiTheme="majorBidi" w:cstheme="majorBidi"/>
          <w:sz w:val="22"/>
          <w:szCs w:val="22"/>
        </w:rPr>
        <w:t>Rcd</w:t>
      </w:r>
      <w:r w:rsidR="00166AF9">
        <w:rPr>
          <w:rFonts w:asciiTheme="majorBidi" w:hAnsiTheme="majorBidi" w:cstheme="majorBidi"/>
          <w:sz w:val="22"/>
          <w:szCs w:val="22"/>
        </w:rPr>
        <w:t xml:space="preserve"> 10243- 63, including but not limited to </w:t>
      </w:r>
      <w:r w:rsidR="00924884">
        <w:rPr>
          <w:rFonts w:asciiTheme="majorBidi" w:hAnsiTheme="majorBidi" w:cstheme="majorBidi"/>
          <w:sz w:val="22"/>
          <w:szCs w:val="22"/>
        </w:rPr>
        <w:t xml:space="preserve">the </w:t>
      </w:r>
      <w:r w:rsidR="00166AF9">
        <w:rPr>
          <w:rFonts w:asciiTheme="majorBidi" w:hAnsiTheme="majorBidi" w:cstheme="majorBidi"/>
          <w:sz w:val="22"/>
          <w:szCs w:val="22"/>
        </w:rPr>
        <w:t>require</w:t>
      </w:r>
      <w:r w:rsidR="00924884">
        <w:rPr>
          <w:rFonts w:asciiTheme="majorBidi" w:hAnsiTheme="majorBidi" w:cstheme="majorBidi"/>
          <w:sz w:val="22"/>
          <w:szCs w:val="22"/>
        </w:rPr>
        <w:t>ment</w:t>
      </w:r>
      <w:r w:rsidR="00882BD9">
        <w:rPr>
          <w:rFonts w:asciiTheme="majorBidi" w:hAnsiTheme="majorBidi" w:cstheme="majorBidi"/>
          <w:sz w:val="22"/>
          <w:szCs w:val="22"/>
        </w:rPr>
        <w:t>s to abide by a compliance plan and</w:t>
      </w:r>
      <w:r w:rsidR="00166AF9">
        <w:rPr>
          <w:rFonts w:asciiTheme="majorBidi" w:hAnsiTheme="majorBidi" w:cstheme="majorBidi"/>
          <w:sz w:val="22"/>
          <w:szCs w:val="22"/>
        </w:rPr>
        <w:t xml:space="preserve"> </w:t>
      </w:r>
      <w:r w:rsidR="00924884">
        <w:rPr>
          <w:rFonts w:asciiTheme="majorBidi" w:hAnsiTheme="majorBidi" w:cstheme="majorBidi"/>
          <w:sz w:val="22"/>
          <w:szCs w:val="22"/>
        </w:rPr>
        <w:t xml:space="preserve">to </w:t>
      </w:r>
      <w:r>
        <w:rPr>
          <w:rFonts w:asciiTheme="majorBidi" w:hAnsiTheme="majorBidi" w:cstheme="majorBidi"/>
          <w:sz w:val="22"/>
          <w:szCs w:val="22"/>
        </w:rPr>
        <w:t>fil</w:t>
      </w:r>
      <w:r w:rsidR="00924884">
        <w:rPr>
          <w:rFonts w:asciiTheme="majorBidi" w:hAnsiTheme="majorBidi" w:cstheme="majorBidi"/>
          <w:sz w:val="22"/>
          <w:szCs w:val="22"/>
        </w:rPr>
        <w:t>e</w:t>
      </w:r>
      <w:r>
        <w:rPr>
          <w:rFonts w:asciiTheme="majorBidi" w:hAnsiTheme="majorBidi" w:cstheme="majorBidi"/>
          <w:sz w:val="22"/>
          <w:szCs w:val="22"/>
        </w:rPr>
        <w:t xml:space="preserve"> compliance reports in accordance with</w:t>
      </w:r>
      <w:r w:rsidR="00166AF9">
        <w:rPr>
          <w:rFonts w:asciiTheme="majorBidi" w:hAnsiTheme="majorBidi" w:cstheme="majorBidi"/>
          <w:sz w:val="22"/>
          <w:szCs w:val="22"/>
        </w:rPr>
        <w:t xml:space="preserve"> para. 30</w:t>
      </w:r>
      <w:r w:rsidR="00134AFB">
        <w:rPr>
          <w:rFonts w:asciiTheme="majorBidi" w:hAnsiTheme="majorBidi" w:cstheme="majorBidi"/>
          <w:sz w:val="22"/>
          <w:szCs w:val="22"/>
        </w:rPr>
        <w:t xml:space="preserve"> thereof</w:t>
      </w:r>
      <w:r>
        <w:rPr>
          <w:rFonts w:asciiTheme="majorBidi" w:hAnsiTheme="majorBidi" w:cstheme="majorBidi"/>
          <w:sz w:val="22"/>
          <w:szCs w:val="22"/>
        </w:rPr>
        <w:t xml:space="preserve">.  This requirement shall remain in effect through </w:t>
      </w:r>
      <w:r w:rsidR="001E7815">
        <w:rPr>
          <w:rFonts w:asciiTheme="majorBidi" w:hAnsiTheme="majorBidi" w:cstheme="majorBidi"/>
          <w:sz w:val="22"/>
          <w:szCs w:val="22"/>
        </w:rPr>
        <w:t xml:space="preserve">September </w:t>
      </w:r>
      <w:r w:rsidR="00134AFB">
        <w:rPr>
          <w:rFonts w:asciiTheme="majorBidi" w:hAnsiTheme="majorBidi" w:cstheme="majorBidi"/>
          <w:sz w:val="22"/>
          <w:szCs w:val="22"/>
        </w:rPr>
        <w:t>15</w:t>
      </w:r>
      <w:r>
        <w:rPr>
          <w:rFonts w:asciiTheme="majorBidi" w:hAnsiTheme="majorBidi" w:cstheme="majorBidi"/>
          <w:sz w:val="22"/>
          <w:szCs w:val="22"/>
        </w:rPr>
        <w:t>, 20</w:t>
      </w:r>
      <w:r w:rsidR="001E7815">
        <w:rPr>
          <w:rFonts w:asciiTheme="majorBidi" w:hAnsiTheme="majorBidi" w:cstheme="majorBidi"/>
          <w:sz w:val="22"/>
          <w:szCs w:val="22"/>
        </w:rPr>
        <w:t>25</w:t>
      </w:r>
      <w:r>
        <w:rPr>
          <w:rFonts w:asciiTheme="majorBidi" w:hAnsiTheme="majorBidi" w:cstheme="majorBidi"/>
          <w:sz w:val="22"/>
          <w:szCs w:val="22"/>
        </w:rPr>
        <w:t xml:space="preserve">.  </w:t>
      </w:r>
    </w:p>
    <w:p w:rsidR="001F0590" w:rsidP="00480B0B" w14:paraId="43A501D0" w14:textId="2C434FF8">
      <w:pPr>
        <w:tabs>
          <w:tab w:val="left" w:pos="0"/>
        </w:tabs>
        <w:suppressAutoHyphens/>
        <w:outlineLvl w:val="0"/>
        <w:rPr>
          <w:rFonts w:asciiTheme="majorBidi" w:hAnsiTheme="majorBidi" w:cstheme="majorBidi"/>
          <w:sz w:val="22"/>
          <w:szCs w:val="22"/>
        </w:rPr>
      </w:pPr>
    </w:p>
    <w:p w:rsidR="001F0590" w:rsidP="007C15E8" w14:paraId="2D5FBAE8" w14:textId="76CF470B">
      <w:pPr>
        <w:tabs>
          <w:tab w:val="left" w:pos="0"/>
        </w:tabs>
        <w:suppressAutoHyphens/>
        <w:ind w:left="720"/>
        <w:outlineLvl w:val="0"/>
        <w:rPr>
          <w:rFonts w:asciiTheme="majorBidi" w:hAnsiTheme="majorBidi" w:cstheme="majorBidi"/>
          <w:sz w:val="22"/>
          <w:szCs w:val="22"/>
        </w:rPr>
      </w:pPr>
      <w:r>
        <w:rPr>
          <w:rFonts w:asciiTheme="majorBidi" w:hAnsiTheme="majorBidi" w:cstheme="majorBidi"/>
          <w:sz w:val="22"/>
          <w:szCs w:val="22"/>
        </w:rPr>
        <w:t xml:space="preserve">Grant of this license is conditioned upon licensee’s </w:t>
      </w:r>
      <w:r w:rsidR="00902B88">
        <w:rPr>
          <w:rFonts w:asciiTheme="majorBidi" w:hAnsiTheme="majorBidi" w:cstheme="majorBidi"/>
          <w:sz w:val="22"/>
          <w:szCs w:val="22"/>
        </w:rPr>
        <w:t xml:space="preserve">amendment of its compliance plan </w:t>
      </w:r>
      <w:r>
        <w:rPr>
          <w:rFonts w:asciiTheme="majorBidi" w:hAnsiTheme="majorBidi" w:cstheme="majorBidi"/>
          <w:sz w:val="22"/>
          <w:szCs w:val="22"/>
        </w:rPr>
        <w:t xml:space="preserve">within </w:t>
      </w:r>
      <w:r w:rsidR="00B97793">
        <w:rPr>
          <w:rFonts w:asciiTheme="majorBidi" w:hAnsiTheme="majorBidi" w:cstheme="majorBidi"/>
          <w:sz w:val="22"/>
          <w:szCs w:val="22"/>
        </w:rPr>
        <w:t>the next 60</w:t>
      </w:r>
      <w:r>
        <w:rPr>
          <w:rFonts w:asciiTheme="majorBidi" w:hAnsiTheme="majorBidi" w:cstheme="majorBidi"/>
          <w:sz w:val="22"/>
          <w:szCs w:val="22"/>
        </w:rPr>
        <w:t xml:space="preserve"> days </w:t>
      </w:r>
      <w:r w:rsidR="00902B88">
        <w:rPr>
          <w:rFonts w:asciiTheme="majorBidi" w:hAnsiTheme="majorBidi" w:cstheme="majorBidi"/>
          <w:sz w:val="22"/>
          <w:szCs w:val="22"/>
        </w:rPr>
        <w:t>to establish procedures</w:t>
      </w:r>
      <w:r>
        <w:rPr>
          <w:rFonts w:asciiTheme="majorBidi" w:hAnsiTheme="majorBidi" w:cstheme="majorBidi"/>
          <w:sz w:val="22"/>
          <w:szCs w:val="22"/>
        </w:rPr>
        <w:t xml:space="preserve"> for meeting all Commission filing deadlines even if unexpected emergencies aris</w:t>
      </w:r>
      <w:r w:rsidR="00902B88">
        <w:rPr>
          <w:rFonts w:asciiTheme="majorBidi" w:hAnsiTheme="majorBidi" w:cstheme="majorBidi"/>
          <w:sz w:val="22"/>
          <w:szCs w:val="22"/>
        </w:rPr>
        <w:t xml:space="preserve">e.  Licensee shall file the revised section </w:t>
      </w:r>
      <w:r w:rsidR="00202A60">
        <w:rPr>
          <w:rFonts w:asciiTheme="majorBidi" w:hAnsiTheme="majorBidi" w:cstheme="majorBidi"/>
          <w:sz w:val="22"/>
          <w:szCs w:val="22"/>
        </w:rPr>
        <w:t xml:space="preserve">of the plan </w:t>
      </w:r>
      <w:r w:rsidR="00B97793">
        <w:rPr>
          <w:rFonts w:asciiTheme="majorBidi" w:hAnsiTheme="majorBidi" w:cstheme="majorBidi"/>
          <w:sz w:val="22"/>
          <w:szCs w:val="22"/>
        </w:rPr>
        <w:t xml:space="preserve">in the “FCC Investigations or Complaints” section of its online public inspection file </w:t>
      </w:r>
      <w:r w:rsidR="00924884">
        <w:rPr>
          <w:rFonts w:asciiTheme="majorBidi" w:hAnsiTheme="majorBidi" w:cstheme="majorBidi"/>
          <w:sz w:val="22"/>
          <w:szCs w:val="22"/>
        </w:rPr>
        <w:t>within 1</w:t>
      </w:r>
      <w:r w:rsidR="0029613B">
        <w:rPr>
          <w:rFonts w:asciiTheme="majorBidi" w:hAnsiTheme="majorBidi" w:cstheme="majorBidi"/>
          <w:sz w:val="22"/>
          <w:szCs w:val="22"/>
        </w:rPr>
        <w:t>4</w:t>
      </w:r>
      <w:r w:rsidR="00924884">
        <w:rPr>
          <w:rFonts w:asciiTheme="majorBidi" w:hAnsiTheme="majorBidi" w:cstheme="majorBidi"/>
          <w:sz w:val="22"/>
          <w:szCs w:val="22"/>
        </w:rPr>
        <w:t xml:space="preserve"> days thereafter</w:t>
      </w:r>
      <w:r>
        <w:rPr>
          <w:rFonts w:asciiTheme="majorBidi" w:hAnsiTheme="majorBidi" w:cstheme="majorBidi"/>
          <w:sz w:val="22"/>
          <w:szCs w:val="22"/>
        </w:rPr>
        <w:t>.  Licensee</w:t>
      </w:r>
      <w:r w:rsidR="0029613B">
        <w:rPr>
          <w:rFonts w:asciiTheme="majorBidi" w:hAnsiTheme="majorBidi" w:cstheme="majorBidi"/>
          <w:sz w:val="22"/>
          <w:szCs w:val="22"/>
        </w:rPr>
        <w:t xml:space="preserve"> shall report any non-compliance within 15 days of discovery, as provided by the Consent Decree.  The </w:t>
      </w:r>
      <w:r w:rsidR="00924884">
        <w:rPr>
          <w:rFonts w:asciiTheme="majorBidi" w:hAnsiTheme="majorBidi" w:cstheme="majorBidi"/>
          <w:sz w:val="22"/>
          <w:szCs w:val="22"/>
        </w:rPr>
        <w:t>annual compliance</w:t>
      </w:r>
      <w:r>
        <w:rPr>
          <w:rFonts w:asciiTheme="majorBidi" w:hAnsiTheme="majorBidi" w:cstheme="majorBidi"/>
          <w:sz w:val="22"/>
          <w:szCs w:val="22"/>
        </w:rPr>
        <w:t xml:space="preserve"> reports due under </w:t>
      </w:r>
      <w:r w:rsidR="00202A60">
        <w:rPr>
          <w:rFonts w:asciiTheme="majorBidi" w:hAnsiTheme="majorBidi" w:cstheme="majorBidi"/>
          <w:sz w:val="22"/>
          <w:szCs w:val="22"/>
        </w:rPr>
        <w:t xml:space="preserve">para. 30 of </w:t>
      </w:r>
      <w:r>
        <w:rPr>
          <w:rFonts w:asciiTheme="majorBidi" w:hAnsiTheme="majorBidi" w:cstheme="majorBidi"/>
          <w:sz w:val="22"/>
          <w:szCs w:val="22"/>
        </w:rPr>
        <w:t xml:space="preserve">the Consent Decree </w:t>
      </w:r>
      <w:r w:rsidR="00802BEC">
        <w:rPr>
          <w:rFonts w:asciiTheme="majorBidi" w:hAnsiTheme="majorBidi" w:cstheme="majorBidi"/>
          <w:sz w:val="22"/>
          <w:szCs w:val="22"/>
        </w:rPr>
        <w:t xml:space="preserve">shall </w:t>
      </w:r>
      <w:r w:rsidR="0029613B">
        <w:rPr>
          <w:rFonts w:asciiTheme="majorBidi" w:hAnsiTheme="majorBidi" w:cstheme="majorBidi"/>
          <w:sz w:val="22"/>
          <w:szCs w:val="22"/>
        </w:rPr>
        <w:t xml:space="preserve">also </w:t>
      </w:r>
      <w:r w:rsidR="00802BEC">
        <w:rPr>
          <w:rFonts w:asciiTheme="majorBidi" w:hAnsiTheme="majorBidi" w:cstheme="majorBidi"/>
          <w:sz w:val="22"/>
          <w:szCs w:val="22"/>
        </w:rPr>
        <w:t xml:space="preserve">include </w:t>
      </w:r>
      <w:r>
        <w:rPr>
          <w:rFonts w:asciiTheme="majorBidi" w:hAnsiTheme="majorBidi" w:cstheme="majorBidi"/>
          <w:sz w:val="22"/>
          <w:szCs w:val="22"/>
        </w:rPr>
        <w:t xml:space="preserve">a section identifying any </w:t>
      </w:r>
      <w:r w:rsidR="00802BEC">
        <w:rPr>
          <w:rFonts w:asciiTheme="majorBidi" w:hAnsiTheme="majorBidi" w:cstheme="majorBidi"/>
          <w:sz w:val="22"/>
          <w:szCs w:val="22"/>
        </w:rPr>
        <w:t xml:space="preserve">missed </w:t>
      </w:r>
      <w:r>
        <w:rPr>
          <w:rFonts w:asciiTheme="majorBidi" w:hAnsiTheme="majorBidi" w:cstheme="majorBidi"/>
          <w:sz w:val="22"/>
          <w:szCs w:val="22"/>
        </w:rPr>
        <w:t>filing deadlines.</w:t>
      </w:r>
    </w:p>
    <w:p w:rsidR="00480B0B" w:rsidP="00480B0B" w14:paraId="47194463" w14:textId="77777777">
      <w:pPr>
        <w:tabs>
          <w:tab w:val="left" w:pos="0"/>
        </w:tabs>
        <w:suppressAutoHyphens/>
        <w:outlineLvl w:val="0"/>
        <w:rPr>
          <w:rFonts w:asciiTheme="majorBidi" w:hAnsiTheme="majorBidi" w:cstheme="majorBidi"/>
          <w:sz w:val="22"/>
          <w:szCs w:val="22"/>
        </w:rPr>
      </w:pPr>
    </w:p>
    <w:p w:rsidR="00F7187E" w:rsidP="00480B0B" w14:paraId="02360DC5" w14:textId="646E26A8">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t>IT IS FURTHER ORDERED that</w:t>
      </w:r>
      <w:r w:rsidR="00A7248D">
        <w:rPr>
          <w:rFonts w:asciiTheme="majorBidi" w:hAnsiTheme="majorBidi" w:cstheme="majorBidi"/>
          <w:sz w:val="22"/>
          <w:szCs w:val="22"/>
        </w:rPr>
        <w:t xml:space="preserve"> the informal objection of Doris Smith IS DENIED</w:t>
      </w:r>
      <w:r w:rsidR="004F2AEB">
        <w:rPr>
          <w:rFonts w:asciiTheme="majorBidi" w:hAnsiTheme="majorBidi" w:cstheme="majorBidi"/>
          <w:sz w:val="22"/>
          <w:szCs w:val="22"/>
        </w:rPr>
        <w:t xml:space="preserve">.  </w:t>
      </w:r>
    </w:p>
    <w:p w:rsidR="003A1E86" w:rsidRPr="006143E6" w:rsidP="006143E6" w14:paraId="1ED47E6E" w14:textId="7CB8EAB1">
      <w:pPr>
        <w:tabs>
          <w:tab w:val="left" w:pos="0"/>
        </w:tabs>
        <w:suppressAutoHyphens/>
        <w:outlineLvl w:val="0"/>
        <w:rPr>
          <w:rFonts w:asciiTheme="majorBidi" w:hAnsiTheme="majorBidi" w:cstheme="majorBidi"/>
          <w:sz w:val="22"/>
          <w:szCs w:val="22"/>
        </w:rPr>
      </w:pPr>
    </w:p>
    <w:p w:rsidR="00191292" w:rsidRPr="003E4677" w:rsidP="000750E6" w14:paraId="2441C0F3" w14:textId="77777777">
      <w:pPr>
        <w:tabs>
          <w:tab w:val="left" w:pos="0"/>
        </w:tabs>
        <w:suppressAutoHyphens/>
        <w:outlineLvl w:val="0"/>
        <w:rPr>
          <w:rFonts w:asciiTheme="majorBidi" w:hAnsiTheme="majorBidi" w:cstheme="majorBidi"/>
          <w:b/>
          <w:sz w:val="22"/>
          <w:szCs w:val="22"/>
        </w:rPr>
      </w:pPr>
    </w:p>
    <w:p w:rsidR="009F3786" w:rsidRPr="003E4677" w:rsidP="000750E6" w14:paraId="4BD46918" w14:textId="77777777">
      <w:pPr>
        <w:tabs>
          <w:tab w:val="left" w:pos="0"/>
        </w:tabs>
        <w:suppressAutoHyphens/>
        <w:outlineLvl w:val="0"/>
        <w:rPr>
          <w:rFonts w:asciiTheme="majorBidi" w:hAnsiTheme="majorBidi" w:cstheme="majorBidi"/>
          <w:b/>
          <w:sz w:val="22"/>
          <w:szCs w:val="22"/>
        </w:rPr>
      </w:pPr>
      <w:r w:rsidRPr="003E4677">
        <w:rPr>
          <w:rFonts w:asciiTheme="majorBidi" w:hAnsiTheme="majorBidi" w:cstheme="majorBidi"/>
          <w:b/>
          <w:sz w:val="22"/>
          <w:szCs w:val="22"/>
        </w:rPr>
        <w:tab/>
      </w:r>
      <w:r w:rsidRPr="003E4677">
        <w:rPr>
          <w:rFonts w:asciiTheme="majorBidi" w:hAnsiTheme="majorBidi" w:cstheme="majorBidi"/>
          <w:b/>
          <w:sz w:val="22"/>
          <w:szCs w:val="22"/>
        </w:rPr>
        <w:tab/>
      </w:r>
      <w:r w:rsidRPr="003E4677">
        <w:rPr>
          <w:rFonts w:asciiTheme="majorBidi" w:hAnsiTheme="majorBidi" w:cstheme="majorBidi"/>
          <w:b/>
          <w:sz w:val="22"/>
          <w:szCs w:val="22"/>
        </w:rPr>
        <w:tab/>
      </w:r>
      <w:r w:rsidRPr="003E4677">
        <w:rPr>
          <w:rFonts w:asciiTheme="majorBidi" w:hAnsiTheme="majorBidi" w:cstheme="majorBidi"/>
          <w:b/>
          <w:sz w:val="22"/>
          <w:szCs w:val="22"/>
        </w:rPr>
        <w:tab/>
      </w:r>
      <w:r w:rsidRPr="003E4677">
        <w:rPr>
          <w:rFonts w:asciiTheme="majorBidi" w:hAnsiTheme="majorBidi" w:cstheme="majorBidi"/>
          <w:b/>
          <w:sz w:val="22"/>
          <w:szCs w:val="22"/>
        </w:rPr>
        <w:tab/>
      </w:r>
      <w:r w:rsidRPr="003E4677">
        <w:rPr>
          <w:rFonts w:asciiTheme="majorBidi" w:hAnsiTheme="majorBidi" w:cstheme="majorBidi"/>
          <w:b/>
          <w:sz w:val="22"/>
          <w:szCs w:val="22"/>
        </w:rPr>
        <w:tab/>
      </w:r>
      <w:r w:rsidRPr="003E4677">
        <w:rPr>
          <w:rFonts w:asciiTheme="majorBidi" w:hAnsiTheme="majorBidi" w:cstheme="majorBidi"/>
          <w:b/>
          <w:sz w:val="22"/>
          <w:szCs w:val="22"/>
        </w:rPr>
        <w:tab/>
      </w:r>
      <w:r w:rsidRPr="003E4677">
        <w:rPr>
          <w:rFonts w:asciiTheme="majorBidi" w:hAnsiTheme="majorBidi" w:cstheme="majorBidi"/>
          <w:sz w:val="22"/>
          <w:szCs w:val="22"/>
        </w:rPr>
        <w:t>Sincerely,</w:t>
      </w:r>
    </w:p>
    <w:p w:rsidR="009F3786" w:rsidRPr="003E4677" w:rsidP="009F3786" w14:paraId="2ED099E2" w14:textId="77777777">
      <w:pPr>
        <w:pStyle w:val="BodyText"/>
        <w:rPr>
          <w:rFonts w:asciiTheme="majorBidi" w:hAnsiTheme="majorBidi" w:cstheme="majorBidi"/>
          <w:szCs w:val="22"/>
        </w:rPr>
      </w:pPr>
    </w:p>
    <w:p w:rsidR="0046570B" w:rsidRPr="00A37FA9" w:rsidP="009F3786" w14:paraId="13AC369D" w14:textId="52493F71">
      <w:pPr>
        <w:pStyle w:val="BodyText"/>
        <w:rPr>
          <w:rFonts w:ascii="Bradley Hand ITC" w:hAnsi="Bradley Hand ITC" w:cstheme="majorBidi"/>
          <w:sz w:val="28"/>
          <w:szCs w:val="28"/>
        </w:rPr>
      </w:pPr>
      <w:r w:rsidRPr="003E4677">
        <w:rPr>
          <w:rFonts w:asciiTheme="majorBidi" w:hAnsiTheme="majorBidi" w:cstheme="majorBidi"/>
          <w:szCs w:val="22"/>
        </w:rPr>
        <w:tab/>
      </w:r>
      <w:r w:rsidRPr="003E4677">
        <w:rPr>
          <w:rFonts w:asciiTheme="majorBidi" w:hAnsiTheme="majorBidi" w:cstheme="majorBidi"/>
          <w:szCs w:val="22"/>
        </w:rPr>
        <w:tab/>
      </w:r>
      <w:r w:rsidRPr="003E4677">
        <w:rPr>
          <w:rFonts w:asciiTheme="majorBidi" w:hAnsiTheme="majorBidi" w:cstheme="majorBidi"/>
          <w:szCs w:val="22"/>
        </w:rPr>
        <w:tab/>
      </w:r>
      <w:r w:rsidRPr="003E4677">
        <w:rPr>
          <w:rFonts w:asciiTheme="majorBidi" w:hAnsiTheme="majorBidi" w:cstheme="majorBidi"/>
          <w:szCs w:val="22"/>
        </w:rPr>
        <w:tab/>
      </w:r>
      <w:r w:rsidRPr="003E4677">
        <w:rPr>
          <w:rFonts w:asciiTheme="majorBidi" w:hAnsiTheme="majorBidi" w:cstheme="majorBidi"/>
          <w:szCs w:val="22"/>
        </w:rPr>
        <w:tab/>
      </w:r>
      <w:r w:rsidRPr="003E4677">
        <w:rPr>
          <w:rFonts w:asciiTheme="majorBidi" w:hAnsiTheme="majorBidi" w:cstheme="majorBidi"/>
          <w:szCs w:val="22"/>
        </w:rPr>
        <w:tab/>
      </w:r>
      <w:r w:rsidR="00A37FA9">
        <w:rPr>
          <w:rFonts w:asciiTheme="majorBidi" w:hAnsiTheme="majorBidi" w:cstheme="majorBidi"/>
          <w:szCs w:val="22"/>
        </w:rPr>
        <w:tab/>
      </w:r>
    </w:p>
    <w:p w:rsidR="000146DC" w:rsidRPr="003E4677" w:rsidP="009F3786" w14:paraId="50B7F1C3" w14:textId="77777777">
      <w:pPr>
        <w:pStyle w:val="BodyText"/>
        <w:rPr>
          <w:rFonts w:asciiTheme="majorBidi" w:hAnsiTheme="majorBidi" w:cstheme="majorBidi"/>
          <w:szCs w:val="22"/>
        </w:rPr>
      </w:pPr>
    </w:p>
    <w:p w:rsidR="009F3786" w:rsidRPr="003E4677" w:rsidP="009F3786" w14:paraId="3BC29FAE" w14:textId="79234780">
      <w:pPr>
        <w:pStyle w:val="BodyText"/>
        <w:rPr>
          <w:rFonts w:asciiTheme="majorBidi" w:hAnsiTheme="majorBidi" w:cstheme="majorBidi"/>
          <w:szCs w:val="22"/>
        </w:rPr>
      </w:pPr>
      <w:r w:rsidRPr="003E4677">
        <w:rPr>
          <w:rFonts w:asciiTheme="majorBidi" w:hAnsiTheme="majorBidi" w:cstheme="majorBidi"/>
          <w:szCs w:val="22"/>
        </w:rPr>
        <w:tab/>
      </w:r>
      <w:r w:rsidRPr="003E4677">
        <w:rPr>
          <w:rFonts w:asciiTheme="majorBidi" w:hAnsiTheme="majorBidi" w:cstheme="majorBidi"/>
          <w:szCs w:val="22"/>
        </w:rPr>
        <w:tab/>
      </w:r>
      <w:r w:rsidRPr="003E4677">
        <w:rPr>
          <w:rFonts w:asciiTheme="majorBidi" w:hAnsiTheme="majorBidi" w:cstheme="majorBidi"/>
          <w:szCs w:val="22"/>
        </w:rPr>
        <w:tab/>
      </w:r>
      <w:r w:rsidRPr="003E4677">
        <w:rPr>
          <w:rFonts w:asciiTheme="majorBidi" w:hAnsiTheme="majorBidi" w:cstheme="majorBidi"/>
          <w:szCs w:val="22"/>
        </w:rPr>
        <w:tab/>
      </w:r>
      <w:r w:rsidRPr="003E4677">
        <w:rPr>
          <w:rFonts w:asciiTheme="majorBidi" w:hAnsiTheme="majorBidi" w:cstheme="majorBidi"/>
          <w:szCs w:val="22"/>
        </w:rPr>
        <w:tab/>
      </w:r>
      <w:r w:rsidRPr="003E4677" w:rsidR="00DF5464">
        <w:rPr>
          <w:rFonts w:asciiTheme="majorBidi" w:hAnsiTheme="majorBidi" w:cstheme="majorBidi"/>
          <w:szCs w:val="22"/>
        </w:rPr>
        <w:tab/>
      </w:r>
      <w:r w:rsidRPr="003E4677" w:rsidR="00DF5464">
        <w:rPr>
          <w:rFonts w:asciiTheme="majorBidi" w:hAnsiTheme="majorBidi" w:cstheme="majorBidi"/>
          <w:szCs w:val="22"/>
        </w:rPr>
        <w:tab/>
      </w:r>
      <w:r w:rsidRPr="003E4677" w:rsidR="001D5E2A">
        <w:rPr>
          <w:rFonts w:asciiTheme="majorBidi" w:hAnsiTheme="majorBidi" w:cstheme="majorBidi"/>
          <w:szCs w:val="22"/>
        </w:rPr>
        <w:t>Albert Shuldiner</w:t>
      </w:r>
    </w:p>
    <w:p w:rsidR="00151785" w:rsidRPr="003E4677" w:rsidP="00151785" w14:paraId="3474A7E2" w14:textId="77777777">
      <w:pPr>
        <w:rPr>
          <w:rFonts w:asciiTheme="majorBidi" w:hAnsiTheme="majorBidi" w:cstheme="majorBidi"/>
          <w:sz w:val="22"/>
          <w:szCs w:val="22"/>
        </w:rPr>
      </w:pP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t xml:space="preserve">Chief, Audio Division       </w:t>
      </w:r>
    </w:p>
    <w:p w:rsidR="00BF3B03" w:rsidP="004448FE" w14:paraId="7924EF53" w14:textId="63543808">
      <w:pPr>
        <w:rPr>
          <w:rFonts w:asciiTheme="majorBidi" w:hAnsiTheme="majorBidi" w:cstheme="majorBidi"/>
          <w:sz w:val="22"/>
          <w:szCs w:val="22"/>
        </w:rPr>
      </w:pP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t>Media Bureau</w:t>
      </w:r>
    </w:p>
    <w:p w:rsidR="003E4677" w:rsidRPr="003E4677" w:rsidP="00191292" w14:paraId="21D2F38C" w14:textId="77777777">
      <w:pPr>
        <w:tabs>
          <w:tab w:val="left" w:pos="-720"/>
        </w:tabs>
        <w:suppressAutoHyphens/>
        <w:rPr>
          <w:rFonts w:asciiTheme="majorBidi" w:hAnsiTheme="majorBidi" w:cstheme="majorBidi"/>
          <w:sz w:val="22"/>
          <w:szCs w:val="22"/>
        </w:rPr>
      </w:pPr>
    </w:p>
    <w:sectPr>
      <w:headerReference w:type="default" r:id="rId7"/>
      <w:footerReference w:type="even" r:id="rId8"/>
      <w:footerReference w:type="default" r:id="rId9"/>
      <w:headerReference w:type="first" r:id="rId10"/>
      <w:endnotePr>
        <w:numFmt w:val="decimal"/>
      </w:endnotePr>
      <w:pgSz w:w="12240" w:h="15840" w:code="1"/>
      <w:pgMar w:top="1440" w:right="1440" w:bottom="1440" w:left="1440" w:header="720" w:footer="51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E86" w14:paraId="35F0DEF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E86" w14:paraId="74A6EA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E86" w:rsidRPr="00812569" w14:paraId="27E87F16" w14:textId="77777777">
    <w:pPr>
      <w:pStyle w:val="Footer"/>
      <w:framePr w:wrap="around" w:vAnchor="text" w:hAnchor="margin" w:xAlign="center" w:y="1"/>
      <w:rPr>
        <w:rStyle w:val="PageNumber"/>
        <w:sz w:val="22"/>
        <w:szCs w:val="22"/>
      </w:rPr>
    </w:pPr>
    <w:r w:rsidRPr="00812569">
      <w:rPr>
        <w:rStyle w:val="PageNumber"/>
        <w:sz w:val="22"/>
        <w:szCs w:val="22"/>
      </w:rPr>
      <w:fldChar w:fldCharType="begin"/>
    </w:r>
    <w:r w:rsidRPr="00812569">
      <w:rPr>
        <w:rStyle w:val="PageNumber"/>
        <w:sz w:val="22"/>
        <w:szCs w:val="22"/>
      </w:rPr>
      <w:instrText xml:space="preserve">PAGE  </w:instrText>
    </w:r>
    <w:r w:rsidRPr="00812569">
      <w:rPr>
        <w:rStyle w:val="PageNumber"/>
        <w:sz w:val="22"/>
        <w:szCs w:val="22"/>
      </w:rPr>
      <w:fldChar w:fldCharType="separate"/>
    </w:r>
    <w:r w:rsidR="00F67E51">
      <w:rPr>
        <w:rStyle w:val="PageNumber"/>
        <w:noProof/>
        <w:sz w:val="22"/>
        <w:szCs w:val="22"/>
      </w:rPr>
      <w:t>6</w:t>
    </w:r>
    <w:r w:rsidRPr="00812569">
      <w:rPr>
        <w:rStyle w:val="PageNumber"/>
        <w:sz w:val="22"/>
        <w:szCs w:val="22"/>
      </w:rPr>
      <w:fldChar w:fldCharType="end"/>
    </w:r>
  </w:p>
  <w:p w:rsidR="00D54E86" w14:paraId="1D603294" w14:textId="77777777">
    <w:pPr>
      <w:spacing w:before="140" w:line="100" w:lineRule="exac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0C49" w14:paraId="74BD16B2" w14:textId="77777777">
      <w:r>
        <w:separator/>
      </w:r>
    </w:p>
  </w:footnote>
  <w:footnote w:type="continuationSeparator" w:id="1">
    <w:p w:rsidR="00810C49" w14:paraId="06610928" w14:textId="77777777">
      <w:r>
        <w:continuationSeparator/>
      </w:r>
    </w:p>
  </w:footnote>
  <w:footnote w:type="continuationNotice" w:id="2">
    <w:p w:rsidR="00810C49" w14:paraId="154C6B90" w14:textId="77777777"/>
  </w:footnote>
  <w:footnote w:id="3">
    <w:p w:rsidR="00644206" w:rsidRPr="00BE156B" w:rsidP="00644206" w14:paraId="130B0507" w14:textId="68862DDF">
      <w:pPr>
        <w:pStyle w:val="FootnoteText"/>
      </w:pPr>
      <w:r>
        <w:rPr>
          <w:rStyle w:val="FootnoteReference"/>
        </w:rPr>
        <w:footnoteRef/>
      </w:r>
      <w:r>
        <w:t xml:space="preserve"> </w:t>
      </w:r>
      <w:r>
        <w:rPr>
          <w:i/>
          <w:iCs/>
        </w:rPr>
        <w:t xml:space="preserve">See Calvary Ed. Broad. Network, Inc., </w:t>
      </w:r>
      <w:r w:rsidR="00ED0901">
        <w:t xml:space="preserve">Order, 35 FCC </w:t>
      </w:r>
      <w:r w:rsidR="00ED0901">
        <w:t>Rcd</w:t>
      </w:r>
      <w:r w:rsidR="00ED0901">
        <w:t xml:space="preserve"> 10236 (MB 2020) </w:t>
      </w:r>
      <w:r w:rsidR="00C4438D">
        <w:t>(</w:t>
      </w:r>
      <w:r w:rsidRPr="00C4438D" w:rsidR="00C4438D">
        <w:t>Order</w:t>
      </w:r>
      <w:r w:rsidR="00C4438D">
        <w:t xml:space="preserve">) </w:t>
      </w:r>
      <w:r w:rsidRPr="00C4438D" w:rsidR="00ED0901">
        <w:t>and</w:t>
      </w:r>
      <w:r w:rsidR="00ED0901">
        <w:t xml:space="preserve"> attached </w:t>
      </w:r>
      <w:r>
        <w:rPr>
          <w:i/>
          <w:iCs/>
        </w:rPr>
        <w:t>C</w:t>
      </w:r>
      <w:r w:rsidRPr="00BE156B">
        <w:t>onsent Decree</w:t>
      </w:r>
      <w:r>
        <w:rPr>
          <w:i/>
          <w:iCs/>
        </w:rPr>
        <w:t>,</w:t>
      </w:r>
      <w:r>
        <w:t xml:space="preserve"> 35 FCC </w:t>
      </w:r>
      <w:r>
        <w:t>Rcd</w:t>
      </w:r>
      <w:r>
        <w:t>. 10240 (</w:t>
      </w:r>
      <w:r w:rsidR="00ED0901">
        <w:t xml:space="preserve">MB </w:t>
      </w:r>
      <w:r>
        <w:t>2020)</w:t>
      </w:r>
      <w:r w:rsidR="00C4438D">
        <w:t xml:space="preserve"> (Consent Decree)</w:t>
      </w:r>
      <w:r>
        <w:t>.</w:t>
      </w:r>
    </w:p>
  </w:footnote>
  <w:footnote w:id="4">
    <w:p w:rsidR="00614407" w:rsidRPr="00614407" w14:paraId="09A211F3" w14:textId="4D6EF52D">
      <w:pPr>
        <w:pStyle w:val="FootnoteText"/>
      </w:pPr>
      <w:r>
        <w:rPr>
          <w:rStyle w:val="FootnoteReference"/>
        </w:rPr>
        <w:footnoteRef/>
      </w:r>
      <w:r>
        <w:t xml:space="preserve"> </w:t>
      </w:r>
      <w:r>
        <w:rPr>
          <w:i/>
          <w:iCs/>
        </w:rPr>
        <w:t xml:space="preserve">See </w:t>
      </w:r>
      <w:r>
        <w:t xml:space="preserve">Order, 35 FCC </w:t>
      </w:r>
      <w:r>
        <w:t>Rcd</w:t>
      </w:r>
      <w:r>
        <w:t xml:space="preserve"> at </w:t>
      </w:r>
      <w:r w:rsidR="00305E3E">
        <w:t>10236-37, paras. 2-3</w:t>
      </w:r>
      <w:r w:rsidR="00FE632C">
        <w:t>; Consent Decree</w:t>
      </w:r>
      <w:r w:rsidR="00E67235">
        <w:t>,</w:t>
      </w:r>
      <w:r w:rsidR="00FE632C">
        <w:t xml:space="preserve"> 35 FCC </w:t>
      </w:r>
      <w:r w:rsidR="00FE632C">
        <w:t>Rcd</w:t>
      </w:r>
      <w:r w:rsidR="00FE632C">
        <w:t xml:space="preserve"> </w:t>
      </w:r>
      <w:r w:rsidR="007D081C">
        <w:t xml:space="preserve">at </w:t>
      </w:r>
      <w:r w:rsidR="00FE632C">
        <w:t>10243, para. 3</w:t>
      </w:r>
      <w:r w:rsidR="00305E3E">
        <w:t>.</w:t>
      </w:r>
    </w:p>
  </w:footnote>
  <w:footnote w:id="5">
    <w:p w:rsidR="00711A02" w:rsidRPr="00711A02" w14:paraId="5AD25055" w14:textId="02961226">
      <w:pPr>
        <w:pStyle w:val="FootnoteText"/>
      </w:pPr>
      <w:r>
        <w:rPr>
          <w:rStyle w:val="FootnoteReference"/>
        </w:rPr>
        <w:footnoteRef/>
      </w:r>
      <w:r>
        <w:t xml:space="preserve"> </w:t>
      </w:r>
      <w:r w:rsidR="00043A61">
        <w:rPr>
          <w:i/>
          <w:iCs/>
        </w:rPr>
        <w:t xml:space="preserve">See </w:t>
      </w:r>
      <w:r w:rsidR="00043A61">
        <w:t xml:space="preserve">Order, 35 FCC </w:t>
      </w:r>
      <w:r w:rsidR="00043A61">
        <w:t>Rcd</w:t>
      </w:r>
      <w:r>
        <w:rPr>
          <w:i/>
          <w:iCs/>
        </w:rPr>
        <w:t xml:space="preserve"> </w:t>
      </w:r>
      <w:r>
        <w:t>at 10237, para. 3</w:t>
      </w:r>
      <w:r w:rsidR="005B6F08">
        <w:t xml:space="preserve">; Consent Decree 35 FCC </w:t>
      </w:r>
      <w:r w:rsidR="005B6F08">
        <w:t>Rcd</w:t>
      </w:r>
      <w:r w:rsidR="005B6F08">
        <w:t xml:space="preserve"> at 10244, para. 3</w:t>
      </w:r>
      <w:r>
        <w:t>.</w:t>
      </w:r>
    </w:p>
  </w:footnote>
  <w:footnote w:id="6">
    <w:p w:rsidR="00803AE4" w14:paraId="72314DA0" w14:textId="1C174E19">
      <w:pPr>
        <w:pStyle w:val="FootnoteText"/>
      </w:pPr>
      <w:r>
        <w:rPr>
          <w:rStyle w:val="FootnoteReference"/>
        </w:rPr>
        <w:footnoteRef/>
      </w:r>
      <w:r>
        <w:t xml:space="preserve"> </w:t>
      </w:r>
      <w:r>
        <w:t xml:space="preserve">47 CFR </w:t>
      </w:r>
      <w:r w:rsidR="003419ED">
        <w:rPr>
          <w:szCs w:val="24"/>
        </w:rPr>
        <w:t xml:space="preserve">§ </w:t>
      </w:r>
      <w:r>
        <w:t>73.318.</w:t>
      </w:r>
    </w:p>
  </w:footnote>
  <w:footnote w:id="7">
    <w:p w:rsidR="00B35B5C" w:rsidRPr="00DE2158" w:rsidP="00B35B5C" w14:paraId="7F89E709" w14:textId="2CBEC625">
      <w:pPr>
        <w:pStyle w:val="FootnoteText"/>
        <w:rPr>
          <w:i/>
        </w:rPr>
      </w:pPr>
      <w:r>
        <w:rPr>
          <w:rStyle w:val="FootnoteReference"/>
        </w:rPr>
        <w:footnoteRef/>
      </w:r>
      <w:r>
        <w:t xml:space="preserve"> </w:t>
      </w:r>
      <w:r w:rsidRPr="00045E30">
        <w:rPr>
          <w:i/>
        </w:rPr>
        <w:t>See Calvary Ed. Broad. Network, Inc.</w:t>
      </w:r>
      <w:r w:rsidRPr="00D502D2">
        <w:rPr>
          <w:iCs/>
        </w:rPr>
        <w:t>,</w:t>
      </w:r>
      <w:r w:rsidRPr="00045E30">
        <w:rPr>
          <w:i/>
        </w:rPr>
        <w:t xml:space="preserve"> </w:t>
      </w:r>
      <w:r w:rsidRPr="00DC44EB">
        <w:rPr>
          <w:iCs/>
        </w:rPr>
        <w:t>Initial Decision</w:t>
      </w:r>
      <w:r w:rsidRPr="00045E30">
        <w:rPr>
          <w:i/>
        </w:rPr>
        <w:t xml:space="preserve">, </w:t>
      </w:r>
      <w:r w:rsidRPr="00D502D2">
        <w:rPr>
          <w:iCs/>
        </w:rPr>
        <w:t xml:space="preserve">8 FCC </w:t>
      </w:r>
      <w:r w:rsidRPr="00D502D2">
        <w:rPr>
          <w:iCs/>
        </w:rPr>
        <w:t>Rcd</w:t>
      </w:r>
      <w:r w:rsidRPr="00D502D2">
        <w:rPr>
          <w:iCs/>
        </w:rPr>
        <w:t xml:space="preserve"> 4789, 4803</w:t>
      </w:r>
      <w:r>
        <w:rPr>
          <w:iCs/>
        </w:rPr>
        <w:t>-07</w:t>
      </w:r>
      <w:r w:rsidRPr="00D502D2">
        <w:rPr>
          <w:iCs/>
        </w:rPr>
        <w:t>, para</w:t>
      </w:r>
      <w:r>
        <w:rPr>
          <w:iCs/>
        </w:rPr>
        <w:t>s</w:t>
      </w:r>
      <w:r w:rsidRPr="00D502D2">
        <w:rPr>
          <w:iCs/>
        </w:rPr>
        <w:t>. 101</w:t>
      </w:r>
      <w:r>
        <w:rPr>
          <w:iCs/>
        </w:rPr>
        <w:t>, 117</w:t>
      </w:r>
      <w:r w:rsidRPr="00D502D2">
        <w:rPr>
          <w:iCs/>
        </w:rPr>
        <w:t xml:space="preserve"> (ALJ 1993)</w:t>
      </w:r>
      <w:r>
        <w:rPr>
          <w:iCs/>
        </w:rPr>
        <w:t xml:space="preserve">, </w:t>
      </w:r>
      <w:r>
        <w:rPr>
          <w:i/>
        </w:rPr>
        <w:t xml:space="preserve">aff’d., </w:t>
      </w:r>
      <w:r w:rsidRPr="00CA153B">
        <w:t xml:space="preserve">Memorandum Opinion and Order, 9 FCC </w:t>
      </w:r>
      <w:r w:rsidRPr="00CA153B">
        <w:t>Rcd</w:t>
      </w:r>
      <w:r w:rsidRPr="00CA153B">
        <w:t xml:space="preserve"> 575, para</w:t>
      </w:r>
      <w:r>
        <w:t>s. 48-49</w:t>
      </w:r>
      <w:r w:rsidRPr="00CA153B">
        <w:t xml:space="preserve"> (Rev. Bd. 1994)</w:t>
      </w:r>
      <w:r w:rsidRPr="00A60988">
        <w:t xml:space="preserve">, </w:t>
      </w:r>
      <w:r w:rsidRPr="00A60988">
        <w:rPr>
          <w:i/>
        </w:rPr>
        <w:t xml:space="preserve">opportunity for further response, </w:t>
      </w:r>
      <w:r w:rsidRPr="00A60988">
        <w:t xml:space="preserve">Memorandum Opinion and Order, 9 FCC </w:t>
      </w:r>
      <w:r w:rsidRPr="00A60988">
        <w:t>Rcd</w:t>
      </w:r>
      <w:r w:rsidRPr="00A60988">
        <w:t xml:space="preserve"> 1834 (Rev. Bd</w:t>
      </w:r>
      <w:r>
        <w:t>.</w:t>
      </w:r>
      <w:r w:rsidRPr="00A60988">
        <w:t xml:space="preserve">), </w:t>
      </w:r>
      <w:r w:rsidRPr="00A60988">
        <w:rPr>
          <w:i/>
        </w:rPr>
        <w:t xml:space="preserve">aff’d in relevant part, </w:t>
      </w:r>
      <w:r w:rsidRPr="00A60988">
        <w:t xml:space="preserve">9 FCC </w:t>
      </w:r>
      <w:r w:rsidRPr="00A60988">
        <w:t>Rcd</w:t>
      </w:r>
      <w:r w:rsidRPr="00A60988">
        <w:t xml:space="preserve"> 6412 (Rev. Bd.)</w:t>
      </w:r>
      <w:r>
        <w:t xml:space="preserve"> (</w:t>
      </w:r>
      <w:r>
        <w:rPr>
          <w:i/>
        </w:rPr>
        <w:t>Order on Review</w:t>
      </w:r>
      <w:r>
        <w:rPr>
          <w:iCs/>
        </w:rPr>
        <w:t>)</w:t>
      </w:r>
      <w:r w:rsidRPr="00CA153B">
        <w:t>.</w:t>
      </w:r>
      <w:r>
        <w:t xml:space="preserve">    </w:t>
      </w:r>
    </w:p>
  </w:footnote>
  <w:footnote w:id="8">
    <w:p w:rsidR="00DE2158" w:rsidRPr="00B35B5C" w14:paraId="06307C75" w14:textId="0D8A83E5">
      <w:pPr>
        <w:pStyle w:val="FootnoteText"/>
        <w:rPr>
          <w:i/>
          <w:iCs/>
        </w:rPr>
      </w:pPr>
      <w:r>
        <w:rPr>
          <w:rStyle w:val="FootnoteReference"/>
        </w:rPr>
        <w:footnoteRef/>
      </w:r>
      <w:r>
        <w:t xml:space="preserve"> </w:t>
      </w:r>
      <w:r w:rsidR="00E413C9">
        <w:rPr>
          <w:i/>
        </w:rPr>
        <w:t>Order on Review</w:t>
      </w:r>
      <w:r w:rsidR="00E413C9">
        <w:t xml:space="preserve">, 9 FCC </w:t>
      </w:r>
      <w:r w:rsidR="00E413C9">
        <w:t>Rcd</w:t>
      </w:r>
      <w:r w:rsidR="00E413C9">
        <w:t xml:space="preserve"> at 6412, para. 12.  </w:t>
      </w:r>
      <w:r w:rsidR="00A54653">
        <w:t xml:space="preserve">The Review Board </w:t>
      </w:r>
      <w:r w:rsidR="00B35B5C">
        <w:t>stated that a</w:t>
      </w:r>
      <w:r w:rsidRPr="00442DA1" w:rsidR="00B35B5C">
        <w:t xml:space="preserve">ny need for continuing cable service </w:t>
      </w:r>
      <w:r w:rsidR="00B35B5C">
        <w:t xml:space="preserve">would be </w:t>
      </w:r>
      <w:r w:rsidRPr="00442DA1" w:rsidR="00B35B5C">
        <w:t xml:space="preserve">reviewed </w:t>
      </w:r>
      <w:r w:rsidR="00B35B5C">
        <w:t xml:space="preserve">with subsequent </w:t>
      </w:r>
      <w:r w:rsidRPr="00442DA1" w:rsidR="00B35B5C">
        <w:t xml:space="preserve">renewal </w:t>
      </w:r>
      <w:r w:rsidR="00B35B5C">
        <w:t xml:space="preserve">applications, </w:t>
      </w:r>
      <w:r w:rsidRPr="00442DA1" w:rsidR="00B35B5C">
        <w:t>along with C</w:t>
      </w:r>
      <w:r w:rsidR="00B35B5C">
        <w:t>EB</w:t>
      </w:r>
      <w:r w:rsidRPr="00442DA1" w:rsidR="00B35B5C">
        <w:t>'s overall compliance with the blanketing rule.</w:t>
      </w:r>
      <w:r w:rsidR="00B35B5C">
        <w:t xml:space="preserve">  </w:t>
      </w:r>
      <w:r w:rsidR="00B35B5C">
        <w:rPr>
          <w:i/>
          <w:iCs/>
        </w:rPr>
        <w:t>Id.</w:t>
      </w:r>
    </w:p>
  </w:footnote>
  <w:footnote w:id="9">
    <w:p w:rsidR="008B137B" w:rsidRPr="008B137B" w14:paraId="46F480B1" w14:textId="4BE4995F">
      <w:pPr>
        <w:pStyle w:val="FootnoteText"/>
      </w:pPr>
      <w:r>
        <w:rPr>
          <w:rStyle w:val="FootnoteReference"/>
        </w:rPr>
        <w:footnoteRef/>
      </w:r>
      <w:r>
        <w:t xml:space="preserve"> </w:t>
      </w:r>
      <w:r w:rsidR="000E69EF">
        <w:t xml:space="preserve">Order, 35 FCC </w:t>
      </w:r>
      <w:r w:rsidR="000E69EF">
        <w:t>Rcd</w:t>
      </w:r>
      <w:r w:rsidR="000E69EF">
        <w:t xml:space="preserve"> at 10237, para. 3</w:t>
      </w:r>
      <w:r w:rsidR="00891929">
        <w:t xml:space="preserve">; Consent Decree, 35 FCC </w:t>
      </w:r>
      <w:r w:rsidR="00891929">
        <w:t>Rcd</w:t>
      </w:r>
      <w:r w:rsidR="00891929">
        <w:t xml:space="preserve"> </w:t>
      </w:r>
      <w:r w:rsidR="00E9781F">
        <w:t xml:space="preserve">at </w:t>
      </w:r>
      <w:r w:rsidR="00891929">
        <w:t>10245, para. 6</w:t>
      </w:r>
      <w:r w:rsidR="000E69EF">
        <w:t xml:space="preserve">.  </w:t>
      </w:r>
      <w:r>
        <w:t>During the pendency of the renewal applications the Station was permitted to operate pursuant to section 558(c) of the Communications Act of 1934, as amended</w:t>
      </w:r>
      <w:r w:rsidR="006E5090">
        <w:t xml:space="preserve"> (Act)</w:t>
      </w:r>
      <w:r>
        <w:t xml:space="preserve">.  </w:t>
      </w:r>
      <w:r>
        <w:rPr>
          <w:i/>
          <w:iCs/>
        </w:rPr>
        <w:t xml:space="preserve">See </w:t>
      </w:r>
      <w:r>
        <w:t xml:space="preserve">47 U.S.C. </w:t>
      </w:r>
      <w:r>
        <w:rPr>
          <w:szCs w:val="24"/>
        </w:rPr>
        <w:t xml:space="preserve">§ </w:t>
      </w:r>
      <w:r>
        <w:t xml:space="preserve">558(c).  </w:t>
      </w:r>
    </w:p>
  </w:footnote>
  <w:footnote w:id="10">
    <w:p w:rsidR="00E9781F" w14:paraId="5AAA959F" w14:textId="315D34A1">
      <w:pPr>
        <w:pStyle w:val="FootnoteText"/>
      </w:pPr>
      <w:r>
        <w:rPr>
          <w:rStyle w:val="FootnoteReference"/>
        </w:rPr>
        <w:footnoteRef/>
      </w:r>
      <w:r>
        <w:t xml:space="preserve"> </w:t>
      </w:r>
      <w:r>
        <w:t xml:space="preserve">Consent Decree, 35 FCC </w:t>
      </w:r>
      <w:r>
        <w:t>Rcd</w:t>
      </w:r>
      <w:r>
        <w:t xml:space="preserve"> at 10246, para</w:t>
      </w:r>
      <w:r w:rsidR="00F8067A">
        <w:t>s</w:t>
      </w:r>
      <w:r>
        <w:t>. 8</w:t>
      </w:r>
      <w:r w:rsidR="00F8067A">
        <w:t>-9</w:t>
      </w:r>
      <w:r>
        <w:t>.</w:t>
      </w:r>
    </w:p>
  </w:footnote>
  <w:footnote w:id="11">
    <w:p w:rsidR="00273D54" w:rsidRPr="001175C2" w14:paraId="7CFE6D18" w14:textId="1D19D671">
      <w:pPr>
        <w:pStyle w:val="FootnoteText"/>
      </w:pPr>
      <w:r>
        <w:rPr>
          <w:rStyle w:val="FootnoteReference"/>
        </w:rPr>
        <w:footnoteRef/>
      </w:r>
      <w:r>
        <w:t xml:space="preserve"> </w:t>
      </w:r>
      <w:r w:rsidR="00812857">
        <w:rPr>
          <w:i/>
          <w:iCs/>
        </w:rPr>
        <w:t xml:space="preserve">Id. </w:t>
      </w:r>
      <w:r w:rsidR="00812857">
        <w:t xml:space="preserve">at para. 9.  </w:t>
      </w:r>
      <w:r>
        <w:t>The Station’s primary transmitter was broken and unrepairable and it was operating with a back-up transmitter that was only partially functional.</w:t>
      </w:r>
      <w:r w:rsidR="00DD3E53">
        <w:t xml:space="preserve">  </w:t>
      </w:r>
      <w:r w:rsidR="001175C2">
        <w:rPr>
          <w:i/>
          <w:iCs/>
        </w:rPr>
        <w:t xml:space="preserve">Id. </w:t>
      </w:r>
      <w:r w:rsidR="001175C2">
        <w:t>at 10248, para. 14.</w:t>
      </w:r>
    </w:p>
  </w:footnote>
  <w:footnote w:id="12">
    <w:p w:rsidR="00727A89" w14:paraId="519A449B" w14:textId="7E584695">
      <w:pPr>
        <w:pStyle w:val="FootnoteText"/>
      </w:pPr>
      <w:r>
        <w:rPr>
          <w:rStyle w:val="FootnoteReference"/>
        </w:rPr>
        <w:footnoteRef/>
      </w:r>
      <w:r>
        <w:t xml:space="preserve"> </w:t>
      </w:r>
      <w:r>
        <w:rPr>
          <w:i/>
          <w:iCs/>
        </w:rPr>
        <w:t xml:space="preserve">Id. </w:t>
      </w:r>
      <w:r>
        <w:t xml:space="preserve">at 10246, </w:t>
      </w:r>
      <w:r w:rsidR="00A32E84">
        <w:t xml:space="preserve">10252, </w:t>
      </w:r>
      <w:r>
        <w:t>para</w:t>
      </w:r>
      <w:r w:rsidR="00A32E84">
        <w:t>s</w:t>
      </w:r>
      <w:r>
        <w:t>. 8</w:t>
      </w:r>
      <w:r w:rsidR="00A32E84">
        <w:t>, 26</w:t>
      </w:r>
      <w:r>
        <w:t>.</w:t>
      </w:r>
    </w:p>
  </w:footnote>
  <w:footnote w:id="13">
    <w:p w:rsidR="00F9234F" w:rsidP="00F9234F" w14:paraId="4A078535" w14:textId="09F082B4">
      <w:pPr>
        <w:pStyle w:val="FootnoteText"/>
      </w:pPr>
      <w:r>
        <w:rPr>
          <w:rStyle w:val="FootnoteReference"/>
        </w:rPr>
        <w:footnoteRef/>
      </w:r>
      <w:r>
        <w:t xml:space="preserve"> </w:t>
      </w:r>
      <w:r w:rsidR="00167171">
        <w:rPr>
          <w:i/>
          <w:iCs/>
        </w:rPr>
        <w:t xml:space="preserve">Id. </w:t>
      </w:r>
      <w:r w:rsidR="00167171">
        <w:t xml:space="preserve">at </w:t>
      </w:r>
      <w:r w:rsidR="001175C2">
        <w:t xml:space="preserve">10246, </w:t>
      </w:r>
      <w:r w:rsidR="00167171">
        <w:t xml:space="preserve">para. 8.  </w:t>
      </w:r>
      <w:r>
        <w:t>Woolverton claimed to have donated approximately $53,500 between 2016</w:t>
      </w:r>
      <w:r w:rsidR="00421BE2">
        <w:t xml:space="preserve"> and </w:t>
      </w:r>
      <w:r>
        <w:t xml:space="preserve">2018 to bring CEB’s tax and electric bills current and stated that he had stopped foreclosure on the tower site by personally purchasing the Station’s land.  </w:t>
      </w:r>
      <w:r w:rsidR="00F11923">
        <w:rPr>
          <w:i/>
          <w:iCs/>
        </w:rPr>
        <w:t>Id.</w:t>
      </w:r>
      <w:r w:rsidR="00F11923">
        <w:t xml:space="preserve"> at 10247, n.37</w:t>
      </w:r>
      <w:r w:rsidR="00867D5C">
        <w:t>.</w:t>
      </w:r>
    </w:p>
  </w:footnote>
  <w:footnote w:id="14">
    <w:p w:rsidR="007450C2" w14:paraId="1DAB42E1" w14:textId="39F3B08D">
      <w:pPr>
        <w:pStyle w:val="FootnoteText"/>
      </w:pPr>
      <w:r>
        <w:rPr>
          <w:rStyle w:val="FootnoteReference"/>
        </w:rPr>
        <w:footnoteRef/>
      </w:r>
      <w:r>
        <w:t xml:space="preserve"> </w:t>
      </w:r>
      <w:r>
        <w:rPr>
          <w:i/>
          <w:iCs/>
        </w:rPr>
        <w:t xml:space="preserve">Id. </w:t>
      </w:r>
      <w:r>
        <w:t>at 10246</w:t>
      </w:r>
      <w:r w:rsidR="00CD314E">
        <w:t>-49</w:t>
      </w:r>
      <w:r>
        <w:t>, paras</w:t>
      </w:r>
      <w:r w:rsidR="00CD314E">
        <w:t>. 10-15.</w:t>
      </w:r>
    </w:p>
  </w:footnote>
  <w:footnote w:id="15">
    <w:p w:rsidR="00AD6B11" w14:paraId="292FF368" w14:textId="272CE91F">
      <w:pPr>
        <w:pStyle w:val="FootnoteText"/>
      </w:pPr>
      <w:r>
        <w:rPr>
          <w:rStyle w:val="FootnoteReference"/>
        </w:rPr>
        <w:footnoteRef/>
      </w:r>
      <w:r>
        <w:t xml:space="preserve"> </w:t>
      </w:r>
      <w:r>
        <w:rPr>
          <w:i/>
          <w:iCs/>
        </w:rPr>
        <w:t xml:space="preserve">Id. </w:t>
      </w:r>
      <w:r>
        <w:t>at 10247-48, para. 13.</w:t>
      </w:r>
    </w:p>
  </w:footnote>
  <w:footnote w:id="16">
    <w:p w:rsidR="0038193A" w:rsidRPr="0038193A" w14:paraId="6B3C8193" w14:textId="4C153DD2">
      <w:pPr>
        <w:pStyle w:val="FootnoteText"/>
      </w:pPr>
      <w:r>
        <w:rPr>
          <w:rStyle w:val="FootnoteReference"/>
        </w:rPr>
        <w:footnoteRef/>
      </w:r>
      <w:r>
        <w:t xml:space="preserve"> </w:t>
      </w:r>
      <w:r>
        <w:rPr>
          <w:i/>
          <w:iCs/>
        </w:rPr>
        <w:t xml:space="preserve">Id. </w:t>
      </w:r>
      <w:r>
        <w:t>at</w:t>
      </w:r>
      <w:r w:rsidR="00ED167E">
        <w:t xml:space="preserve"> 10248</w:t>
      </w:r>
      <w:r>
        <w:t xml:space="preserve"> </w:t>
      </w:r>
      <w:r w:rsidR="00AD6B11">
        <w:t>paras. 12, 14.</w:t>
      </w:r>
    </w:p>
  </w:footnote>
  <w:footnote w:id="17">
    <w:p w:rsidR="003E6E6D" w14:paraId="57373388" w14:textId="7EB3A47A">
      <w:pPr>
        <w:pStyle w:val="FootnoteText"/>
      </w:pPr>
      <w:r>
        <w:rPr>
          <w:rStyle w:val="FootnoteReference"/>
        </w:rPr>
        <w:footnoteRef/>
      </w:r>
      <w:r>
        <w:t xml:space="preserve"> </w:t>
      </w:r>
      <w:r w:rsidR="003B661C">
        <w:rPr>
          <w:i/>
          <w:iCs/>
        </w:rPr>
        <w:t>Id.</w:t>
      </w:r>
      <w:r>
        <w:rPr>
          <w:i/>
          <w:iCs/>
        </w:rPr>
        <w:t xml:space="preserve"> </w:t>
      </w:r>
      <w:r>
        <w:t>at 1024</w:t>
      </w:r>
      <w:r w:rsidR="00953A52">
        <w:t>6</w:t>
      </w:r>
      <w:r>
        <w:t>, para.</w:t>
      </w:r>
      <w:r w:rsidR="00953A52">
        <w:t xml:space="preserve"> 8</w:t>
      </w:r>
      <w:r>
        <w:t>.</w:t>
      </w:r>
    </w:p>
  </w:footnote>
  <w:footnote w:id="18">
    <w:p w:rsidR="00907635" w:rsidRPr="00907635" w:rsidP="00907635" w14:paraId="05F49B04" w14:textId="07386EA1">
      <w:pPr>
        <w:spacing w:line="249" w:lineRule="auto"/>
        <w:ind w:left="-4" w:hanging="10"/>
        <w:rPr>
          <w:sz w:val="20"/>
        </w:rPr>
      </w:pPr>
      <w:r w:rsidRPr="00907635">
        <w:rPr>
          <w:rStyle w:val="footnotemark"/>
        </w:rPr>
        <w:footnoteRef/>
      </w:r>
      <w:r w:rsidRPr="00907635">
        <w:rPr>
          <w:sz w:val="20"/>
        </w:rPr>
        <w:t xml:space="preserve"> </w:t>
      </w:r>
      <w:r>
        <w:rPr>
          <w:i/>
          <w:iCs/>
          <w:sz w:val="20"/>
        </w:rPr>
        <w:t xml:space="preserve">Id. </w:t>
      </w:r>
      <w:r>
        <w:rPr>
          <w:sz w:val="20"/>
        </w:rPr>
        <w:t xml:space="preserve">at 10250, para. 23.  </w:t>
      </w:r>
      <w:r w:rsidRPr="00907635">
        <w:rPr>
          <w:sz w:val="20"/>
        </w:rPr>
        <w:t>CEB stipulated in the Consent Decree that, absent its coming into compliance with the terms thereof</w:t>
      </w:r>
      <w:r w:rsidR="00867D5C">
        <w:rPr>
          <w:sz w:val="20"/>
        </w:rPr>
        <w:t>,</w:t>
      </w:r>
      <w:r w:rsidRPr="00907635">
        <w:rPr>
          <w:sz w:val="20"/>
        </w:rPr>
        <w:t xml:space="preserve"> its admitted violations would be serious matters and/or a pattern of abuse, failing the renewal standard of section 309(k) of the Act, 47 U.S.C. § 309(k).  The Rules violated include: </w:t>
      </w:r>
      <w:r w:rsidR="00867D5C">
        <w:rPr>
          <w:sz w:val="20"/>
        </w:rPr>
        <w:t xml:space="preserve"> </w:t>
      </w:r>
      <w:r w:rsidRPr="00907635">
        <w:rPr>
          <w:sz w:val="20"/>
        </w:rPr>
        <w:t>(a) section 73.318 by failing to comply with Commission directives to resolve blanketing interference complaints; (b) section 17.6 with respect to tower lighting and related recordkeeping and notification requirements intended to protect air safety; (c) section 73.1400 governing transmitter operation; (d) sections 73.1350, 73.1800, 73.1840, and 73.1870 by failure to keep station logs; (e) section 73.1560(b) by operation at substantially reduced power without authority, thereby limiting the public’s ability to receive public service programming and EAS signals; (f) sections 73.3615 and 73.3527(e)(4) by failure to file at least five ownership reports over a 10-year period; (g) section 73.3527(b)(2)(ii) by failure to maintain a complete public inspection file at the Station prior to March 1, 2018 and online as of March 1, 2018, especially with respect to lists of donors and issue-responsive programming; (h) section 73.3540 through a</w:t>
      </w:r>
      <w:r w:rsidRPr="00907635">
        <w:rPr>
          <w:i/>
          <w:sz w:val="20"/>
        </w:rPr>
        <w:t xml:space="preserve"> de facto </w:t>
      </w:r>
      <w:r w:rsidRPr="00907635">
        <w:rPr>
          <w:sz w:val="20"/>
        </w:rPr>
        <w:t>transfer of control from the Stewarts to Woolverton on or about December 11, 2017 without prior Commission consent; and (</w:t>
      </w:r>
      <w:r w:rsidRPr="00907635">
        <w:rPr>
          <w:sz w:val="20"/>
        </w:rPr>
        <w:t>i</w:t>
      </w:r>
      <w:r w:rsidRPr="00907635">
        <w:rPr>
          <w:sz w:val="20"/>
        </w:rPr>
        <w:t xml:space="preserve">) section 1.17 through carelessness or negligence but without any intent to deceive, by falsely certifying to having a complete public file and to be in accordance with the blanketing rules.  </w:t>
      </w:r>
      <w:r>
        <w:rPr>
          <w:i/>
          <w:iCs/>
          <w:sz w:val="20"/>
        </w:rPr>
        <w:t>Id.</w:t>
      </w:r>
      <w:r w:rsidRPr="00907635">
        <w:rPr>
          <w:sz w:val="20"/>
        </w:rPr>
        <w:t xml:space="preserve"> at 10251-52, para. 26.</w:t>
      </w:r>
    </w:p>
    <w:p w:rsidR="00907635" w:rsidRPr="00907635" w:rsidP="00907635" w14:paraId="13EB8C89" w14:textId="77777777">
      <w:pPr>
        <w:spacing w:line="249" w:lineRule="auto"/>
        <w:rPr>
          <w:sz w:val="20"/>
        </w:rPr>
      </w:pPr>
    </w:p>
  </w:footnote>
  <w:footnote w:id="19">
    <w:p w:rsidR="00271FCD" w14:paraId="52FC868C" w14:textId="37FBDBC4">
      <w:pPr>
        <w:pStyle w:val="FootnoteText"/>
      </w:pPr>
      <w:r>
        <w:rPr>
          <w:rStyle w:val="FootnoteReference"/>
        </w:rPr>
        <w:footnoteRef/>
      </w:r>
      <w:r>
        <w:t xml:space="preserve"> </w:t>
      </w:r>
      <w:r>
        <w:rPr>
          <w:i/>
          <w:iCs/>
        </w:rPr>
        <w:t xml:space="preserve">Id. </w:t>
      </w:r>
      <w:r>
        <w:t>at 10251, para. 25.</w:t>
      </w:r>
    </w:p>
  </w:footnote>
  <w:footnote w:id="20">
    <w:p w:rsidR="00B46D82" w14:paraId="6CD9247A" w14:textId="1216E588">
      <w:pPr>
        <w:pStyle w:val="FootnoteText"/>
      </w:pPr>
      <w:r>
        <w:rPr>
          <w:rStyle w:val="FootnoteReference"/>
        </w:rPr>
        <w:footnoteRef/>
      </w:r>
      <w:r>
        <w:t xml:space="preserve"> </w:t>
      </w:r>
      <w:r>
        <w:rPr>
          <w:i/>
          <w:iCs/>
        </w:rPr>
        <w:t>Id.</w:t>
      </w:r>
      <w:r>
        <w:t>, para. 24.</w:t>
      </w:r>
    </w:p>
  </w:footnote>
  <w:footnote w:id="21">
    <w:p w:rsidR="00995FC7" w14:paraId="278E2A82" w14:textId="71451AAA">
      <w:pPr>
        <w:pStyle w:val="FootnoteText"/>
      </w:pPr>
      <w:r>
        <w:rPr>
          <w:rStyle w:val="FootnoteReference"/>
        </w:rPr>
        <w:footnoteRef/>
      </w:r>
      <w:r>
        <w:t xml:space="preserve"> </w:t>
      </w:r>
      <w:r>
        <w:rPr>
          <w:i/>
          <w:iCs/>
        </w:rPr>
        <w:t xml:space="preserve">Id. </w:t>
      </w:r>
      <w:r>
        <w:t>at 10253, para. 29.</w:t>
      </w:r>
    </w:p>
  </w:footnote>
  <w:footnote w:id="22">
    <w:p w:rsidR="000F2B10" w14:paraId="7FB72157" w14:textId="5E920F26">
      <w:pPr>
        <w:pStyle w:val="FootnoteText"/>
      </w:pPr>
      <w:r>
        <w:rPr>
          <w:rStyle w:val="FootnoteReference"/>
        </w:rPr>
        <w:footnoteRef/>
      </w:r>
      <w:r>
        <w:t xml:space="preserve"> </w:t>
      </w:r>
      <w:r>
        <w:t>The Station would downgrade from a directional, Class C1 station with 100 kW Effective Radiated Power (ERP) to become an omnidirectional, Class C2 station with 30 kW ERP.</w:t>
      </w:r>
    </w:p>
  </w:footnote>
  <w:footnote w:id="23">
    <w:p w:rsidR="005A62E8" w14:paraId="69869918" w14:textId="09B02832">
      <w:pPr>
        <w:pStyle w:val="FootnoteText"/>
      </w:pPr>
      <w:r>
        <w:rPr>
          <w:rStyle w:val="FootnoteReference"/>
        </w:rPr>
        <w:footnoteRef/>
      </w:r>
      <w:r>
        <w:t xml:space="preserve"> </w:t>
      </w:r>
      <w:r>
        <w:t xml:space="preserve">Consent Decree, 35 FCC </w:t>
      </w:r>
      <w:r>
        <w:t>Rcd</w:t>
      </w:r>
      <w:r>
        <w:t xml:space="preserve"> at 10254-60, para. 30.</w:t>
      </w:r>
    </w:p>
  </w:footnote>
  <w:footnote w:id="24">
    <w:p w:rsidR="0030689A" w14:paraId="4B6CEABC" w14:textId="24BECFD7">
      <w:pPr>
        <w:pStyle w:val="FootnoteText"/>
      </w:pPr>
      <w:r>
        <w:rPr>
          <w:rStyle w:val="FootnoteReference"/>
        </w:rPr>
        <w:footnoteRef/>
      </w:r>
      <w:r>
        <w:t xml:space="preserve"> </w:t>
      </w:r>
      <w:r w:rsidR="00C136B5">
        <w:rPr>
          <w:i/>
          <w:iCs/>
        </w:rPr>
        <w:t xml:space="preserve">Id. </w:t>
      </w:r>
      <w:r w:rsidR="00C136B5">
        <w:t>at 10260, para. 30(q).</w:t>
      </w:r>
    </w:p>
  </w:footnote>
  <w:footnote w:id="25">
    <w:p w:rsidR="00151575" w14:paraId="305F75FB" w14:textId="42954E81">
      <w:pPr>
        <w:pStyle w:val="FootnoteText"/>
      </w:pPr>
      <w:r>
        <w:rPr>
          <w:rStyle w:val="FootnoteReference"/>
        </w:rPr>
        <w:footnoteRef/>
      </w:r>
      <w:r>
        <w:t xml:space="preserve"> </w:t>
      </w:r>
      <w:r w:rsidR="00BC5AF8">
        <w:rPr>
          <w:i/>
          <w:iCs/>
        </w:rPr>
        <w:t xml:space="preserve">Id. </w:t>
      </w:r>
      <w:r>
        <w:t>at 10250, para. 18.</w:t>
      </w:r>
    </w:p>
  </w:footnote>
  <w:footnote w:id="26">
    <w:p w:rsidR="001A57E0" w14:paraId="5F1BF08A" w14:textId="6B5C7CD8">
      <w:pPr>
        <w:pStyle w:val="FootnoteText"/>
      </w:pPr>
      <w:r>
        <w:rPr>
          <w:rStyle w:val="FootnoteReference"/>
        </w:rPr>
        <w:footnoteRef/>
      </w:r>
      <w:r>
        <w:t xml:space="preserve"> </w:t>
      </w:r>
      <w:r w:rsidR="00EE3D41">
        <w:t>However, i</w:t>
      </w:r>
      <w:r>
        <w:t xml:space="preserve">n </w:t>
      </w:r>
      <w:r w:rsidR="00EE3D41">
        <w:t xml:space="preserve">partially </w:t>
      </w:r>
      <w:r>
        <w:t xml:space="preserve">granting Smith’s objections to the prior license renewal applications, the Bureau stated that the grant </w:t>
      </w:r>
      <w:r w:rsidR="00426791">
        <w:t xml:space="preserve">of the objections </w:t>
      </w:r>
      <w:r>
        <w:t xml:space="preserve">was limited to </w:t>
      </w:r>
      <w:r w:rsidR="00B819B9">
        <w:t xml:space="preserve">the Bureau’s </w:t>
      </w:r>
      <w:r>
        <w:t xml:space="preserve">requiring CEB to take actions under the Consent Decree and </w:t>
      </w:r>
      <w:r w:rsidR="00426791">
        <w:t xml:space="preserve">that </w:t>
      </w:r>
      <w:r w:rsidR="00B819B9">
        <w:t xml:space="preserve">it was otherwise denying </w:t>
      </w:r>
      <w:r w:rsidR="00426791">
        <w:t>the objections</w:t>
      </w:r>
      <w:r>
        <w:t xml:space="preserve">.  Order, 35 FCC </w:t>
      </w:r>
      <w:r>
        <w:t>Rcd</w:t>
      </w:r>
      <w:r>
        <w:t xml:space="preserve"> at 10239, para. 11.</w:t>
      </w:r>
      <w:r w:rsidR="001474A0">
        <w:t xml:space="preserve">  Thus, to the extent that Smith’s prior objections were based on reimbursement</w:t>
      </w:r>
      <w:r w:rsidR="00EE3D41">
        <w:t>,</w:t>
      </w:r>
      <w:r w:rsidR="001474A0">
        <w:t xml:space="preserve"> the Bureau </w:t>
      </w:r>
      <w:r w:rsidR="00EE3D41">
        <w:t xml:space="preserve">implicitly </w:t>
      </w:r>
      <w:r w:rsidR="001474A0">
        <w:t>denied those arguments.</w:t>
      </w:r>
    </w:p>
  </w:footnote>
  <w:footnote w:id="27">
    <w:p w:rsidR="00493334" w14:paraId="0E471619" w14:textId="337D9898">
      <w:pPr>
        <w:pStyle w:val="FootnoteText"/>
      </w:pPr>
      <w:r>
        <w:rPr>
          <w:rStyle w:val="FootnoteReference"/>
        </w:rPr>
        <w:footnoteRef/>
      </w:r>
      <w:r>
        <w:t xml:space="preserve"> </w:t>
      </w:r>
      <w:r>
        <w:t xml:space="preserve">Consent Decree, 35 FCC </w:t>
      </w:r>
      <w:r>
        <w:t>Rcd</w:t>
      </w:r>
      <w:r>
        <w:t xml:space="preserve"> at 10254, para. 29(c).</w:t>
      </w:r>
    </w:p>
  </w:footnote>
  <w:footnote w:id="28">
    <w:p w:rsidR="00B70A34" w:rsidRPr="00166AF9" w14:paraId="0DBBC102" w14:textId="75A5F075">
      <w:pPr>
        <w:pStyle w:val="FootnoteText"/>
      </w:pPr>
      <w:r>
        <w:rPr>
          <w:rStyle w:val="FootnoteReference"/>
        </w:rPr>
        <w:footnoteRef/>
      </w:r>
      <w:r w:rsidR="00D2402F">
        <w:rPr>
          <w:i/>
          <w:iCs/>
        </w:rPr>
        <w:t xml:space="preserve"> </w:t>
      </w:r>
      <w:r>
        <w:rPr>
          <w:i/>
          <w:iCs/>
        </w:rPr>
        <w:t xml:space="preserve">Id. </w:t>
      </w:r>
    </w:p>
  </w:footnote>
  <w:footnote w:id="29">
    <w:p w:rsidR="009E77FC" w14:paraId="5D00C70E" w14:textId="4A47233D">
      <w:pPr>
        <w:pStyle w:val="FootnoteText"/>
      </w:pPr>
      <w:r>
        <w:rPr>
          <w:rStyle w:val="FootnoteReference"/>
        </w:rPr>
        <w:footnoteRef/>
      </w:r>
      <w:r>
        <w:t xml:space="preserve"> </w:t>
      </w:r>
      <w:r>
        <w:rPr>
          <w:i/>
          <w:iCs/>
        </w:rPr>
        <w:t xml:space="preserve">Id. </w:t>
      </w:r>
      <w:r>
        <w:t>at 10253, para. 29(b).</w:t>
      </w:r>
      <w:r w:rsidR="00E36DAF">
        <w:t xml:space="preserve">  </w:t>
      </w:r>
      <w:r w:rsidR="00E36DAF">
        <w:rPr>
          <w:szCs w:val="22"/>
        </w:rPr>
        <w:t>Smith filed her Objection to the Application on September 23, 2021.</w:t>
      </w:r>
    </w:p>
  </w:footnote>
  <w:footnote w:id="30">
    <w:p w:rsidR="00B07015" w14:paraId="4679D2E4" w14:textId="76A30928">
      <w:pPr>
        <w:pStyle w:val="FootnoteText"/>
      </w:pPr>
      <w:r>
        <w:rPr>
          <w:rStyle w:val="FootnoteReference"/>
        </w:rPr>
        <w:footnoteRef/>
      </w:r>
      <w:r>
        <w:t xml:space="preserve"> </w:t>
      </w:r>
      <w:r>
        <w:t xml:space="preserve">Order, 35 FCC </w:t>
      </w:r>
      <w:r>
        <w:t>Rcd</w:t>
      </w:r>
      <w:r>
        <w:t xml:space="preserve"> at 10238, para. 5.</w:t>
      </w:r>
    </w:p>
  </w:footnote>
  <w:footnote w:id="31">
    <w:p w:rsidR="00FB3AF9" w14:paraId="012CEFBE" w14:textId="6A3F9850">
      <w:pPr>
        <w:pStyle w:val="FootnoteText"/>
      </w:pPr>
      <w:r>
        <w:rPr>
          <w:rStyle w:val="FootnoteReference"/>
        </w:rPr>
        <w:footnoteRef/>
      </w:r>
      <w:r>
        <w:t xml:space="preserve"> </w:t>
      </w:r>
      <w:r>
        <w:t xml:space="preserve">47 U.S.C. </w:t>
      </w:r>
      <w:r>
        <w:rPr>
          <w:szCs w:val="24"/>
        </w:rPr>
        <w:t xml:space="preserve">§ </w:t>
      </w:r>
      <w:r>
        <w:t>309(k).</w:t>
      </w:r>
    </w:p>
  </w:footnote>
  <w:footnote w:id="32">
    <w:p w:rsidR="00B926D8" w:rsidRPr="00B926D8" w14:paraId="561DC0A2" w14:textId="500079B9">
      <w:pPr>
        <w:pStyle w:val="FootnoteText"/>
      </w:pPr>
      <w:r>
        <w:rPr>
          <w:rStyle w:val="FootnoteReference"/>
        </w:rPr>
        <w:footnoteRef/>
      </w:r>
      <w:r>
        <w:t xml:space="preserve"> </w:t>
      </w:r>
      <w:r>
        <w:rPr>
          <w:i/>
          <w:iCs/>
        </w:rPr>
        <w:t>See supra</w:t>
      </w:r>
      <w:r w:rsidR="00917822">
        <w:rPr>
          <w:i/>
          <w:iCs/>
        </w:rPr>
        <w:t xml:space="preserve"> </w:t>
      </w:r>
      <w:r w:rsidR="00917822">
        <w:t>at 3,</w:t>
      </w:r>
      <w:r>
        <w:rPr>
          <w:i/>
          <w:iCs/>
        </w:rPr>
        <w:t xml:space="preserve"> </w:t>
      </w:r>
      <w:r>
        <w:t xml:space="preserve">note </w:t>
      </w:r>
      <w:r w:rsidR="00CF56E2">
        <w:t>1</w:t>
      </w:r>
      <w:r w:rsidR="0051113E">
        <w:t>6</w:t>
      </w:r>
      <w:r>
        <w:t>.</w:t>
      </w:r>
    </w:p>
  </w:footnote>
  <w:footnote w:id="33">
    <w:p w:rsidR="00E74DFA" w14:paraId="396169C4" w14:textId="3541A43A">
      <w:pPr>
        <w:pStyle w:val="FootnoteText"/>
      </w:pPr>
      <w:r>
        <w:rPr>
          <w:rStyle w:val="FootnoteReference"/>
        </w:rPr>
        <w:footnoteRef/>
      </w:r>
      <w:r>
        <w:t xml:space="preserve"> </w:t>
      </w:r>
      <w:r w:rsidR="00D90DC6">
        <w:rPr>
          <w:i/>
          <w:iCs/>
        </w:rPr>
        <w:t xml:space="preserve">See </w:t>
      </w:r>
      <w:r>
        <w:t xml:space="preserve">Application File No. </w:t>
      </w:r>
      <w:r w:rsidRPr="00E74DFA">
        <w:t>0000122629</w:t>
      </w:r>
      <w:r>
        <w:t xml:space="preserve"> (filed Sept. 28, 2020, granted Sept. 29, 2020).</w:t>
      </w:r>
    </w:p>
  </w:footnote>
  <w:footnote w:id="34">
    <w:p w:rsidR="000D10A8" w:rsidRPr="000D10A8" w14:paraId="6E73ADF3" w14:textId="5CCB56DA">
      <w:pPr>
        <w:pStyle w:val="FootnoteText"/>
      </w:pPr>
      <w:r>
        <w:rPr>
          <w:rStyle w:val="FootnoteReference"/>
        </w:rPr>
        <w:footnoteRef/>
      </w:r>
      <w:r>
        <w:t xml:space="preserve"> </w:t>
      </w:r>
      <w:r>
        <w:rPr>
          <w:i/>
          <w:iCs/>
        </w:rPr>
        <w:t xml:space="preserve">E.g., </w:t>
      </w:r>
      <w:r>
        <w:t>Compliance Rep. 3 (Jun. 12, 2021).</w:t>
      </w:r>
    </w:p>
  </w:footnote>
  <w:footnote w:id="35">
    <w:p w:rsidR="001B6983" w14:paraId="53AD6B26" w14:textId="13AAF107">
      <w:pPr>
        <w:pStyle w:val="FootnoteText"/>
      </w:pPr>
      <w:r>
        <w:rPr>
          <w:rStyle w:val="FootnoteReference"/>
        </w:rPr>
        <w:footnoteRef/>
      </w:r>
      <w:r>
        <w:t xml:space="preserve"> </w:t>
      </w:r>
      <w:r>
        <w:t>Compliance Rep. 8 (Sept. 15, 2022).</w:t>
      </w:r>
    </w:p>
  </w:footnote>
  <w:footnote w:id="36">
    <w:p w:rsidR="00FD3746" w:rsidP="00FD3746" w14:paraId="69FF8F51" w14:textId="232E90B1">
      <w:pPr>
        <w:pStyle w:val="FootnoteText"/>
      </w:pPr>
      <w:r>
        <w:rPr>
          <w:rStyle w:val="FootnoteReference"/>
        </w:rPr>
        <w:footnoteRef/>
      </w:r>
      <w:r>
        <w:t xml:space="preserve"> </w:t>
      </w:r>
      <w:r w:rsidRPr="0071217F">
        <w:rPr>
          <w:i/>
          <w:iCs/>
        </w:rPr>
        <w:t>See</w:t>
      </w:r>
      <w:r>
        <w:t xml:space="preserve"> </w:t>
      </w:r>
      <w:hyperlink r:id="rId1" w:history="1">
        <w:r w:rsidRPr="004D75A9">
          <w:rPr>
            <w:rStyle w:val="Hyperlink"/>
          </w:rPr>
          <w:t>https://www.koksradio.org/public-notices.php</w:t>
        </w:r>
      </w:hyperlink>
      <w:r>
        <w:t xml:space="preserve"> (accessed Dec. 29, 2022).  We note that t</w:t>
      </w:r>
      <w:r w:rsidRPr="00FD3746">
        <w:t>he Station’s web site also indicates that CEB voluntarily participat</w:t>
      </w:r>
      <w:r w:rsidR="0083367F">
        <w:t>ed</w:t>
      </w:r>
      <w:r w:rsidRPr="00FD3746">
        <w:t xml:space="preserve"> in the Missouri Association of Broadcasters’</w:t>
      </w:r>
      <w:r>
        <w:t xml:space="preserve"> </w:t>
      </w:r>
      <w:r w:rsidRPr="00FD3746">
        <w:t>Alternative Broadcast Inspection Program</w:t>
      </w:r>
      <w:r w:rsidR="0083367F">
        <w:t xml:space="preserve"> during the probationary period</w:t>
      </w:r>
      <w:r w:rsidRPr="00FD3746">
        <w:t>, although not required to do so under the Consent Decree, and received a certificate of compliance</w:t>
      </w:r>
      <w:r w:rsidR="0083367F">
        <w:t xml:space="preserve"> from that organization</w:t>
      </w:r>
      <w:r w:rsidR="00B962BF">
        <w:t>, valid through November 2023</w:t>
      </w:r>
      <w:r>
        <w:t>.</w:t>
      </w:r>
    </w:p>
  </w:footnote>
  <w:footnote w:id="37">
    <w:p w:rsidR="00014588" w14:paraId="6A9F50AD" w14:textId="6AD2FC12">
      <w:pPr>
        <w:pStyle w:val="FootnoteText"/>
      </w:pPr>
      <w:r>
        <w:rPr>
          <w:rStyle w:val="FootnoteReference"/>
        </w:rPr>
        <w:footnoteRef/>
      </w:r>
      <w:r>
        <w:t xml:space="preserve"> </w:t>
      </w:r>
      <w:r>
        <w:t>Compliance Rep</w:t>
      </w:r>
      <w:r w:rsidR="002E2713">
        <w:t>.</w:t>
      </w:r>
      <w:r>
        <w:t xml:space="preserve"> 2  </w:t>
      </w:r>
      <w:r w:rsidR="00882E9A">
        <w:t>(</w:t>
      </w:r>
      <w:r>
        <w:t>Mar. 14, 2021)</w:t>
      </w:r>
      <w:r w:rsidR="00CA7F8B">
        <w:t>.</w:t>
      </w:r>
    </w:p>
  </w:footnote>
  <w:footnote w:id="38">
    <w:p w:rsidR="00882E9A" w14:paraId="4158A70F" w14:textId="45A2ED2C">
      <w:pPr>
        <w:pStyle w:val="FootnoteText"/>
      </w:pPr>
      <w:r>
        <w:rPr>
          <w:rStyle w:val="FootnoteReference"/>
        </w:rPr>
        <w:footnoteRef/>
      </w:r>
      <w:r>
        <w:t xml:space="preserve"> </w:t>
      </w:r>
      <w:r w:rsidR="00AA1D59">
        <w:rPr>
          <w:i/>
          <w:iCs/>
        </w:rPr>
        <w:t xml:space="preserve">See, e.g., </w:t>
      </w:r>
      <w:r>
        <w:t>Compliance Rep</w:t>
      </w:r>
      <w:r w:rsidR="00166AF9">
        <w:t>.</w:t>
      </w:r>
      <w:r>
        <w:t xml:space="preserve"> 4 (Sept. 5, 2021)</w:t>
      </w:r>
      <w:r w:rsidR="002C77B6">
        <w:t xml:space="preserve"> (light extinguished and replaced)</w:t>
      </w:r>
      <w:r w:rsidR="0076643E">
        <w:t>, Compliance Rep</w:t>
      </w:r>
      <w:r w:rsidR="00166AF9">
        <w:t>.</w:t>
      </w:r>
      <w:r w:rsidR="0076643E">
        <w:t xml:space="preserve"> 5 (Jan. 2, 2022)</w:t>
      </w:r>
      <w:r w:rsidR="002C77B6">
        <w:t xml:space="preserve"> (non-blinking</w:t>
      </w:r>
      <w:r w:rsidR="00832560">
        <w:t xml:space="preserve"> middle</w:t>
      </w:r>
      <w:r w:rsidR="002C77B6">
        <w:t xml:space="preserve"> light repaired)</w:t>
      </w:r>
      <w:r>
        <w:t>.</w:t>
      </w:r>
    </w:p>
  </w:footnote>
  <w:footnote w:id="39">
    <w:p w:rsidR="00390BD3" w:rsidRPr="00390BD3" w14:paraId="785F4D8C" w14:textId="6F5B0F2D">
      <w:pPr>
        <w:pStyle w:val="FootnoteText"/>
        <w:rPr>
          <w:i/>
          <w:iCs/>
        </w:rPr>
      </w:pPr>
      <w:r>
        <w:rPr>
          <w:rStyle w:val="FootnoteReference"/>
        </w:rPr>
        <w:footnoteRef/>
      </w:r>
      <w:r>
        <w:t xml:space="preserve"> </w:t>
      </w:r>
      <w:r>
        <w:rPr>
          <w:i/>
          <w:iCs/>
        </w:rPr>
        <w:t>Id.</w:t>
      </w:r>
    </w:p>
  </w:footnote>
  <w:footnote w:id="40">
    <w:p w:rsidR="00250967" w:rsidP="00250967" w14:paraId="0ACE50A9" w14:textId="5B9BE31D">
      <w:pPr>
        <w:pStyle w:val="FootnoteText"/>
      </w:pPr>
      <w:r>
        <w:rPr>
          <w:rStyle w:val="FootnoteReference"/>
        </w:rPr>
        <w:footnoteRef/>
      </w:r>
      <w:r>
        <w:t xml:space="preserve"> </w:t>
      </w:r>
      <w:r w:rsidRPr="00250967">
        <w:t>Prior to the Consent Decree, CEB’s issues/program</w:t>
      </w:r>
      <w:r w:rsidR="00D20F36">
        <w:t>s</w:t>
      </w:r>
      <w:r w:rsidRPr="00250967">
        <w:t xml:space="preserve"> lists </w:t>
      </w:r>
      <w:r w:rsidR="00D20F36">
        <w:t>reported</w:t>
      </w:r>
      <w:r w:rsidRPr="00250967" w:rsidR="00D20F36">
        <w:t xml:space="preserve"> </w:t>
      </w:r>
      <w:r w:rsidRPr="00250967">
        <w:t>a single 30-minute daily syndicated program, Focus on the Family, covering a variety of topics.  Following the Consent Decree its issues/programs list</w:t>
      </w:r>
      <w:r>
        <w:t xml:space="preserve">s </w:t>
      </w:r>
      <w:r w:rsidR="0043135F">
        <w:t xml:space="preserve">also </w:t>
      </w:r>
      <w:r>
        <w:t>include</w:t>
      </w:r>
      <w:r w:rsidRPr="00250967">
        <w:t xml:space="preserve"> three new programs on issues related to local health, public safety, and federal benefits.  Specifically, The Butler Country Highway Patrol Safety Program is a live </w:t>
      </w:r>
      <w:r>
        <w:t xml:space="preserve">local </w:t>
      </w:r>
      <w:r w:rsidRPr="00250967">
        <w:t xml:space="preserve">program </w:t>
      </w:r>
      <w:r w:rsidR="0091324D">
        <w:t xml:space="preserve">aired </w:t>
      </w:r>
      <w:r w:rsidRPr="00250967">
        <w:t xml:space="preserve">once monthly at 10 a.m. for 45-60 minutes; The Butler County Health Department is a live </w:t>
      </w:r>
      <w:r>
        <w:t xml:space="preserve">local </w:t>
      </w:r>
      <w:r w:rsidRPr="00250967">
        <w:t xml:space="preserve">program </w:t>
      </w:r>
      <w:r w:rsidR="0091324D">
        <w:t xml:space="preserve">broadcast </w:t>
      </w:r>
      <w:r w:rsidRPr="00250967">
        <w:t xml:space="preserve">once monthly for 30 minutes; and a Social Security Program </w:t>
      </w:r>
      <w:r>
        <w:t xml:space="preserve">is a national program </w:t>
      </w:r>
      <w:r w:rsidRPr="00250967">
        <w:t>air</w:t>
      </w:r>
      <w:r>
        <w:t>ing</w:t>
      </w:r>
      <w:r w:rsidRPr="00250967">
        <w:t xml:space="preserve"> weekly f</w:t>
      </w:r>
      <w:r>
        <w:t>or</w:t>
      </w:r>
      <w:r w:rsidRPr="00250967">
        <w:t xml:space="preserve"> 3 to 15 minutes.  In addition, the Station </w:t>
      </w:r>
      <w:r w:rsidR="00324B4C">
        <w:t>state</w:t>
      </w:r>
      <w:r w:rsidR="0091324D">
        <w:t>s</w:t>
      </w:r>
      <w:r w:rsidR="00324B4C">
        <w:t xml:space="preserve"> that it </w:t>
      </w:r>
      <w:r w:rsidRPr="00250967">
        <w:t>has added daily local public service announcements.</w:t>
      </w:r>
    </w:p>
  </w:footnote>
  <w:footnote w:id="41">
    <w:p w:rsidR="00A25D64" w:rsidRPr="000D10A8" w:rsidP="00A16B3F" w14:paraId="28446124" w14:textId="4E8633E0">
      <w:pPr>
        <w:pStyle w:val="FootnoteText"/>
      </w:pPr>
      <w:r>
        <w:rPr>
          <w:rStyle w:val="FootnoteReference"/>
        </w:rPr>
        <w:footnoteRef/>
      </w:r>
      <w:r>
        <w:t xml:space="preserve"> </w:t>
      </w:r>
      <w:r>
        <w:t>Compliance Rep. 3 (Jun. 12, 2021)</w:t>
      </w:r>
      <w:r w:rsidR="00910FDD">
        <w:t>, Compliance Rep</w:t>
      </w:r>
      <w:r w:rsidR="00042C86">
        <w:t>.</w:t>
      </w:r>
      <w:r w:rsidR="00910FDD">
        <w:t xml:space="preserve"> 2 </w:t>
      </w:r>
      <w:r w:rsidR="0071625B">
        <w:t>(</w:t>
      </w:r>
      <w:r w:rsidR="00B42A87">
        <w:t>Mar. 14, 2021</w:t>
      </w:r>
      <w:r w:rsidR="00910FDD">
        <w:t>)</w:t>
      </w:r>
      <w:r w:rsidR="00B42A87">
        <w:t>,</w:t>
      </w:r>
      <w:r w:rsidR="00910FDD">
        <w:t xml:space="preserve"> 47 CFR </w:t>
      </w:r>
      <w:r w:rsidRPr="00A16B3F" w:rsidR="00A16B3F">
        <w:t>§</w:t>
      </w:r>
      <w:r w:rsidR="0071625B">
        <w:t>§</w:t>
      </w:r>
      <w:r w:rsidRPr="00A16B3F" w:rsidR="00A16B3F">
        <w:t xml:space="preserve"> </w:t>
      </w:r>
      <w:r w:rsidRPr="00047D74" w:rsidR="00A16B3F">
        <w:t>73.</w:t>
      </w:r>
      <w:r w:rsidRPr="00047D74" w:rsidR="00ED49B0">
        <w:t xml:space="preserve">1560, </w:t>
      </w:r>
      <w:r w:rsidRPr="0071625B" w:rsidR="00A16B3F">
        <w:t>1740(a)(4)</w:t>
      </w:r>
      <w:r w:rsidR="00910FDD">
        <w:t xml:space="preserve"> (requiring notification of </w:t>
      </w:r>
      <w:r w:rsidR="00047D74">
        <w:t xml:space="preserve">limited operations </w:t>
      </w:r>
      <w:r w:rsidR="0071625B">
        <w:t>lasting for more than</w:t>
      </w:r>
      <w:r w:rsidR="00910FDD">
        <w:t xml:space="preserve"> 10 days)</w:t>
      </w:r>
      <w:r>
        <w:t>.</w:t>
      </w:r>
    </w:p>
  </w:footnote>
  <w:footnote w:id="42">
    <w:p w:rsidR="008931B7" w:rsidP="008931B7" w14:paraId="4B360C19" w14:textId="53DE2731">
      <w:pPr>
        <w:pStyle w:val="FootnoteText"/>
      </w:pPr>
      <w:r>
        <w:rPr>
          <w:rStyle w:val="FootnoteReference"/>
        </w:rPr>
        <w:footnoteRef/>
      </w:r>
      <w:r>
        <w:t xml:space="preserve"> </w:t>
      </w:r>
      <w:r>
        <w:t>F</w:t>
      </w:r>
      <w:r w:rsidRPr="008931B7">
        <w:t xml:space="preserve">or example </w:t>
      </w:r>
      <w:r>
        <w:t xml:space="preserve">CEB might, on a secondary basis, delegate responsibility to </w:t>
      </w:r>
      <w:r w:rsidR="00584DD7">
        <w:t xml:space="preserve">others who it has made aware of the filing </w:t>
      </w:r>
      <w:r w:rsidR="008D1200">
        <w:t>deadline</w:t>
      </w:r>
      <w:r w:rsidR="00584DD7">
        <w:t xml:space="preserve">s and </w:t>
      </w:r>
      <w:r w:rsidR="00694AAB">
        <w:t xml:space="preserve">has </w:t>
      </w:r>
      <w:r w:rsidR="00584DD7">
        <w:t>provided with access to any</w:t>
      </w:r>
      <w:r w:rsidR="000653B1">
        <w:t xml:space="preserve"> </w:t>
      </w:r>
      <w:r w:rsidR="00584DD7">
        <w:t>information</w:t>
      </w:r>
      <w:r w:rsidR="008D1200">
        <w:t xml:space="preserve"> needed to meet those requirements</w:t>
      </w:r>
      <w:r w:rsidR="00584DD7">
        <w:t xml:space="preserve">.  </w:t>
      </w:r>
    </w:p>
  </w:footnote>
  <w:footnote w:id="43">
    <w:p w:rsidR="00625867" w:rsidRPr="00E72029" w14:paraId="7D4295C6" w14:textId="49B74137">
      <w:pPr>
        <w:pStyle w:val="FootnoteText"/>
        <w:rPr>
          <w:i/>
          <w:iCs/>
        </w:rPr>
      </w:pPr>
      <w:r>
        <w:rPr>
          <w:rStyle w:val="FootnoteReference"/>
        </w:rPr>
        <w:footnoteRef/>
      </w:r>
      <w:r>
        <w:t xml:space="preserve"> </w:t>
      </w:r>
      <w:r>
        <w:t xml:space="preserve">With respect to blanketing interference, </w:t>
      </w:r>
      <w:r w:rsidR="00E72029">
        <w:rPr>
          <w:szCs w:val="22"/>
        </w:rPr>
        <w:t xml:space="preserve">Smith </w:t>
      </w:r>
      <w:r>
        <w:rPr>
          <w:szCs w:val="22"/>
        </w:rPr>
        <w:t xml:space="preserve">believes that “we most likely do have radio interference” but </w:t>
      </w:r>
      <w:r w:rsidR="00E72029">
        <w:rPr>
          <w:szCs w:val="22"/>
        </w:rPr>
        <w:t xml:space="preserve">does not state that </w:t>
      </w:r>
      <w:r w:rsidR="000F569C">
        <w:rPr>
          <w:szCs w:val="22"/>
        </w:rPr>
        <w:t xml:space="preserve">she has </w:t>
      </w:r>
      <w:r w:rsidR="00D52048">
        <w:rPr>
          <w:szCs w:val="22"/>
        </w:rPr>
        <w:t xml:space="preserve">actually </w:t>
      </w:r>
      <w:r w:rsidR="000F569C">
        <w:rPr>
          <w:szCs w:val="22"/>
        </w:rPr>
        <w:t xml:space="preserve">checked for </w:t>
      </w:r>
      <w:r w:rsidR="003D4903">
        <w:rPr>
          <w:szCs w:val="22"/>
        </w:rPr>
        <w:t xml:space="preserve">such </w:t>
      </w:r>
      <w:r w:rsidR="000F569C">
        <w:rPr>
          <w:szCs w:val="22"/>
        </w:rPr>
        <w:t>interference</w:t>
      </w:r>
      <w:r w:rsidR="00E72029">
        <w:rPr>
          <w:szCs w:val="22"/>
        </w:rPr>
        <w:t xml:space="preserve">, identify any </w:t>
      </w:r>
      <w:r w:rsidR="000F569C">
        <w:rPr>
          <w:szCs w:val="22"/>
        </w:rPr>
        <w:t xml:space="preserve">stations </w:t>
      </w:r>
      <w:r w:rsidR="00D52048">
        <w:rPr>
          <w:szCs w:val="22"/>
        </w:rPr>
        <w:t>she cannot receive</w:t>
      </w:r>
      <w:r w:rsidR="00E72029">
        <w:rPr>
          <w:szCs w:val="22"/>
        </w:rPr>
        <w:t>, or indicate that she has made an interference complaint to the Station under its new management</w:t>
      </w:r>
      <w:r w:rsidR="000F569C">
        <w:rPr>
          <w:szCs w:val="22"/>
        </w:rPr>
        <w:t xml:space="preserve">.  </w:t>
      </w:r>
      <w:r w:rsidR="000F569C">
        <w:rPr>
          <w:i/>
          <w:iCs/>
          <w:szCs w:val="22"/>
        </w:rPr>
        <w:t xml:space="preserve">See </w:t>
      </w:r>
      <w:r>
        <w:t>Objection at 1.</w:t>
      </w:r>
      <w:r w:rsidR="007E751C">
        <w:t xml:space="preserve">  Rather, </w:t>
      </w:r>
      <w:r w:rsidR="007E751C">
        <w:rPr>
          <w:szCs w:val="22"/>
        </w:rPr>
        <w:t xml:space="preserve">she states that her household no longer listens </w:t>
      </w:r>
      <w:r w:rsidR="00E72029">
        <w:rPr>
          <w:szCs w:val="22"/>
        </w:rPr>
        <w:t xml:space="preserve">to the radio </w:t>
      </w:r>
      <w:r w:rsidR="007E751C">
        <w:rPr>
          <w:szCs w:val="22"/>
        </w:rPr>
        <w:t xml:space="preserve">because prior interference </w:t>
      </w:r>
      <w:r w:rsidR="00E72029">
        <w:rPr>
          <w:szCs w:val="22"/>
        </w:rPr>
        <w:t xml:space="preserve">from the Station </w:t>
      </w:r>
      <w:r w:rsidR="00D52048">
        <w:rPr>
          <w:szCs w:val="22"/>
        </w:rPr>
        <w:t xml:space="preserve">limited </w:t>
      </w:r>
      <w:r w:rsidR="007E751C">
        <w:rPr>
          <w:szCs w:val="22"/>
        </w:rPr>
        <w:t>her household</w:t>
      </w:r>
      <w:r w:rsidR="00D52048">
        <w:rPr>
          <w:szCs w:val="22"/>
        </w:rPr>
        <w:t>’s</w:t>
      </w:r>
      <w:r w:rsidR="007E751C">
        <w:rPr>
          <w:szCs w:val="22"/>
        </w:rPr>
        <w:t xml:space="preserve"> </w:t>
      </w:r>
      <w:r w:rsidR="00D52048">
        <w:rPr>
          <w:szCs w:val="22"/>
        </w:rPr>
        <w:t>ability to receive</w:t>
      </w:r>
      <w:r w:rsidR="007E751C">
        <w:rPr>
          <w:szCs w:val="22"/>
        </w:rPr>
        <w:t xml:space="preserve"> listenable service for many years and her radio-listening children are now adults</w:t>
      </w:r>
      <w:r w:rsidR="00D52048">
        <w:rPr>
          <w:szCs w:val="22"/>
        </w:rPr>
        <w:t xml:space="preserve"> no longer at home</w:t>
      </w:r>
      <w:r w:rsidR="007E751C">
        <w:rPr>
          <w:szCs w:val="22"/>
        </w:rPr>
        <w:t xml:space="preserve">.  </w:t>
      </w:r>
      <w:r w:rsidR="00E72029">
        <w:rPr>
          <w:i/>
          <w:iCs/>
          <w:szCs w:val="22"/>
        </w:rPr>
        <w:t>Id.</w:t>
      </w:r>
    </w:p>
  </w:footnote>
  <w:footnote w:id="44">
    <w:p w:rsidR="0051408C" w:rsidRPr="00ED47F2" w:rsidP="0051408C" w14:paraId="2121B102" w14:textId="77777777">
      <w:pPr>
        <w:pStyle w:val="FootnoteText"/>
        <w:rPr>
          <w:i/>
          <w:iCs/>
        </w:rPr>
      </w:pPr>
      <w:r>
        <w:rPr>
          <w:rStyle w:val="FootnoteReference"/>
        </w:rPr>
        <w:footnoteRef/>
      </w:r>
      <w:r>
        <w:t xml:space="preserve"> </w:t>
      </w:r>
      <w:r>
        <w:rPr>
          <w:i/>
          <w:iCs/>
        </w:rPr>
        <w:t>Id.</w:t>
      </w:r>
    </w:p>
  </w:footnote>
  <w:footnote w:id="45">
    <w:p w:rsidR="0051408C" w:rsidP="0051408C" w14:paraId="518697B0" w14:textId="77777777">
      <w:pPr>
        <w:pStyle w:val="FootnoteText"/>
      </w:pPr>
      <w:r>
        <w:rPr>
          <w:rStyle w:val="FootnoteReference"/>
        </w:rPr>
        <w:footnoteRef/>
      </w:r>
      <w:r>
        <w:t xml:space="preserve"> </w:t>
      </w:r>
      <w:r>
        <w:rPr>
          <w:i/>
          <w:iCs/>
        </w:rPr>
        <w:t xml:space="preserve">Id. </w:t>
      </w:r>
      <w:r>
        <w:t>at 2.</w:t>
      </w:r>
    </w:p>
  </w:footnote>
  <w:footnote w:id="46">
    <w:p w:rsidR="00EC1358" w:rsidP="00EC1358" w14:paraId="34B46CF2" w14:textId="648012FB">
      <w:pPr>
        <w:pStyle w:val="FootnoteText"/>
      </w:pPr>
      <w:r>
        <w:rPr>
          <w:rStyle w:val="FootnoteReference"/>
        </w:rPr>
        <w:footnoteRef/>
      </w:r>
      <w:r>
        <w:t xml:space="preserve"> </w:t>
      </w:r>
      <w:r>
        <w:rPr>
          <w:szCs w:val="22"/>
        </w:rPr>
        <w:t xml:space="preserve">The Rules anticipate restoration of over-the-air service and, thus, contain no mention of reimbursement for service by other delivery methods.  </w:t>
      </w:r>
      <w:r>
        <w:rPr>
          <w:i/>
          <w:iCs/>
          <w:szCs w:val="22"/>
        </w:rPr>
        <w:t xml:space="preserve">See </w:t>
      </w:r>
      <w:r w:rsidRPr="004A40D4">
        <w:rPr>
          <w:szCs w:val="22"/>
        </w:rPr>
        <w:t>47 CFR § 73.318</w:t>
      </w:r>
      <w:r>
        <w:rPr>
          <w:szCs w:val="22"/>
        </w:rPr>
        <w:t>.</w:t>
      </w:r>
      <w:r>
        <w:t xml:space="preserve">  </w:t>
      </w:r>
      <w:r>
        <w:rPr>
          <w:szCs w:val="22"/>
        </w:rPr>
        <w:t>In 1994, the Review Board accepted a proposal by CEB’s former management that in especially difficult situations where CEB could not arrive at an engineering solution</w:t>
      </w:r>
      <w:r w:rsidR="0071625B">
        <w:rPr>
          <w:szCs w:val="22"/>
        </w:rPr>
        <w:t>,</w:t>
      </w:r>
      <w:r>
        <w:rPr>
          <w:szCs w:val="22"/>
        </w:rPr>
        <w:t xml:space="preserve"> it could be considered in compliance if it reimbursed affected parties for cable or satellite service.  </w:t>
      </w:r>
    </w:p>
  </w:footnote>
  <w:footnote w:id="47">
    <w:p w:rsidR="00726A60" w14:paraId="298148DA" w14:textId="6715C79A">
      <w:pPr>
        <w:pStyle w:val="FootnoteText"/>
      </w:pPr>
      <w:r>
        <w:rPr>
          <w:rStyle w:val="FootnoteReference"/>
        </w:rPr>
        <w:footnoteRef/>
      </w:r>
      <w:r>
        <w:t xml:space="preserve"> </w:t>
      </w:r>
      <w:r w:rsidR="00BB5B0D">
        <w:rPr>
          <w:i/>
          <w:iCs/>
        </w:rPr>
        <w:t xml:space="preserve">See </w:t>
      </w:r>
      <w:r w:rsidR="00BB5B0D">
        <w:rPr>
          <w:i/>
        </w:rPr>
        <w:t>Order on Review</w:t>
      </w:r>
      <w:r w:rsidR="00BB5B0D">
        <w:t xml:space="preserve">, 9 FCC </w:t>
      </w:r>
      <w:r w:rsidR="00BB5B0D">
        <w:t>Rcd</w:t>
      </w:r>
      <w:r w:rsidR="00BB5B0D">
        <w:t xml:space="preserve"> at 6412, para. 12.  </w:t>
      </w:r>
    </w:p>
  </w:footnote>
  <w:footnote w:id="48">
    <w:p w:rsidR="001D3310" w:rsidRPr="003652C9" w:rsidP="001D3310" w14:paraId="2E9DCBBD" w14:textId="14F978D2">
      <w:pPr>
        <w:pStyle w:val="FootnoteText"/>
      </w:pPr>
      <w:r>
        <w:rPr>
          <w:rStyle w:val="FootnoteReference"/>
        </w:rPr>
        <w:footnoteRef/>
      </w:r>
      <w:r>
        <w:t xml:space="preserve"> </w:t>
      </w:r>
      <w:r w:rsidR="00E6177E">
        <w:rPr>
          <w:i/>
          <w:iCs/>
        </w:rPr>
        <w:t xml:space="preserve">See </w:t>
      </w:r>
      <w:r w:rsidR="00E6177E">
        <w:t>Objection</w:t>
      </w:r>
      <w:r>
        <w:rPr>
          <w:i/>
          <w:iCs/>
        </w:rPr>
        <w:t xml:space="preserve"> </w:t>
      </w:r>
      <w:r>
        <w:t>at 1-2.</w:t>
      </w:r>
    </w:p>
  </w:footnote>
  <w:footnote w:id="49">
    <w:p w:rsidR="00CB5A82" w14:paraId="74259324" w14:textId="1B3A5EC5">
      <w:pPr>
        <w:pStyle w:val="FootnoteText"/>
      </w:pPr>
      <w:r>
        <w:rPr>
          <w:rStyle w:val="FootnoteReference"/>
        </w:rPr>
        <w:footnoteRef/>
      </w:r>
      <w:r>
        <w:t xml:space="preserve"> </w:t>
      </w:r>
      <w:r>
        <w:t xml:space="preserve">47 CFR </w:t>
      </w:r>
      <w:r w:rsidRPr="00A16B3F" w:rsidR="00D93B2B">
        <w:t>§</w:t>
      </w:r>
      <w:r w:rsidR="00D93B2B">
        <w:t xml:space="preserve"> 75.503(a).</w:t>
      </w:r>
    </w:p>
  </w:footnote>
  <w:footnote w:id="50">
    <w:p w:rsidR="00126FBA" w14:paraId="36A1DF66" w14:textId="6A5D9D0B">
      <w:pPr>
        <w:pStyle w:val="FootnoteText"/>
      </w:pPr>
      <w:r>
        <w:rPr>
          <w:rStyle w:val="FootnoteReference"/>
        </w:rPr>
        <w:footnoteRef/>
      </w:r>
      <w:r>
        <w:t xml:space="preserve"> </w:t>
      </w:r>
      <w:r>
        <w:t>Consent Decree</w:t>
      </w:r>
      <w:r w:rsidR="005C1B72">
        <w:t xml:space="preserve">, 35 FCC </w:t>
      </w:r>
      <w:r w:rsidR="005C1B72">
        <w:t>Rcd</w:t>
      </w:r>
      <w:r>
        <w:t xml:space="preserve"> at </w:t>
      </w:r>
      <w:r w:rsidR="005C1B72">
        <w:t>10247, n.37.</w:t>
      </w:r>
    </w:p>
  </w:footnote>
  <w:footnote w:id="51">
    <w:p w:rsidR="002D22ED" w14:paraId="03E47C2C" w14:textId="07DDC81B">
      <w:pPr>
        <w:pStyle w:val="FootnoteText"/>
      </w:pPr>
      <w:r>
        <w:rPr>
          <w:rStyle w:val="FootnoteReference"/>
        </w:rPr>
        <w:footnoteRef/>
      </w:r>
      <w:r>
        <w:t xml:space="preserve"> </w:t>
      </w:r>
      <w:r>
        <w:rPr>
          <w:i/>
          <w:iCs/>
        </w:rPr>
        <w:t xml:space="preserve">See generally </w:t>
      </w:r>
      <w:r>
        <w:rPr>
          <w:rFonts w:asciiTheme="majorBidi" w:hAnsiTheme="majorBidi" w:cstheme="majorBidi"/>
          <w:i/>
          <w:iCs/>
          <w:color w:val="3D3D3D"/>
          <w:shd w:val="clear" w:color="auto" w:fill="FFFFFF"/>
        </w:rPr>
        <w:t xml:space="preserve">George E. Cameron, Jr. Communications, </w:t>
      </w:r>
      <w:r w:rsidR="00D77547">
        <w:rPr>
          <w:rFonts w:asciiTheme="majorBidi" w:hAnsiTheme="majorBidi" w:cstheme="majorBidi"/>
          <w:color w:val="3D3D3D"/>
          <w:shd w:val="clear" w:color="auto" w:fill="FFFFFF"/>
        </w:rPr>
        <w:t xml:space="preserve">Decision, </w:t>
      </w:r>
      <w:r>
        <w:rPr>
          <w:rFonts w:asciiTheme="majorBidi" w:hAnsiTheme="majorBidi" w:cstheme="majorBidi"/>
          <w:color w:val="3D3D3D"/>
          <w:shd w:val="clear" w:color="auto" w:fill="FFFFFF"/>
        </w:rPr>
        <w:t>91 FCC2d 870</w:t>
      </w:r>
      <w:r w:rsidR="00D77405">
        <w:rPr>
          <w:rFonts w:asciiTheme="majorBidi" w:hAnsiTheme="majorBidi" w:cstheme="majorBidi"/>
          <w:color w:val="3D3D3D"/>
          <w:shd w:val="clear" w:color="auto" w:fill="FFFFFF"/>
        </w:rPr>
        <w:t>, 903</w:t>
      </w:r>
      <w:r>
        <w:rPr>
          <w:rFonts w:asciiTheme="majorBidi" w:hAnsiTheme="majorBidi" w:cstheme="majorBidi"/>
          <w:color w:val="3D3D3D"/>
          <w:shd w:val="clear" w:color="auto" w:fill="FFFFFF"/>
        </w:rPr>
        <w:t xml:space="preserve"> (Rev.</w:t>
      </w:r>
      <w:r w:rsidR="00736AAD">
        <w:rPr>
          <w:rFonts w:asciiTheme="majorBidi" w:hAnsiTheme="majorBidi" w:cstheme="majorBidi"/>
          <w:color w:val="3D3D3D"/>
          <w:shd w:val="clear" w:color="auto" w:fill="FFFFFF"/>
        </w:rPr>
        <w:t xml:space="preserve"> </w:t>
      </w:r>
      <w:r>
        <w:rPr>
          <w:rFonts w:asciiTheme="majorBidi" w:hAnsiTheme="majorBidi" w:cstheme="majorBidi"/>
          <w:color w:val="3D3D3D"/>
          <w:shd w:val="clear" w:color="auto" w:fill="FFFFFF"/>
        </w:rPr>
        <w:t xml:space="preserve">Bd. 1982), </w:t>
      </w:r>
      <w:r>
        <w:rPr>
          <w:rFonts w:ascii="Source Sans Pro" w:hAnsi="Source Sans Pro"/>
          <w:color w:val="3D3D3D"/>
          <w:sz w:val="23"/>
          <w:szCs w:val="23"/>
          <w:shd w:val="clear" w:color="auto" w:fill="FFFFFF"/>
        </w:rPr>
        <w:t xml:space="preserve"> </w:t>
      </w:r>
      <w:r w:rsidRPr="002D22ED">
        <w:rPr>
          <w:rFonts w:asciiTheme="majorBidi" w:hAnsiTheme="majorBidi" w:cstheme="majorBidi"/>
          <w:i/>
          <w:iCs/>
          <w:color w:val="3D3D3D"/>
          <w:shd w:val="clear" w:color="auto" w:fill="FFFFFF"/>
        </w:rPr>
        <w:t xml:space="preserve">recon. </w:t>
      </w:r>
      <w:r>
        <w:rPr>
          <w:rFonts w:asciiTheme="majorBidi" w:hAnsiTheme="majorBidi" w:cstheme="majorBidi"/>
          <w:i/>
          <w:iCs/>
          <w:color w:val="3D3D3D"/>
          <w:shd w:val="clear" w:color="auto" w:fill="FFFFFF"/>
        </w:rPr>
        <w:t>d</w:t>
      </w:r>
      <w:r w:rsidRPr="002D22ED">
        <w:rPr>
          <w:rFonts w:asciiTheme="majorBidi" w:hAnsiTheme="majorBidi" w:cstheme="majorBidi"/>
          <w:i/>
          <w:iCs/>
          <w:color w:val="3D3D3D"/>
          <w:shd w:val="clear" w:color="auto" w:fill="FFFFFF"/>
        </w:rPr>
        <w:t>enied</w:t>
      </w:r>
      <w:r>
        <w:rPr>
          <w:rFonts w:asciiTheme="majorBidi" w:hAnsiTheme="majorBidi" w:cstheme="majorBidi"/>
          <w:i/>
          <w:iCs/>
          <w:color w:val="3D3D3D"/>
          <w:shd w:val="clear" w:color="auto" w:fill="FFFFFF"/>
        </w:rPr>
        <w:t xml:space="preserve">, </w:t>
      </w:r>
      <w:r>
        <w:rPr>
          <w:rFonts w:asciiTheme="majorBidi" w:hAnsiTheme="majorBidi" w:cstheme="majorBidi"/>
          <w:color w:val="3D3D3D"/>
          <w:shd w:val="clear" w:color="auto" w:fill="FFFFFF"/>
        </w:rPr>
        <w:t xml:space="preserve">93 FCC2d, 789 (Rev. Bd. 1984), </w:t>
      </w:r>
      <w:r w:rsidRPr="002D22ED">
        <w:rPr>
          <w:rFonts w:asciiTheme="majorBidi" w:hAnsiTheme="majorBidi" w:cstheme="majorBidi"/>
          <w:i/>
          <w:iCs/>
          <w:color w:val="3D3D3D"/>
          <w:shd w:val="clear" w:color="auto" w:fill="FFFFFF"/>
        </w:rPr>
        <w:t>app. for review dismissed</w:t>
      </w:r>
      <w:r>
        <w:rPr>
          <w:rFonts w:asciiTheme="majorBidi" w:hAnsiTheme="majorBidi" w:cstheme="majorBidi"/>
          <w:i/>
          <w:iCs/>
          <w:color w:val="3D3D3D"/>
          <w:shd w:val="clear" w:color="auto" w:fill="FFFFFF"/>
        </w:rPr>
        <w:t xml:space="preserve">, </w:t>
      </w:r>
      <w:r>
        <w:rPr>
          <w:rFonts w:asciiTheme="majorBidi" w:hAnsiTheme="majorBidi" w:cstheme="majorBidi"/>
          <w:color w:val="3D3D3D"/>
          <w:shd w:val="clear" w:color="auto" w:fill="FFFFFF"/>
        </w:rPr>
        <w:t>56 RR2d 825 (1985) (</w:t>
      </w:r>
      <w:r w:rsidR="00C91D17">
        <w:rPr>
          <w:rFonts w:asciiTheme="majorBidi" w:hAnsiTheme="majorBidi" w:cstheme="majorBidi"/>
          <w:color w:val="3D3D3D"/>
          <w:shd w:val="clear" w:color="auto" w:fill="FFFFFF"/>
        </w:rPr>
        <w:t xml:space="preserve">discussion in license renewal case the </w:t>
      </w:r>
      <w:r w:rsidR="00D77405">
        <w:rPr>
          <w:rFonts w:asciiTheme="majorBidi" w:hAnsiTheme="majorBidi" w:cstheme="majorBidi"/>
          <w:color w:val="3D3D3D"/>
          <w:shd w:val="clear" w:color="auto" w:fill="FFFFFF"/>
        </w:rPr>
        <w:t xml:space="preserve">personal </w:t>
      </w:r>
      <w:r w:rsidR="00C91D17">
        <w:rPr>
          <w:rFonts w:asciiTheme="majorBidi" w:hAnsiTheme="majorBidi" w:cstheme="majorBidi"/>
          <w:color w:val="3D3D3D"/>
          <w:shd w:val="clear" w:color="auto" w:fill="FFFFFF"/>
        </w:rPr>
        <w:t>liability of licensee’s principals for station debts because licensee was formed as a partnership rather than as a corporation)</w:t>
      </w:r>
      <w:r>
        <w:rPr>
          <w:rFonts w:asciiTheme="majorBidi" w:hAnsiTheme="majorBidi" w:cstheme="majorBidi"/>
          <w:color w:val="3D3D3D"/>
          <w:shd w:val="clear" w:color="auto" w:fill="FFFFFF"/>
        </w:rPr>
        <w:t xml:space="preserve">.   </w:t>
      </w:r>
    </w:p>
  </w:footnote>
  <w:footnote w:id="52">
    <w:p w:rsidR="0030689A" w:rsidRPr="0030689A" w14:paraId="3D6BAA13" w14:textId="764CC700">
      <w:pPr>
        <w:pStyle w:val="FootnoteText"/>
      </w:pPr>
      <w:r>
        <w:rPr>
          <w:rStyle w:val="FootnoteReference"/>
        </w:rPr>
        <w:footnoteRef/>
      </w:r>
      <w:r>
        <w:t xml:space="preserve"> </w:t>
      </w:r>
      <w:r w:rsidR="004D78E2">
        <w:t xml:space="preserve">Consent Decree, 35 FCC </w:t>
      </w:r>
      <w:r w:rsidR="004D78E2">
        <w:t>Rcd</w:t>
      </w:r>
      <w:r w:rsidR="004D78E2">
        <w:t xml:space="preserve"> </w:t>
      </w:r>
      <w:r>
        <w:t>at 10262, para. 38.</w:t>
      </w:r>
    </w:p>
  </w:footnote>
  <w:footnote w:id="53">
    <w:p w:rsidR="00A3540E" w14:paraId="52773050" w14:textId="299A16B4">
      <w:pPr>
        <w:pStyle w:val="FootnoteText"/>
      </w:pPr>
      <w:r>
        <w:rPr>
          <w:rStyle w:val="FootnoteReference"/>
        </w:rPr>
        <w:footnoteRef/>
      </w:r>
      <w:r>
        <w:t xml:space="preserve"> </w:t>
      </w:r>
      <w:r w:rsidR="00713591">
        <w:t xml:space="preserve">47 CFR </w:t>
      </w:r>
      <w:r w:rsidRPr="00A16B3F" w:rsidR="00713591">
        <w:t xml:space="preserve">§ </w:t>
      </w:r>
      <w:r w:rsidR="00713591">
        <w:t xml:space="preserve">73.7540.  CEB has specifically recognized this obligation.  </w:t>
      </w:r>
      <w:r w:rsidR="00713591">
        <w:rPr>
          <w:i/>
          <w:iCs/>
        </w:rPr>
        <w:t xml:space="preserve">See </w:t>
      </w:r>
      <w:r w:rsidR="00A5021F">
        <w:t xml:space="preserve">Consent Decree, 35 FCC </w:t>
      </w:r>
      <w:r w:rsidR="00A5021F">
        <w:t>Rcd</w:t>
      </w:r>
      <w:r w:rsidR="00A5021F">
        <w:t xml:space="preserve"> at 10258</w:t>
      </w:r>
      <w:r w:rsidR="00713591">
        <w:t>, para. 30(j).</w:t>
      </w:r>
    </w:p>
  </w:footnote>
  <w:footnote w:id="54">
    <w:p w:rsidR="00C9189B" w14:paraId="1118B8BD" w14:textId="10AD9133">
      <w:pPr>
        <w:pStyle w:val="FootnoteText"/>
      </w:pPr>
      <w:r>
        <w:rPr>
          <w:rStyle w:val="FootnoteReference"/>
        </w:rPr>
        <w:footnoteRef/>
      </w:r>
      <w:r>
        <w:t xml:space="preserve"> </w:t>
      </w:r>
      <w:r w:rsidR="00310185">
        <w:t xml:space="preserve">47 CFR </w:t>
      </w:r>
      <w:r w:rsidRPr="00A16B3F" w:rsidR="00310185">
        <w:t>§</w:t>
      </w:r>
      <w:r w:rsidRPr="00A16B3F" w:rsidR="00547AAC">
        <w:t>§</w:t>
      </w:r>
      <w:r w:rsidRPr="00A16B3F" w:rsidR="00310185">
        <w:t xml:space="preserve"> </w:t>
      </w:r>
      <w:r w:rsidR="00547AAC">
        <w:t>73.1690(b)(6)(1)</w:t>
      </w:r>
      <w:r w:rsidR="00B44317">
        <w:t>,</w:t>
      </w:r>
      <w:r w:rsidR="00547AAC">
        <w:t xml:space="preserve"> </w:t>
      </w:r>
      <w:r w:rsidR="00AC76D9">
        <w:t>73.3538</w:t>
      </w:r>
      <w:r w:rsidR="00B44317">
        <w:t>.</w:t>
      </w:r>
    </w:p>
  </w:footnote>
  <w:footnote w:id="55">
    <w:p w:rsidR="00C17FAF" w14:paraId="04771620" w14:textId="3013046F">
      <w:pPr>
        <w:pStyle w:val="FootnoteText"/>
      </w:pPr>
      <w:r>
        <w:rPr>
          <w:rStyle w:val="FootnoteReference"/>
        </w:rPr>
        <w:footnoteRef/>
      </w:r>
      <w:r>
        <w:t xml:space="preserve"> </w:t>
      </w:r>
      <w:r w:rsidR="00310185">
        <w:rPr>
          <w:i/>
          <w:iCs/>
        </w:rPr>
        <w:t xml:space="preserve">Id. </w:t>
      </w:r>
      <w:r w:rsidRPr="00A16B3F" w:rsidR="00310185">
        <w:t xml:space="preserve">§ </w:t>
      </w:r>
      <w:r w:rsidR="005E73B3">
        <w:t>73.318.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E86" w14:paraId="4BED51FC" w14:textId="77777777">
    <w:pPr>
      <w:tabs>
        <w:tab w:val="center" w:pos="4680"/>
        <w:tab w:val="right" w:pos="9360"/>
      </w:tabs>
      <w:suppressAutoHyphens/>
      <w:spacing w:line="227" w:lineRule="auto"/>
      <w:jc w:val="both"/>
      <w:rPr>
        <w:rFonts w:ascii="Calisto MT" w:hAnsi="Calisto MT"/>
        <w:spacing w:val="-2"/>
      </w:rPr>
    </w:pPr>
  </w:p>
  <w:p w:rsidR="00D54E86" w14:paraId="6A6F1B64" w14:textId="77777777">
    <w:pPr>
      <w:tabs>
        <w:tab w:val="left" w:pos="-720"/>
      </w:tabs>
      <w:suppressAutoHyphens/>
      <w:spacing w:line="19" w:lineRule="exact"/>
      <w:jc w:val="both"/>
      <w:rPr>
        <w:sz w:val="10"/>
      </w:rPr>
    </w:pPr>
  </w:p>
  <w:p w:rsidR="00D54E86" w14:paraId="437ACC48" w14:textId="77777777">
    <w:pPr>
      <w:tabs>
        <w:tab w:val="left" w:pos="-720"/>
      </w:tabs>
      <w:suppressAutoHyphens/>
      <w:spacing w:line="19" w:lineRule="exact"/>
      <w:jc w:val="both"/>
      <w:rPr>
        <w:sz w:val="10"/>
      </w:rPr>
    </w:pPr>
  </w:p>
  <w:p w:rsidR="00D54E86" w14:paraId="58FBB0C9" w14:textId="77777777">
    <w:pPr>
      <w:tabs>
        <w:tab w:val="left" w:pos="-720"/>
      </w:tabs>
      <w:suppressAutoHyphens/>
      <w:spacing w:line="19" w:lineRule="exact"/>
      <w:jc w:val="both"/>
      <w:rPr>
        <w:sz w:val="10"/>
      </w:rPr>
    </w:pPr>
  </w:p>
  <w:p w:rsidR="00D54E86" w14:paraId="4AB9E590" w14:textId="77777777">
    <w:pPr>
      <w:tabs>
        <w:tab w:val="left" w:pos="-720"/>
      </w:tabs>
      <w:suppressAutoHyphens/>
      <w:spacing w:line="19" w:lineRule="exact"/>
      <w:jc w:val="both"/>
      <w:rPr>
        <w:sz w:val="10"/>
      </w:rPr>
    </w:pPr>
  </w:p>
  <w:p w:rsidR="00D54E86" w14:paraId="58A89748" w14:textId="77777777">
    <w:pPr>
      <w:tabs>
        <w:tab w:val="left" w:pos="-720"/>
      </w:tabs>
      <w:suppressAutoHyphens/>
      <w:spacing w:line="19"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14E0" w:rsidP="002D14E0" w14:paraId="6E4478D0" w14:textId="7777777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D14E0" w:rsidP="002D14E0" w14:paraId="53DBB826" w14:textId="77777777">
    <w:pPr>
      <w:tabs>
        <w:tab w:val="center" w:pos="4680"/>
        <w:tab w:val="left" w:pos="8400"/>
      </w:tabs>
    </w:pPr>
    <w:r>
      <w:rPr>
        <w:rFonts w:ascii="CG Times (W1)" w:hAnsi="CG Times (W1)"/>
        <w:sz w:val="28"/>
      </w:rPr>
      <w:tab/>
      <w:t>Washington, D.C. 20554</w:t>
    </w:r>
    <w:r>
      <w:rPr>
        <w:rFonts w:ascii="CG Times (W1)" w:hAnsi="CG Times (W1)"/>
        <w:sz w:val="28"/>
      </w:rPr>
      <w:tab/>
    </w:r>
  </w:p>
  <w:p w:rsidR="002D14E0" w:rsidP="002D14E0" w14:paraId="2F347BEC" w14:textId="77777777">
    <w:pPr>
      <w:pStyle w:val="Header"/>
      <w:tabs>
        <w:tab w:val="clear" w:pos="4320"/>
      </w:tabs>
      <w:jc w:val="center"/>
      <w:rPr>
        <w:sz w:val="22"/>
      </w:rPr>
    </w:pPr>
  </w:p>
  <w:p w:rsidR="002D14E0" w:rsidP="002D14E0" w14:paraId="0B82D8B7" w14:textId="77777777">
    <w:pPr>
      <w:pStyle w:val="Header"/>
      <w:tabs>
        <w:tab w:val="clear" w:pos="4320"/>
      </w:tabs>
      <w:jc w:val="center"/>
      <w:rPr>
        <w:sz w:val="22"/>
      </w:rPr>
    </w:pPr>
  </w:p>
  <w:p w:rsidR="00D54E86" w:rsidRPr="002D14E0" w:rsidP="002D14E0" w14:paraId="552ED631" w14:textId="1EA9A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B5389E"/>
    <w:multiLevelType w:val="hybridMultilevel"/>
    <w:tmpl w:val="652472D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FF611CD"/>
    <w:multiLevelType w:val="singleLevel"/>
    <w:tmpl w:val="D478B562"/>
    <w:lvl w:ilvl="0">
      <w:start w:val="1"/>
      <w:numFmt w:val="decimal"/>
      <w:lvlText w:val="%1."/>
      <w:lvlJc w:val="left"/>
      <w:pPr>
        <w:tabs>
          <w:tab w:val="num" w:pos="1080"/>
        </w:tabs>
        <w:ind w:left="1080" w:hanging="360"/>
      </w:pPr>
    </w:lvl>
  </w:abstractNum>
  <w:abstractNum w:abstractNumId="2">
    <w:nsid w:val="14A6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BD532B"/>
    <w:multiLevelType w:val="hybridMultilevel"/>
    <w:tmpl w:val="473C196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4DD2996"/>
    <w:multiLevelType w:val="hybridMultilevel"/>
    <w:tmpl w:val="824E6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311D4D"/>
    <w:multiLevelType w:val="hybridMultilevel"/>
    <w:tmpl w:val="9430984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C675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77303F"/>
    <w:multiLevelType w:val="hybridMultilevel"/>
    <w:tmpl w:val="52D2B1B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59B2E55"/>
    <w:multiLevelType w:val="hybridMultilevel"/>
    <w:tmpl w:val="715C31F2"/>
    <w:lvl w:ilvl="0">
      <w:start w:val="1"/>
      <w:numFmt w:val="lowerLetter"/>
      <w:lvlText w:val="(%1)"/>
      <w:lvlJc w:val="left"/>
      <w:pPr>
        <w:tabs>
          <w:tab w:val="num" w:pos="1815"/>
        </w:tabs>
        <w:ind w:left="1815" w:hanging="375"/>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nsid w:val="3D5B0677"/>
    <w:multiLevelType w:val="hybridMultilevel"/>
    <w:tmpl w:val="46A2206A"/>
    <w:lvl w:ilvl="0">
      <w:start w:val="1"/>
      <w:numFmt w:val="lowerLetter"/>
      <w:lvlText w:val="%1."/>
      <w:lvlJc w:val="left"/>
      <w:pPr>
        <w:ind w:left="1845" w:hanging="360"/>
      </w:pPr>
    </w:lvl>
    <w:lvl w:ilvl="1" w:tentative="1">
      <w:start w:val="1"/>
      <w:numFmt w:val="lowerLetter"/>
      <w:lvlText w:val="%2."/>
      <w:lvlJc w:val="left"/>
      <w:pPr>
        <w:ind w:left="2565" w:hanging="360"/>
      </w:pPr>
    </w:lvl>
    <w:lvl w:ilvl="2" w:tentative="1">
      <w:start w:val="1"/>
      <w:numFmt w:val="lowerRoman"/>
      <w:lvlText w:val="%3."/>
      <w:lvlJc w:val="right"/>
      <w:pPr>
        <w:ind w:left="3285" w:hanging="180"/>
      </w:pPr>
    </w:lvl>
    <w:lvl w:ilvl="3" w:tentative="1">
      <w:start w:val="1"/>
      <w:numFmt w:val="decimal"/>
      <w:lvlText w:val="%4."/>
      <w:lvlJc w:val="left"/>
      <w:pPr>
        <w:ind w:left="4005" w:hanging="360"/>
      </w:pPr>
    </w:lvl>
    <w:lvl w:ilvl="4" w:tentative="1">
      <w:start w:val="1"/>
      <w:numFmt w:val="lowerLetter"/>
      <w:lvlText w:val="%5."/>
      <w:lvlJc w:val="left"/>
      <w:pPr>
        <w:ind w:left="4725" w:hanging="360"/>
      </w:pPr>
    </w:lvl>
    <w:lvl w:ilvl="5" w:tentative="1">
      <w:start w:val="1"/>
      <w:numFmt w:val="lowerRoman"/>
      <w:lvlText w:val="%6."/>
      <w:lvlJc w:val="right"/>
      <w:pPr>
        <w:ind w:left="5445" w:hanging="180"/>
      </w:pPr>
    </w:lvl>
    <w:lvl w:ilvl="6" w:tentative="1">
      <w:start w:val="1"/>
      <w:numFmt w:val="decimal"/>
      <w:lvlText w:val="%7."/>
      <w:lvlJc w:val="left"/>
      <w:pPr>
        <w:ind w:left="6165" w:hanging="360"/>
      </w:pPr>
    </w:lvl>
    <w:lvl w:ilvl="7" w:tentative="1">
      <w:start w:val="1"/>
      <w:numFmt w:val="lowerLetter"/>
      <w:lvlText w:val="%8."/>
      <w:lvlJc w:val="left"/>
      <w:pPr>
        <w:ind w:left="6885" w:hanging="360"/>
      </w:pPr>
    </w:lvl>
    <w:lvl w:ilvl="8" w:tentative="1">
      <w:start w:val="1"/>
      <w:numFmt w:val="lowerRoman"/>
      <w:lvlText w:val="%9."/>
      <w:lvlJc w:val="right"/>
      <w:pPr>
        <w:ind w:left="7605" w:hanging="180"/>
      </w:pPr>
    </w:lvl>
  </w:abstractNum>
  <w:abstractNum w:abstractNumId="10">
    <w:nsid w:val="47C33E15"/>
    <w:multiLevelType w:val="hybridMultilevel"/>
    <w:tmpl w:val="AF889508"/>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5A360585"/>
    <w:multiLevelType w:val="hybridMultilevel"/>
    <w:tmpl w:val="52F625F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13">
    <w:nsid w:val="78D66A8D"/>
    <w:multiLevelType w:val="singleLevel"/>
    <w:tmpl w:val="D478B562"/>
    <w:lvl w:ilvl="0">
      <w:start w:val="1"/>
      <w:numFmt w:val="decimal"/>
      <w:lvlText w:val="%1."/>
      <w:lvlJc w:val="left"/>
      <w:pPr>
        <w:tabs>
          <w:tab w:val="num" w:pos="1080"/>
        </w:tabs>
        <w:ind w:left="1080" w:hanging="360"/>
      </w:pPr>
    </w:lvl>
  </w:abstractNum>
  <w:num w:numId="1">
    <w:abstractNumId w:val="3"/>
  </w:num>
  <w:num w:numId="2">
    <w:abstractNumId w:val="13"/>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lvlOverride w:ilvl="0">
      <w:lvl w:ilvl="0">
        <w:start w:val="1"/>
        <w:numFmt w:val="lowerLetter"/>
        <w:lvlText w:val="%1)"/>
        <w:lvlJc w:val="left"/>
        <w:pPr>
          <w:ind w:left="360" w:hanging="360"/>
        </w:pPr>
        <w:rPr>
          <w:rFonts w:hint="default"/>
        </w:rPr>
      </w:lvl>
    </w:lvlOverride>
  </w:num>
  <w:num w:numId="6">
    <w:abstractNumId w:val="1"/>
  </w:num>
  <w:num w:numId="7">
    <w:abstractNumId w:val="2"/>
  </w:num>
  <w:num w:numId="8">
    <w:abstractNumId w:val="10"/>
  </w:num>
  <w:num w:numId="9">
    <w:abstractNumId w:val="2"/>
  </w:num>
  <w:num w:numId="10">
    <w:abstractNumId w:val="6"/>
  </w:num>
  <w:num w:numId="11">
    <w:abstractNumId w:val="5"/>
  </w:num>
  <w:num w:numId="12">
    <w:abstractNumId w:val="7"/>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786"/>
    <w:rsid w:val="000007C2"/>
    <w:rsid w:val="00000ED0"/>
    <w:rsid w:val="00002BC4"/>
    <w:rsid w:val="0000375B"/>
    <w:rsid w:val="00004305"/>
    <w:rsid w:val="00004969"/>
    <w:rsid w:val="00004CC9"/>
    <w:rsid w:val="00004EF7"/>
    <w:rsid w:val="00005920"/>
    <w:rsid w:val="00005C00"/>
    <w:rsid w:val="00006298"/>
    <w:rsid w:val="00007929"/>
    <w:rsid w:val="00007DD8"/>
    <w:rsid w:val="000100DC"/>
    <w:rsid w:val="00010FD4"/>
    <w:rsid w:val="0001146C"/>
    <w:rsid w:val="00011F07"/>
    <w:rsid w:val="00012B0E"/>
    <w:rsid w:val="00012D4C"/>
    <w:rsid w:val="00014098"/>
    <w:rsid w:val="000141A0"/>
    <w:rsid w:val="000143F2"/>
    <w:rsid w:val="00014588"/>
    <w:rsid w:val="000145F6"/>
    <w:rsid w:val="000146DC"/>
    <w:rsid w:val="00014812"/>
    <w:rsid w:val="00015099"/>
    <w:rsid w:val="0001558F"/>
    <w:rsid w:val="000158D9"/>
    <w:rsid w:val="00016B57"/>
    <w:rsid w:val="00020205"/>
    <w:rsid w:val="00021871"/>
    <w:rsid w:val="00021E57"/>
    <w:rsid w:val="00022797"/>
    <w:rsid w:val="0002280B"/>
    <w:rsid w:val="00022C65"/>
    <w:rsid w:val="00022F55"/>
    <w:rsid w:val="00023518"/>
    <w:rsid w:val="000247EB"/>
    <w:rsid w:val="00025129"/>
    <w:rsid w:val="0002512F"/>
    <w:rsid w:val="00025226"/>
    <w:rsid w:val="00025FE5"/>
    <w:rsid w:val="00026377"/>
    <w:rsid w:val="0002648A"/>
    <w:rsid w:val="00026ECE"/>
    <w:rsid w:val="00027275"/>
    <w:rsid w:val="000277FB"/>
    <w:rsid w:val="00027AFB"/>
    <w:rsid w:val="00030411"/>
    <w:rsid w:val="00030A9C"/>
    <w:rsid w:val="00031465"/>
    <w:rsid w:val="00031939"/>
    <w:rsid w:val="00031F49"/>
    <w:rsid w:val="000327F7"/>
    <w:rsid w:val="000328B6"/>
    <w:rsid w:val="00032D9F"/>
    <w:rsid w:val="000331BC"/>
    <w:rsid w:val="000333B9"/>
    <w:rsid w:val="000334D8"/>
    <w:rsid w:val="000347EB"/>
    <w:rsid w:val="00034866"/>
    <w:rsid w:val="00034D5D"/>
    <w:rsid w:val="00035627"/>
    <w:rsid w:val="00036CD5"/>
    <w:rsid w:val="000370A4"/>
    <w:rsid w:val="00037BCC"/>
    <w:rsid w:val="00040134"/>
    <w:rsid w:val="00040B8A"/>
    <w:rsid w:val="0004152E"/>
    <w:rsid w:val="000419A9"/>
    <w:rsid w:val="00042C86"/>
    <w:rsid w:val="00043A61"/>
    <w:rsid w:val="00044FD2"/>
    <w:rsid w:val="00045954"/>
    <w:rsid w:val="00045E30"/>
    <w:rsid w:val="00046177"/>
    <w:rsid w:val="000463AD"/>
    <w:rsid w:val="00046B41"/>
    <w:rsid w:val="000470D4"/>
    <w:rsid w:val="000475AB"/>
    <w:rsid w:val="000475FE"/>
    <w:rsid w:val="00047D74"/>
    <w:rsid w:val="0005001F"/>
    <w:rsid w:val="00050258"/>
    <w:rsid w:val="00051211"/>
    <w:rsid w:val="00051608"/>
    <w:rsid w:val="00051FAE"/>
    <w:rsid w:val="000521B1"/>
    <w:rsid w:val="00052DCB"/>
    <w:rsid w:val="00052E83"/>
    <w:rsid w:val="0005306C"/>
    <w:rsid w:val="00053447"/>
    <w:rsid w:val="00053D8F"/>
    <w:rsid w:val="00054E53"/>
    <w:rsid w:val="0005516B"/>
    <w:rsid w:val="0005542B"/>
    <w:rsid w:val="0005578C"/>
    <w:rsid w:val="00055873"/>
    <w:rsid w:val="00056028"/>
    <w:rsid w:val="00056943"/>
    <w:rsid w:val="00056C1F"/>
    <w:rsid w:val="00056CF7"/>
    <w:rsid w:val="00057244"/>
    <w:rsid w:val="00057AAA"/>
    <w:rsid w:val="00057B8F"/>
    <w:rsid w:val="00057BC0"/>
    <w:rsid w:val="00057C02"/>
    <w:rsid w:val="000601F6"/>
    <w:rsid w:val="000604D8"/>
    <w:rsid w:val="00060D57"/>
    <w:rsid w:val="00061CB2"/>
    <w:rsid w:val="000624C3"/>
    <w:rsid w:val="00062580"/>
    <w:rsid w:val="00063975"/>
    <w:rsid w:val="000640DF"/>
    <w:rsid w:val="000653B1"/>
    <w:rsid w:val="00065EE4"/>
    <w:rsid w:val="00066FAB"/>
    <w:rsid w:val="000673FF"/>
    <w:rsid w:val="000676C9"/>
    <w:rsid w:val="0007177F"/>
    <w:rsid w:val="000724F6"/>
    <w:rsid w:val="00073AA4"/>
    <w:rsid w:val="00074852"/>
    <w:rsid w:val="000749E3"/>
    <w:rsid w:val="00074B95"/>
    <w:rsid w:val="00074CD9"/>
    <w:rsid w:val="000750E6"/>
    <w:rsid w:val="0007604E"/>
    <w:rsid w:val="00076ADA"/>
    <w:rsid w:val="00077549"/>
    <w:rsid w:val="0008130E"/>
    <w:rsid w:val="00081933"/>
    <w:rsid w:val="0008194B"/>
    <w:rsid w:val="00081BAB"/>
    <w:rsid w:val="00083046"/>
    <w:rsid w:val="00083796"/>
    <w:rsid w:val="000837CD"/>
    <w:rsid w:val="00083A42"/>
    <w:rsid w:val="00083A54"/>
    <w:rsid w:val="0008479B"/>
    <w:rsid w:val="00086239"/>
    <w:rsid w:val="00086A67"/>
    <w:rsid w:val="00090D02"/>
    <w:rsid w:val="00091348"/>
    <w:rsid w:val="00091996"/>
    <w:rsid w:val="0009370A"/>
    <w:rsid w:val="0009380A"/>
    <w:rsid w:val="000938DE"/>
    <w:rsid w:val="00095200"/>
    <w:rsid w:val="000957F1"/>
    <w:rsid w:val="00096B8B"/>
    <w:rsid w:val="0009724D"/>
    <w:rsid w:val="00097444"/>
    <w:rsid w:val="00097572"/>
    <w:rsid w:val="00097989"/>
    <w:rsid w:val="00097A04"/>
    <w:rsid w:val="00097E46"/>
    <w:rsid w:val="000A0AA4"/>
    <w:rsid w:val="000A0C45"/>
    <w:rsid w:val="000A10EC"/>
    <w:rsid w:val="000A12D8"/>
    <w:rsid w:val="000A2070"/>
    <w:rsid w:val="000A2465"/>
    <w:rsid w:val="000A2C78"/>
    <w:rsid w:val="000A3083"/>
    <w:rsid w:val="000A33B6"/>
    <w:rsid w:val="000A3BEF"/>
    <w:rsid w:val="000A4E2F"/>
    <w:rsid w:val="000A5326"/>
    <w:rsid w:val="000A7254"/>
    <w:rsid w:val="000A7946"/>
    <w:rsid w:val="000B0735"/>
    <w:rsid w:val="000B07CE"/>
    <w:rsid w:val="000B1143"/>
    <w:rsid w:val="000B1640"/>
    <w:rsid w:val="000B1690"/>
    <w:rsid w:val="000B22C1"/>
    <w:rsid w:val="000B3536"/>
    <w:rsid w:val="000B3A22"/>
    <w:rsid w:val="000B3E66"/>
    <w:rsid w:val="000B4EE5"/>
    <w:rsid w:val="000B7983"/>
    <w:rsid w:val="000B7F7B"/>
    <w:rsid w:val="000C0493"/>
    <w:rsid w:val="000C0EB0"/>
    <w:rsid w:val="000C12B4"/>
    <w:rsid w:val="000C17B4"/>
    <w:rsid w:val="000C1F20"/>
    <w:rsid w:val="000C2780"/>
    <w:rsid w:val="000C38AE"/>
    <w:rsid w:val="000C3C87"/>
    <w:rsid w:val="000C3DC1"/>
    <w:rsid w:val="000C437E"/>
    <w:rsid w:val="000C599C"/>
    <w:rsid w:val="000C5BB9"/>
    <w:rsid w:val="000C5DFC"/>
    <w:rsid w:val="000C615E"/>
    <w:rsid w:val="000C67AD"/>
    <w:rsid w:val="000C708B"/>
    <w:rsid w:val="000C7E96"/>
    <w:rsid w:val="000D1079"/>
    <w:rsid w:val="000D10A8"/>
    <w:rsid w:val="000D1491"/>
    <w:rsid w:val="000D15F8"/>
    <w:rsid w:val="000D1983"/>
    <w:rsid w:val="000D24A8"/>
    <w:rsid w:val="000D2AC4"/>
    <w:rsid w:val="000D319D"/>
    <w:rsid w:val="000D36BE"/>
    <w:rsid w:val="000D3C17"/>
    <w:rsid w:val="000D49AB"/>
    <w:rsid w:val="000D58AD"/>
    <w:rsid w:val="000D60CB"/>
    <w:rsid w:val="000D6441"/>
    <w:rsid w:val="000D6D5B"/>
    <w:rsid w:val="000D7406"/>
    <w:rsid w:val="000E0237"/>
    <w:rsid w:val="000E07DF"/>
    <w:rsid w:val="000E09F2"/>
    <w:rsid w:val="000E249D"/>
    <w:rsid w:val="000E2760"/>
    <w:rsid w:val="000E31BE"/>
    <w:rsid w:val="000E35D8"/>
    <w:rsid w:val="000E3E4D"/>
    <w:rsid w:val="000E4BD4"/>
    <w:rsid w:val="000E4C20"/>
    <w:rsid w:val="000E5B0C"/>
    <w:rsid w:val="000E61A1"/>
    <w:rsid w:val="000E69EF"/>
    <w:rsid w:val="000E7101"/>
    <w:rsid w:val="000E771A"/>
    <w:rsid w:val="000F1386"/>
    <w:rsid w:val="000F175E"/>
    <w:rsid w:val="000F24C0"/>
    <w:rsid w:val="000F2B10"/>
    <w:rsid w:val="000F3420"/>
    <w:rsid w:val="000F3F4F"/>
    <w:rsid w:val="000F500E"/>
    <w:rsid w:val="000F569C"/>
    <w:rsid w:val="000F5835"/>
    <w:rsid w:val="000F5877"/>
    <w:rsid w:val="000F5A94"/>
    <w:rsid w:val="000F6460"/>
    <w:rsid w:val="000F6A92"/>
    <w:rsid w:val="000F6CEF"/>
    <w:rsid w:val="00100179"/>
    <w:rsid w:val="001005A4"/>
    <w:rsid w:val="001008BC"/>
    <w:rsid w:val="00100AC4"/>
    <w:rsid w:val="00100C92"/>
    <w:rsid w:val="00100EE8"/>
    <w:rsid w:val="001012A0"/>
    <w:rsid w:val="001013B7"/>
    <w:rsid w:val="0010165C"/>
    <w:rsid w:val="0010194F"/>
    <w:rsid w:val="00101BFE"/>
    <w:rsid w:val="001021A9"/>
    <w:rsid w:val="00103CFD"/>
    <w:rsid w:val="00103DC6"/>
    <w:rsid w:val="00104351"/>
    <w:rsid w:val="0010488F"/>
    <w:rsid w:val="00104D7B"/>
    <w:rsid w:val="00105FEC"/>
    <w:rsid w:val="00106EF1"/>
    <w:rsid w:val="00107104"/>
    <w:rsid w:val="001102CE"/>
    <w:rsid w:val="00110C37"/>
    <w:rsid w:val="0011299B"/>
    <w:rsid w:val="00112A4E"/>
    <w:rsid w:val="0011340B"/>
    <w:rsid w:val="00113B3F"/>
    <w:rsid w:val="001144AD"/>
    <w:rsid w:val="0011458E"/>
    <w:rsid w:val="00114990"/>
    <w:rsid w:val="00114D78"/>
    <w:rsid w:val="001152A1"/>
    <w:rsid w:val="0011592D"/>
    <w:rsid w:val="00115993"/>
    <w:rsid w:val="00115B37"/>
    <w:rsid w:val="001160DC"/>
    <w:rsid w:val="001175C2"/>
    <w:rsid w:val="0012248B"/>
    <w:rsid w:val="00122645"/>
    <w:rsid w:val="00122BE7"/>
    <w:rsid w:val="00122BEB"/>
    <w:rsid w:val="00122F6B"/>
    <w:rsid w:val="001233E8"/>
    <w:rsid w:val="001245F2"/>
    <w:rsid w:val="00125B04"/>
    <w:rsid w:val="00125CA9"/>
    <w:rsid w:val="0012625D"/>
    <w:rsid w:val="00126481"/>
    <w:rsid w:val="00126FBA"/>
    <w:rsid w:val="00127193"/>
    <w:rsid w:val="00127565"/>
    <w:rsid w:val="001300D1"/>
    <w:rsid w:val="00130A0F"/>
    <w:rsid w:val="00131252"/>
    <w:rsid w:val="0013155F"/>
    <w:rsid w:val="0013213B"/>
    <w:rsid w:val="001325D3"/>
    <w:rsid w:val="0013285F"/>
    <w:rsid w:val="001332B1"/>
    <w:rsid w:val="00133AB5"/>
    <w:rsid w:val="00134AFB"/>
    <w:rsid w:val="001350A3"/>
    <w:rsid w:val="001355A8"/>
    <w:rsid w:val="00135686"/>
    <w:rsid w:val="0013722A"/>
    <w:rsid w:val="001406E8"/>
    <w:rsid w:val="0014081E"/>
    <w:rsid w:val="00140ABA"/>
    <w:rsid w:val="00140DFC"/>
    <w:rsid w:val="001410C1"/>
    <w:rsid w:val="001411E5"/>
    <w:rsid w:val="001414E4"/>
    <w:rsid w:val="001416A6"/>
    <w:rsid w:val="00141B4E"/>
    <w:rsid w:val="00141E14"/>
    <w:rsid w:val="00144584"/>
    <w:rsid w:val="001456C2"/>
    <w:rsid w:val="00145884"/>
    <w:rsid w:val="00145A84"/>
    <w:rsid w:val="00145D9E"/>
    <w:rsid w:val="00146B21"/>
    <w:rsid w:val="001472FA"/>
    <w:rsid w:val="001474A0"/>
    <w:rsid w:val="00147690"/>
    <w:rsid w:val="00147E2A"/>
    <w:rsid w:val="00150099"/>
    <w:rsid w:val="00151575"/>
    <w:rsid w:val="0015166E"/>
    <w:rsid w:val="00151785"/>
    <w:rsid w:val="00152848"/>
    <w:rsid w:val="0015311F"/>
    <w:rsid w:val="00153789"/>
    <w:rsid w:val="001539F9"/>
    <w:rsid w:val="00154D31"/>
    <w:rsid w:val="00156E1D"/>
    <w:rsid w:val="001573C4"/>
    <w:rsid w:val="001573CA"/>
    <w:rsid w:val="0016049A"/>
    <w:rsid w:val="0016073E"/>
    <w:rsid w:val="00160A43"/>
    <w:rsid w:val="00160C97"/>
    <w:rsid w:val="00161295"/>
    <w:rsid w:val="00161573"/>
    <w:rsid w:val="00161824"/>
    <w:rsid w:val="00161BBC"/>
    <w:rsid w:val="001620D7"/>
    <w:rsid w:val="001621EB"/>
    <w:rsid w:val="0016254A"/>
    <w:rsid w:val="00162929"/>
    <w:rsid w:val="00162B1F"/>
    <w:rsid w:val="00162C19"/>
    <w:rsid w:val="001633D4"/>
    <w:rsid w:val="00164C23"/>
    <w:rsid w:val="00165D87"/>
    <w:rsid w:val="00165FD3"/>
    <w:rsid w:val="0016633C"/>
    <w:rsid w:val="00166AF9"/>
    <w:rsid w:val="00166B45"/>
    <w:rsid w:val="00167171"/>
    <w:rsid w:val="001700DB"/>
    <w:rsid w:val="00170171"/>
    <w:rsid w:val="00172329"/>
    <w:rsid w:val="001726B2"/>
    <w:rsid w:val="00173398"/>
    <w:rsid w:val="001733A0"/>
    <w:rsid w:val="00173445"/>
    <w:rsid w:val="00174203"/>
    <w:rsid w:val="00175299"/>
    <w:rsid w:val="00175B70"/>
    <w:rsid w:val="001766EB"/>
    <w:rsid w:val="001802C1"/>
    <w:rsid w:val="001803AE"/>
    <w:rsid w:val="00181380"/>
    <w:rsid w:val="00182C26"/>
    <w:rsid w:val="00182C65"/>
    <w:rsid w:val="00183335"/>
    <w:rsid w:val="001843BB"/>
    <w:rsid w:val="00184DCC"/>
    <w:rsid w:val="001853AD"/>
    <w:rsid w:val="00185AC7"/>
    <w:rsid w:val="00185B28"/>
    <w:rsid w:val="00187630"/>
    <w:rsid w:val="001876B6"/>
    <w:rsid w:val="0018787E"/>
    <w:rsid w:val="00190813"/>
    <w:rsid w:val="00190C58"/>
    <w:rsid w:val="00190EB2"/>
    <w:rsid w:val="00191292"/>
    <w:rsid w:val="0019149B"/>
    <w:rsid w:val="00191A5F"/>
    <w:rsid w:val="00191B87"/>
    <w:rsid w:val="00191DB4"/>
    <w:rsid w:val="001924BF"/>
    <w:rsid w:val="0019250F"/>
    <w:rsid w:val="0019299A"/>
    <w:rsid w:val="001931C0"/>
    <w:rsid w:val="00193E3F"/>
    <w:rsid w:val="00194377"/>
    <w:rsid w:val="00194D6E"/>
    <w:rsid w:val="0019561F"/>
    <w:rsid w:val="001977FD"/>
    <w:rsid w:val="001A027E"/>
    <w:rsid w:val="001A0727"/>
    <w:rsid w:val="001A0C7D"/>
    <w:rsid w:val="001A0E23"/>
    <w:rsid w:val="001A197C"/>
    <w:rsid w:val="001A1A0F"/>
    <w:rsid w:val="001A1B7A"/>
    <w:rsid w:val="001A1E33"/>
    <w:rsid w:val="001A37B9"/>
    <w:rsid w:val="001A3A71"/>
    <w:rsid w:val="001A477E"/>
    <w:rsid w:val="001A493F"/>
    <w:rsid w:val="001A5741"/>
    <w:rsid w:val="001A57E0"/>
    <w:rsid w:val="001A61A2"/>
    <w:rsid w:val="001A6606"/>
    <w:rsid w:val="001A6872"/>
    <w:rsid w:val="001A6E02"/>
    <w:rsid w:val="001A7144"/>
    <w:rsid w:val="001A768D"/>
    <w:rsid w:val="001A76FE"/>
    <w:rsid w:val="001B0198"/>
    <w:rsid w:val="001B09B8"/>
    <w:rsid w:val="001B23DE"/>
    <w:rsid w:val="001B28E2"/>
    <w:rsid w:val="001B2B4F"/>
    <w:rsid w:val="001B2C5D"/>
    <w:rsid w:val="001B30EE"/>
    <w:rsid w:val="001B3387"/>
    <w:rsid w:val="001B41E8"/>
    <w:rsid w:val="001B5AEA"/>
    <w:rsid w:val="001B6200"/>
    <w:rsid w:val="001B6983"/>
    <w:rsid w:val="001B7D40"/>
    <w:rsid w:val="001C0D8A"/>
    <w:rsid w:val="001C1A41"/>
    <w:rsid w:val="001C1E91"/>
    <w:rsid w:val="001C2CE5"/>
    <w:rsid w:val="001C358A"/>
    <w:rsid w:val="001C39C3"/>
    <w:rsid w:val="001C3AC2"/>
    <w:rsid w:val="001C3BD5"/>
    <w:rsid w:val="001C4980"/>
    <w:rsid w:val="001C4D82"/>
    <w:rsid w:val="001C51D6"/>
    <w:rsid w:val="001C5FFF"/>
    <w:rsid w:val="001C71D6"/>
    <w:rsid w:val="001C71EB"/>
    <w:rsid w:val="001C7721"/>
    <w:rsid w:val="001D045A"/>
    <w:rsid w:val="001D18A9"/>
    <w:rsid w:val="001D1DCE"/>
    <w:rsid w:val="001D20E0"/>
    <w:rsid w:val="001D21C3"/>
    <w:rsid w:val="001D23AC"/>
    <w:rsid w:val="001D2AEB"/>
    <w:rsid w:val="001D3310"/>
    <w:rsid w:val="001D38C3"/>
    <w:rsid w:val="001D3A1A"/>
    <w:rsid w:val="001D3E04"/>
    <w:rsid w:val="001D4CD9"/>
    <w:rsid w:val="001D5675"/>
    <w:rsid w:val="001D5E2A"/>
    <w:rsid w:val="001D7B91"/>
    <w:rsid w:val="001D7C87"/>
    <w:rsid w:val="001E1E5A"/>
    <w:rsid w:val="001E1F0A"/>
    <w:rsid w:val="001E2290"/>
    <w:rsid w:val="001E2AFC"/>
    <w:rsid w:val="001E31A6"/>
    <w:rsid w:val="001E438D"/>
    <w:rsid w:val="001E522F"/>
    <w:rsid w:val="001E5401"/>
    <w:rsid w:val="001E6BBA"/>
    <w:rsid w:val="001E7815"/>
    <w:rsid w:val="001F0590"/>
    <w:rsid w:val="001F350E"/>
    <w:rsid w:val="001F3AE5"/>
    <w:rsid w:val="001F4240"/>
    <w:rsid w:val="001F4408"/>
    <w:rsid w:val="001F45A5"/>
    <w:rsid w:val="001F5EBD"/>
    <w:rsid w:val="001F612D"/>
    <w:rsid w:val="001F6A77"/>
    <w:rsid w:val="00200321"/>
    <w:rsid w:val="0020088B"/>
    <w:rsid w:val="00201B7A"/>
    <w:rsid w:val="00201F39"/>
    <w:rsid w:val="00202A60"/>
    <w:rsid w:val="00202CB4"/>
    <w:rsid w:val="00203469"/>
    <w:rsid w:val="0020728E"/>
    <w:rsid w:val="002072E8"/>
    <w:rsid w:val="00207585"/>
    <w:rsid w:val="00207E41"/>
    <w:rsid w:val="00207E60"/>
    <w:rsid w:val="002105BE"/>
    <w:rsid w:val="00211663"/>
    <w:rsid w:val="00212B98"/>
    <w:rsid w:val="00213C20"/>
    <w:rsid w:val="00214278"/>
    <w:rsid w:val="00214753"/>
    <w:rsid w:val="00214BB8"/>
    <w:rsid w:val="0021583D"/>
    <w:rsid w:val="00215B22"/>
    <w:rsid w:val="00215DE7"/>
    <w:rsid w:val="00215FA8"/>
    <w:rsid w:val="00216308"/>
    <w:rsid w:val="00216350"/>
    <w:rsid w:val="0021655B"/>
    <w:rsid w:val="002165ED"/>
    <w:rsid w:val="00217C30"/>
    <w:rsid w:val="00217CEE"/>
    <w:rsid w:val="00220315"/>
    <w:rsid w:val="0022045A"/>
    <w:rsid w:val="00221011"/>
    <w:rsid w:val="002239A1"/>
    <w:rsid w:val="00223FD9"/>
    <w:rsid w:val="002242B3"/>
    <w:rsid w:val="002244F5"/>
    <w:rsid w:val="00224A35"/>
    <w:rsid w:val="00224C5D"/>
    <w:rsid w:val="00225765"/>
    <w:rsid w:val="00225971"/>
    <w:rsid w:val="002259FB"/>
    <w:rsid w:val="00225C3B"/>
    <w:rsid w:val="00226615"/>
    <w:rsid w:val="002271CF"/>
    <w:rsid w:val="002274EE"/>
    <w:rsid w:val="00227825"/>
    <w:rsid w:val="00227B4F"/>
    <w:rsid w:val="00230269"/>
    <w:rsid w:val="00230554"/>
    <w:rsid w:val="00230DB2"/>
    <w:rsid w:val="00231D5C"/>
    <w:rsid w:val="00232BAD"/>
    <w:rsid w:val="0023468A"/>
    <w:rsid w:val="00234B12"/>
    <w:rsid w:val="00234BA3"/>
    <w:rsid w:val="00234CF2"/>
    <w:rsid w:val="00235207"/>
    <w:rsid w:val="00241118"/>
    <w:rsid w:val="002413A3"/>
    <w:rsid w:val="002417DB"/>
    <w:rsid w:val="002417EE"/>
    <w:rsid w:val="00244852"/>
    <w:rsid w:val="00245C6E"/>
    <w:rsid w:val="002462EE"/>
    <w:rsid w:val="00246501"/>
    <w:rsid w:val="00246B34"/>
    <w:rsid w:val="00246DCC"/>
    <w:rsid w:val="00247FC5"/>
    <w:rsid w:val="00250061"/>
    <w:rsid w:val="00250967"/>
    <w:rsid w:val="00251549"/>
    <w:rsid w:val="00251800"/>
    <w:rsid w:val="00251BB1"/>
    <w:rsid w:val="00252321"/>
    <w:rsid w:val="0025276A"/>
    <w:rsid w:val="00252A53"/>
    <w:rsid w:val="00253ACA"/>
    <w:rsid w:val="00253E9D"/>
    <w:rsid w:val="00253EEA"/>
    <w:rsid w:val="002575F6"/>
    <w:rsid w:val="0025779B"/>
    <w:rsid w:val="00257E49"/>
    <w:rsid w:val="00260D8D"/>
    <w:rsid w:val="00262055"/>
    <w:rsid w:val="002628B4"/>
    <w:rsid w:val="00262951"/>
    <w:rsid w:val="00262D0B"/>
    <w:rsid w:val="002634BE"/>
    <w:rsid w:val="00263606"/>
    <w:rsid w:val="00263716"/>
    <w:rsid w:val="002638D9"/>
    <w:rsid w:val="002638F6"/>
    <w:rsid w:val="00263D0B"/>
    <w:rsid w:val="002643DB"/>
    <w:rsid w:val="00264747"/>
    <w:rsid w:val="0026566F"/>
    <w:rsid w:val="00265C29"/>
    <w:rsid w:val="00265CDE"/>
    <w:rsid w:val="00266CC7"/>
    <w:rsid w:val="00267672"/>
    <w:rsid w:val="002676C2"/>
    <w:rsid w:val="00267C1A"/>
    <w:rsid w:val="00270519"/>
    <w:rsid w:val="00270597"/>
    <w:rsid w:val="00270818"/>
    <w:rsid w:val="002708DC"/>
    <w:rsid w:val="00270FE9"/>
    <w:rsid w:val="00271FCD"/>
    <w:rsid w:val="0027281D"/>
    <w:rsid w:val="00273D54"/>
    <w:rsid w:val="002743CB"/>
    <w:rsid w:val="002748BB"/>
    <w:rsid w:val="00274A74"/>
    <w:rsid w:val="00274F3F"/>
    <w:rsid w:val="00275E69"/>
    <w:rsid w:val="0027671D"/>
    <w:rsid w:val="00276D10"/>
    <w:rsid w:val="00280E41"/>
    <w:rsid w:val="002812F4"/>
    <w:rsid w:val="002817C5"/>
    <w:rsid w:val="002828BB"/>
    <w:rsid w:val="00282CEA"/>
    <w:rsid w:val="00282D55"/>
    <w:rsid w:val="00282F03"/>
    <w:rsid w:val="0028376D"/>
    <w:rsid w:val="00284901"/>
    <w:rsid w:val="00285379"/>
    <w:rsid w:val="00285AFE"/>
    <w:rsid w:val="002867B0"/>
    <w:rsid w:val="00286F67"/>
    <w:rsid w:val="00287D1D"/>
    <w:rsid w:val="0029026D"/>
    <w:rsid w:val="0029053B"/>
    <w:rsid w:val="00290656"/>
    <w:rsid w:val="00290CB7"/>
    <w:rsid w:val="00290D8F"/>
    <w:rsid w:val="002917D0"/>
    <w:rsid w:val="002929FD"/>
    <w:rsid w:val="00292F6A"/>
    <w:rsid w:val="00294B5B"/>
    <w:rsid w:val="00294E93"/>
    <w:rsid w:val="00295C3D"/>
    <w:rsid w:val="00295CB7"/>
    <w:rsid w:val="00295DCE"/>
    <w:rsid w:val="0029613B"/>
    <w:rsid w:val="002A0DF6"/>
    <w:rsid w:val="002A18E3"/>
    <w:rsid w:val="002A1C02"/>
    <w:rsid w:val="002A2089"/>
    <w:rsid w:val="002A48AD"/>
    <w:rsid w:val="002A607B"/>
    <w:rsid w:val="002A67E2"/>
    <w:rsid w:val="002A742F"/>
    <w:rsid w:val="002B1ABC"/>
    <w:rsid w:val="002B1FC9"/>
    <w:rsid w:val="002B2400"/>
    <w:rsid w:val="002B2E8D"/>
    <w:rsid w:val="002B35FE"/>
    <w:rsid w:val="002B47C4"/>
    <w:rsid w:val="002B5ACB"/>
    <w:rsid w:val="002B6366"/>
    <w:rsid w:val="002B677C"/>
    <w:rsid w:val="002B6926"/>
    <w:rsid w:val="002B6A57"/>
    <w:rsid w:val="002B6C83"/>
    <w:rsid w:val="002B6E4A"/>
    <w:rsid w:val="002B7DE8"/>
    <w:rsid w:val="002C037F"/>
    <w:rsid w:val="002C07C0"/>
    <w:rsid w:val="002C21E8"/>
    <w:rsid w:val="002C23DB"/>
    <w:rsid w:val="002C49C2"/>
    <w:rsid w:val="002C4DD3"/>
    <w:rsid w:val="002C53C0"/>
    <w:rsid w:val="002C5632"/>
    <w:rsid w:val="002C5920"/>
    <w:rsid w:val="002C60EC"/>
    <w:rsid w:val="002C62BD"/>
    <w:rsid w:val="002C77B6"/>
    <w:rsid w:val="002C7BA6"/>
    <w:rsid w:val="002D126C"/>
    <w:rsid w:val="002D14E0"/>
    <w:rsid w:val="002D1A3E"/>
    <w:rsid w:val="002D22ED"/>
    <w:rsid w:val="002D2936"/>
    <w:rsid w:val="002D2B35"/>
    <w:rsid w:val="002D2E32"/>
    <w:rsid w:val="002D3BF3"/>
    <w:rsid w:val="002D3C26"/>
    <w:rsid w:val="002D7817"/>
    <w:rsid w:val="002D7CB9"/>
    <w:rsid w:val="002E0F2E"/>
    <w:rsid w:val="002E1037"/>
    <w:rsid w:val="002E1969"/>
    <w:rsid w:val="002E1E3B"/>
    <w:rsid w:val="002E268D"/>
    <w:rsid w:val="002E2713"/>
    <w:rsid w:val="002E3CBF"/>
    <w:rsid w:val="002E4236"/>
    <w:rsid w:val="002E4587"/>
    <w:rsid w:val="002E5B64"/>
    <w:rsid w:val="002E5D03"/>
    <w:rsid w:val="002E61D2"/>
    <w:rsid w:val="002E686B"/>
    <w:rsid w:val="002E6BDC"/>
    <w:rsid w:val="002E6EE1"/>
    <w:rsid w:val="002E76D9"/>
    <w:rsid w:val="002E7843"/>
    <w:rsid w:val="002F00B2"/>
    <w:rsid w:val="002F0A2B"/>
    <w:rsid w:val="002F0AB0"/>
    <w:rsid w:val="002F0ADE"/>
    <w:rsid w:val="002F1EA0"/>
    <w:rsid w:val="002F20ED"/>
    <w:rsid w:val="002F2246"/>
    <w:rsid w:val="002F26F7"/>
    <w:rsid w:val="002F2A9F"/>
    <w:rsid w:val="002F3933"/>
    <w:rsid w:val="002F453C"/>
    <w:rsid w:val="002F4FF8"/>
    <w:rsid w:val="002F661B"/>
    <w:rsid w:val="002F6B0B"/>
    <w:rsid w:val="003005CF"/>
    <w:rsid w:val="0030063A"/>
    <w:rsid w:val="0030138A"/>
    <w:rsid w:val="00301CD6"/>
    <w:rsid w:val="00301ECC"/>
    <w:rsid w:val="0030224B"/>
    <w:rsid w:val="00302530"/>
    <w:rsid w:val="00303445"/>
    <w:rsid w:val="00303779"/>
    <w:rsid w:val="00304BC9"/>
    <w:rsid w:val="0030554E"/>
    <w:rsid w:val="00305E3E"/>
    <w:rsid w:val="0030689A"/>
    <w:rsid w:val="003070C0"/>
    <w:rsid w:val="00310185"/>
    <w:rsid w:val="00310C09"/>
    <w:rsid w:val="00310D6F"/>
    <w:rsid w:val="00312004"/>
    <w:rsid w:val="003125F6"/>
    <w:rsid w:val="00312854"/>
    <w:rsid w:val="00312DDC"/>
    <w:rsid w:val="00313578"/>
    <w:rsid w:val="0031388D"/>
    <w:rsid w:val="00313CA0"/>
    <w:rsid w:val="00313EBC"/>
    <w:rsid w:val="00314145"/>
    <w:rsid w:val="0031467F"/>
    <w:rsid w:val="00314CAA"/>
    <w:rsid w:val="00314CC3"/>
    <w:rsid w:val="00315378"/>
    <w:rsid w:val="00316922"/>
    <w:rsid w:val="00316B60"/>
    <w:rsid w:val="00317A78"/>
    <w:rsid w:val="003203D8"/>
    <w:rsid w:val="00320C1D"/>
    <w:rsid w:val="00320DBE"/>
    <w:rsid w:val="003221C8"/>
    <w:rsid w:val="00322B90"/>
    <w:rsid w:val="0032331D"/>
    <w:rsid w:val="00323822"/>
    <w:rsid w:val="00323A11"/>
    <w:rsid w:val="00323A73"/>
    <w:rsid w:val="0032439B"/>
    <w:rsid w:val="00324B4C"/>
    <w:rsid w:val="0032692C"/>
    <w:rsid w:val="00326D73"/>
    <w:rsid w:val="003272DE"/>
    <w:rsid w:val="003275A0"/>
    <w:rsid w:val="00327962"/>
    <w:rsid w:val="00330B39"/>
    <w:rsid w:val="00331137"/>
    <w:rsid w:val="00331385"/>
    <w:rsid w:val="00331A53"/>
    <w:rsid w:val="00331E71"/>
    <w:rsid w:val="00331FB7"/>
    <w:rsid w:val="003322E9"/>
    <w:rsid w:val="003323B3"/>
    <w:rsid w:val="0033249E"/>
    <w:rsid w:val="00332679"/>
    <w:rsid w:val="00333FBB"/>
    <w:rsid w:val="00334650"/>
    <w:rsid w:val="00334AEB"/>
    <w:rsid w:val="00334DD9"/>
    <w:rsid w:val="00334E2B"/>
    <w:rsid w:val="00335AEB"/>
    <w:rsid w:val="00336837"/>
    <w:rsid w:val="00336A12"/>
    <w:rsid w:val="00337D75"/>
    <w:rsid w:val="00337D89"/>
    <w:rsid w:val="00337E6C"/>
    <w:rsid w:val="00337F35"/>
    <w:rsid w:val="00340348"/>
    <w:rsid w:val="00340D86"/>
    <w:rsid w:val="00341620"/>
    <w:rsid w:val="003419ED"/>
    <w:rsid w:val="003426A5"/>
    <w:rsid w:val="0034301B"/>
    <w:rsid w:val="0034351A"/>
    <w:rsid w:val="0034362D"/>
    <w:rsid w:val="00343ED0"/>
    <w:rsid w:val="00344653"/>
    <w:rsid w:val="00344C43"/>
    <w:rsid w:val="0034523D"/>
    <w:rsid w:val="003456AA"/>
    <w:rsid w:val="00345703"/>
    <w:rsid w:val="003458EE"/>
    <w:rsid w:val="003459D8"/>
    <w:rsid w:val="00347E3A"/>
    <w:rsid w:val="003502D8"/>
    <w:rsid w:val="003504D7"/>
    <w:rsid w:val="003509F3"/>
    <w:rsid w:val="00351AE9"/>
    <w:rsid w:val="00352164"/>
    <w:rsid w:val="00352281"/>
    <w:rsid w:val="003524AE"/>
    <w:rsid w:val="00352A23"/>
    <w:rsid w:val="003530A1"/>
    <w:rsid w:val="00356547"/>
    <w:rsid w:val="00356625"/>
    <w:rsid w:val="00356A0A"/>
    <w:rsid w:val="00357D32"/>
    <w:rsid w:val="003602A5"/>
    <w:rsid w:val="003620DC"/>
    <w:rsid w:val="00362D24"/>
    <w:rsid w:val="00362E34"/>
    <w:rsid w:val="00363253"/>
    <w:rsid w:val="00363B18"/>
    <w:rsid w:val="00364250"/>
    <w:rsid w:val="003652C9"/>
    <w:rsid w:val="003668D9"/>
    <w:rsid w:val="00367D43"/>
    <w:rsid w:val="0037100A"/>
    <w:rsid w:val="00371AF0"/>
    <w:rsid w:val="003724C8"/>
    <w:rsid w:val="00372B88"/>
    <w:rsid w:val="00373929"/>
    <w:rsid w:val="00375148"/>
    <w:rsid w:val="00375192"/>
    <w:rsid w:val="003753D6"/>
    <w:rsid w:val="00375D83"/>
    <w:rsid w:val="00376408"/>
    <w:rsid w:val="003774E3"/>
    <w:rsid w:val="00377A34"/>
    <w:rsid w:val="0038011F"/>
    <w:rsid w:val="003804AC"/>
    <w:rsid w:val="00380581"/>
    <w:rsid w:val="0038115D"/>
    <w:rsid w:val="003815DA"/>
    <w:rsid w:val="0038193A"/>
    <w:rsid w:val="0038259E"/>
    <w:rsid w:val="0038269C"/>
    <w:rsid w:val="00383062"/>
    <w:rsid w:val="00383F68"/>
    <w:rsid w:val="00383F8A"/>
    <w:rsid w:val="00385503"/>
    <w:rsid w:val="003864ED"/>
    <w:rsid w:val="0038744B"/>
    <w:rsid w:val="00387797"/>
    <w:rsid w:val="00390BD3"/>
    <w:rsid w:val="00391867"/>
    <w:rsid w:val="00391C75"/>
    <w:rsid w:val="00391E7A"/>
    <w:rsid w:val="0039297B"/>
    <w:rsid w:val="00392BFE"/>
    <w:rsid w:val="003941C2"/>
    <w:rsid w:val="003966BC"/>
    <w:rsid w:val="003967F1"/>
    <w:rsid w:val="00396DDE"/>
    <w:rsid w:val="003A042F"/>
    <w:rsid w:val="003A0938"/>
    <w:rsid w:val="003A18E1"/>
    <w:rsid w:val="003A1E86"/>
    <w:rsid w:val="003A1F3E"/>
    <w:rsid w:val="003A200A"/>
    <w:rsid w:val="003A2701"/>
    <w:rsid w:val="003A3027"/>
    <w:rsid w:val="003A3718"/>
    <w:rsid w:val="003A39A6"/>
    <w:rsid w:val="003A3C26"/>
    <w:rsid w:val="003A4C4B"/>
    <w:rsid w:val="003A5115"/>
    <w:rsid w:val="003A5970"/>
    <w:rsid w:val="003A59CA"/>
    <w:rsid w:val="003A59D6"/>
    <w:rsid w:val="003A6CA3"/>
    <w:rsid w:val="003A7962"/>
    <w:rsid w:val="003A7973"/>
    <w:rsid w:val="003A7E9E"/>
    <w:rsid w:val="003B0491"/>
    <w:rsid w:val="003B06FD"/>
    <w:rsid w:val="003B0F49"/>
    <w:rsid w:val="003B15A8"/>
    <w:rsid w:val="003B1DA6"/>
    <w:rsid w:val="003B328C"/>
    <w:rsid w:val="003B3A53"/>
    <w:rsid w:val="003B3E87"/>
    <w:rsid w:val="003B5629"/>
    <w:rsid w:val="003B591B"/>
    <w:rsid w:val="003B661C"/>
    <w:rsid w:val="003C048A"/>
    <w:rsid w:val="003C0908"/>
    <w:rsid w:val="003C091B"/>
    <w:rsid w:val="003C0C96"/>
    <w:rsid w:val="003C0F42"/>
    <w:rsid w:val="003C228F"/>
    <w:rsid w:val="003C2491"/>
    <w:rsid w:val="003C2782"/>
    <w:rsid w:val="003C2B0D"/>
    <w:rsid w:val="003C2BFB"/>
    <w:rsid w:val="003C35C8"/>
    <w:rsid w:val="003C475B"/>
    <w:rsid w:val="003C4CBD"/>
    <w:rsid w:val="003C4DDC"/>
    <w:rsid w:val="003C5496"/>
    <w:rsid w:val="003C7D57"/>
    <w:rsid w:val="003D0694"/>
    <w:rsid w:val="003D096D"/>
    <w:rsid w:val="003D0F64"/>
    <w:rsid w:val="003D1713"/>
    <w:rsid w:val="003D24DA"/>
    <w:rsid w:val="003D357C"/>
    <w:rsid w:val="003D35CE"/>
    <w:rsid w:val="003D3A8A"/>
    <w:rsid w:val="003D4903"/>
    <w:rsid w:val="003D4D80"/>
    <w:rsid w:val="003D627F"/>
    <w:rsid w:val="003D6865"/>
    <w:rsid w:val="003D70E0"/>
    <w:rsid w:val="003D7A09"/>
    <w:rsid w:val="003D7AC1"/>
    <w:rsid w:val="003E24C1"/>
    <w:rsid w:val="003E25CC"/>
    <w:rsid w:val="003E3904"/>
    <w:rsid w:val="003E3A14"/>
    <w:rsid w:val="003E4677"/>
    <w:rsid w:val="003E4F08"/>
    <w:rsid w:val="003E51B1"/>
    <w:rsid w:val="003E5E6F"/>
    <w:rsid w:val="003E642F"/>
    <w:rsid w:val="003E65C0"/>
    <w:rsid w:val="003E6C87"/>
    <w:rsid w:val="003E6E6D"/>
    <w:rsid w:val="003F025F"/>
    <w:rsid w:val="003F042B"/>
    <w:rsid w:val="003F04B4"/>
    <w:rsid w:val="003F06B2"/>
    <w:rsid w:val="003F18EC"/>
    <w:rsid w:val="003F2075"/>
    <w:rsid w:val="003F2226"/>
    <w:rsid w:val="003F22F4"/>
    <w:rsid w:val="003F23C2"/>
    <w:rsid w:val="003F3225"/>
    <w:rsid w:val="003F51DD"/>
    <w:rsid w:val="003F54B5"/>
    <w:rsid w:val="003F5B32"/>
    <w:rsid w:val="003F792C"/>
    <w:rsid w:val="003F7B19"/>
    <w:rsid w:val="003F7F48"/>
    <w:rsid w:val="004000D0"/>
    <w:rsid w:val="00400F23"/>
    <w:rsid w:val="00401364"/>
    <w:rsid w:val="00401489"/>
    <w:rsid w:val="004016C0"/>
    <w:rsid w:val="004017B9"/>
    <w:rsid w:val="0040263F"/>
    <w:rsid w:val="00402E32"/>
    <w:rsid w:val="0040408C"/>
    <w:rsid w:val="00404C6D"/>
    <w:rsid w:val="00405A87"/>
    <w:rsid w:val="00405FDB"/>
    <w:rsid w:val="004070F1"/>
    <w:rsid w:val="0040766E"/>
    <w:rsid w:val="004108BE"/>
    <w:rsid w:val="00412988"/>
    <w:rsid w:val="00412C11"/>
    <w:rsid w:val="004134B5"/>
    <w:rsid w:val="004137C2"/>
    <w:rsid w:val="00414116"/>
    <w:rsid w:val="00414C5E"/>
    <w:rsid w:val="0041501D"/>
    <w:rsid w:val="0041588E"/>
    <w:rsid w:val="00416A71"/>
    <w:rsid w:val="00416AA7"/>
    <w:rsid w:val="004175CB"/>
    <w:rsid w:val="00421BE2"/>
    <w:rsid w:val="00422757"/>
    <w:rsid w:val="0042294C"/>
    <w:rsid w:val="00422AD5"/>
    <w:rsid w:val="00422B17"/>
    <w:rsid w:val="0042396E"/>
    <w:rsid w:val="00424ABE"/>
    <w:rsid w:val="00426297"/>
    <w:rsid w:val="0042638A"/>
    <w:rsid w:val="00426791"/>
    <w:rsid w:val="00426A27"/>
    <w:rsid w:val="004271EE"/>
    <w:rsid w:val="0042725D"/>
    <w:rsid w:val="00427342"/>
    <w:rsid w:val="00427558"/>
    <w:rsid w:val="00430C66"/>
    <w:rsid w:val="00430F5C"/>
    <w:rsid w:val="00430FEB"/>
    <w:rsid w:val="004312BE"/>
    <w:rsid w:val="0043135F"/>
    <w:rsid w:val="004313FD"/>
    <w:rsid w:val="00432081"/>
    <w:rsid w:val="004323A0"/>
    <w:rsid w:val="004327F8"/>
    <w:rsid w:val="004329DF"/>
    <w:rsid w:val="004330AC"/>
    <w:rsid w:val="0043373F"/>
    <w:rsid w:val="004346F2"/>
    <w:rsid w:val="004347DA"/>
    <w:rsid w:val="0043484C"/>
    <w:rsid w:val="004355E2"/>
    <w:rsid w:val="00436A74"/>
    <w:rsid w:val="004370CD"/>
    <w:rsid w:val="00437537"/>
    <w:rsid w:val="00437EB5"/>
    <w:rsid w:val="00440188"/>
    <w:rsid w:val="00440498"/>
    <w:rsid w:val="00441444"/>
    <w:rsid w:val="004416E9"/>
    <w:rsid w:val="00442980"/>
    <w:rsid w:val="00442D60"/>
    <w:rsid w:val="00442DA1"/>
    <w:rsid w:val="004435C5"/>
    <w:rsid w:val="0044371E"/>
    <w:rsid w:val="004438BD"/>
    <w:rsid w:val="004448FE"/>
    <w:rsid w:val="00444E1E"/>
    <w:rsid w:val="00444FCF"/>
    <w:rsid w:val="00445456"/>
    <w:rsid w:val="0044585F"/>
    <w:rsid w:val="00446407"/>
    <w:rsid w:val="00446A01"/>
    <w:rsid w:val="00447093"/>
    <w:rsid w:val="00447175"/>
    <w:rsid w:val="0044739A"/>
    <w:rsid w:val="0044751B"/>
    <w:rsid w:val="00447E78"/>
    <w:rsid w:val="0045070B"/>
    <w:rsid w:val="00450C90"/>
    <w:rsid w:val="00450EB1"/>
    <w:rsid w:val="00450FA8"/>
    <w:rsid w:val="00451185"/>
    <w:rsid w:val="004517C1"/>
    <w:rsid w:val="00451D91"/>
    <w:rsid w:val="00452199"/>
    <w:rsid w:val="00452D5F"/>
    <w:rsid w:val="00452EAC"/>
    <w:rsid w:val="00452FBD"/>
    <w:rsid w:val="00453B76"/>
    <w:rsid w:val="00454097"/>
    <w:rsid w:val="00454A5D"/>
    <w:rsid w:val="00454C15"/>
    <w:rsid w:val="00456156"/>
    <w:rsid w:val="00456210"/>
    <w:rsid w:val="0045623C"/>
    <w:rsid w:val="004578B0"/>
    <w:rsid w:val="00457991"/>
    <w:rsid w:val="00460541"/>
    <w:rsid w:val="0046056E"/>
    <w:rsid w:val="00460598"/>
    <w:rsid w:val="00460E50"/>
    <w:rsid w:val="004620F5"/>
    <w:rsid w:val="004621A2"/>
    <w:rsid w:val="004621EA"/>
    <w:rsid w:val="0046303A"/>
    <w:rsid w:val="00464902"/>
    <w:rsid w:val="00464BAC"/>
    <w:rsid w:val="004650E5"/>
    <w:rsid w:val="0046535F"/>
    <w:rsid w:val="0046570B"/>
    <w:rsid w:val="004658DF"/>
    <w:rsid w:val="00466BE4"/>
    <w:rsid w:val="0046711B"/>
    <w:rsid w:val="00467293"/>
    <w:rsid w:val="00471704"/>
    <w:rsid w:val="00471CB6"/>
    <w:rsid w:val="004723CF"/>
    <w:rsid w:val="00473B68"/>
    <w:rsid w:val="00473C24"/>
    <w:rsid w:val="00474B9E"/>
    <w:rsid w:val="00475784"/>
    <w:rsid w:val="00475EDC"/>
    <w:rsid w:val="00477C17"/>
    <w:rsid w:val="00477E5B"/>
    <w:rsid w:val="00480166"/>
    <w:rsid w:val="004803A8"/>
    <w:rsid w:val="004809C7"/>
    <w:rsid w:val="00480B0B"/>
    <w:rsid w:val="00481015"/>
    <w:rsid w:val="00481CFE"/>
    <w:rsid w:val="004824E2"/>
    <w:rsid w:val="0048295C"/>
    <w:rsid w:val="00483466"/>
    <w:rsid w:val="00483AB3"/>
    <w:rsid w:val="00483AF2"/>
    <w:rsid w:val="00484257"/>
    <w:rsid w:val="0048489E"/>
    <w:rsid w:val="00484D14"/>
    <w:rsid w:val="00485022"/>
    <w:rsid w:val="0048702D"/>
    <w:rsid w:val="00487076"/>
    <w:rsid w:val="004876EA"/>
    <w:rsid w:val="00487E4B"/>
    <w:rsid w:val="00490841"/>
    <w:rsid w:val="004908E2"/>
    <w:rsid w:val="00491977"/>
    <w:rsid w:val="0049252E"/>
    <w:rsid w:val="00492754"/>
    <w:rsid w:val="004930D2"/>
    <w:rsid w:val="00493334"/>
    <w:rsid w:val="0049346F"/>
    <w:rsid w:val="004937F4"/>
    <w:rsid w:val="00493817"/>
    <w:rsid w:val="00495A6A"/>
    <w:rsid w:val="00496213"/>
    <w:rsid w:val="0049743D"/>
    <w:rsid w:val="0049760B"/>
    <w:rsid w:val="004A1482"/>
    <w:rsid w:val="004A14D6"/>
    <w:rsid w:val="004A167D"/>
    <w:rsid w:val="004A3690"/>
    <w:rsid w:val="004A40D4"/>
    <w:rsid w:val="004A416B"/>
    <w:rsid w:val="004A47C6"/>
    <w:rsid w:val="004A4F97"/>
    <w:rsid w:val="004A57F8"/>
    <w:rsid w:val="004A5884"/>
    <w:rsid w:val="004A5FDE"/>
    <w:rsid w:val="004A5FE4"/>
    <w:rsid w:val="004A6592"/>
    <w:rsid w:val="004A6DB3"/>
    <w:rsid w:val="004A71D7"/>
    <w:rsid w:val="004A7520"/>
    <w:rsid w:val="004A7FF1"/>
    <w:rsid w:val="004B0225"/>
    <w:rsid w:val="004B029C"/>
    <w:rsid w:val="004B0ED9"/>
    <w:rsid w:val="004B1176"/>
    <w:rsid w:val="004B11AF"/>
    <w:rsid w:val="004B19E9"/>
    <w:rsid w:val="004B1BE5"/>
    <w:rsid w:val="004B21D0"/>
    <w:rsid w:val="004B27B9"/>
    <w:rsid w:val="004B2EA8"/>
    <w:rsid w:val="004B30A5"/>
    <w:rsid w:val="004B3F82"/>
    <w:rsid w:val="004B4414"/>
    <w:rsid w:val="004B4F50"/>
    <w:rsid w:val="004B50CE"/>
    <w:rsid w:val="004B6112"/>
    <w:rsid w:val="004B6DC7"/>
    <w:rsid w:val="004B7754"/>
    <w:rsid w:val="004C0748"/>
    <w:rsid w:val="004C1EF5"/>
    <w:rsid w:val="004C21FF"/>
    <w:rsid w:val="004C23FA"/>
    <w:rsid w:val="004C2EC4"/>
    <w:rsid w:val="004C4643"/>
    <w:rsid w:val="004C489F"/>
    <w:rsid w:val="004C5A00"/>
    <w:rsid w:val="004D03F3"/>
    <w:rsid w:val="004D0B24"/>
    <w:rsid w:val="004D154C"/>
    <w:rsid w:val="004D1F7C"/>
    <w:rsid w:val="004D2407"/>
    <w:rsid w:val="004D24C3"/>
    <w:rsid w:val="004D2960"/>
    <w:rsid w:val="004D299F"/>
    <w:rsid w:val="004D3870"/>
    <w:rsid w:val="004D389F"/>
    <w:rsid w:val="004D4C17"/>
    <w:rsid w:val="004D6673"/>
    <w:rsid w:val="004D6788"/>
    <w:rsid w:val="004D69DD"/>
    <w:rsid w:val="004D6D11"/>
    <w:rsid w:val="004D75A9"/>
    <w:rsid w:val="004D78E2"/>
    <w:rsid w:val="004D7C80"/>
    <w:rsid w:val="004E0167"/>
    <w:rsid w:val="004E0C5F"/>
    <w:rsid w:val="004E2123"/>
    <w:rsid w:val="004E2624"/>
    <w:rsid w:val="004E2681"/>
    <w:rsid w:val="004E2948"/>
    <w:rsid w:val="004E2B51"/>
    <w:rsid w:val="004E32CF"/>
    <w:rsid w:val="004E3403"/>
    <w:rsid w:val="004E3AC2"/>
    <w:rsid w:val="004E4240"/>
    <w:rsid w:val="004E443E"/>
    <w:rsid w:val="004E4614"/>
    <w:rsid w:val="004E578E"/>
    <w:rsid w:val="004E65C9"/>
    <w:rsid w:val="004E6728"/>
    <w:rsid w:val="004E7FAB"/>
    <w:rsid w:val="004F1BA2"/>
    <w:rsid w:val="004F25B8"/>
    <w:rsid w:val="004F2AEB"/>
    <w:rsid w:val="004F2D0A"/>
    <w:rsid w:val="004F2D64"/>
    <w:rsid w:val="004F34E2"/>
    <w:rsid w:val="004F3733"/>
    <w:rsid w:val="004F3B88"/>
    <w:rsid w:val="004F42C2"/>
    <w:rsid w:val="004F5FAF"/>
    <w:rsid w:val="004F68E3"/>
    <w:rsid w:val="004F6C0F"/>
    <w:rsid w:val="00500FCD"/>
    <w:rsid w:val="00501629"/>
    <w:rsid w:val="005019CA"/>
    <w:rsid w:val="00501F02"/>
    <w:rsid w:val="00502547"/>
    <w:rsid w:val="00502E00"/>
    <w:rsid w:val="005043B7"/>
    <w:rsid w:val="00504EB3"/>
    <w:rsid w:val="005052FB"/>
    <w:rsid w:val="00505C2D"/>
    <w:rsid w:val="00506689"/>
    <w:rsid w:val="00506F75"/>
    <w:rsid w:val="005107E8"/>
    <w:rsid w:val="0051113E"/>
    <w:rsid w:val="0051126D"/>
    <w:rsid w:val="00511873"/>
    <w:rsid w:val="00512104"/>
    <w:rsid w:val="0051249D"/>
    <w:rsid w:val="00512C70"/>
    <w:rsid w:val="00512E0B"/>
    <w:rsid w:val="00513DB6"/>
    <w:rsid w:val="0051408C"/>
    <w:rsid w:val="005146C6"/>
    <w:rsid w:val="0051492D"/>
    <w:rsid w:val="00514C1B"/>
    <w:rsid w:val="00515446"/>
    <w:rsid w:val="00515639"/>
    <w:rsid w:val="0051594D"/>
    <w:rsid w:val="00515CBF"/>
    <w:rsid w:val="00515DC3"/>
    <w:rsid w:val="00515DFE"/>
    <w:rsid w:val="00516357"/>
    <w:rsid w:val="005179F6"/>
    <w:rsid w:val="00517FCF"/>
    <w:rsid w:val="00520B2D"/>
    <w:rsid w:val="00521223"/>
    <w:rsid w:val="00521B6F"/>
    <w:rsid w:val="00522D1B"/>
    <w:rsid w:val="00522D20"/>
    <w:rsid w:val="005234B0"/>
    <w:rsid w:val="00523F59"/>
    <w:rsid w:val="005250E4"/>
    <w:rsid w:val="00525728"/>
    <w:rsid w:val="00526375"/>
    <w:rsid w:val="005276BA"/>
    <w:rsid w:val="0053038D"/>
    <w:rsid w:val="0053043D"/>
    <w:rsid w:val="005309E8"/>
    <w:rsid w:val="005312A6"/>
    <w:rsid w:val="0053148C"/>
    <w:rsid w:val="00531707"/>
    <w:rsid w:val="005317C3"/>
    <w:rsid w:val="0053393C"/>
    <w:rsid w:val="0053512F"/>
    <w:rsid w:val="00536D13"/>
    <w:rsid w:val="00537800"/>
    <w:rsid w:val="005402D6"/>
    <w:rsid w:val="0054058C"/>
    <w:rsid w:val="0054077C"/>
    <w:rsid w:val="00540C77"/>
    <w:rsid w:val="00540CB3"/>
    <w:rsid w:val="00542A4A"/>
    <w:rsid w:val="00542F3D"/>
    <w:rsid w:val="005431E1"/>
    <w:rsid w:val="0054359A"/>
    <w:rsid w:val="00543D1C"/>
    <w:rsid w:val="00544BEB"/>
    <w:rsid w:val="00545828"/>
    <w:rsid w:val="00546B07"/>
    <w:rsid w:val="00547AAC"/>
    <w:rsid w:val="00547BDD"/>
    <w:rsid w:val="00547DAA"/>
    <w:rsid w:val="00551B6D"/>
    <w:rsid w:val="00552587"/>
    <w:rsid w:val="00555043"/>
    <w:rsid w:val="005550AC"/>
    <w:rsid w:val="00555684"/>
    <w:rsid w:val="00555A67"/>
    <w:rsid w:val="00556364"/>
    <w:rsid w:val="0055662D"/>
    <w:rsid w:val="005579A4"/>
    <w:rsid w:val="00557B2B"/>
    <w:rsid w:val="00560003"/>
    <w:rsid w:val="0056032C"/>
    <w:rsid w:val="00560D6E"/>
    <w:rsid w:val="0056155C"/>
    <w:rsid w:val="005625EE"/>
    <w:rsid w:val="00563D31"/>
    <w:rsid w:val="00564179"/>
    <w:rsid w:val="00564CD7"/>
    <w:rsid w:val="005650AA"/>
    <w:rsid w:val="0056598D"/>
    <w:rsid w:val="0056649F"/>
    <w:rsid w:val="00566CAE"/>
    <w:rsid w:val="00566E3F"/>
    <w:rsid w:val="005678B8"/>
    <w:rsid w:val="00567F61"/>
    <w:rsid w:val="0057074C"/>
    <w:rsid w:val="00570B77"/>
    <w:rsid w:val="00570CDE"/>
    <w:rsid w:val="0057120D"/>
    <w:rsid w:val="005712F3"/>
    <w:rsid w:val="00571DD0"/>
    <w:rsid w:val="00571E0C"/>
    <w:rsid w:val="00572E51"/>
    <w:rsid w:val="00573379"/>
    <w:rsid w:val="005734C8"/>
    <w:rsid w:val="00573F84"/>
    <w:rsid w:val="00574978"/>
    <w:rsid w:val="0057583C"/>
    <w:rsid w:val="005765A2"/>
    <w:rsid w:val="00576622"/>
    <w:rsid w:val="00577594"/>
    <w:rsid w:val="00577AE5"/>
    <w:rsid w:val="00577C28"/>
    <w:rsid w:val="005802FC"/>
    <w:rsid w:val="0058055F"/>
    <w:rsid w:val="00580862"/>
    <w:rsid w:val="005820CD"/>
    <w:rsid w:val="0058223D"/>
    <w:rsid w:val="00583214"/>
    <w:rsid w:val="0058323F"/>
    <w:rsid w:val="0058412A"/>
    <w:rsid w:val="005845A3"/>
    <w:rsid w:val="00584DD7"/>
    <w:rsid w:val="00585D67"/>
    <w:rsid w:val="00585F14"/>
    <w:rsid w:val="005865A3"/>
    <w:rsid w:val="00586674"/>
    <w:rsid w:val="005868AE"/>
    <w:rsid w:val="00586BD5"/>
    <w:rsid w:val="00586C43"/>
    <w:rsid w:val="005877BC"/>
    <w:rsid w:val="00587CB1"/>
    <w:rsid w:val="00587D62"/>
    <w:rsid w:val="005900F2"/>
    <w:rsid w:val="0059092D"/>
    <w:rsid w:val="00590DA1"/>
    <w:rsid w:val="005915E3"/>
    <w:rsid w:val="00591D0F"/>
    <w:rsid w:val="00591D42"/>
    <w:rsid w:val="0059296C"/>
    <w:rsid w:val="00593F1A"/>
    <w:rsid w:val="00593F22"/>
    <w:rsid w:val="0059412A"/>
    <w:rsid w:val="00594E0E"/>
    <w:rsid w:val="00596BA1"/>
    <w:rsid w:val="00597635"/>
    <w:rsid w:val="005A049B"/>
    <w:rsid w:val="005A0E2C"/>
    <w:rsid w:val="005A1C70"/>
    <w:rsid w:val="005A1C7E"/>
    <w:rsid w:val="005A365B"/>
    <w:rsid w:val="005A4340"/>
    <w:rsid w:val="005A486F"/>
    <w:rsid w:val="005A52E0"/>
    <w:rsid w:val="005A54D4"/>
    <w:rsid w:val="005A567A"/>
    <w:rsid w:val="005A6248"/>
    <w:rsid w:val="005A62E8"/>
    <w:rsid w:val="005A6CF7"/>
    <w:rsid w:val="005A7728"/>
    <w:rsid w:val="005A7C85"/>
    <w:rsid w:val="005B0321"/>
    <w:rsid w:val="005B077E"/>
    <w:rsid w:val="005B107A"/>
    <w:rsid w:val="005B1462"/>
    <w:rsid w:val="005B1474"/>
    <w:rsid w:val="005B14B8"/>
    <w:rsid w:val="005B1F5D"/>
    <w:rsid w:val="005B219C"/>
    <w:rsid w:val="005B238C"/>
    <w:rsid w:val="005B3A65"/>
    <w:rsid w:val="005B553F"/>
    <w:rsid w:val="005B597E"/>
    <w:rsid w:val="005B6008"/>
    <w:rsid w:val="005B6F08"/>
    <w:rsid w:val="005B79D0"/>
    <w:rsid w:val="005C0232"/>
    <w:rsid w:val="005C039C"/>
    <w:rsid w:val="005C1B72"/>
    <w:rsid w:val="005C2071"/>
    <w:rsid w:val="005C339D"/>
    <w:rsid w:val="005C453C"/>
    <w:rsid w:val="005C4C99"/>
    <w:rsid w:val="005C4DAD"/>
    <w:rsid w:val="005C690A"/>
    <w:rsid w:val="005C69EA"/>
    <w:rsid w:val="005C7098"/>
    <w:rsid w:val="005D1FF2"/>
    <w:rsid w:val="005D2463"/>
    <w:rsid w:val="005D27DA"/>
    <w:rsid w:val="005D338B"/>
    <w:rsid w:val="005D537A"/>
    <w:rsid w:val="005D5D4F"/>
    <w:rsid w:val="005D66DA"/>
    <w:rsid w:val="005D736F"/>
    <w:rsid w:val="005D7744"/>
    <w:rsid w:val="005D7E01"/>
    <w:rsid w:val="005E159E"/>
    <w:rsid w:val="005E1FDD"/>
    <w:rsid w:val="005E2741"/>
    <w:rsid w:val="005E2A47"/>
    <w:rsid w:val="005E3091"/>
    <w:rsid w:val="005E36C4"/>
    <w:rsid w:val="005E3A8C"/>
    <w:rsid w:val="005E4A92"/>
    <w:rsid w:val="005E688F"/>
    <w:rsid w:val="005E73B3"/>
    <w:rsid w:val="005F0A8D"/>
    <w:rsid w:val="005F0BDD"/>
    <w:rsid w:val="005F1091"/>
    <w:rsid w:val="005F20A1"/>
    <w:rsid w:val="005F247B"/>
    <w:rsid w:val="005F24A6"/>
    <w:rsid w:val="005F301F"/>
    <w:rsid w:val="005F3719"/>
    <w:rsid w:val="005F3E32"/>
    <w:rsid w:val="005F5034"/>
    <w:rsid w:val="005F5228"/>
    <w:rsid w:val="005F5A79"/>
    <w:rsid w:val="005F5B5D"/>
    <w:rsid w:val="005F5CBF"/>
    <w:rsid w:val="005F6090"/>
    <w:rsid w:val="005F63FE"/>
    <w:rsid w:val="005F6FEB"/>
    <w:rsid w:val="00600148"/>
    <w:rsid w:val="00601B35"/>
    <w:rsid w:val="006021C7"/>
    <w:rsid w:val="006022C2"/>
    <w:rsid w:val="00602446"/>
    <w:rsid w:val="00603021"/>
    <w:rsid w:val="006038AE"/>
    <w:rsid w:val="0060512C"/>
    <w:rsid w:val="00605DC0"/>
    <w:rsid w:val="006063FF"/>
    <w:rsid w:val="00606C47"/>
    <w:rsid w:val="00606CFD"/>
    <w:rsid w:val="00607202"/>
    <w:rsid w:val="00611E9D"/>
    <w:rsid w:val="0061297E"/>
    <w:rsid w:val="0061307B"/>
    <w:rsid w:val="00613296"/>
    <w:rsid w:val="0061333E"/>
    <w:rsid w:val="00613F15"/>
    <w:rsid w:val="006143E6"/>
    <w:rsid w:val="00614407"/>
    <w:rsid w:val="0061495C"/>
    <w:rsid w:val="006152A5"/>
    <w:rsid w:val="006160EB"/>
    <w:rsid w:val="00616163"/>
    <w:rsid w:val="00620322"/>
    <w:rsid w:val="00620BB3"/>
    <w:rsid w:val="006212A9"/>
    <w:rsid w:val="0062161E"/>
    <w:rsid w:val="006216AB"/>
    <w:rsid w:val="00621D5E"/>
    <w:rsid w:val="00622A00"/>
    <w:rsid w:val="00622F1D"/>
    <w:rsid w:val="006235A7"/>
    <w:rsid w:val="006248D4"/>
    <w:rsid w:val="00624ADB"/>
    <w:rsid w:val="00624B80"/>
    <w:rsid w:val="006252A4"/>
    <w:rsid w:val="00625867"/>
    <w:rsid w:val="00625953"/>
    <w:rsid w:val="00626499"/>
    <w:rsid w:val="00626995"/>
    <w:rsid w:val="0062722E"/>
    <w:rsid w:val="00627371"/>
    <w:rsid w:val="00627415"/>
    <w:rsid w:val="006277EE"/>
    <w:rsid w:val="00627FA8"/>
    <w:rsid w:val="0063118B"/>
    <w:rsid w:val="00631900"/>
    <w:rsid w:val="00631B2A"/>
    <w:rsid w:val="006324EC"/>
    <w:rsid w:val="006333E3"/>
    <w:rsid w:val="00634800"/>
    <w:rsid w:val="00635E50"/>
    <w:rsid w:val="00635F2A"/>
    <w:rsid w:val="00637762"/>
    <w:rsid w:val="006378F4"/>
    <w:rsid w:val="00637F23"/>
    <w:rsid w:val="0064092F"/>
    <w:rsid w:val="00640B03"/>
    <w:rsid w:val="00640ECD"/>
    <w:rsid w:val="006425BC"/>
    <w:rsid w:val="0064269C"/>
    <w:rsid w:val="00642856"/>
    <w:rsid w:val="00642D43"/>
    <w:rsid w:val="006432EF"/>
    <w:rsid w:val="00643DE1"/>
    <w:rsid w:val="00643F60"/>
    <w:rsid w:val="00644016"/>
    <w:rsid w:val="00644206"/>
    <w:rsid w:val="0064444F"/>
    <w:rsid w:val="006454C1"/>
    <w:rsid w:val="00645E43"/>
    <w:rsid w:val="00646EE0"/>
    <w:rsid w:val="006471B9"/>
    <w:rsid w:val="006472A7"/>
    <w:rsid w:val="00647711"/>
    <w:rsid w:val="006478CE"/>
    <w:rsid w:val="00650A62"/>
    <w:rsid w:val="00651D31"/>
    <w:rsid w:val="0065267C"/>
    <w:rsid w:val="006526BC"/>
    <w:rsid w:val="0065471E"/>
    <w:rsid w:val="00656A8E"/>
    <w:rsid w:val="0065722A"/>
    <w:rsid w:val="006575B0"/>
    <w:rsid w:val="006619CB"/>
    <w:rsid w:val="00662074"/>
    <w:rsid w:val="006625FF"/>
    <w:rsid w:val="0066268D"/>
    <w:rsid w:val="00662EDF"/>
    <w:rsid w:val="00663D0B"/>
    <w:rsid w:val="00664601"/>
    <w:rsid w:val="00665092"/>
    <w:rsid w:val="00665F8E"/>
    <w:rsid w:val="006667BA"/>
    <w:rsid w:val="00666C64"/>
    <w:rsid w:val="00667ADF"/>
    <w:rsid w:val="00667CA7"/>
    <w:rsid w:val="00670064"/>
    <w:rsid w:val="00670709"/>
    <w:rsid w:val="0067143C"/>
    <w:rsid w:val="00671853"/>
    <w:rsid w:val="006718E5"/>
    <w:rsid w:val="006718ED"/>
    <w:rsid w:val="00672D7E"/>
    <w:rsid w:val="006736D0"/>
    <w:rsid w:val="0067399F"/>
    <w:rsid w:val="00673C03"/>
    <w:rsid w:val="00674DF6"/>
    <w:rsid w:val="006751CF"/>
    <w:rsid w:val="00676710"/>
    <w:rsid w:val="00676A5B"/>
    <w:rsid w:val="0067704A"/>
    <w:rsid w:val="0067776A"/>
    <w:rsid w:val="00677D43"/>
    <w:rsid w:val="0068016E"/>
    <w:rsid w:val="006807E0"/>
    <w:rsid w:val="00682303"/>
    <w:rsid w:val="00683CD2"/>
    <w:rsid w:val="006843B1"/>
    <w:rsid w:val="00684963"/>
    <w:rsid w:val="00684D9F"/>
    <w:rsid w:val="00684F34"/>
    <w:rsid w:val="006863B8"/>
    <w:rsid w:val="0068775A"/>
    <w:rsid w:val="00687AE1"/>
    <w:rsid w:val="0069057D"/>
    <w:rsid w:val="006919DB"/>
    <w:rsid w:val="00691ECA"/>
    <w:rsid w:val="00693110"/>
    <w:rsid w:val="0069394B"/>
    <w:rsid w:val="00693D3A"/>
    <w:rsid w:val="00693F2C"/>
    <w:rsid w:val="00694AAB"/>
    <w:rsid w:val="00694B0E"/>
    <w:rsid w:val="00694C3F"/>
    <w:rsid w:val="00694DA2"/>
    <w:rsid w:val="00694EA0"/>
    <w:rsid w:val="00695127"/>
    <w:rsid w:val="0069550D"/>
    <w:rsid w:val="006970FC"/>
    <w:rsid w:val="006971FE"/>
    <w:rsid w:val="00697E59"/>
    <w:rsid w:val="006A1FB3"/>
    <w:rsid w:val="006A23B0"/>
    <w:rsid w:val="006A2ACD"/>
    <w:rsid w:val="006A2E3B"/>
    <w:rsid w:val="006A2FCF"/>
    <w:rsid w:val="006A30CC"/>
    <w:rsid w:val="006A369A"/>
    <w:rsid w:val="006A4690"/>
    <w:rsid w:val="006A489D"/>
    <w:rsid w:val="006A4BBB"/>
    <w:rsid w:val="006A5BDD"/>
    <w:rsid w:val="006A7305"/>
    <w:rsid w:val="006A7397"/>
    <w:rsid w:val="006A767D"/>
    <w:rsid w:val="006A7922"/>
    <w:rsid w:val="006A7BBD"/>
    <w:rsid w:val="006A7D2B"/>
    <w:rsid w:val="006B0806"/>
    <w:rsid w:val="006B158C"/>
    <w:rsid w:val="006B1ADF"/>
    <w:rsid w:val="006B1E6E"/>
    <w:rsid w:val="006B2481"/>
    <w:rsid w:val="006B2795"/>
    <w:rsid w:val="006B2F57"/>
    <w:rsid w:val="006B31A2"/>
    <w:rsid w:val="006B39EA"/>
    <w:rsid w:val="006B4275"/>
    <w:rsid w:val="006B438E"/>
    <w:rsid w:val="006B5AC3"/>
    <w:rsid w:val="006B6F32"/>
    <w:rsid w:val="006B74E4"/>
    <w:rsid w:val="006C0118"/>
    <w:rsid w:val="006C04D1"/>
    <w:rsid w:val="006C10CF"/>
    <w:rsid w:val="006C1FDB"/>
    <w:rsid w:val="006C26A6"/>
    <w:rsid w:val="006C37ED"/>
    <w:rsid w:val="006C392B"/>
    <w:rsid w:val="006C3A6E"/>
    <w:rsid w:val="006C3BAD"/>
    <w:rsid w:val="006C3DDE"/>
    <w:rsid w:val="006C45D0"/>
    <w:rsid w:val="006C4C64"/>
    <w:rsid w:val="006C54E7"/>
    <w:rsid w:val="006C6EA1"/>
    <w:rsid w:val="006C7BFA"/>
    <w:rsid w:val="006C7C29"/>
    <w:rsid w:val="006D0083"/>
    <w:rsid w:val="006D2240"/>
    <w:rsid w:val="006D24B4"/>
    <w:rsid w:val="006D24E9"/>
    <w:rsid w:val="006D25B4"/>
    <w:rsid w:val="006D2A3E"/>
    <w:rsid w:val="006D3700"/>
    <w:rsid w:val="006D3780"/>
    <w:rsid w:val="006D3A56"/>
    <w:rsid w:val="006D3CFE"/>
    <w:rsid w:val="006D42CB"/>
    <w:rsid w:val="006D44CF"/>
    <w:rsid w:val="006D6808"/>
    <w:rsid w:val="006D7420"/>
    <w:rsid w:val="006D79A0"/>
    <w:rsid w:val="006D7FD2"/>
    <w:rsid w:val="006E135D"/>
    <w:rsid w:val="006E1398"/>
    <w:rsid w:val="006E234D"/>
    <w:rsid w:val="006E258B"/>
    <w:rsid w:val="006E411F"/>
    <w:rsid w:val="006E420C"/>
    <w:rsid w:val="006E4304"/>
    <w:rsid w:val="006E4EFD"/>
    <w:rsid w:val="006E5090"/>
    <w:rsid w:val="006E5530"/>
    <w:rsid w:val="006E5ECD"/>
    <w:rsid w:val="006E5F35"/>
    <w:rsid w:val="006E79E5"/>
    <w:rsid w:val="006E7EAC"/>
    <w:rsid w:val="006E7FA6"/>
    <w:rsid w:val="006F0351"/>
    <w:rsid w:val="006F359A"/>
    <w:rsid w:val="006F36E1"/>
    <w:rsid w:val="006F503B"/>
    <w:rsid w:val="006F52ED"/>
    <w:rsid w:val="006F5A2C"/>
    <w:rsid w:val="006F5EEE"/>
    <w:rsid w:val="006F67CE"/>
    <w:rsid w:val="006F6D72"/>
    <w:rsid w:val="007017A7"/>
    <w:rsid w:val="0070385A"/>
    <w:rsid w:val="007039CA"/>
    <w:rsid w:val="00703DEE"/>
    <w:rsid w:val="00704447"/>
    <w:rsid w:val="0070554F"/>
    <w:rsid w:val="00706048"/>
    <w:rsid w:val="00706DE6"/>
    <w:rsid w:val="007074BB"/>
    <w:rsid w:val="007074C6"/>
    <w:rsid w:val="007078BC"/>
    <w:rsid w:val="007109C9"/>
    <w:rsid w:val="00710D51"/>
    <w:rsid w:val="00710EC4"/>
    <w:rsid w:val="00711093"/>
    <w:rsid w:val="00711A02"/>
    <w:rsid w:val="0071206B"/>
    <w:rsid w:val="0071217F"/>
    <w:rsid w:val="00712D34"/>
    <w:rsid w:val="00713591"/>
    <w:rsid w:val="00713F2B"/>
    <w:rsid w:val="007154DA"/>
    <w:rsid w:val="00715741"/>
    <w:rsid w:val="0071625B"/>
    <w:rsid w:val="0071738B"/>
    <w:rsid w:val="007201EA"/>
    <w:rsid w:val="00720B50"/>
    <w:rsid w:val="00721A95"/>
    <w:rsid w:val="00721F2E"/>
    <w:rsid w:val="00722A4D"/>
    <w:rsid w:val="00722ADA"/>
    <w:rsid w:val="00723348"/>
    <w:rsid w:val="007234A5"/>
    <w:rsid w:val="00723F12"/>
    <w:rsid w:val="0072435F"/>
    <w:rsid w:val="0072462D"/>
    <w:rsid w:val="00724B48"/>
    <w:rsid w:val="00724CB9"/>
    <w:rsid w:val="007253E1"/>
    <w:rsid w:val="00725E04"/>
    <w:rsid w:val="0072601F"/>
    <w:rsid w:val="00726595"/>
    <w:rsid w:val="0072659F"/>
    <w:rsid w:val="007266EE"/>
    <w:rsid w:val="00726A60"/>
    <w:rsid w:val="00726BEE"/>
    <w:rsid w:val="00727557"/>
    <w:rsid w:val="007279BE"/>
    <w:rsid w:val="00727A89"/>
    <w:rsid w:val="00730E2E"/>
    <w:rsid w:val="007314AA"/>
    <w:rsid w:val="00731976"/>
    <w:rsid w:val="0073211D"/>
    <w:rsid w:val="007324EE"/>
    <w:rsid w:val="00733284"/>
    <w:rsid w:val="00733460"/>
    <w:rsid w:val="00733724"/>
    <w:rsid w:val="007341D4"/>
    <w:rsid w:val="007344CC"/>
    <w:rsid w:val="00734574"/>
    <w:rsid w:val="00736AAD"/>
    <w:rsid w:val="007376F7"/>
    <w:rsid w:val="00741671"/>
    <w:rsid w:val="0074283C"/>
    <w:rsid w:val="00742C0B"/>
    <w:rsid w:val="00744290"/>
    <w:rsid w:val="0074490F"/>
    <w:rsid w:val="007450C2"/>
    <w:rsid w:val="00745C44"/>
    <w:rsid w:val="00746BB5"/>
    <w:rsid w:val="00750311"/>
    <w:rsid w:val="0075052E"/>
    <w:rsid w:val="00750548"/>
    <w:rsid w:val="007509E5"/>
    <w:rsid w:val="00751F93"/>
    <w:rsid w:val="00752692"/>
    <w:rsid w:val="00752B3B"/>
    <w:rsid w:val="00754B2B"/>
    <w:rsid w:val="00754F1B"/>
    <w:rsid w:val="00755B55"/>
    <w:rsid w:val="00756846"/>
    <w:rsid w:val="00756A63"/>
    <w:rsid w:val="00756C5D"/>
    <w:rsid w:val="00757334"/>
    <w:rsid w:val="007622AD"/>
    <w:rsid w:val="00762A2A"/>
    <w:rsid w:val="007646F3"/>
    <w:rsid w:val="00764798"/>
    <w:rsid w:val="00764D30"/>
    <w:rsid w:val="00764DF4"/>
    <w:rsid w:val="00764E05"/>
    <w:rsid w:val="007650D7"/>
    <w:rsid w:val="0076643E"/>
    <w:rsid w:val="0076702B"/>
    <w:rsid w:val="00767D08"/>
    <w:rsid w:val="00771296"/>
    <w:rsid w:val="007716DE"/>
    <w:rsid w:val="00771B36"/>
    <w:rsid w:val="0077297B"/>
    <w:rsid w:val="00772AE8"/>
    <w:rsid w:val="0077479F"/>
    <w:rsid w:val="00775374"/>
    <w:rsid w:val="00775B2F"/>
    <w:rsid w:val="00776B30"/>
    <w:rsid w:val="00776E51"/>
    <w:rsid w:val="007832FB"/>
    <w:rsid w:val="007837AB"/>
    <w:rsid w:val="00783DED"/>
    <w:rsid w:val="0078402B"/>
    <w:rsid w:val="0078408C"/>
    <w:rsid w:val="007842B7"/>
    <w:rsid w:val="00784B0E"/>
    <w:rsid w:val="007852FF"/>
    <w:rsid w:val="00785A52"/>
    <w:rsid w:val="00786426"/>
    <w:rsid w:val="0078719F"/>
    <w:rsid w:val="007878DA"/>
    <w:rsid w:val="00790443"/>
    <w:rsid w:val="00790555"/>
    <w:rsid w:val="00790CA4"/>
    <w:rsid w:val="00792A56"/>
    <w:rsid w:val="00795BE1"/>
    <w:rsid w:val="0079651C"/>
    <w:rsid w:val="007966F9"/>
    <w:rsid w:val="007973FD"/>
    <w:rsid w:val="00797478"/>
    <w:rsid w:val="007A078D"/>
    <w:rsid w:val="007A113D"/>
    <w:rsid w:val="007A11B5"/>
    <w:rsid w:val="007A1A3C"/>
    <w:rsid w:val="007A1F85"/>
    <w:rsid w:val="007A200C"/>
    <w:rsid w:val="007A301B"/>
    <w:rsid w:val="007A3027"/>
    <w:rsid w:val="007A4748"/>
    <w:rsid w:val="007A479C"/>
    <w:rsid w:val="007A49FC"/>
    <w:rsid w:val="007A4CFC"/>
    <w:rsid w:val="007A4D63"/>
    <w:rsid w:val="007A5CD4"/>
    <w:rsid w:val="007A5DB1"/>
    <w:rsid w:val="007A6216"/>
    <w:rsid w:val="007B0241"/>
    <w:rsid w:val="007B0769"/>
    <w:rsid w:val="007B0ABB"/>
    <w:rsid w:val="007B17FA"/>
    <w:rsid w:val="007B3C9E"/>
    <w:rsid w:val="007B46E1"/>
    <w:rsid w:val="007B6863"/>
    <w:rsid w:val="007B7C1A"/>
    <w:rsid w:val="007C0E17"/>
    <w:rsid w:val="007C0FCE"/>
    <w:rsid w:val="007C15E8"/>
    <w:rsid w:val="007C27E2"/>
    <w:rsid w:val="007C306F"/>
    <w:rsid w:val="007C3E5C"/>
    <w:rsid w:val="007C4216"/>
    <w:rsid w:val="007C5595"/>
    <w:rsid w:val="007C5796"/>
    <w:rsid w:val="007C61DD"/>
    <w:rsid w:val="007D0016"/>
    <w:rsid w:val="007D0130"/>
    <w:rsid w:val="007D081C"/>
    <w:rsid w:val="007D084B"/>
    <w:rsid w:val="007D0E68"/>
    <w:rsid w:val="007D1238"/>
    <w:rsid w:val="007D167E"/>
    <w:rsid w:val="007D1706"/>
    <w:rsid w:val="007D1D8E"/>
    <w:rsid w:val="007D217C"/>
    <w:rsid w:val="007D23CB"/>
    <w:rsid w:val="007D2988"/>
    <w:rsid w:val="007D2C7F"/>
    <w:rsid w:val="007D395F"/>
    <w:rsid w:val="007D42A4"/>
    <w:rsid w:val="007D43D8"/>
    <w:rsid w:val="007D5001"/>
    <w:rsid w:val="007D5024"/>
    <w:rsid w:val="007D536E"/>
    <w:rsid w:val="007D6EE5"/>
    <w:rsid w:val="007D7C9E"/>
    <w:rsid w:val="007D7D41"/>
    <w:rsid w:val="007D7DC7"/>
    <w:rsid w:val="007D7E5E"/>
    <w:rsid w:val="007E08F6"/>
    <w:rsid w:val="007E16E0"/>
    <w:rsid w:val="007E263A"/>
    <w:rsid w:val="007E27CD"/>
    <w:rsid w:val="007E30B8"/>
    <w:rsid w:val="007E47EB"/>
    <w:rsid w:val="007E4CF0"/>
    <w:rsid w:val="007E4EFE"/>
    <w:rsid w:val="007E4F60"/>
    <w:rsid w:val="007E5389"/>
    <w:rsid w:val="007E543F"/>
    <w:rsid w:val="007E74FE"/>
    <w:rsid w:val="007E751C"/>
    <w:rsid w:val="007E7BCE"/>
    <w:rsid w:val="007F046E"/>
    <w:rsid w:val="007F0896"/>
    <w:rsid w:val="007F0D0C"/>
    <w:rsid w:val="007F1CD0"/>
    <w:rsid w:val="007F1F3B"/>
    <w:rsid w:val="007F2067"/>
    <w:rsid w:val="007F2B96"/>
    <w:rsid w:val="007F394C"/>
    <w:rsid w:val="007F4C61"/>
    <w:rsid w:val="007F5018"/>
    <w:rsid w:val="007F578F"/>
    <w:rsid w:val="007F583F"/>
    <w:rsid w:val="007F633C"/>
    <w:rsid w:val="007F64EA"/>
    <w:rsid w:val="007F6EC7"/>
    <w:rsid w:val="007F6F9E"/>
    <w:rsid w:val="007F7C90"/>
    <w:rsid w:val="00800B54"/>
    <w:rsid w:val="00801445"/>
    <w:rsid w:val="00801EFB"/>
    <w:rsid w:val="00802244"/>
    <w:rsid w:val="008028C7"/>
    <w:rsid w:val="00802BEC"/>
    <w:rsid w:val="008037A8"/>
    <w:rsid w:val="00803AE4"/>
    <w:rsid w:val="00803C05"/>
    <w:rsid w:val="00804041"/>
    <w:rsid w:val="0080518C"/>
    <w:rsid w:val="00806064"/>
    <w:rsid w:val="00806086"/>
    <w:rsid w:val="0080649F"/>
    <w:rsid w:val="008072D4"/>
    <w:rsid w:val="008106A1"/>
    <w:rsid w:val="00810C49"/>
    <w:rsid w:val="00811309"/>
    <w:rsid w:val="00811E58"/>
    <w:rsid w:val="00812569"/>
    <w:rsid w:val="00812857"/>
    <w:rsid w:val="008130DD"/>
    <w:rsid w:val="00813C1F"/>
    <w:rsid w:val="00813D24"/>
    <w:rsid w:val="00814E91"/>
    <w:rsid w:val="008156F6"/>
    <w:rsid w:val="008161C7"/>
    <w:rsid w:val="00816965"/>
    <w:rsid w:val="00816A89"/>
    <w:rsid w:val="00816AA5"/>
    <w:rsid w:val="00817009"/>
    <w:rsid w:val="00817E91"/>
    <w:rsid w:val="00820AC4"/>
    <w:rsid w:val="00820CC8"/>
    <w:rsid w:val="0082131B"/>
    <w:rsid w:val="00821351"/>
    <w:rsid w:val="0082176F"/>
    <w:rsid w:val="00821913"/>
    <w:rsid w:val="00821CA9"/>
    <w:rsid w:val="008221F2"/>
    <w:rsid w:val="00824670"/>
    <w:rsid w:val="00824AEC"/>
    <w:rsid w:val="00824C91"/>
    <w:rsid w:val="00825825"/>
    <w:rsid w:val="0082585D"/>
    <w:rsid w:val="00825966"/>
    <w:rsid w:val="0082635A"/>
    <w:rsid w:val="00826536"/>
    <w:rsid w:val="00826F43"/>
    <w:rsid w:val="008302F7"/>
    <w:rsid w:val="008303AF"/>
    <w:rsid w:val="00830FBE"/>
    <w:rsid w:val="00831454"/>
    <w:rsid w:val="00831BFA"/>
    <w:rsid w:val="00831C1A"/>
    <w:rsid w:val="00832149"/>
    <w:rsid w:val="00832560"/>
    <w:rsid w:val="0083367F"/>
    <w:rsid w:val="008337AB"/>
    <w:rsid w:val="00833915"/>
    <w:rsid w:val="00833BB6"/>
    <w:rsid w:val="008351A0"/>
    <w:rsid w:val="008369EA"/>
    <w:rsid w:val="00840E4A"/>
    <w:rsid w:val="008414F4"/>
    <w:rsid w:val="0084160A"/>
    <w:rsid w:val="00842135"/>
    <w:rsid w:val="008421FD"/>
    <w:rsid w:val="008453B5"/>
    <w:rsid w:val="00845F60"/>
    <w:rsid w:val="00846C07"/>
    <w:rsid w:val="00846FAD"/>
    <w:rsid w:val="00847CD9"/>
    <w:rsid w:val="00851909"/>
    <w:rsid w:val="00851BE2"/>
    <w:rsid w:val="00851C67"/>
    <w:rsid w:val="00851FDD"/>
    <w:rsid w:val="008523DA"/>
    <w:rsid w:val="0085296A"/>
    <w:rsid w:val="00852DC7"/>
    <w:rsid w:val="008530CE"/>
    <w:rsid w:val="0085402D"/>
    <w:rsid w:val="00854286"/>
    <w:rsid w:val="00854822"/>
    <w:rsid w:val="0085568F"/>
    <w:rsid w:val="00856A4C"/>
    <w:rsid w:val="0085769F"/>
    <w:rsid w:val="008579AC"/>
    <w:rsid w:val="008604A7"/>
    <w:rsid w:val="008606E9"/>
    <w:rsid w:val="00860FA9"/>
    <w:rsid w:val="0086109E"/>
    <w:rsid w:val="00861D67"/>
    <w:rsid w:val="00862153"/>
    <w:rsid w:val="0086264C"/>
    <w:rsid w:val="00862D20"/>
    <w:rsid w:val="00863244"/>
    <w:rsid w:val="00863B3C"/>
    <w:rsid w:val="00863CF2"/>
    <w:rsid w:val="00863D8D"/>
    <w:rsid w:val="00864935"/>
    <w:rsid w:val="00864EDA"/>
    <w:rsid w:val="00865174"/>
    <w:rsid w:val="00865361"/>
    <w:rsid w:val="00865938"/>
    <w:rsid w:val="00865F4B"/>
    <w:rsid w:val="00866477"/>
    <w:rsid w:val="008671B9"/>
    <w:rsid w:val="00867417"/>
    <w:rsid w:val="00867D5A"/>
    <w:rsid w:val="00867D5C"/>
    <w:rsid w:val="00867D8A"/>
    <w:rsid w:val="00870D54"/>
    <w:rsid w:val="0087151E"/>
    <w:rsid w:val="00871664"/>
    <w:rsid w:val="00871D60"/>
    <w:rsid w:val="008726C0"/>
    <w:rsid w:val="00872A8E"/>
    <w:rsid w:val="00872B92"/>
    <w:rsid w:val="00873833"/>
    <w:rsid w:val="00874E91"/>
    <w:rsid w:val="00875915"/>
    <w:rsid w:val="00875A46"/>
    <w:rsid w:val="008770FF"/>
    <w:rsid w:val="00877FCA"/>
    <w:rsid w:val="008803DE"/>
    <w:rsid w:val="0088134B"/>
    <w:rsid w:val="00881930"/>
    <w:rsid w:val="00881EC8"/>
    <w:rsid w:val="008824C2"/>
    <w:rsid w:val="00882670"/>
    <w:rsid w:val="00882BD9"/>
    <w:rsid w:val="00882DC7"/>
    <w:rsid w:val="00882E9A"/>
    <w:rsid w:val="0088333C"/>
    <w:rsid w:val="00883869"/>
    <w:rsid w:val="0088512D"/>
    <w:rsid w:val="008867E5"/>
    <w:rsid w:val="00886950"/>
    <w:rsid w:val="00887D3D"/>
    <w:rsid w:val="008903DF"/>
    <w:rsid w:val="0089045B"/>
    <w:rsid w:val="00890661"/>
    <w:rsid w:val="00890680"/>
    <w:rsid w:val="008909E8"/>
    <w:rsid w:val="00890ED5"/>
    <w:rsid w:val="00891929"/>
    <w:rsid w:val="008919B5"/>
    <w:rsid w:val="00891C73"/>
    <w:rsid w:val="008931B7"/>
    <w:rsid w:val="00893418"/>
    <w:rsid w:val="00893767"/>
    <w:rsid w:val="00893788"/>
    <w:rsid w:val="008945D4"/>
    <w:rsid w:val="0089484C"/>
    <w:rsid w:val="008959FE"/>
    <w:rsid w:val="00895E18"/>
    <w:rsid w:val="00896269"/>
    <w:rsid w:val="00896D23"/>
    <w:rsid w:val="00897EB4"/>
    <w:rsid w:val="00897F66"/>
    <w:rsid w:val="00897F7D"/>
    <w:rsid w:val="008A0865"/>
    <w:rsid w:val="008A099F"/>
    <w:rsid w:val="008A1168"/>
    <w:rsid w:val="008A2B4F"/>
    <w:rsid w:val="008A552B"/>
    <w:rsid w:val="008A5D7E"/>
    <w:rsid w:val="008A6F5A"/>
    <w:rsid w:val="008A76A5"/>
    <w:rsid w:val="008B137B"/>
    <w:rsid w:val="008B2629"/>
    <w:rsid w:val="008B2BE5"/>
    <w:rsid w:val="008B3171"/>
    <w:rsid w:val="008B3941"/>
    <w:rsid w:val="008B3E97"/>
    <w:rsid w:val="008B4202"/>
    <w:rsid w:val="008B43FA"/>
    <w:rsid w:val="008B4DD2"/>
    <w:rsid w:val="008B5C69"/>
    <w:rsid w:val="008B5CF9"/>
    <w:rsid w:val="008B6233"/>
    <w:rsid w:val="008B6BB1"/>
    <w:rsid w:val="008B71BB"/>
    <w:rsid w:val="008B74CF"/>
    <w:rsid w:val="008B76DE"/>
    <w:rsid w:val="008C1BBA"/>
    <w:rsid w:val="008C31E7"/>
    <w:rsid w:val="008C3EF9"/>
    <w:rsid w:val="008C44CF"/>
    <w:rsid w:val="008C4CB8"/>
    <w:rsid w:val="008C4EB5"/>
    <w:rsid w:val="008C716C"/>
    <w:rsid w:val="008C79CD"/>
    <w:rsid w:val="008D1200"/>
    <w:rsid w:val="008D23BF"/>
    <w:rsid w:val="008D242D"/>
    <w:rsid w:val="008D2CA9"/>
    <w:rsid w:val="008D37C4"/>
    <w:rsid w:val="008D3A07"/>
    <w:rsid w:val="008D3FEB"/>
    <w:rsid w:val="008D4702"/>
    <w:rsid w:val="008D4FB7"/>
    <w:rsid w:val="008D5059"/>
    <w:rsid w:val="008D53AA"/>
    <w:rsid w:val="008D57EE"/>
    <w:rsid w:val="008D5887"/>
    <w:rsid w:val="008D604B"/>
    <w:rsid w:val="008D7366"/>
    <w:rsid w:val="008D7B6C"/>
    <w:rsid w:val="008E0254"/>
    <w:rsid w:val="008E1D68"/>
    <w:rsid w:val="008E2244"/>
    <w:rsid w:val="008E225A"/>
    <w:rsid w:val="008E2511"/>
    <w:rsid w:val="008E32B8"/>
    <w:rsid w:val="008E417A"/>
    <w:rsid w:val="008E4775"/>
    <w:rsid w:val="008E489E"/>
    <w:rsid w:val="008E4BBE"/>
    <w:rsid w:val="008E51D6"/>
    <w:rsid w:val="008E55E6"/>
    <w:rsid w:val="008E649A"/>
    <w:rsid w:val="008E6E4A"/>
    <w:rsid w:val="008E7094"/>
    <w:rsid w:val="008E7C6D"/>
    <w:rsid w:val="008E7ECE"/>
    <w:rsid w:val="008F112E"/>
    <w:rsid w:val="008F298E"/>
    <w:rsid w:val="008F2AB5"/>
    <w:rsid w:val="008F2E6E"/>
    <w:rsid w:val="008F34AA"/>
    <w:rsid w:val="008F35FC"/>
    <w:rsid w:val="008F3D85"/>
    <w:rsid w:val="008F3F99"/>
    <w:rsid w:val="008F42E5"/>
    <w:rsid w:val="008F4E65"/>
    <w:rsid w:val="008F5240"/>
    <w:rsid w:val="008F711C"/>
    <w:rsid w:val="008F7211"/>
    <w:rsid w:val="008F7DE8"/>
    <w:rsid w:val="009000F7"/>
    <w:rsid w:val="009006F2"/>
    <w:rsid w:val="00902B88"/>
    <w:rsid w:val="00902C39"/>
    <w:rsid w:val="00903B30"/>
    <w:rsid w:val="00903C63"/>
    <w:rsid w:val="0090457F"/>
    <w:rsid w:val="009054BB"/>
    <w:rsid w:val="009064ED"/>
    <w:rsid w:val="0090697C"/>
    <w:rsid w:val="00906F2C"/>
    <w:rsid w:val="00907635"/>
    <w:rsid w:val="00907BE3"/>
    <w:rsid w:val="009105EB"/>
    <w:rsid w:val="00910BD7"/>
    <w:rsid w:val="00910FDD"/>
    <w:rsid w:val="009111B5"/>
    <w:rsid w:val="00911528"/>
    <w:rsid w:val="00911DBB"/>
    <w:rsid w:val="0091257B"/>
    <w:rsid w:val="00912A09"/>
    <w:rsid w:val="00912DA6"/>
    <w:rsid w:val="0091324D"/>
    <w:rsid w:val="009137E2"/>
    <w:rsid w:val="00913C64"/>
    <w:rsid w:val="00913E7D"/>
    <w:rsid w:val="009147F8"/>
    <w:rsid w:val="00914ADB"/>
    <w:rsid w:val="0091586D"/>
    <w:rsid w:val="0091771B"/>
    <w:rsid w:val="009177A5"/>
    <w:rsid w:val="00917822"/>
    <w:rsid w:val="00917B2B"/>
    <w:rsid w:val="0092183B"/>
    <w:rsid w:val="00921F88"/>
    <w:rsid w:val="00921F95"/>
    <w:rsid w:val="00922061"/>
    <w:rsid w:val="009220A2"/>
    <w:rsid w:val="00923B30"/>
    <w:rsid w:val="00924884"/>
    <w:rsid w:val="00925A49"/>
    <w:rsid w:val="00925FDF"/>
    <w:rsid w:val="00926D31"/>
    <w:rsid w:val="0092703B"/>
    <w:rsid w:val="00927810"/>
    <w:rsid w:val="00930658"/>
    <w:rsid w:val="00930782"/>
    <w:rsid w:val="00930906"/>
    <w:rsid w:val="00930FD5"/>
    <w:rsid w:val="00931556"/>
    <w:rsid w:val="00931801"/>
    <w:rsid w:val="00931C95"/>
    <w:rsid w:val="0093220B"/>
    <w:rsid w:val="00932888"/>
    <w:rsid w:val="00932FCE"/>
    <w:rsid w:val="0093313E"/>
    <w:rsid w:val="0093348A"/>
    <w:rsid w:val="0093398A"/>
    <w:rsid w:val="00933E19"/>
    <w:rsid w:val="00934F43"/>
    <w:rsid w:val="0093536F"/>
    <w:rsid w:val="00936A36"/>
    <w:rsid w:val="00940290"/>
    <w:rsid w:val="009412C6"/>
    <w:rsid w:val="0094270D"/>
    <w:rsid w:val="00943855"/>
    <w:rsid w:val="00944923"/>
    <w:rsid w:val="00944B71"/>
    <w:rsid w:val="0094566A"/>
    <w:rsid w:val="009457D5"/>
    <w:rsid w:val="00945ABE"/>
    <w:rsid w:val="00946498"/>
    <w:rsid w:val="00946808"/>
    <w:rsid w:val="00946BB4"/>
    <w:rsid w:val="009477B7"/>
    <w:rsid w:val="009479E4"/>
    <w:rsid w:val="00951296"/>
    <w:rsid w:val="00951A4B"/>
    <w:rsid w:val="00953216"/>
    <w:rsid w:val="00953A52"/>
    <w:rsid w:val="00954128"/>
    <w:rsid w:val="0095415E"/>
    <w:rsid w:val="00954462"/>
    <w:rsid w:val="0095489C"/>
    <w:rsid w:val="00954C15"/>
    <w:rsid w:val="00954CD4"/>
    <w:rsid w:val="00955535"/>
    <w:rsid w:val="009559EA"/>
    <w:rsid w:val="0095677F"/>
    <w:rsid w:val="00956D9D"/>
    <w:rsid w:val="009577B4"/>
    <w:rsid w:val="00960665"/>
    <w:rsid w:val="00960FCA"/>
    <w:rsid w:val="00961AEB"/>
    <w:rsid w:val="009623D2"/>
    <w:rsid w:val="009629DD"/>
    <w:rsid w:val="0096457D"/>
    <w:rsid w:val="0096474F"/>
    <w:rsid w:val="00964C5F"/>
    <w:rsid w:val="009662CC"/>
    <w:rsid w:val="00966A90"/>
    <w:rsid w:val="00971190"/>
    <w:rsid w:val="009721C4"/>
    <w:rsid w:val="009721EF"/>
    <w:rsid w:val="009730B4"/>
    <w:rsid w:val="009740E2"/>
    <w:rsid w:val="00975EB2"/>
    <w:rsid w:val="00977C2A"/>
    <w:rsid w:val="00980E80"/>
    <w:rsid w:val="009824D1"/>
    <w:rsid w:val="00982AF8"/>
    <w:rsid w:val="00982B9B"/>
    <w:rsid w:val="009833DA"/>
    <w:rsid w:val="00984198"/>
    <w:rsid w:val="00984D2E"/>
    <w:rsid w:val="00984FF5"/>
    <w:rsid w:val="00986263"/>
    <w:rsid w:val="0099042C"/>
    <w:rsid w:val="00990806"/>
    <w:rsid w:val="0099175B"/>
    <w:rsid w:val="00991CD1"/>
    <w:rsid w:val="00992FA9"/>
    <w:rsid w:val="00993A3A"/>
    <w:rsid w:val="00993F67"/>
    <w:rsid w:val="00993F6D"/>
    <w:rsid w:val="00995FC7"/>
    <w:rsid w:val="00996C87"/>
    <w:rsid w:val="00996D60"/>
    <w:rsid w:val="009975EC"/>
    <w:rsid w:val="0099799E"/>
    <w:rsid w:val="009A1945"/>
    <w:rsid w:val="009A2C18"/>
    <w:rsid w:val="009A2C52"/>
    <w:rsid w:val="009A4564"/>
    <w:rsid w:val="009A4D8D"/>
    <w:rsid w:val="009A5435"/>
    <w:rsid w:val="009A57E0"/>
    <w:rsid w:val="009A5B0D"/>
    <w:rsid w:val="009A636B"/>
    <w:rsid w:val="009A6386"/>
    <w:rsid w:val="009A63B9"/>
    <w:rsid w:val="009A6D0C"/>
    <w:rsid w:val="009A75EB"/>
    <w:rsid w:val="009A784E"/>
    <w:rsid w:val="009A786A"/>
    <w:rsid w:val="009B0B70"/>
    <w:rsid w:val="009B1167"/>
    <w:rsid w:val="009B1213"/>
    <w:rsid w:val="009B158B"/>
    <w:rsid w:val="009B261F"/>
    <w:rsid w:val="009B2FAF"/>
    <w:rsid w:val="009B3E14"/>
    <w:rsid w:val="009B5381"/>
    <w:rsid w:val="009B545B"/>
    <w:rsid w:val="009B5AE1"/>
    <w:rsid w:val="009B5D87"/>
    <w:rsid w:val="009B6F8E"/>
    <w:rsid w:val="009C0332"/>
    <w:rsid w:val="009C0433"/>
    <w:rsid w:val="009C0C64"/>
    <w:rsid w:val="009C1279"/>
    <w:rsid w:val="009C2E1B"/>
    <w:rsid w:val="009C426A"/>
    <w:rsid w:val="009C46A0"/>
    <w:rsid w:val="009D0F68"/>
    <w:rsid w:val="009D1B9C"/>
    <w:rsid w:val="009D20A9"/>
    <w:rsid w:val="009D22B0"/>
    <w:rsid w:val="009D2C89"/>
    <w:rsid w:val="009D3D20"/>
    <w:rsid w:val="009D3F2B"/>
    <w:rsid w:val="009D533C"/>
    <w:rsid w:val="009D691D"/>
    <w:rsid w:val="009D6F3D"/>
    <w:rsid w:val="009D713F"/>
    <w:rsid w:val="009D71DD"/>
    <w:rsid w:val="009D7C0F"/>
    <w:rsid w:val="009E099A"/>
    <w:rsid w:val="009E11B0"/>
    <w:rsid w:val="009E121A"/>
    <w:rsid w:val="009E1BE6"/>
    <w:rsid w:val="009E1E7B"/>
    <w:rsid w:val="009E400A"/>
    <w:rsid w:val="009E5163"/>
    <w:rsid w:val="009E64D6"/>
    <w:rsid w:val="009E65AA"/>
    <w:rsid w:val="009E6D3A"/>
    <w:rsid w:val="009E6E50"/>
    <w:rsid w:val="009E746C"/>
    <w:rsid w:val="009E77FC"/>
    <w:rsid w:val="009F0125"/>
    <w:rsid w:val="009F09C5"/>
    <w:rsid w:val="009F09ED"/>
    <w:rsid w:val="009F16AE"/>
    <w:rsid w:val="009F19EC"/>
    <w:rsid w:val="009F1EA3"/>
    <w:rsid w:val="009F2234"/>
    <w:rsid w:val="009F3786"/>
    <w:rsid w:val="009F38F3"/>
    <w:rsid w:val="009F3F45"/>
    <w:rsid w:val="009F436D"/>
    <w:rsid w:val="009F4A22"/>
    <w:rsid w:val="009F5604"/>
    <w:rsid w:val="009F5D51"/>
    <w:rsid w:val="009F5F74"/>
    <w:rsid w:val="009F64F4"/>
    <w:rsid w:val="009F69C5"/>
    <w:rsid w:val="009F7358"/>
    <w:rsid w:val="009F7851"/>
    <w:rsid w:val="009F78F5"/>
    <w:rsid w:val="009F7FDB"/>
    <w:rsid w:val="00A0066D"/>
    <w:rsid w:val="00A006F9"/>
    <w:rsid w:val="00A008F4"/>
    <w:rsid w:val="00A012A5"/>
    <w:rsid w:val="00A01595"/>
    <w:rsid w:val="00A01AF8"/>
    <w:rsid w:val="00A0261E"/>
    <w:rsid w:val="00A026C6"/>
    <w:rsid w:val="00A02BF8"/>
    <w:rsid w:val="00A03703"/>
    <w:rsid w:val="00A05253"/>
    <w:rsid w:val="00A05AA6"/>
    <w:rsid w:val="00A05B25"/>
    <w:rsid w:val="00A06101"/>
    <w:rsid w:val="00A068F4"/>
    <w:rsid w:val="00A07402"/>
    <w:rsid w:val="00A07FD8"/>
    <w:rsid w:val="00A11679"/>
    <w:rsid w:val="00A11B3E"/>
    <w:rsid w:val="00A12294"/>
    <w:rsid w:val="00A1252A"/>
    <w:rsid w:val="00A12782"/>
    <w:rsid w:val="00A129D4"/>
    <w:rsid w:val="00A13694"/>
    <w:rsid w:val="00A14089"/>
    <w:rsid w:val="00A141CD"/>
    <w:rsid w:val="00A14215"/>
    <w:rsid w:val="00A14659"/>
    <w:rsid w:val="00A14742"/>
    <w:rsid w:val="00A147C3"/>
    <w:rsid w:val="00A14D3F"/>
    <w:rsid w:val="00A159BC"/>
    <w:rsid w:val="00A163C4"/>
    <w:rsid w:val="00A16B3F"/>
    <w:rsid w:val="00A16F41"/>
    <w:rsid w:val="00A17976"/>
    <w:rsid w:val="00A20D69"/>
    <w:rsid w:val="00A21533"/>
    <w:rsid w:val="00A22C8E"/>
    <w:rsid w:val="00A232CC"/>
    <w:rsid w:val="00A23841"/>
    <w:rsid w:val="00A23975"/>
    <w:rsid w:val="00A23C30"/>
    <w:rsid w:val="00A24F23"/>
    <w:rsid w:val="00A25D64"/>
    <w:rsid w:val="00A2696B"/>
    <w:rsid w:val="00A26CA0"/>
    <w:rsid w:val="00A27602"/>
    <w:rsid w:val="00A3197D"/>
    <w:rsid w:val="00A31B52"/>
    <w:rsid w:val="00A320F8"/>
    <w:rsid w:val="00A32E84"/>
    <w:rsid w:val="00A336E4"/>
    <w:rsid w:val="00A346C6"/>
    <w:rsid w:val="00A348F4"/>
    <w:rsid w:val="00A34ADD"/>
    <w:rsid w:val="00A3540E"/>
    <w:rsid w:val="00A35867"/>
    <w:rsid w:val="00A35EBC"/>
    <w:rsid w:val="00A37B4D"/>
    <w:rsid w:val="00A37FA9"/>
    <w:rsid w:val="00A40053"/>
    <w:rsid w:val="00A403A2"/>
    <w:rsid w:val="00A407BA"/>
    <w:rsid w:val="00A40DE8"/>
    <w:rsid w:val="00A412DD"/>
    <w:rsid w:val="00A43455"/>
    <w:rsid w:val="00A43E39"/>
    <w:rsid w:val="00A45380"/>
    <w:rsid w:val="00A454F1"/>
    <w:rsid w:val="00A4577A"/>
    <w:rsid w:val="00A47135"/>
    <w:rsid w:val="00A5021F"/>
    <w:rsid w:val="00A50FCA"/>
    <w:rsid w:val="00A51098"/>
    <w:rsid w:val="00A512DA"/>
    <w:rsid w:val="00A51884"/>
    <w:rsid w:val="00A520F8"/>
    <w:rsid w:val="00A521CA"/>
    <w:rsid w:val="00A5260B"/>
    <w:rsid w:val="00A5287B"/>
    <w:rsid w:val="00A53B28"/>
    <w:rsid w:val="00A542E2"/>
    <w:rsid w:val="00A545CD"/>
    <w:rsid w:val="00A54653"/>
    <w:rsid w:val="00A55B2A"/>
    <w:rsid w:val="00A55BEE"/>
    <w:rsid w:val="00A55FC3"/>
    <w:rsid w:val="00A5659B"/>
    <w:rsid w:val="00A5688F"/>
    <w:rsid w:val="00A6004F"/>
    <w:rsid w:val="00A60988"/>
    <w:rsid w:val="00A60C53"/>
    <w:rsid w:val="00A613D7"/>
    <w:rsid w:val="00A61BF0"/>
    <w:rsid w:val="00A6244B"/>
    <w:rsid w:val="00A635AF"/>
    <w:rsid w:val="00A63A36"/>
    <w:rsid w:val="00A63D5A"/>
    <w:rsid w:val="00A652C2"/>
    <w:rsid w:val="00A661FE"/>
    <w:rsid w:val="00A663CB"/>
    <w:rsid w:val="00A66ED9"/>
    <w:rsid w:val="00A678CA"/>
    <w:rsid w:val="00A67C6B"/>
    <w:rsid w:val="00A7014D"/>
    <w:rsid w:val="00A707B2"/>
    <w:rsid w:val="00A7185B"/>
    <w:rsid w:val="00A7248D"/>
    <w:rsid w:val="00A728A0"/>
    <w:rsid w:val="00A72C9D"/>
    <w:rsid w:val="00A72E07"/>
    <w:rsid w:val="00A73969"/>
    <w:rsid w:val="00A73E66"/>
    <w:rsid w:val="00A7407E"/>
    <w:rsid w:val="00A748EC"/>
    <w:rsid w:val="00A75125"/>
    <w:rsid w:val="00A7518E"/>
    <w:rsid w:val="00A75358"/>
    <w:rsid w:val="00A7553D"/>
    <w:rsid w:val="00A75DE9"/>
    <w:rsid w:val="00A7605F"/>
    <w:rsid w:val="00A766F5"/>
    <w:rsid w:val="00A76CD1"/>
    <w:rsid w:val="00A80350"/>
    <w:rsid w:val="00A803DF"/>
    <w:rsid w:val="00A80839"/>
    <w:rsid w:val="00A81855"/>
    <w:rsid w:val="00A8263E"/>
    <w:rsid w:val="00A8319C"/>
    <w:rsid w:val="00A84B5F"/>
    <w:rsid w:val="00A85565"/>
    <w:rsid w:val="00A86898"/>
    <w:rsid w:val="00A877CA"/>
    <w:rsid w:val="00A87BE2"/>
    <w:rsid w:val="00A87C23"/>
    <w:rsid w:val="00A87FEA"/>
    <w:rsid w:val="00A90381"/>
    <w:rsid w:val="00A92393"/>
    <w:rsid w:val="00A92880"/>
    <w:rsid w:val="00A92889"/>
    <w:rsid w:val="00A92A0C"/>
    <w:rsid w:val="00A92DA2"/>
    <w:rsid w:val="00A9359C"/>
    <w:rsid w:val="00A938E2"/>
    <w:rsid w:val="00A93E53"/>
    <w:rsid w:val="00A944BF"/>
    <w:rsid w:val="00A9461D"/>
    <w:rsid w:val="00A94649"/>
    <w:rsid w:val="00A9535A"/>
    <w:rsid w:val="00A956D9"/>
    <w:rsid w:val="00A9604B"/>
    <w:rsid w:val="00A96246"/>
    <w:rsid w:val="00A964D9"/>
    <w:rsid w:val="00A96CA3"/>
    <w:rsid w:val="00A97BF4"/>
    <w:rsid w:val="00A97CBA"/>
    <w:rsid w:val="00AA0A49"/>
    <w:rsid w:val="00AA1D59"/>
    <w:rsid w:val="00AA1DC6"/>
    <w:rsid w:val="00AA1FE7"/>
    <w:rsid w:val="00AA2921"/>
    <w:rsid w:val="00AA2C5A"/>
    <w:rsid w:val="00AA3A49"/>
    <w:rsid w:val="00AA3F1D"/>
    <w:rsid w:val="00AA434F"/>
    <w:rsid w:val="00AA4371"/>
    <w:rsid w:val="00AA5D30"/>
    <w:rsid w:val="00AA5FD0"/>
    <w:rsid w:val="00AA653A"/>
    <w:rsid w:val="00AA69AF"/>
    <w:rsid w:val="00AA7071"/>
    <w:rsid w:val="00AB07AC"/>
    <w:rsid w:val="00AB0D2B"/>
    <w:rsid w:val="00AB0D2D"/>
    <w:rsid w:val="00AB1CBF"/>
    <w:rsid w:val="00AB32A7"/>
    <w:rsid w:val="00AB4B27"/>
    <w:rsid w:val="00AB539F"/>
    <w:rsid w:val="00AB540D"/>
    <w:rsid w:val="00AB59CE"/>
    <w:rsid w:val="00AB5B27"/>
    <w:rsid w:val="00AB5D98"/>
    <w:rsid w:val="00AB5DE7"/>
    <w:rsid w:val="00AB61A7"/>
    <w:rsid w:val="00AB61C8"/>
    <w:rsid w:val="00AB7169"/>
    <w:rsid w:val="00AC1625"/>
    <w:rsid w:val="00AC19BF"/>
    <w:rsid w:val="00AC28B0"/>
    <w:rsid w:val="00AC308C"/>
    <w:rsid w:val="00AC38E0"/>
    <w:rsid w:val="00AC4954"/>
    <w:rsid w:val="00AC4BAF"/>
    <w:rsid w:val="00AC53A9"/>
    <w:rsid w:val="00AC6E1D"/>
    <w:rsid w:val="00AC6FB4"/>
    <w:rsid w:val="00AC76D9"/>
    <w:rsid w:val="00AC7975"/>
    <w:rsid w:val="00AC7E73"/>
    <w:rsid w:val="00AC7EF3"/>
    <w:rsid w:val="00AD1A1D"/>
    <w:rsid w:val="00AD39C9"/>
    <w:rsid w:val="00AD3D42"/>
    <w:rsid w:val="00AD478A"/>
    <w:rsid w:val="00AD4A16"/>
    <w:rsid w:val="00AD519C"/>
    <w:rsid w:val="00AD549B"/>
    <w:rsid w:val="00AD6B11"/>
    <w:rsid w:val="00AD7023"/>
    <w:rsid w:val="00AD742A"/>
    <w:rsid w:val="00AD79C7"/>
    <w:rsid w:val="00AD7D58"/>
    <w:rsid w:val="00AD7FE3"/>
    <w:rsid w:val="00AE16F9"/>
    <w:rsid w:val="00AE2C14"/>
    <w:rsid w:val="00AE320D"/>
    <w:rsid w:val="00AE3517"/>
    <w:rsid w:val="00AE36B1"/>
    <w:rsid w:val="00AE457C"/>
    <w:rsid w:val="00AE4591"/>
    <w:rsid w:val="00AE4E2F"/>
    <w:rsid w:val="00AE614F"/>
    <w:rsid w:val="00AE6C18"/>
    <w:rsid w:val="00AE7842"/>
    <w:rsid w:val="00AE7DAB"/>
    <w:rsid w:val="00AF126C"/>
    <w:rsid w:val="00AF12C9"/>
    <w:rsid w:val="00AF142C"/>
    <w:rsid w:val="00AF2F31"/>
    <w:rsid w:val="00AF3436"/>
    <w:rsid w:val="00AF3DE1"/>
    <w:rsid w:val="00AF56E8"/>
    <w:rsid w:val="00AF69FA"/>
    <w:rsid w:val="00AF709A"/>
    <w:rsid w:val="00AF7BE3"/>
    <w:rsid w:val="00B003A4"/>
    <w:rsid w:val="00B0074C"/>
    <w:rsid w:val="00B00C67"/>
    <w:rsid w:val="00B01156"/>
    <w:rsid w:val="00B02119"/>
    <w:rsid w:val="00B02CC5"/>
    <w:rsid w:val="00B03762"/>
    <w:rsid w:val="00B039F0"/>
    <w:rsid w:val="00B03B28"/>
    <w:rsid w:val="00B0460F"/>
    <w:rsid w:val="00B058A7"/>
    <w:rsid w:val="00B05A5A"/>
    <w:rsid w:val="00B06491"/>
    <w:rsid w:val="00B0678B"/>
    <w:rsid w:val="00B07015"/>
    <w:rsid w:val="00B0730C"/>
    <w:rsid w:val="00B07E05"/>
    <w:rsid w:val="00B103B9"/>
    <w:rsid w:val="00B10A67"/>
    <w:rsid w:val="00B116BE"/>
    <w:rsid w:val="00B12DA0"/>
    <w:rsid w:val="00B13909"/>
    <w:rsid w:val="00B1407E"/>
    <w:rsid w:val="00B14A75"/>
    <w:rsid w:val="00B14B3D"/>
    <w:rsid w:val="00B16334"/>
    <w:rsid w:val="00B17CCB"/>
    <w:rsid w:val="00B2047B"/>
    <w:rsid w:val="00B21769"/>
    <w:rsid w:val="00B21E4E"/>
    <w:rsid w:val="00B226A0"/>
    <w:rsid w:val="00B2292E"/>
    <w:rsid w:val="00B23C88"/>
    <w:rsid w:val="00B263A9"/>
    <w:rsid w:val="00B26495"/>
    <w:rsid w:val="00B267D9"/>
    <w:rsid w:val="00B26AC4"/>
    <w:rsid w:val="00B26C0E"/>
    <w:rsid w:val="00B278E2"/>
    <w:rsid w:val="00B27B83"/>
    <w:rsid w:val="00B27FBF"/>
    <w:rsid w:val="00B307B1"/>
    <w:rsid w:val="00B30ED1"/>
    <w:rsid w:val="00B31904"/>
    <w:rsid w:val="00B3191E"/>
    <w:rsid w:val="00B3287F"/>
    <w:rsid w:val="00B3314B"/>
    <w:rsid w:val="00B333F2"/>
    <w:rsid w:val="00B338C2"/>
    <w:rsid w:val="00B33A7B"/>
    <w:rsid w:val="00B34193"/>
    <w:rsid w:val="00B3481A"/>
    <w:rsid w:val="00B34A8C"/>
    <w:rsid w:val="00B35B5C"/>
    <w:rsid w:val="00B360CC"/>
    <w:rsid w:val="00B3618E"/>
    <w:rsid w:val="00B37802"/>
    <w:rsid w:val="00B378B6"/>
    <w:rsid w:val="00B40496"/>
    <w:rsid w:val="00B40CD8"/>
    <w:rsid w:val="00B414E7"/>
    <w:rsid w:val="00B42A87"/>
    <w:rsid w:val="00B43009"/>
    <w:rsid w:val="00B43BED"/>
    <w:rsid w:val="00B44317"/>
    <w:rsid w:val="00B45ACB"/>
    <w:rsid w:val="00B45BF3"/>
    <w:rsid w:val="00B45EB7"/>
    <w:rsid w:val="00B46209"/>
    <w:rsid w:val="00B467CE"/>
    <w:rsid w:val="00B46D82"/>
    <w:rsid w:val="00B4724B"/>
    <w:rsid w:val="00B475D5"/>
    <w:rsid w:val="00B4769E"/>
    <w:rsid w:val="00B505A8"/>
    <w:rsid w:val="00B50630"/>
    <w:rsid w:val="00B51220"/>
    <w:rsid w:val="00B51DE2"/>
    <w:rsid w:val="00B5291B"/>
    <w:rsid w:val="00B53846"/>
    <w:rsid w:val="00B5387C"/>
    <w:rsid w:val="00B538D0"/>
    <w:rsid w:val="00B53C45"/>
    <w:rsid w:val="00B54CC4"/>
    <w:rsid w:val="00B54D77"/>
    <w:rsid w:val="00B54F77"/>
    <w:rsid w:val="00B561DC"/>
    <w:rsid w:val="00B56293"/>
    <w:rsid w:val="00B562EF"/>
    <w:rsid w:val="00B56F02"/>
    <w:rsid w:val="00B5764C"/>
    <w:rsid w:val="00B57A30"/>
    <w:rsid w:val="00B60102"/>
    <w:rsid w:val="00B605B1"/>
    <w:rsid w:val="00B60CE9"/>
    <w:rsid w:val="00B61147"/>
    <w:rsid w:val="00B6202C"/>
    <w:rsid w:val="00B62841"/>
    <w:rsid w:val="00B64682"/>
    <w:rsid w:val="00B64F2D"/>
    <w:rsid w:val="00B65A29"/>
    <w:rsid w:val="00B66A87"/>
    <w:rsid w:val="00B70745"/>
    <w:rsid w:val="00B7079A"/>
    <w:rsid w:val="00B70A34"/>
    <w:rsid w:val="00B70A43"/>
    <w:rsid w:val="00B711F2"/>
    <w:rsid w:val="00B718CA"/>
    <w:rsid w:val="00B721CA"/>
    <w:rsid w:val="00B72CDE"/>
    <w:rsid w:val="00B72DFE"/>
    <w:rsid w:val="00B73DD1"/>
    <w:rsid w:val="00B74AC9"/>
    <w:rsid w:val="00B74E08"/>
    <w:rsid w:val="00B76738"/>
    <w:rsid w:val="00B77106"/>
    <w:rsid w:val="00B77480"/>
    <w:rsid w:val="00B8011E"/>
    <w:rsid w:val="00B812FD"/>
    <w:rsid w:val="00B819B9"/>
    <w:rsid w:val="00B82594"/>
    <w:rsid w:val="00B825EC"/>
    <w:rsid w:val="00B82AD9"/>
    <w:rsid w:val="00B830C0"/>
    <w:rsid w:val="00B83415"/>
    <w:rsid w:val="00B840D1"/>
    <w:rsid w:val="00B84133"/>
    <w:rsid w:val="00B85060"/>
    <w:rsid w:val="00B85F05"/>
    <w:rsid w:val="00B87580"/>
    <w:rsid w:val="00B8765A"/>
    <w:rsid w:val="00B91DBA"/>
    <w:rsid w:val="00B926D8"/>
    <w:rsid w:val="00B93AB3"/>
    <w:rsid w:val="00B93FA7"/>
    <w:rsid w:val="00B9439E"/>
    <w:rsid w:val="00B95309"/>
    <w:rsid w:val="00B9541D"/>
    <w:rsid w:val="00B95501"/>
    <w:rsid w:val="00B95527"/>
    <w:rsid w:val="00B95970"/>
    <w:rsid w:val="00B95F27"/>
    <w:rsid w:val="00B96084"/>
    <w:rsid w:val="00B962BF"/>
    <w:rsid w:val="00B9703D"/>
    <w:rsid w:val="00B97317"/>
    <w:rsid w:val="00B97523"/>
    <w:rsid w:val="00B97793"/>
    <w:rsid w:val="00BA1C69"/>
    <w:rsid w:val="00BA2454"/>
    <w:rsid w:val="00BA2F41"/>
    <w:rsid w:val="00BA371F"/>
    <w:rsid w:val="00BA3AF8"/>
    <w:rsid w:val="00BA3F02"/>
    <w:rsid w:val="00BA4F61"/>
    <w:rsid w:val="00BA5F15"/>
    <w:rsid w:val="00BA65FA"/>
    <w:rsid w:val="00BA669C"/>
    <w:rsid w:val="00BA6E57"/>
    <w:rsid w:val="00BB06DA"/>
    <w:rsid w:val="00BB084E"/>
    <w:rsid w:val="00BB1503"/>
    <w:rsid w:val="00BB1A22"/>
    <w:rsid w:val="00BB1C2F"/>
    <w:rsid w:val="00BB2B87"/>
    <w:rsid w:val="00BB316B"/>
    <w:rsid w:val="00BB3806"/>
    <w:rsid w:val="00BB5820"/>
    <w:rsid w:val="00BB5B0D"/>
    <w:rsid w:val="00BB5B39"/>
    <w:rsid w:val="00BB77FC"/>
    <w:rsid w:val="00BB79C6"/>
    <w:rsid w:val="00BC0608"/>
    <w:rsid w:val="00BC06BC"/>
    <w:rsid w:val="00BC0DEE"/>
    <w:rsid w:val="00BC110C"/>
    <w:rsid w:val="00BC1D82"/>
    <w:rsid w:val="00BC210D"/>
    <w:rsid w:val="00BC28F2"/>
    <w:rsid w:val="00BC30B6"/>
    <w:rsid w:val="00BC35B5"/>
    <w:rsid w:val="00BC4343"/>
    <w:rsid w:val="00BC4409"/>
    <w:rsid w:val="00BC45E7"/>
    <w:rsid w:val="00BC4D3F"/>
    <w:rsid w:val="00BC58AA"/>
    <w:rsid w:val="00BC5AF8"/>
    <w:rsid w:val="00BC5E9F"/>
    <w:rsid w:val="00BC7873"/>
    <w:rsid w:val="00BD0772"/>
    <w:rsid w:val="00BD0C39"/>
    <w:rsid w:val="00BD0EE5"/>
    <w:rsid w:val="00BD134E"/>
    <w:rsid w:val="00BD2056"/>
    <w:rsid w:val="00BD2961"/>
    <w:rsid w:val="00BD309F"/>
    <w:rsid w:val="00BD37FD"/>
    <w:rsid w:val="00BD38B3"/>
    <w:rsid w:val="00BD39CA"/>
    <w:rsid w:val="00BD3F1D"/>
    <w:rsid w:val="00BD4206"/>
    <w:rsid w:val="00BD43B7"/>
    <w:rsid w:val="00BD71B1"/>
    <w:rsid w:val="00BD7B5F"/>
    <w:rsid w:val="00BE0E68"/>
    <w:rsid w:val="00BE156B"/>
    <w:rsid w:val="00BE19C3"/>
    <w:rsid w:val="00BE1B63"/>
    <w:rsid w:val="00BE226D"/>
    <w:rsid w:val="00BE3373"/>
    <w:rsid w:val="00BE3C94"/>
    <w:rsid w:val="00BE40F3"/>
    <w:rsid w:val="00BE5489"/>
    <w:rsid w:val="00BE5E5B"/>
    <w:rsid w:val="00BE6D70"/>
    <w:rsid w:val="00BE6FDF"/>
    <w:rsid w:val="00BE6FF1"/>
    <w:rsid w:val="00BE7025"/>
    <w:rsid w:val="00BE71FE"/>
    <w:rsid w:val="00BE7826"/>
    <w:rsid w:val="00BE7ECC"/>
    <w:rsid w:val="00BF00F7"/>
    <w:rsid w:val="00BF1488"/>
    <w:rsid w:val="00BF1936"/>
    <w:rsid w:val="00BF2299"/>
    <w:rsid w:val="00BF2ADB"/>
    <w:rsid w:val="00BF31B6"/>
    <w:rsid w:val="00BF3218"/>
    <w:rsid w:val="00BF33CF"/>
    <w:rsid w:val="00BF3B03"/>
    <w:rsid w:val="00BF434F"/>
    <w:rsid w:val="00BF4450"/>
    <w:rsid w:val="00BF4C07"/>
    <w:rsid w:val="00BF56E5"/>
    <w:rsid w:val="00BF603E"/>
    <w:rsid w:val="00BF640C"/>
    <w:rsid w:val="00BF6636"/>
    <w:rsid w:val="00BF7230"/>
    <w:rsid w:val="00BF7938"/>
    <w:rsid w:val="00C00348"/>
    <w:rsid w:val="00C0101D"/>
    <w:rsid w:val="00C01652"/>
    <w:rsid w:val="00C017D6"/>
    <w:rsid w:val="00C022F9"/>
    <w:rsid w:val="00C02ED5"/>
    <w:rsid w:val="00C02FF8"/>
    <w:rsid w:val="00C0301A"/>
    <w:rsid w:val="00C03921"/>
    <w:rsid w:val="00C04254"/>
    <w:rsid w:val="00C04C7C"/>
    <w:rsid w:val="00C06224"/>
    <w:rsid w:val="00C06904"/>
    <w:rsid w:val="00C07391"/>
    <w:rsid w:val="00C0782E"/>
    <w:rsid w:val="00C07875"/>
    <w:rsid w:val="00C105FC"/>
    <w:rsid w:val="00C108CB"/>
    <w:rsid w:val="00C1109E"/>
    <w:rsid w:val="00C1129A"/>
    <w:rsid w:val="00C1139F"/>
    <w:rsid w:val="00C11865"/>
    <w:rsid w:val="00C11DCE"/>
    <w:rsid w:val="00C1297C"/>
    <w:rsid w:val="00C132EE"/>
    <w:rsid w:val="00C13388"/>
    <w:rsid w:val="00C136B5"/>
    <w:rsid w:val="00C14261"/>
    <w:rsid w:val="00C148F9"/>
    <w:rsid w:val="00C152E4"/>
    <w:rsid w:val="00C1569D"/>
    <w:rsid w:val="00C17FAF"/>
    <w:rsid w:val="00C204C0"/>
    <w:rsid w:val="00C20AEC"/>
    <w:rsid w:val="00C2122D"/>
    <w:rsid w:val="00C23934"/>
    <w:rsid w:val="00C23A96"/>
    <w:rsid w:val="00C23B7E"/>
    <w:rsid w:val="00C2409E"/>
    <w:rsid w:val="00C243FA"/>
    <w:rsid w:val="00C247D0"/>
    <w:rsid w:val="00C24D14"/>
    <w:rsid w:val="00C25AB3"/>
    <w:rsid w:val="00C260C6"/>
    <w:rsid w:val="00C264DE"/>
    <w:rsid w:val="00C269BC"/>
    <w:rsid w:val="00C27561"/>
    <w:rsid w:val="00C27A27"/>
    <w:rsid w:val="00C27CD0"/>
    <w:rsid w:val="00C300E7"/>
    <w:rsid w:val="00C306A0"/>
    <w:rsid w:val="00C31754"/>
    <w:rsid w:val="00C325F9"/>
    <w:rsid w:val="00C33077"/>
    <w:rsid w:val="00C33DBC"/>
    <w:rsid w:val="00C3616A"/>
    <w:rsid w:val="00C36804"/>
    <w:rsid w:val="00C40ECA"/>
    <w:rsid w:val="00C40F46"/>
    <w:rsid w:val="00C4105A"/>
    <w:rsid w:val="00C416D4"/>
    <w:rsid w:val="00C41F31"/>
    <w:rsid w:val="00C43AD4"/>
    <w:rsid w:val="00C4438D"/>
    <w:rsid w:val="00C44A56"/>
    <w:rsid w:val="00C44ADD"/>
    <w:rsid w:val="00C46B77"/>
    <w:rsid w:val="00C46BC1"/>
    <w:rsid w:val="00C46F02"/>
    <w:rsid w:val="00C517EF"/>
    <w:rsid w:val="00C51DA2"/>
    <w:rsid w:val="00C53474"/>
    <w:rsid w:val="00C56DAD"/>
    <w:rsid w:val="00C56FA2"/>
    <w:rsid w:val="00C56FDA"/>
    <w:rsid w:val="00C5711C"/>
    <w:rsid w:val="00C577EC"/>
    <w:rsid w:val="00C57EE6"/>
    <w:rsid w:val="00C601E1"/>
    <w:rsid w:val="00C603CC"/>
    <w:rsid w:val="00C6082E"/>
    <w:rsid w:val="00C60BED"/>
    <w:rsid w:val="00C61226"/>
    <w:rsid w:val="00C61ABD"/>
    <w:rsid w:val="00C61C56"/>
    <w:rsid w:val="00C62690"/>
    <w:rsid w:val="00C62A84"/>
    <w:rsid w:val="00C64254"/>
    <w:rsid w:val="00C64419"/>
    <w:rsid w:val="00C64775"/>
    <w:rsid w:val="00C66481"/>
    <w:rsid w:val="00C66C37"/>
    <w:rsid w:val="00C66F06"/>
    <w:rsid w:val="00C67861"/>
    <w:rsid w:val="00C70473"/>
    <w:rsid w:val="00C708BE"/>
    <w:rsid w:val="00C70A54"/>
    <w:rsid w:val="00C7102E"/>
    <w:rsid w:val="00C711ED"/>
    <w:rsid w:val="00C71783"/>
    <w:rsid w:val="00C71A02"/>
    <w:rsid w:val="00C7266C"/>
    <w:rsid w:val="00C72A70"/>
    <w:rsid w:val="00C730AE"/>
    <w:rsid w:val="00C73EA9"/>
    <w:rsid w:val="00C75031"/>
    <w:rsid w:val="00C750D7"/>
    <w:rsid w:val="00C752B3"/>
    <w:rsid w:val="00C7693F"/>
    <w:rsid w:val="00C776C2"/>
    <w:rsid w:val="00C778A0"/>
    <w:rsid w:val="00C77D69"/>
    <w:rsid w:val="00C80D3D"/>
    <w:rsid w:val="00C80E2D"/>
    <w:rsid w:val="00C80F84"/>
    <w:rsid w:val="00C814E0"/>
    <w:rsid w:val="00C81632"/>
    <w:rsid w:val="00C81BEC"/>
    <w:rsid w:val="00C82257"/>
    <w:rsid w:val="00C830D6"/>
    <w:rsid w:val="00C84785"/>
    <w:rsid w:val="00C84B9A"/>
    <w:rsid w:val="00C86960"/>
    <w:rsid w:val="00C876C0"/>
    <w:rsid w:val="00C901D9"/>
    <w:rsid w:val="00C90712"/>
    <w:rsid w:val="00C90A92"/>
    <w:rsid w:val="00C911A6"/>
    <w:rsid w:val="00C912C3"/>
    <w:rsid w:val="00C9189B"/>
    <w:rsid w:val="00C91D17"/>
    <w:rsid w:val="00C91D90"/>
    <w:rsid w:val="00C92028"/>
    <w:rsid w:val="00C93438"/>
    <w:rsid w:val="00C935EC"/>
    <w:rsid w:val="00C938B2"/>
    <w:rsid w:val="00C9408B"/>
    <w:rsid w:val="00C959AA"/>
    <w:rsid w:val="00C959BF"/>
    <w:rsid w:val="00C95CD5"/>
    <w:rsid w:val="00C95D59"/>
    <w:rsid w:val="00C97571"/>
    <w:rsid w:val="00C97D46"/>
    <w:rsid w:val="00C97F05"/>
    <w:rsid w:val="00C97F0B"/>
    <w:rsid w:val="00CA0F70"/>
    <w:rsid w:val="00CA153B"/>
    <w:rsid w:val="00CA342D"/>
    <w:rsid w:val="00CA38E1"/>
    <w:rsid w:val="00CA3A67"/>
    <w:rsid w:val="00CA3C14"/>
    <w:rsid w:val="00CA3C8B"/>
    <w:rsid w:val="00CA4EF0"/>
    <w:rsid w:val="00CA61AC"/>
    <w:rsid w:val="00CA6BDF"/>
    <w:rsid w:val="00CA7858"/>
    <w:rsid w:val="00CA7A86"/>
    <w:rsid w:val="00CA7F8B"/>
    <w:rsid w:val="00CB016E"/>
    <w:rsid w:val="00CB02BB"/>
    <w:rsid w:val="00CB494C"/>
    <w:rsid w:val="00CB5143"/>
    <w:rsid w:val="00CB519D"/>
    <w:rsid w:val="00CB558C"/>
    <w:rsid w:val="00CB5A57"/>
    <w:rsid w:val="00CB5A82"/>
    <w:rsid w:val="00CB6AAF"/>
    <w:rsid w:val="00CB6C3C"/>
    <w:rsid w:val="00CB729C"/>
    <w:rsid w:val="00CB7DCE"/>
    <w:rsid w:val="00CC05D1"/>
    <w:rsid w:val="00CC2908"/>
    <w:rsid w:val="00CC2D23"/>
    <w:rsid w:val="00CC2E74"/>
    <w:rsid w:val="00CC3EBE"/>
    <w:rsid w:val="00CC46DB"/>
    <w:rsid w:val="00CC52BC"/>
    <w:rsid w:val="00CC6595"/>
    <w:rsid w:val="00CC6C31"/>
    <w:rsid w:val="00CC6C9F"/>
    <w:rsid w:val="00CC7421"/>
    <w:rsid w:val="00CC7DFD"/>
    <w:rsid w:val="00CD033F"/>
    <w:rsid w:val="00CD049D"/>
    <w:rsid w:val="00CD102C"/>
    <w:rsid w:val="00CD125F"/>
    <w:rsid w:val="00CD1698"/>
    <w:rsid w:val="00CD1F25"/>
    <w:rsid w:val="00CD314E"/>
    <w:rsid w:val="00CD3F49"/>
    <w:rsid w:val="00CD636C"/>
    <w:rsid w:val="00CD63C4"/>
    <w:rsid w:val="00CD6B4F"/>
    <w:rsid w:val="00CD74D3"/>
    <w:rsid w:val="00CE0749"/>
    <w:rsid w:val="00CE0DA2"/>
    <w:rsid w:val="00CE12BF"/>
    <w:rsid w:val="00CE13E3"/>
    <w:rsid w:val="00CE1977"/>
    <w:rsid w:val="00CE2505"/>
    <w:rsid w:val="00CE2C65"/>
    <w:rsid w:val="00CE3C21"/>
    <w:rsid w:val="00CE3F06"/>
    <w:rsid w:val="00CE426F"/>
    <w:rsid w:val="00CE50C2"/>
    <w:rsid w:val="00CE55DE"/>
    <w:rsid w:val="00CE5801"/>
    <w:rsid w:val="00CE5896"/>
    <w:rsid w:val="00CE5979"/>
    <w:rsid w:val="00CE5B02"/>
    <w:rsid w:val="00CE6586"/>
    <w:rsid w:val="00CE7A40"/>
    <w:rsid w:val="00CE7D14"/>
    <w:rsid w:val="00CF1D77"/>
    <w:rsid w:val="00CF1EB4"/>
    <w:rsid w:val="00CF2345"/>
    <w:rsid w:val="00CF3993"/>
    <w:rsid w:val="00CF42A9"/>
    <w:rsid w:val="00CF4663"/>
    <w:rsid w:val="00CF5027"/>
    <w:rsid w:val="00CF56E2"/>
    <w:rsid w:val="00CF5C3C"/>
    <w:rsid w:val="00CF5E40"/>
    <w:rsid w:val="00CF789E"/>
    <w:rsid w:val="00D01238"/>
    <w:rsid w:val="00D0339A"/>
    <w:rsid w:val="00D033AD"/>
    <w:rsid w:val="00D05572"/>
    <w:rsid w:val="00D05EBD"/>
    <w:rsid w:val="00D05F7A"/>
    <w:rsid w:val="00D063B3"/>
    <w:rsid w:val="00D07B30"/>
    <w:rsid w:val="00D1052A"/>
    <w:rsid w:val="00D13717"/>
    <w:rsid w:val="00D14B94"/>
    <w:rsid w:val="00D14D58"/>
    <w:rsid w:val="00D15EF2"/>
    <w:rsid w:val="00D15FDE"/>
    <w:rsid w:val="00D177E0"/>
    <w:rsid w:val="00D177E4"/>
    <w:rsid w:val="00D17DB9"/>
    <w:rsid w:val="00D17E23"/>
    <w:rsid w:val="00D20132"/>
    <w:rsid w:val="00D2043F"/>
    <w:rsid w:val="00D20F36"/>
    <w:rsid w:val="00D21504"/>
    <w:rsid w:val="00D21572"/>
    <w:rsid w:val="00D216A8"/>
    <w:rsid w:val="00D21ACA"/>
    <w:rsid w:val="00D21CD3"/>
    <w:rsid w:val="00D228C5"/>
    <w:rsid w:val="00D23C71"/>
    <w:rsid w:val="00D2402F"/>
    <w:rsid w:val="00D24093"/>
    <w:rsid w:val="00D240E0"/>
    <w:rsid w:val="00D24ACE"/>
    <w:rsid w:val="00D2528C"/>
    <w:rsid w:val="00D26A89"/>
    <w:rsid w:val="00D27E0F"/>
    <w:rsid w:val="00D3094D"/>
    <w:rsid w:val="00D309D1"/>
    <w:rsid w:val="00D318D2"/>
    <w:rsid w:val="00D318ED"/>
    <w:rsid w:val="00D31BA0"/>
    <w:rsid w:val="00D31DAD"/>
    <w:rsid w:val="00D31E39"/>
    <w:rsid w:val="00D31E81"/>
    <w:rsid w:val="00D321EF"/>
    <w:rsid w:val="00D32FE7"/>
    <w:rsid w:val="00D3308C"/>
    <w:rsid w:val="00D34023"/>
    <w:rsid w:val="00D34A21"/>
    <w:rsid w:val="00D3502C"/>
    <w:rsid w:val="00D35774"/>
    <w:rsid w:val="00D3613C"/>
    <w:rsid w:val="00D374F8"/>
    <w:rsid w:val="00D37DE9"/>
    <w:rsid w:val="00D41BB8"/>
    <w:rsid w:val="00D43713"/>
    <w:rsid w:val="00D43B7A"/>
    <w:rsid w:val="00D446C0"/>
    <w:rsid w:val="00D4495F"/>
    <w:rsid w:val="00D452E1"/>
    <w:rsid w:val="00D4561C"/>
    <w:rsid w:val="00D45674"/>
    <w:rsid w:val="00D46124"/>
    <w:rsid w:val="00D46386"/>
    <w:rsid w:val="00D46458"/>
    <w:rsid w:val="00D465A5"/>
    <w:rsid w:val="00D4683C"/>
    <w:rsid w:val="00D47AEA"/>
    <w:rsid w:val="00D502D2"/>
    <w:rsid w:val="00D50643"/>
    <w:rsid w:val="00D506B7"/>
    <w:rsid w:val="00D50C8D"/>
    <w:rsid w:val="00D5130D"/>
    <w:rsid w:val="00D51448"/>
    <w:rsid w:val="00D5193B"/>
    <w:rsid w:val="00D52048"/>
    <w:rsid w:val="00D52F7F"/>
    <w:rsid w:val="00D54CC6"/>
    <w:rsid w:val="00D54E86"/>
    <w:rsid w:val="00D55034"/>
    <w:rsid w:val="00D55799"/>
    <w:rsid w:val="00D5583E"/>
    <w:rsid w:val="00D55972"/>
    <w:rsid w:val="00D55DA4"/>
    <w:rsid w:val="00D56733"/>
    <w:rsid w:val="00D56B55"/>
    <w:rsid w:val="00D57205"/>
    <w:rsid w:val="00D61234"/>
    <w:rsid w:val="00D6159B"/>
    <w:rsid w:val="00D61907"/>
    <w:rsid w:val="00D621EE"/>
    <w:rsid w:val="00D62774"/>
    <w:rsid w:val="00D63087"/>
    <w:rsid w:val="00D646FC"/>
    <w:rsid w:val="00D654A8"/>
    <w:rsid w:val="00D65BA8"/>
    <w:rsid w:val="00D666A8"/>
    <w:rsid w:val="00D6794B"/>
    <w:rsid w:val="00D704D3"/>
    <w:rsid w:val="00D71026"/>
    <w:rsid w:val="00D7198E"/>
    <w:rsid w:val="00D74211"/>
    <w:rsid w:val="00D74715"/>
    <w:rsid w:val="00D75A17"/>
    <w:rsid w:val="00D76B74"/>
    <w:rsid w:val="00D771F1"/>
    <w:rsid w:val="00D77405"/>
    <w:rsid w:val="00D77547"/>
    <w:rsid w:val="00D813DC"/>
    <w:rsid w:val="00D81F1B"/>
    <w:rsid w:val="00D82A11"/>
    <w:rsid w:val="00D82A55"/>
    <w:rsid w:val="00D839DE"/>
    <w:rsid w:val="00D84107"/>
    <w:rsid w:val="00D84DEC"/>
    <w:rsid w:val="00D85973"/>
    <w:rsid w:val="00D8616D"/>
    <w:rsid w:val="00D869F2"/>
    <w:rsid w:val="00D874DF"/>
    <w:rsid w:val="00D87BB8"/>
    <w:rsid w:val="00D90007"/>
    <w:rsid w:val="00D90DC6"/>
    <w:rsid w:val="00D90F1C"/>
    <w:rsid w:val="00D9117A"/>
    <w:rsid w:val="00D91939"/>
    <w:rsid w:val="00D91A28"/>
    <w:rsid w:val="00D93B2B"/>
    <w:rsid w:val="00D94223"/>
    <w:rsid w:val="00D954B3"/>
    <w:rsid w:val="00D96641"/>
    <w:rsid w:val="00D96FE1"/>
    <w:rsid w:val="00D974C2"/>
    <w:rsid w:val="00D975F1"/>
    <w:rsid w:val="00D979DB"/>
    <w:rsid w:val="00DA0960"/>
    <w:rsid w:val="00DA0B6B"/>
    <w:rsid w:val="00DA0E7E"/>
    <w:rsid w:val="00DA3EF8"/>
    <w:rsid w:val="00DA46AE"/>
    <w:rsid w:val="00DA4A57"/>
    <w:rsid w:val="00DB07D6"/>
    <w:rsid w:val="00DB125A"/>
    <w:rsid w:val="00DB1D47"/>
    <w:rsid w:val="00DB1EFA"/>
    <w:rsid w:val="00DB27CF"/>
    <w:rsid w:val="00DB2DE2"/>
    <w:rsid w:val="00DB38DE"/>
    <w:rsid w:val="00DB4366"/>
    <w:rsid w:val="00DB4567"/>
    <w:rsid w:val="00DB5665"/>
    <w:rsid w:val="00DB5E78"/>
    <w:rsid w:val="00DB7312"/>
    <w:rsid w:val="00DB7DCA"/>
    <w:rsid w:val="00DC0176"/>
    <w:rsid w:val="00DC02C8"/>
    <w:rsid w:val="00DC083A"/>
    <w:rsid w:val="00DC1386"/>
    <w:rsid w:val="00DC2460"/>
    <w:rsid w:val="00DC2D05"/>
    <w:rsid w:val="00DC4127"/>
    <w:rsid w:val="00DC41B0"/>
    <w:rsid w:val="00DC4201"/>
    <w:rsid w:val="00DC44EB"/>
    <w:rsid w:val="00DC4561"/>
    <w:rsid w:val="00DC45CE"/>
    <w:rsid w:val="00DC58D2"/>
    <w:rsid w:val="00DC607B"/>
    <w:rsid w:val="00DC63D7"/>
    <w:rsid w:val="00DC65BE"/>
    <w:rsid w:val="00DC6D0D"/>
    <w:rsid w:val="00DC6FB2"/>
    <w:rsid w:val="00DC7CDA"/>
    <w:rsid w:val="00DD2A8D"/>
    <w:rsid w:val="00DD3E53"/>
    <w:rsid w:val="00DD419D"/>
    <w:rsid w:val="00DD6324"/>
    <w:rsid w:val="00DD7065"/>
    <w:rsid w:val="00DD75A4"/>
    <w:rsid w:val="00DE01C9"/>
    <w:rsid w:val="00DE0268"/>
    <w:rsid w:val="00DE0696"/>
    <w:rsid w:val="00DE0D94"/>
    <w:rsid w:val="00DE1637"/>
    <w:rsid w:val="00DE2158"/>
    <w:rsid w:val="00DE2D12"/>
    <w:rsid w:val="00DE3215"/>
    <w:rsid w:val="00DE3CA8"/>
    <w:rsid w:val="00DE4A95"/>
    <w:rsid w:val="00DE5AF0"/>
    <w:rsid w:val="00DE6A47"/>
    <w:rsid w:val="00DE6D1E"/>
    <w:rsid w:val="00DE6EBD"/>
    <w:rsid w:val="00DF0BB0"/>
    <w:rsid w:val="00DF1978"/>
    <w:rsid w:val="00DF24CD"/>
    <w:rsid w:val="00DF5026"/>
    <w:rsid w:val="00DF5464"/>
    <w:rsid w:val="00DF5895"/>
    <w:rsid w:val="00DF5DF2"/>
    <w:rsid w:val="00DF748B"/>
    <w:rsid w:val="00E00A17"/>
    <w:rsid w:val="00E00A49"/>
    <w:rsid w:val="00E00A4A"/>
    <w:rsid w:val="00E01D31"/>
    <w:rsid w:val="00E031FB"/>
    <w:rsid w:val="00E037CF"/>
    <w:rsid w:val="00E038E7"/>
    <w:rsid w:val="00E0420A"/>
    <w:rsid w:val="00E0450D"/>
    <w:rsid w:val="00E04510"/>
    <w:rsid w:val="00E04987"/>
    <w:rsid w:val="00E04CC4"/>
    <w:rsid w:val="00E04FD2"/>
    <w:rsid w:val="00E059DC"/>
    <w:rsid w:val="00E05F92"/>
    <w:rsid w:val="00E0611F"/>
    <w:rsid w:val="00E066AC"/>
    <w:rsid w:val="00E06957"/>
    <w:rsid w:val="00E076F6"/>
    <w:rsid w:val="00E07DEF"/>
    <w:rsid w:val="00E111DF"/>
    <w:rsid w:val="00E13452"/>
    <w:rsid w:val="00E13D43"/>
    <w:rsid w:val="00E13F91"/>
    <w:rsid w:val="00E14942"/>
    <w:rsid w:val="00E15543"/>
    <w:rsid w:val="00E1567D"/>
    <w:rsid w:val="00E15D40"/>
    <w:rsid w:val="00E16C55"/>
    <w:rsid w:val="00E16FAA"/>
    <w:rsid w:val="00E172B7"/>
    <w:rsid w:val="00E17D22"/>
    <w:rsid w:val="00E2013F"/>
    <w:rsid w:val="00E22268"/>
    <w:rsid w:val="00E225C6"/>
    <w:rsid w:val="00E2319B"/>
    <w:rsid w:val="00E24088"/>
    <w:rsid w:val="00E240DD"/>
    <w:rsid w:val="00E24943"/>
    <w:rsid w:val="00E24F06"/>
    <w:rsid w:val="00E25A62"/>
    <w:rsid w:val="00E25E80"/>
    <w:rsid w:val="00E26BAF"/>
    <w:rsid w:val="00E26CBF"/>
    <w:rsid w:val="00E300C0"/>
    <w:rsid w:val="00E30ECF"/>
    <w:rsid w:val="00E3132D"/>
    <w:rsid w:val="00E3176F"/>
    <w:rsid w:val="00E32034"/>
    <w:rsid w:val="00E3229A"/>
    <w:rsid w:val="00E32708"/>
    <w:rsid w:val="00E32E35"/>
    <w:rsid w:val="00E335ED"/>
    <w:rsid w:val="00E33783"/>
    <w:rsid w:val="00E34F16"/>
    <w:rsid w:val="00E352FC"/>
    <w:rsid w:val="00E36C5E"/>
    <w:rsid w:val="00E36DAF"/>
    <w:rsid w:val="00E40449"/>
    <w:rsid w:val="00E405C9"/>
    <w:rsid w:val="00E4068C"/>
    <w:rsid w:val="00E40C09"/>
    <w:rsid w:val="00E40D51"/>
    <w:rsid w:val="00E40DDB"/>
    <w:rsid w:val="00E413C9"/>
    <w:rsid w:val="00E41D6F"/>
    <w:rsid w:val="00E42238"/>
    <w:rsid w:val="00E43BC3"/>
    <w:rsid w:val="00E44BB2"/>
    <w:rsid w:val="00E44D06"/>
    <w:rsid w:val="00E45308"/>
    <w:rsid w:val="00E4570C"/>
    <w:rsid w:val="00E45ED5"/>
    <w:rsid w:val="00E46085"/>
    <w:rsid w:val="00E4655A"/>
    <w:rsid w:val="00E46AB3"/>
    <w:rsid w:val="00E474EE"/>
    <w:rsid w:val="00E47585"/>
    <w:rsid w:val="00E476BD"/>
    <w:rsid w:val="00E50D55"/>
    <w:rsid w:val="00E525F6"/>
    <w:rsid w:val="00E52F02"/>
    <w:rsid w:val="00E53950"/>
    <w:rsid w:val="00E53D1B"/>
    <w:rsid w:val="00E56109"/>
    <w:rsid w:val="00E569DC"/>
    <w:rsid w:val="00E57616"/>
    <w:rsid w:val="00E6177E"/>
    <w:rsid w:val="00E61A02"/>
    <w:rsid w:val="00E61BCC"/>
    <w:rsid w:val="00E63006"/>
    <w:rsid w:val="00E631A1"/>
    <w:rsid w:val="00E6382E"/>
    <w:rsid w:val="00E65296"/>
    <w:rsid w:val="00E65525"/>
    <w:rsid w:val="00E66E7C"/>
    <w:rsid w:val="00E67235"/>
    <w:rsid w:val="00E7082A"/>
    <w:rsid w:val="00E70FD6"/>
    <w:rsid w:val="00E71579"/>
    <w:rsid w:val="00E72029"/>
    <w:rsid w:val="00E72114"/>
    <w:rsid w:val="00E72890"/>
    <w:rsid w:val="00E730B3"/>
    <w:rsid w:val="00E73153"/>
    <w:rsid w:val="00E731E0"/>
    <w:rsid w:val="00E733B2"/>
    <w:rsid w:val="00E73A5F"/>
    <w:rsid w:val="00E744AE"/>
    <w:rsid w:val="00E74DFA"/>
    <w:rsid w:val="00E7580F"/>
    <w:rsid w:val="00E762BE"/>
    <w:rsid w:val="00E765D3"/>
    <w:rsid w:val="00E76C70"/>
    <w:rsid w:val="00E76D1B"/>
    <w:rsid w:val="00E77E35"/>
    <w:rsid w:val="00E80124"/>
    <w:rsid w:val="00E804EE"/>
    <w:rsid w:val="00E807DD"/>
    <w:rsid w:val="00E80A19"/>
    <w:rsid w:val="00E8145E"/>
    <w:rsid w:val="00E82258"/>
    <w:rsid w:val="00E83D77"/>
    <w:rsid w:val="00E840DB"/>
    <w:rsid w:val="00E86368"/>
    <w:rsid w:val="00E86E76"/>
    <w:rsid w:val="00E912D7"/>
    <w:rsid w:val="00E918A2"/>
    <w:rsid w:val="00E92220"/>
    <w:rsid w:val="00E92655"/>
    <w:rsid w:val="00E92856"/>
    <w:rsid w:val="00E929A0"/>
    <w:rsid w:val="00E92B66"/>
    <w:rsid w:val="00E92CC0"/>
    <w:rsid w:val="00E93F4A"/>
    <w:rsid w:val="00E94679"/>
    <w:rsid w:val="00E94B0A"/>
    <w:rsid w:val="00E957FA"/>
    <w:rsid w:val="00E95DBF"/>
    <w:rsid w:val="00E96C9C"/>
    <w:rsid w:val="00E972D3"/>
    <w:rsid w:val="00E9781F"/>
    <w:rsid w:val="00E97E06"/>
    <w:rsid w:val="00E97E87"/>
    <w:rsid w:val="00EA0C3E"/>
    <w:rsid w:val="00EA1F71"/>
    <w:rsid w:val="00EA21B9"/>
    <w:rsid w:val="00EA2404"/>
    <w:rsid w:val="00EA32E5"/>
    <w:rsid w:val="00EA3906"/>
    <w:rsid w:val="00EA425E"/>
    <w:rsid w:val="00EA4AC0"/>
    <w:rsid w:val="00EA5343"/>
    <w:rsid w:val="00EA54F1"/>
    <w:rsid w:val="00EB0097"/>
    <w:rsid w:val="00EB0734"/>
    <w:rsid w:val="00EB0D84"/>
    <w:rsid w:val="00EB2578"/>
    <w:rsid w:val="00EB2C32"/>
    <w:rsid w:val="00EB30F6"/>
    <w:rsid w:val="00EB3E86"/>
    <w:rsid w:val="00EB410D"/>
    <w:rsid w:val="00EB469A"/>
    <w:rsid w:val="00EB4EBC"/>
    <w:rsid w:val="00EB5325"/>
    <w:rsid w:val="00EB5B95"/>
    <w:rsid w:val="00EB604E"/>
    <w:rsid w:val="00EB6AA2"/>
    <w:rsid w:val="00EB7D85"/>
    <w:rsid w:val="00EC0465"/>
    <w:rsid w:val="00EC0599"/>
    <w:rsid w:val="00EC1358"/>
    <w:rsid w:val="00EC1436"/>
    <w:rsid w:val="00EC1789"/>
    <w:rsid w:val="00EC214B"/>
    <w:rsid w:val="00EC2F5B"/>
    <w:rsid w:val="00EC31D0"/>
    <w:rsid w:val="00EC37AE"/>
    <w:rsid w:val="00EC43EC"/>
    <w:rsid w:val="00EC606A"/>
    <w:rsid w:val="00EC66D1"/>
    <w:rsid w:val="00EC73E2"/>
    <w:rsid w:val="00EC7741"/>
    <w:rsid w:val="00ED0376"/>
    <w:rsid w:val="00ED0522"/>
    <w:rsid w:val="00ED0901"/>
    <w:rsid w:val="00ED167E"/>
    <w:rsid w:val="00ED3020"/>
    <w:rsid w:val="00ED474A"/>
    <w:rsid w:val="00ED47F2"/>
    <w:rsid w:val="00ED49B0"/>
    <w:rsid w:val="00ED50D0"/>
    <w:rsid w:val="00ED52B3"/>
    <w:rsid w:val="00ED5B38"/>
    <w:rsid w:val="00ED5BB2"/>
    <w:rsid w:val="00ED66C4"/>
    <w:rsid w:val="00ED67E4"/>
    <w:rsid w:val="00ED6D33"/>
    <w:rsid w:val="00ED7C7F"/>
    <w:rsid w:val="00EE10A9"/>
    <w:rsid w:val="00EE1DBD"/>
    <w:rsid w:val="00EE220A"/>
    <w:rsid w:val="00EE3892"/>
    <w:rsid w:val="00EE38FB"/>
    <w:rsid w:val="00EE3D41"/>
    <w:rsid w:val="00EE40DE"/>
    <w:rsid w:val="00EE40FF"/>
    <w:rsid w:val="00EE4485"/>
    <w:rsid w:val="00EE45CC"/>
    <w:rsid w:val="00EE50AA"/>
    <w:rsid w:val="00EE5310"/>
    <w:rsid w:val="00EE5550"/>
    <w:rsid w:val="00EE5B3A"/>
    <w:rsid w:val="00EE61EA"/>
    <w:rsid w:val="00EE6870"/>
    <w:rsid w:val="00EE7118"/>
    <w:rsid w:val="00EE74F5"/>
    <w:rsid w:val="00EE761B"/>
    <w:rsid w:val="00EE7FE6"/>
    <w:rsid w:val="00EF1627"/>
    <w:rsid w:val="00EF2311"/>
    <w:rsid w:val="00EF23C1"/>
    <w:rsid w:val="00EF30C1"/>
    <w:rsid w:val="00EF30EE"/>
    <w:rsid w:val="00EF4B7B"/>
    <w:rsid w:val="00EF4BF2"/>
    <w:rsid w:val="00EF69AF"/>
    <w:rsid w:val="00EF798D"/>
    <w:rsid w:val="00EF7C74"/>
    <w:rsid w:val="00EF7EB0"/>
    <w:rsid w:val="00F0019D"/>
    <w:rsid w:val="00F002F1"/>
    <w:rsid w:val="00F005A9"/>
    <w:rsid w:val="00F00728"/>
    <w:rsid w:val="00F00A4E"/>
    <w:rsid w:val="00F010A9"/>
    <w:rsid w:val="00F017E0"/>
    <w:rsid w:val="00F01E61"/>
    <w:rsid w:val="00F030AD"/>
    <w:rsid w:val="00F04D39"/>
    <w:rsid w:val="00F04F0F"/>
    <w:rsid w:val="00F05870"/>
    <w:rsid w:val="00F05D8B"/>
    <w:rsid w:val="00F06709"/>
    <w:rsid w:val="00F113ED"/>
    <w:rsid w:val="00F11923"/>
    <w:rsid w:val="00F12C22"/>
    <w:rsid w:val="00F12D7C"/>
    <w:rsid w:val="00F12FFB"/>
    <w:rsid w:val="00F138FF"/>
    <w:rsid w:val="00F14D2D"/>
    <w:rsid w:val="00F155C2"/>
    <w:rsid w:val="00F1596B"/>
    <w:rsid w:val="00F15AB9"/>
    <w:rsid w:val="00F16090"/>
    <w:rsid w:val="00F1650E"/>
    <w:rsid w:val="00F16551"/>
    <w:rsid w:val="00F166C7"/>
    <w:rsid w:val="00F16DBC"/>
    <w:rsid w:val="00F17042"/>
    <w:rsid w:val="00F21060"/>
    <w:rsid w:val="00F212B4"/>
    <w:rsid w:val="00F214FB"/>
    <w:rsid w:val="00F21510"/>
    <w:rsid w:val="00F215FE"/>
    <w:rsid w:val="00F21B21"/>
    <w:rsid w:val="00F22373"/>
    <w:rsid w:val="00F226A7"/>
    <w:rsid w:val="00F22D5C"/>
    <w:rsid w:val="00F23ABC"/>
    <w:rsid w:val="00F242E2"/>
    <w:rsid w:val="00F249DF"/>
    <w:rsid w:val="00F277B3"/>
    <w:rsid w:val="00F30158"/>
    <w:rsid w:val="00F3058F"/>
    <w:rsid w:val="00F30C9D"/>
    <w:rsid w:val="00F32196"/>
    <w:rsid w:val="00F322B7"/>
    <w:rsid w:val="00F328A6"/>
    <w:rsid w:val="00F333AE"/>
    <w:rsid w:val="00F337E9"/>
    <w:rsid w:val="00F33A5B"/>
    <w:rsid w:val="00F340A2"/>
    <w:rsid w:val="00F34794"/>
    <w:rsid w:val="00F34B7B"/>
    <w:rsid w:val="00F34C9F"/>
    <w:rsid w:val="00F35DAC"/>
    <w:rsid w:val="00F35DC1"/>
    <w:rsid w:val="00F35F24"/>
    <w:rsid w:val="00F37625"/>
    <w:rsid w:val="00F37942"/>
    <w:rsid w:val="00F401A7"/>
    <w:rsid w:val="00F403B8"/>
    <w:rsid w:val="00F4042D"/>
    <w:rsid w:val="00F40C5A"/>
    <w:rsid w:val="00F40ED3"/>
    <w:rsid w:val="00F40FF6"/>
    <w:rsid w:val="00F41B3E"/>
    <w:rsid w:val="00F41CDD"/>
    <w:rsid w:val="00F41E6C"/>
    <w:rsid w:val="00F42453"/>
    <w:rsid w:val="00F426AB"/>
    <w:rsid w:val="00F42B55"/>
    <w:rsid w:val="00F42CD7"/>
    <w:rsid w:val="00F43EC9"/>
    <w:rsid w:val="00F440C4"/>
    <w:rsid w:val="00F44556"/>
    <w:rsid w:val="00F44C56"/>
    <w:rsid w:val="00F468A7"/>
    <w:rsid w:val="00F46CFB"/>
    <w:rsid w:val="00F46D79"/>
    <w:rsid w:val="00F474D1"/>
    <w:rsid w:val="00F4760E"/>
    <w:rsid w:val="00F47F52"/>
    <w:rsid w:val="00F50B63"/>
    <w:rsid w:val="00F50C2D"/>
    <w:rsid w:val="00F51030"/>
    <w:rsid w:val="00F5122F"/>
    <w:rsid w:val="00F53D98"/>
    <w:rsid w:val="00F54C3F"/>
    <w:rsid w:val="00F55A5B"/>
    <w:rsid w:val="00F55CD4"/>
    <w:rsid w:val="00F563D3"/>
    <w:rsid w:val="00F60311"/>
    <w:rsid w:val="00F60420"/>
    <w:rsid w:val="00F61563"/>
    <w:rsid w:val="00F6264C"/>
    <w:rsid w:val="00F62CF5"/>
    <w:rsid w:val="00F630F0"/>
    <w:rsid w:val="00F64F59"/>
    <w:rsid w:val="00F65C55"/>
    <w:rsid w:val="00F6665C"/>
    <w:rsid w:val="00F66901"/>
    <w:rsid w:val="00F66BCB"/>
    <w:rsid w:val="00F67BC8"/>
    <w:rsid w:val="00F67BDF"/>
    <w:rsid w:val="00F67D91"/>
    <w:rsid w:val="00F67E51"/>
    <w:rsid w:val="00F70037"/>
    <w:rsid w:val="00F703F9"/>
    <w:rsid w:val="00F70FE6"/>
    <w:rsid w:val="00F710E2"/>
    <w:rsid w:val="00F7187E"/>
    <w:rsid w:val="00F722D2"/>
    <w:rsid w:val="00F725D5"/>
    <w:rsid w:val="00F72645"/>
    <w:rsid w:val="00F730CE"/>
    <w:rsid w:val="00F73F20"/>
    <w:rsid w:val="00F74E57"/>
    <w:rsid w:val="00F75BCC"/>
    <w:rsid w:val="00F76040"/>
    <w:rsid w:val="00F76237"/>
    <w:rsid w:val="00F76C9C"/>
    <w:rsid w:val="00F7794F"/>
    <w:rsid w:val="00F7795A"/>
    <w:rsid w:val="00F801F4"/>
    <w:rsid w:val="00F8067A"/>
    <w:rsid w:val="00F80E29"/>
    <w:rsid w:val="00F81AA1"/>
    <w:rsid w:val="00F81D95"/>
    <w:rsid w:val="00F82536"/>
    <w:rsid w:val="00F825C8"/>
    <w:rsid w:val="00F826C0"/>
    <w:rsid w:val="00F82A2C"/>
    <w:rsid w:val="00F82C8D"/>
    <w:rsid w:val="00F8401E"/>
    <w:rsid w:val="00F85158"/>
    <w:rsid w:val="00F85768"/>
    <w:rsid w:val="00F86ADA"/>
    <w:rsid w:val="00F870F5"/>
    <w:rsid w:val="00F8740B"/>
    <w:rsid w:val="00F87C47"/>
    <w:rsid w:val="00F91247"/>
    <w:rsid w:val="00F913FC"/>
    <w:rsid w:val="00F91E00"/>
    <w:rsid w:val="00F9234F"/>
    <w:rsid w:val="00F929E7"/>
    <w:rsid w:val="00F92B7D"/>
    <w:rsid w:val="00F92DE7"/>
    <w:rsid w:val="00F937CB"/>
    <w:rsid w:val="00F93E74"/>
    <w:rsid w:val="00F94ECA"/>
    <w:rsid w:val="00F957FB"/>
    <w:rsid w:val="00F9610E"/>
    <w:rsid w:val="00F96316"/>
    <w:rsid w:val="00F96D0E"/>
    <w:rsid w:val="00F97B15"/>
    <w:rsid w:val="00FA03E1"/>
    <w:rsid w:val="00FA0596"/>
    <w:rsid w:val="00FA0FE1"/>
    <w:rsid w:val="00FA1BB7"/>
    <w:rsid w:val="00FA1DA6"/>
    <w:rsid w:val="00FA24E3"/>
    <w:rsid w:val="00FA381B"/>
    <w:rsid w:val="00FA39B1"/>
    <w:rsid w:val="00FA3C21"/>
    <w:rsid w:val="00FA5A63"/>
    <w:rsid w:val="00FA5C01"/>
    <w:rsid w:val="00FA5CEF"/>
    <w:rsid w:val="00FA601C"/>
    <w:rsid w:val="00FA7775"/>
    <w:rsid w:val="00FA7C59"/>
    <w:rsid w:val="00FA7EBC"/>
    <w:rsid w:val="00FB0396"/>
    <w:rsid w:val="00FB0904"/>
    <w:rsid w:val="00FB0DE2"/>
    <w:rsid w:val="00FB0F76"/>
    <w:rsid w:val="00FB133A"/>
    <w:rsid w:val="00FB2121"/>
    <w:rsid w:val="00FB2EBE"/>
    <w:rsid w:val="00FB375A"/>
    <w:rsid w:val="00FB3AF9"/>
    <w:rsid w:val="00FB40A8"/>
    <w:rsid w:val="00FB4C7F"/>
    <w:rsid w:val="00FB50E6"/>
    <w:rsid w:val="00FB5C36"/>
    <w:rsid w:val="00FB7310"/>
    <w:rsid w:val="00FB7644"/>
    <w:rsid w:val="00FB7D8D"/>
    <w:rsid w:val="00FC060A"/>
    <w:rsid w:val="00FC06F8"/>
    <w:rsid w:val="00FC07C2"/>
    <w:rsid w:val="00FC07EF"/>
    <w:rsid w:val="00FC1138"/>
    <w:rsid w:val="00FC122E"/>
    <w:rsid w:val="00FC1B56"/>
    <w:rsid w:val="00FC1BF7"/>
    <w:rsid w:val="00FC1EA8"/>
    <w:rsid w:val="00FC2AB7"/>
    <w:rsid w:val="00FC2C75"/>
    <w:rsid w:val="00FC2F39"/>
    <w:rsid w:val="00FC3750"/>
    <w:rsid w:val="00FC51AD"/>
    <w:rsid w:val="00FC533E"/>
    <w:rsid w:val="00FC6136"/>
    <w:rsid w:val="00FC780C"/>
    <w:rsid w:val="00FC782B"/>
    <w:rsid w:val="00FC788D"/>
    <w:rsid w:val="00FD08D3"/>
    <w:rsid w:val="00FD0F65"/>
    <w:rsid w:val="00FD1898"/>
    <w:rsid w:val="00FD224A"/>
    <w:rsid w:val="00FD23C4"/>
    <w:rsid w:val="00FD273A"/>
    <w:rsid w:val="00FD2B1C"/>
    <w:rsid w:val="00FD2C14"/>
    <w:rsid w:val="00FD313F"/>
    <w:rsid w:val="00FD3746"/>
    <w:rsid w:val="00FD4124"/>
    <w:rsid w:val="00FD4251"/>
    <w:rsid w:val="00FD4CBF"/>
    <w:rsid w:val="00FD4FED"/>
    <w:rsid w:val="00FD520E"/>
    <w:rsid w:val="00FD52C5"/>
    <w:rsid w:val="00FD5A09"/>
    <w:rsid w:val="00FD747F"/>
    <w:rsid w:val="00FD7943"/>
    <w:rsid w:val="00FD7B2E"/>
    <w:rsid w:val="00FD7DD6"/>
    <w:rsid w:val="00FE01A3"/>
    <w:rsid w:val="00FE1CB4"/>
    <w:rsid w:val="00FE1D15"/>
    <w:rsid w:val="00FE2820"/>
    <w:rsid w:val="00FE2A35"/>
    <w:rsid w:val="00FE3066"/>
    <w:rsid w:val="00FE3CAE"/>
    <w:rsid w:val="00FE4144"/>
    <w:rsid w:val="00FE4352"/>
    <w:rsid w:val="00FE469A"/>
    <w:rsid w:val="00FE4DBA"/>
    <w:rsid w:val="00FE514B"/>
    <w:rsid w:val="00FE632C"/>
    <w:rsid w:val="00FE68AF"/>
    <w:rsid w:val="00FE6FB5"/>
    <w:rsid w:val="00FE73B3"/>
    <w:rsid w:val="00FE7DBE"/>
    <w:rsid w:val="00FF1E41"/>
    <w:rsid w:val="00FF316D"/>
    <w:rsid w:val="00FF42C9"/>
    <w:rsid w:val="00FF515F"/>
    <w:rsid w:val="00FF51A7"/>
    <w:rsid w:val="00FF5FE6"/>
    <w:rsid w:val="00FF7DC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2AC12F4"/>
  <w15:chartTrackingRefBased/>
  <w15:docId w15:val="{37CA2E66-D5AC-4765-A145-806B03A9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3786"/>
    <w:pPr>
      <w:widowControl w:val="0"/>
    </w:pPr>
    <w:rPr>
      <w:snapToGrid w:val="0"/>
      <w:sz w:val="24"/>
    </w:rPr>
  </w:style>
  <w:style w:type="paragraph" w:styleId="Heading2">
    <w:name w:val="heading 2"/>
    <w:basedOn w:val="Normal"/>
    <w:next w:val="Normal"/>
    <w:qFormat/>
    <w:rsid w:val="009F3786"/>
    <w:pPr>
      <w:keepNext/>
      <w:suppressAutoHyphens/>
      <w:spacing w:before="240" w:line="228" w:lineRule="auto"/>
      <w:jc w:val="center"/>
      <w:outlineLvl w:val="1"/>
    </w:pPr>
    <w:rPr>
      <w:spacing w:val="-2"/>
    </w:rPr>
  </w:style>
  <w:style w:type="paragraph" w:styleId="Heading3">
    <w:name w:val="heading 3"/>
    <w:basedOn w:val="Normal"/>
    <w:next w:val="Normal"/>
    <w:link w:val="Heading3Char"/>
    <w:unhideWhenUsed/>
    <w:qFormat/>
    <w:rsid w:val="005B077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 Char Char,Footnote Text Char Char Char Char Char Char,Footnote Text Char1,Footnote Text Char1 Char,Footnote Text Char1 Char1 Char Char Char,Footnote Text Char2,Footnote Text Char2 Char Char Char,S,f,fn"/>
    <w:basedOn w:val="Normal"/>
    <w:link w:val="FootnoteTextChar3"/>
    <w:qFormat/>
    <w:rsid w:val="009F3786"/>
    <w:pPr>
      <w:widowControl/>
      <w:spacing w:after="120"/>
    </w:pPr>
    <w:rPr>
      <w:sz w:val="20"/>
    </w:rPr>
  </w:style>
  <w:style w:type="character" w:styleId="FootnoteReference">
    <w:name w:val="footnote reference"/>
    <w:aliases w:val="(NECG) Footn,(NECG) Footnote Reference,-E Funotenzeichen,A,Appel note de bas de p,FR,Footnote Reference/,Footnote Reference1,Style 12,Style 124,Style 13,Style 17,Style 20,Style 3,Style 34,Style 4,Style 6,Style 7,Style 9,callout,fr,o"/>
    <w:rsid w:val="009F3786"/>
    <w:rPr>
      <w:rFonts w:ascii="CG Times" w:hAnsi="CG Times"/>
      <w:sz w:val="20"/>
      <w:vertAlign w:val="superscript"/>
    </w:rPr>
  </w:style>
  <w:style w:type="paragraph" w:styleId="Footer">
    <w:name w:val="footer"/>
    <w:basedOn w:val="Normal"/>
    <w:rsid w:val="009F3786"/>
    <w:pPr>
      <w:tabs>
        <w:tab w:val="center" w:pos="4320"/>
        <w:tab w:val="right" w:pos="8640"/>
      </w:tabs>
    </w:pPr>
  </w:style>
  <w:style w:type="character" w:styleId="PageNumber">
    <w:name w:val="page number"/>
    <w:basedOn w:val="DefaultParagraphFont"/>
    <w:rsid w:val="009F3786"/>
  </w:style>
  <w:style w:type="paragraph" w:styleId="BodyText">
    <w:name w:val="Body Text"/>
    <w:basedOn w:val="Normal"/>
    <w:rsid w:val="009F3786"/>
    <w:pPr>
      <w:widowControl/>
      <w:jc w:val="both"/>
    </w:pPr>
    <w:rPr>
      <w:snapToGrid/>
      <w:sz w:val="22"/>
    </w:rPr>
  </w:style>
  <w:style w:type="paragraph" w:styleId="BodyText3">
    <w:name w:val="Body Text 3"/>
    <w:basedOn w:val="Normal"/>
    <w:rsid w:val="009F3786"/>
    <w:pPr>
      <w:widowControl/>
      <w:jc w:val="both"/>
    </w:pPr>
    <w:rPr>
      <w:snapToGrid/>
    </w:rPr>
  </w:style>
  <w:style w:type="paragraph" w:styleId="Header">
    <w:name w:val="header"/>
    <w:basedOn w:val="Normal"/>
    <w:link w:val="HeaderChar"/>
    <w:rsid w:val="009F3786"/>
    <w:pPr>
      <w:tabs>
        <w:tab w:val="center" w:pos="4320"/>
        <w:tab w:val="right" w:pos="8640"/>
      </w:tabs>
    </w:p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link w:val="FootnoteText"/>
    <w:rsid w:val="00026377"/>
    <w:rPr>
      <w:snapToGrid w:val="0"/>
      <w:lang w:val="en-US" w:eastAsia="en-US" w:bidi="ar-SA"/>
    </w:rPr>
  </w:style>
  <w:style w:type="paragraph" w:styleId="BalloonText">
    <w:name w:val="Balloon Text"/>
    <w:basedOn w:val="Normal"/>
    <w:semiHidden/>
    <w:rsid w:val="00C80F84"/>
    <w:rPr>
      <w:rFonts w:ascii="Tahoma" w:hAnsi="Tahoma" w:cs="Tahoma"/>
      <w:sz w:val="16"/>
      <w:szCs w:val="16"/>
    </w:rPr>
  </w:style>
  <w:style w:type="paragraph" w:customStyle="1" w:styleId="Blockquote">
    <w:name w:val="Blockquote"/>
    <w:basedOn w:val="Normal"/>
    <w:rsid w:val="00AF2F31"/>
    <w:pPr>
      <w:widowControl/>
      <w:autoSpaceDE w:val="0"/>
      <w:autoSpaceDN w:val="0"/>
      <w:adjustRightInd w:val="0"/>
      <w:spacing w:before="100" w:after="100"/>
      <w:ind w:left="360" w:right="360"/>
    </w:pPr>
    <w:rPr>
      <w:snapToGrid/>
      <w:szCs w:val="24"/>
    </w:rPr>
  </w:style>
  <w:style w:type="character" w:styleId="Hyperlink">
    <w:name w:val="Hyperlink"/>
    <w:uiPriority w:val="99"/>
    <w:rsid w:val="00AF2F31"/>
    <w:rPr>
      <w:color w:val="0000FF"/>
      <w:u w:val="single"/>
    </w:rPr>
  </w:style>
  <w:style w:type="character" w:styleId="Strong">
    <w:name w:val="Strong"/>
    <w:qFormat/>
    <w:rsid w:val="00873833"/>
    <w:rPr>
      <w:b/>
      <w:bCs/>
    </w:rPr>
  </w:style>
  <w:style w:type="character" w:customStyle="1" w:styleId="Heading3Char">
    <w:name w:val="Heading 3 Char"/>
    <w:link w:val="Heading3"/>
    <w:rsid w:val="005B077E"/>
    <w:rPr>
      <w:rFonts w:ascii="Cambria" w:eastAsia="Times New Roman" w:hAnsi="Cambria" w:cs="Times New Roman"/>
      <w:b/>
      <w:bCs/>
      <w:snapToGrid w:val="0"/>
      <w:sz w:val="26"/>
      <w:szCs w:val="26"/>
    </w:rPr>
  </w:style>
  <w:style w:type="paragraph" w:styleId="ListParagraph">
    <w:name w:val="List Paragraph"/>
    <w:basedOn w:val="Normal"/>
    <w:uiPriority w:val="34"/>
    <w:qFormat/>
    <w:rsid w:val="005B077E"/>
    <w:pPr>
      <w:ind w:left="720"/>
    </w:pPr>
  </w:style>
  <w:style w:type="character" w:styleId="CommentReference">
    <w:name w:val="annotation reference"/>
    <w:rsid w:val="0058323F"/>
    <w:rPr>
      <w:sz w:val="16"/>
      <w:szCs w:val="16"/>
    </w:rPr>
  </w:style>
  <w:style w:type="paragraph" w:styleId="CommentText">
    <w:name w:val="annotation text"/>
    <w:basedOn w:val="Normal"/>
    <w:link w:val="CommentTextChar"/>
    <w:rsid w:val="0058323F"/>
    <w:rPr>
      <w:sz w:val="20"/>
    </w:rPr>
  </w:style>
  <w:style w:type="character" w:customStyle="1" w:styleId="CommentTextChar">
    <w:name w:val="Comment Text Char"/>
    <w:link w:val="CommentText"/>
    <w:rsid w:val="0058323F"/>
    <w:rPr>
      <w:snapToGrid w:val="0"/>
    </w:rPr>
  </w:style>
  <w:style w:type="paragraph" w:styleId="CommentSubject">
    <w:name w:val="annotation subject"/>
    <w:basedOn w:val="CommentText"/>
    <w:next w:val="CommentText"/>
    <w:link w:val="CommentSubjectChar"/>
    <w:rsid w:val="0058323F"/>
    <w:rPr>
      <w:b/>
      <w:bCs/>
    </w:rPr>
  </w:style>
  <w:style w:type="character" w:customStyle="1" w:styleId="CommentSubjectChar">
    <w:name w:val="Comment Subject Char"/>
    <w:link w:val="CommentSubject"/>
    <w:rsid w:val="0058323F"/>
    <w:rPr>
      <w:b/>
      <w:bCs/>
      <w:snapToGrid w:val="0"/>
    </w:rPr>
  </w:style>
  <w:style w:type="paragraph" w:customStyle="1" w:styleId="ParaNum">
    <w:name w:val="ParaNum"/>
    <w:basedOn w:val="Normal"/>
    <w:link w:val="ParaNumChar"/>
    <w:rsid w:val="00C959AA"/>
    <w:pPr>
      <w:numPr>
        <w:numId w:val="13"/>
      </w:numPr>
      <w:spacing w:after="120"/>
    </w:pPr>
    <w:rPr>
      <w:kern w:val="28"/>
      <w:sz w:val="22"/>
    </w:rPr>
  </w:style>
  <w:style w:type="character" w:customStyle="1" w:styleId="ParaNumChar">
    <w:name w:val="ParaNum Char"/>
    <w:link w:val="ParaNum"/>
    <w:locked/>
    <w:rsid w:val="00C959AA"/>
    <w:rPr>
      <w:snapToGrid w:val="0"/>
      <w:kern w:val="28"/>
      <w:sz w:val="22"/>
    </w:rPr>
  </w:style>
  <w:style w:type="character" w:customStyle="1" w:styleId="HeaderChar">
    <w:name w:val="Header Char"/>
    <w:basedOn w:val="DefaultParagraphFont"/>
    <w:link w:val="Header"/>
    <w:rsid w:val="002D14E0"/>
    <w:rPr>
      <w:snapToGrid w:val="0"/>
      <w:sz w:val="24"/>
    </w:rPr>
  </w:style>
  <w:style w:type="character" w:styleId="UnresolvedMention">
    <w:name w:val="Unresolved Mention"/>
    <w:basedOn w:val="DefaultParagraphFont"/>
    <w:uiPriority w:val="99"/>
    <w:semiHidden/>
    <w:unhideWhenUsed/>
    <w:rsid w:val="00D50C8D"/>
    <w:rPr>
      <w:color w:val="605E5C"/>
      <w:shd w:val="clear" w:color="auto" w:fill="E1DFDD"/>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4650E5"/>
    <w:rPr>
      <w:lang w:val="en-US" w:eastAsia="en-US" w:bidi="ar-SA"/>
    </w:rPr>
  </w:style>
  <w:style w:type="paragraph" w:styleId="NormalWeb">
    <w:name w:val="Normal (Web)"/>
    <w:basedOn w:val="Normal"/>
    <w:uiPriority w:val="99"/>
    <w:unhideWhenUsed/>
    <w:rsid w:val="002D126C"/>
    <w:pPr>
      <w:widowControl/>
      <w:spacing w:before="100" w:beforeAutospacing="1" w:after="100" w:afterAutospacing="1"/>
    </w:pPr>
    <w:rPr>
      <w:snapToGrid/>
      <w:szCs w:val="24"/>
    </w:rPr>
  </w:style>
  <w:style w:type="character" w:styleId="Emphasis">
    <w:name w:val="Emphasis"/>
    <w:basedOn w:val="DefaultParagraphFont"/>
    <w:uiPriority w:val="20"/>
    <w:qFormat/>
    <w:rsid w:val="00C82257"/>
    <w:rPr>
      <w:i/>
      <w:iCs/>
    </w:rPr>
  </w:style>
  <w:style w:type="paragraph" w:styleId="Revision">
    <w:name w:val="Revision"/>
    <w:hidden/>
    <w:uiPriority w:val="99"/>
    <w:semiHidden/>
    <w:rsid w:val="00E70FD6"/>
    <w:rPr>
      <w:snapToGrid w:val="0"/>
      <w:sz w:val="24"/>
    </w:rPr>
  </w:style>
  <w:style w:type="paragraph" w:customStyle="1" w:styleId="footnotedescription">
    <w:name w:val="footnote description"/>
    <w:next w:val="Normal"/>
    <w:link w:val="footnotedescriptionChar"/>
    <w:hidden/>
    <w:rsid w:val="004F5FAF"/>
    <w:pPr>
      <w:spacing w:after="85" w:line="259" w:lineRule="auto"/>
      <w:ind w:left="1"/>
    </w:pPr>
    <w:rPr>
      <w:color w:val="000000"/>
      <w:szCs w:val="22"/>
      <w:lang w:bidi="he-IL"/>
    </w:rPr>
  </w:style>
  <w:style w:type="character" w:customStyle="1" w:styleId="footnotedescriptionChar">
    <w:name w:val="footnote description Char"/>
    <w:link w:val="footnotedescription"/>
    <w:rsid w:val="004F5FAF"/>
    <w:rPr>
      <w:color w:val="000000"/>
      <w:szCs w:val="22"/>
      <w:lang w:bidi="he-IL"/>
    </w:rPr>
  </w:style>
  <w:style w:type="character" w:customStyle="1" w:styleId="footnotemark">
    <w:name w:val="footnote mark"/>
    <w:hidden/>
    <w:rsid w:val="004F5FAF"/>
    <w:rPr>
      <w:rFonts w:ascii="Times New Roman" w:eastAsia="Times New Roman" w:hAnsi="Times New Roman" w:cs="Times New Roman"/>
      <w:color w:val="000000"/>
      <w:sz w:val="20"/>
      <w:vertAlign w:val="superscript"/>
    </w:rPr>
  </w:style>
  <w:style w:type="character" w:customStyle="1" w:styleId="cosearchterm">
    <w:name w:val="co_searchterm"/>
    <w:basedOn w:val="DefaultParagraphFont"/>
    <w:rsid w:val="002D2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OKSRA80@GMAIL.COM" TargetMode="External" /><Relationship Id="rId6" Type="http://schemas.openxmlformats.org/officeDocument/2006/relationships/hyperlink" Target="mailto:CHARLES.NAFTALIN@HKLAW.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koksradio.org/public-notices.php"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