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6D9B" w14:paraId="60E5882D" w14:textId="77777777">
      <w:pPr>
        <w:pStyle w:val="Header"/>
        <w:tabs>
          <w:tab w:val="clear" w:pos="4320"/>
          <w:tab w:val="clear" w:pos="8640"/>
        </w:tabs>
      </w:pPr>
    </w:p>
    <w:p w:rsidR="005F71F5" w:rsidRPr="00A128DC" w14:paraId="60A61D68" w14:textId="77777777">
      <w:pPr>
        <w:pStyle w:val="Header"/>
        <w:tabs>
          <w:tab w:val="clear" w:pos="4320"/>
          <w:tab w:val="clear" w:pos="8640"/>
        </w:tabs>
        <w:sectPr w:rsidSect="00823722">
          <w:headerReference w:type="even" r:id="rId5"/>
          <w:headerReference w:type="default" r:id="rId6"/>
          <w:footerReference w:type="even" r:id="rId7"/>
          <w:footerReference w:type="default" r:id="rId8"/>
          <w:headerReference w:type="first" r:id="rId9"/>
          <w:footerReference w:type="first" r:id="rId10"/>
          <w:pgSz w:w="12240" w:h="15840" w:code="1"/>
          <w:pgMar w:top="1440" w:right="720" w:bottom="1296" w:left="720" w:header="720" w:footer="1440" w:gutter="0"/>
          <w:cols w:space="720"/>
          <w:titlePg/>
        </w:sectPr>
      </w:pPr>
    </w:p>
    <w:p w:rsidR="00A4133F" w:rsidRPr="00A128DC" w:rsidP="5903194A" w14:paraId="4899499E" w14:textId="0C90732D">
      <w:pPr>
        <w:spacing w:before="60"/>
        <w:ind w:left="6480"/>
        <w:rPr>
          <w:b/>
          <w:bCs/>
        </w:rPr>
      </w:pPr>
      <w:r w:rsidRPr="5903194A">
        <w:rPr>
          <w:b/>
          <w:bCs/>
        </w:rPr>
        <w:t>DA</w:t>
      </w:r>
      <w:r w:rsidRPr="5903194A" w:rsidR="039059B5">
        <w:rPr>
          <w:b/>
          <w:bCs/>
        </w:rPr>
        <w:t xml:space="preserve"> </w:t>
      </w:r>
      <w:r w:rsidRPr="5903194A" w:rsidR="2F2B0BBE">
        <w:rPr>
          <w:b/>
          <w:bCs/>
        </w:rPr>
        <w:t>2</w:t>
      </w:r>
      <w:r w:rsidRPr="5903194A" w:rsidR="28AA213C">
        <w:rPr>
          <w:b/>
          <w:bCs/>
        </w:rPr>
        <w:t>3</w:t>
      </w:r>
      <w:r w:rsidRPr="5903194A" w:rsidR="2F2B0BBE">
        <w:rPr>
          <w:b/>
          <w:bCs/>
        </w:rPr>
        <w:t>-</w:t>
      </w:r>
      <w:r w:rsidR="0003472B">
        <w:rPr>
          <w:b/>
          <w:bCs/>
        </w:rPr>
        <w:t>843</w:t>
      </w:r>
    </w:p>
    <w:p w:rsidR="00A4133F" w:rsidRPr="00A128DC" w:rsidP="5903194A" w14:paraId="5762EB9E" w14:textId="75AE8ABA">
      <w:pPr>
        <w:spacing w:before="60"/>
        <w:ind w:left="6480"/>
        <w:rPr>
          <w:b/>
          <w:bCs/>
        </w:rPr>
      </w:pPr>
      <w:r w:rsidRPr="5903194A">
        <w:rPr>
          <w:b/>
          <w:bCs/>
        </w:rPr>
        <w:t xml:space="preserve">Released: </w:t>
      </w:r>
      <w:r w:rsidR="00E0296C">
        <w:rPr>
          <w:b/>
          <w:bCs/>
        </w:rPr>
        <w:t>September</w:t>
      </w:r>
      <w:r w:rsidRPr="5903194A" w:rsidR="58C2B636">
        <w:rPr>
          <w:b/>
          <w:bCs/>
        </w:rPr>
        <w:t xml:space="preserve"> </w:t>
      </w:r>
      <w:r w:rsidR="00630F33">
        <w:rPr>
          <w:b/>
          <w:bCs/>
        </w:rPr>
        <w:t>13</w:t>
      </w:r>
      <w:r w:rsidRPr="5903194A" w:rsidR="7A5FBD62">
        <w:rPr>
          <w:b/>
          <w:bCs/>
        </w:rPr>
        <w:t>, 20</w:t>
      </w:r>
      <w:r w:rsidRPr="5903194A" w:rsidR="47EEFE6F">
        <w:rPr>
          <w:b/>
          <w:bCs/>
        </w:rPr>
        <w:t>2</w:t>
      </w:r>
      <w:r w:rsidRPr="5903194A" w:rsidR="695AC330">
        <w:rPr>
          <w:b/>
          <w:bCs/>
        </w:rPr>
        <w:t>3</w:t>
      </w:r>
    </w:p>
    <w:p w:rsidR="00A4133F" w:rsidRPr="00A128DC" w14:paraId="08F5DFCC" w14:textId="77777777">
      <w:pPr>
        <w:jc w:val="right"/>
        <w:rPr>
          <w:szCs w:val="22"/>
        </w:rPr>
      </w:pPr>
    </w:p>
    <w:p w:rsidR="00C80814" w:rsidRPr="004E0D51" w:rsidP="00C80814" w14:paraId="5B974EF4" w14:textId="51EFB5BC">
      <w:pPr>
        <w:jc w:val="center"/>
        <w:rPr>
          <w:b/>
          <w:szCs w:val="22"/>
        </w:rPr>
      </w:pPr>
      <w:r w:rsidRPr="00A128DC">
        <w:rPr>
          <w:b/>
          <w:szCs w:val="22"/>
        </w:rPr>
        <w:t xml:space="preserve">Proposed </w:t>
      </w:r>
      <w:r w:rsidR="00E0296C">
        <w:rPr>
          <w:b/>
          <w:szCs w:val="22"/>
        </w:rPr>
        <w:t>Fourth</w:t>
      </w:r>
      <w:r w:rsidRPr="00A128DC" w:rsidR="0092777F">
        <w:rPr>
          <w:b/>
          <w:szCs w:val="22"/>
        </w:rPr>
        <w:t xml:space="preserve"> </w:t>
      </w:r>
      <w:r w:rsidRPr="00A128DC">
        <w:rPr>
          <w:b/>
          <w:szCs w:val="22"/>
        </w:rPr>
        <w:t>Quarter 20</w:t>
      </w:r>
      <w:r w:rsidR="00C15ED6">
        <w:rPr>
          <w:b/>
          <w:szCs w:val="22"/>
        </w:rPr>
        <w:t>2</w:t>
      </w:r>
      <w:r w:rsidR="006D63D1">
        <w:rPr>
          <w:b/>
          <w:szCs w:val="22"/>
        </w:rPr>
        <w:t>3</w:t>
      </w:r>
      <w:r w:rsidR="00D02BF3">
        <w:rPr>
          <w:b/>
          <w:szCs w:val="22"/>
        </w:rPr>
        <w:t xml:space="preserve"> </w:t>
      </w:r>
      <w:r w:rsidRPr="00A128DC">
        <w:rPr>
          <w:b/>
          <w:szCs w:val="22"/>
        </w:rPr>
        <w:t>Universal Service Contribution Factor</w:t>
      </w:r>
    </w:p>
    <w:p w:rsidR="00C80814" w:rsidRPr="00A128DC" w:rsidP="00C80814" w14:paraId="56BCC92C" w14:textId="77777777">
      <w:pPr>
        <w:jc w:val="center"/>
        <w:rPr>
          <w:b/>
          <w:szCs w:val="22"/>
        </w:rPr>
      </w:pPr>
    </w:p>
    <w:p w:rsidR="00C80814" w:rsidRPr="00A128DC" w:rsidP="00C80814" w14:paraId="237E715B" w14:textId="77777777">
      <w:pPr>
        <w:jc w:val="center"/>
        <w:rPr>
          <w:szCs w:val="22"/>
        </w:rPr>
      </w:pPr>
      <w:r w:rsidRPr="00A128DC">
        <w:rPr>
          <w:szCs w:val="22"/>
        </w:rPr>
        <w:t xml:space="preserve">CC Docket No. </w:t>
      </w:r>
      <w:r w:rsidR="005E40E8">
        <w:rPr>
          <w:szCs w:val="22"/>
        </w:rPr>
        <w:t>96-45</w:t>
      </w:r>
    </w:p>
    <w:p w:rsidR="00C80814" w:rsidRPr="00A128DC" w:rsidP="00C80814" w14:paraId="44CF77C4" w14:textId="77777777">
      <w:pPr>
        <w:jc w:val="center"/>
        <w:rPr>
          <w:szCs w:val="22"/>
        </w:rPr>
      </w:pPr>
    </w:p>
    <w:p w:rsidR="00C80814" w:rsidRPr="00A128DC" w:rsidP="00C80814" w14:paraId="66326D85" w14:textId="01EF3738">
      <w:pPr>
        <w:rPr>
          <w:szCs w:val="22"/>
        </w:rPr>
      </w:pPr>
      <w:r w:rsidRPr="00A128DC">
        <w:rPr>
          <w:szCs w:val="22"/>
        </w:rPr>
        <w:tab/>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C60BC7">
        <w:rPr>
          <w:szCs w:val="22"/>
        </w:rPr>
        <w:t>fourth</w:t>
      </w:r>
      <w:r w:rsidRPr="00BF573D" w:rsidR="00D4272B">
        <w:rPr>
          <w:szCs w:val="22"/>
        </w:rPr>
        <w:t xml:space="preserve"> q</w:t>
      </w:r>
      <w:r w:rsidRPr="00BF573D">
        <w:rPr>
          <w:szCs w:val="22"/>
        </w:rPr>
        <w:t>uarter of 20</w:t>
      </w:r>
      <w:r w:rsidR="00413828">
        <w:rPr>
          <w:szCs w:val="22"/>
        </w:rPr>
        <w:t>2</w:t>
      </w:r>
      <w:r w:rsidR="006D63D1">
        <w:rPr>
          <w:szCs w:val="22"/>
        </w:rPr>
        <w:t>3</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780343" w:rsidR="004E0D51">
        <w:rPr>
          <w:color w:val="000000"/>
          <w:szCs w:val="22"/>
        </w:rPr>
        <w:t>0.</w:t>
      </w:r>
      <w:r w:rsidR="00E0296C">
        <w:rPr>
          <w:color w:val="000000"/>
          <w:szCs w:val="22"/>
        </w:rPr>
        <w:t>345</w:t>
      </w:r>
      <w:r w:rsidR="003228EA">
        <w:rPr>
          <w:szCs w:val="22"/>
        </w:rPr>
        <w:t xml:space="preserve"> </w:t>
      </w:r>
      <w:r w:rsidRPr="00ED4FA0">
        <w:rPr>
          <w:szCs w:val="22"/>
        </w:rPr>
        <w:t xml:space="preserve">or </w:t>
      </w:r>
      <w:r w:rsidR="00E0296C">
        <w:rPr>
          <w:szCs w:val="22"/>
        </w:rPr>
        <w:t>34</w:t>
      </w:r>
      <w:r w:rsidR="001977F8">
        <w:rPr>
          <w:szCs w:val="22"/>
        </w:rPr>
        <w:t>.</w:t>
      </w:r>
      <w:r w:rsidR="00E0296C">
        <w:rPr>
          <w:szCs w:val="22"/>
        </w:rPr>
        <w:t>5</w:t>
      </w:r>
      <w:r w:rsidRPr="00A128DC">
        <w:rPr>
          <w:b/>
          <w:szCs w:val="22"/>
        </w:rPr>
        <w:t xml:space="preserve"> </w:t>
      </w:r>
      <w:r w:rsidRPr="00A128DC">
        <w:rPr>
          <w:szCs w:val="22"/>
        </w:rPr>
        <w:t>percent.</w:t>
      </w:r>
      <w:r>
        <w:rPr>
          <w:szCs w:val="22"/>
          <w:vertAlign w:val="superscript"/>
        </w:rPr>
        <w:footnoteReference w:id="3"/>
      </w:r>
    </w:p>
    <w:p w:rsidR="00C80814" w:rsidRPr="00A128DC" w:rsidP="00C80814" w14:paraId="37A086EC" w14:textId="77777777">
      <w:pPr>
        <w:rPr>
          <w:szCs w:val="22"/>
        </w:rPr>
      </w:pPr>
    </w:p>
    <w:p w:rsidR="00C80814" w:rsidRPr="00A128DC" w:rsidP="00C80814" w14:paraId="2464CC06" w14:textId="77777777">
      <w:pPr>
        <w:rPr>
          <w:b/>
          <w:szCs w:val="22"/>
          <w:u w:val="single"/>
        </w:rPr>
      </w:pPr>
      <w:r w:rsidRPr="00A128DC">
        <w:rPr>
          <w:b/>
          <w:szCs w:val="22"/>
          <w:u w:val="single"/>
        </w:rPr>
        <w:t>Rules for Calculating the Contribution Factor</w:t>
      </w:r>
    </w:p>
    <w:p w:rsidR="00C80814" w:rsidRPr="00A128DC" w:rsidP="00C80814" w14:paraId="49F3D62D" w14:textId="77777777">
      <w:pPr>
        <w:rPr>
          <w:szCs w:val="22"/>
        </w:rPr>
      </w:pPr>
    </w:p>
    <w:p w:rsidR="00C80814" w:rsidRPr="00A128DC" w:rsidP="00C80814" w14:paraId="2A6C4794" w14:textId="77777777">
      <w:pPr>
        <w:rPr>
          <w:szCs w:val="22"/>
        </w:rPr>
      </w:pPr>
      <w:r w:rsidRPr="00A128DC">
        <w:rPr>
          <w:szCs w:val="22"/>
        </w:rPr>
        <w:tab/>
        <w:t xml:space="preserve">Contributions to the federal universal service support mechanisms are </w:t>
      </w:r>
      <w:r w:rsidRPr="00A128DC">
        <w:rPr>
          <w:szCs w:val="22"/>
        </w:rPr>
        <w:t>determined using a quarterly contribution factor calculated by the Federal Communications Commission (Commission).</w:t>
      </w:r>
      <w:r>
        <w:rPr>
          <w:rStyle w:val="FootnoteReference"/>
          <w:szCs w:val="22"/>
        </w:rPr>
        <w:footnoteReference w:id="4"/>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5"/>
      </w:r>
      <w:r w:rsidRPr="00A128DC">
        <w:rPr>
          <w:szCs w:val="22"/>
        </w:rPr>
        <w:t xml:space="preserve">  </w:t>
      </w:r>
    </w:p>
    <w:p w:rsidR="00C80814" w:rsidRPr="00A128DC" w:rsidP="00C80814" w14:paraId="1702BA55" w14:textId="77777777">
      <w:pPr>
        <w:rPr>
          <w:b/>
          <w:szCs w:val="22"/>
          <w:u w:val="single"/>
        </w:rPr>
      </w:pPr>
    </w:p>
    <w:p w:rsidR="00C80814" w:rsidRPr="00A128DC" w:rsidP="00C80814" w14:paraId="5EB2FFE1" w14:textId="77777777">
      <w:pPr>
        <w:rPr>
          <w:b/>
          <w:szCs w:val="22"/>
          <w:u w:val="single"/>
        </w:rPr>
      </w:pPr>
      <w:r w:rsidRPr="00A128DC">
        <w:rPr>
          <w:b/>
          <w:szCs w:val="22"/>
          <w:u w:val="single"/>
        </w:rPr>
        <w:t>USAC Projections of Demand and Administrative Expenses</w:t>
      </w:r>
    </w:p>
    <w:p w:rsidR="00C80814" w:rsidRPr="00A128DC" w:rsidP="00C80814" w14:paraId="140F5300" w14:textId="77777777">
      <w:pPr>
        <w:rPr>
          <w:szCs w:val="22"/>
        </w:rPr>
      </w:pPr>
    </w:p>
    <w:p w:rsidR="001C3F8A" w:rsidRPr="001C3F8A" w:rsidP="00274791" w14:paraId="2AEFEEEF" w14:textId="62B92E6E">
      <w:pPr>
        <w:pStyle w:val="xxmsolistparagraph"/>
        <w:ind w:left="0" w:firstLine="720"/>
        <w:rPr>
          <w:rFonts w:ascii="Times New Roman" w:eastAsia="Times New Roman" w:hAnsi="Times New Roman" w:cs="Times New Roman"/>
          <w:vertAlign w:val="superscript"/>
        </w:rPr>
      </w:pPr>
      <w:r w:rsidRPr="00274791">
        <w:rPr>
          <w:rFonts w:ascii="Times New Roman" w:eastAsia="Times New Roman" w:hAnsi="Times New Roman" w:cs="Times New Roman"/>
        </w:rPr>
        <w:t xml:space="preserve">Pursuant to section </w:t>
      </w:r>
      <w:r w:rsidRPr="00274791">
        <w:rPr>
          <w:rFonts w:ascii="Times New Roman" w:eastAsia="Times New Roman" w:hAnsi="Times New Roman" w:cs="Times New Roman"/>
        </w:rPr>
        <w:t>54.709(a)(3) of the Commission’s rules,</w:t>
      </w:r>
      <w:r>
        <w:rPr>
          <w:rFonts w:ascii="Times New Roman" w:eastAsia="Times New Roman" w:hAnsi="Times New Roman" w:cs="Times New Roman"/>
        </w:rPr>
        <w:footnoteReference w:id="6"/>
      </w:r>
      <w:r w:rsidRPr="00274791">
        <w:rPr>
          <w:rFonts w:ascii="Times New Roman" w:eastAsia="Times New Roman" w:hAnsi="Times New Roman" w:cs="Times New Roman"/>
        </w:rPr>
        <w:t xml:space="preserve"> the Universal Service Administrative Company (USAC) submitted projections of demand and administrative expenses for the </w:t>
      </w:r>
      <w:r w:rsidR="00E0296C">
        <w:rPr>
          <w:rFonts w:ascii="Times New Roman" w:eastAsia="Times New Roman" w:hAnsi="Times New Roman" w:cs="Times New Roman"/>
        </w:rPr>
        <w:t>fourth</w:t>
      </w:r>
      <w:r w:rsidRPr="00274791" w:rsidR="302E4146">
        <w:rPr>
          <w:rFonts w:ascii="Times New Roman" w:eastAsia="Times New Roman" w:hAnsi="Times New Roman" w:cs="Times New Roman"/>
        </w:rPr>
        <w:t xml:space="preserve"> </w:t>
      </w:r>
      <w:r w:rsidRPr="00274791">
        <w:rPr>
          <w:rFonts w:ascii="Times New Roman" w:eastAsia="Times New Roman" w:hAnsi="Times New Roman" w:cs="Times New Roman"/>
        </w:rPr>
        <w:t>quarter of 20</w:t>
      </w:r>
      <w:r w:rsidRPr="00274791" w:rsidR="3E9B6D5F">
        <w:rPr>
          <w:rFonts w:ascii="Times New Roman" w:eastAsia="Times New Roman" w:hAnsi="Times New Roman" w:cs="Times New Roman"/>
        </w:rPr>
        <w:t>2</w:t>
      </w:r>
      <w:r w:rsidRPr="00274791" w:rsidR="4DBFDDD6">
        <w:rPr>
          <w:rFonts w:ascii="Times New Roman" w:eastAsia="Times New Roman" w:hAnsi="Times New Roman" w:cs="Times New Roman"/>
        </w:rPr>
        <w:t>3</w:t>
      </w:r>
      <w:r w:rsidRPr="00274791">
        <w:rPr>
          <w:rFonts w:ascii="Times New Roman" w:eastAsia="Times New Roman" w:hAnsi="Times New Roman" w:cs="Times New Roman"/>
        </w:rPr>
        <w:t>.</w:t>
      </w:r>
      <w:r>
        <w:rPr>
          <w:rFonts w:ascii="Times New Roman" w:eastAsia="Times New Roman" w:hAnsi="Times New Roman" w:cs="Times New Roman"/>
          <w:vertAlign w:val="superscript"/>
        </w:rPr>
        <w:footnoteReference w:id="7"/>
      </w:r>
      <w:r w:rsidRPr="00274791">
        <w:rPr>
          <w:rFonts w:ascii="Times New Roman" w:eastAsia="Times New Roman" w:hAnsi="Times New Roman" w:cs="Times New Roman"/>
        </w:rPr>
        <w:t xml:space="preserve">  </w:t>
      </w:r>
      <w:r w:rsidRPr="33FCC43E" w:rsidR="5139EDD7">
        <w:rPr>
          <w:rFonts w:ascii="Times New Roman" w:eastAsia="Times New Roman" w:hAnsi="Times New Roman" w:cs="Times New Roman"/>
        </w:rPr>
        <w:t>Pursuant to the Commission’s direction and the Commission’s rules,</w:t>
      </w:r>
      <w:r>
        <w:rPr>
          <w:rStyle w:val="FootnoteReference"/>
          <w:rFonts w:ascii="Times New Roman" w:eastAsia="Times New Roman" w:hAnsi="Times New Roman" w:cs="Times New Roman"/>
        </w:rPr>
        <w:footnoteReference w:id="8"/>
      </w:r>
      <w:r w:rsidRPr="33FCC43E" w:rsidR="5139EDD7">
        <w:rPr>
          <w:rFonts w:ascii="Times New Roman" w:eastAsia="Times New Roman" w:hAnsi="Times New Roman" w:cs="Times New Roman"/>
        </w:rPr>
        <w:t xml:space="preserve"> the Wireline Competition Bureau</w:t>
      </w:r>
      <w:r w:rsidRPr="33FCC43E" w:rsidR="5C6E9209">
        <w:rPr>
          <w:rFonts w:ascii="Times New Roman" w:eastAsia="Times New Roman" w:hAnsi="Times New Roman" w:cs="Times New Roman"/>
        </w:rPr>
        <w:t xml:space="preserve"> (WCB)</w:t>
      </w:r>
      <w:r w:rsidRPr="33FCC43E" w:rsidR="5139EDD7">
        <w:rPr>
          <w:rFonts w:ascii="Times New Roman" w:eastAsia="Times New Roman" w:hAnsi="Times New Roman" w:cs="Times New Roman"/>
        </w:rPr>
        <w:t xml:space="preserve">, in consultation with </w:t>
      </w:r>
      <w:r w:rsidRPr="33FCC43E" w:rsidR="6A38BFD4">
        <w:rPr>
          <w:rFonts w:ascii="Times New Roman" w:eastAsia="Times New Roman" w:hAnsi="Times New Roman" w:cs="Times New Roman"/>
        </w:rPr>
        <w:t>OMD</w:t>
      </w:r>
      <w:r w:rsidRPr="33FCC43E" w:rsidR="5139EDD7">
        <w:rPr>
          <w:rFonts w:ascii="Times New Roman" w:eastAsia="Times New Roman" w:hAnsi="Times New Roman" w:cs="Times New Roman"/>
        </w:rPr>
        <w:t>, previously directed USAC to carry forward up to $211.50 million in unused funds from prior funding years to the extent necessary to satisfy funding year 2023 R</w:t>
      </w:r>
      <w:r w:rsidRPr="33FCC43E" w:rsidR="6A80F1E7">
        <w:rPr>
          <w:rFonts w:ascii="Times New Roman" w:eastAsia="Times New Roman" w:hAnsi="Times New Roman" w:cs="Times New Roman"/>
        </w:rPr>
        <w:t>ural Health Care</w:t>
      </w:r>
      <w:r w:rsidRPr="33FCC43E" w:rsidR="5139EDD7">
        <w:rPr>
          <w:rFonts w:ascii="Times New Roman" w:eastAsia="Times New Roman" w:hAnsi="Times New Roman" w:cs="Times New Roman"/>
        </w:rPr>
        <w:t xml:space="preserve"> </w:t>
      </w:r>
      <w:r w:rsidRPr="33FCC43E" w:rsidR="6A80F1E7">
        <w:rPr>
          <w:rFonts w:ascii="Times New Roman" w:eastAsia="Times New Roman" w:hAnsi="Times New Roman" w:cs="Times New Roman"/>
        </w:rPr>
        <w:t>p</w:t>
      </w:r>
      <w:r w:rsidRPr="33FCC43E" w:rsidR="5139EDD7">
        <w:rPr>
          <w:rFonts w:ascii="Times New Roman" w:eastAsia="Times New Roman" w:hAnsi="Times New Roman" w:cs="Times New Roman"/>
        </w:rPr>
        <w:t>rogram demand.</w:t>
      </w:r>
      <w:r>
        <w:rPr>
          <w:rStyle w:val="FootnoteReference"/>
          <w:rFonts w:ascii="Times New Roman" w:eastAsia="Times New Roman" w:hAnsi="Times New Roman" w:cs="Times New Roman"/>
        </w:rPr>
        <w:footnoteReference w:id="9"/>
      </w:r>
      <w:r w:rsidRPr="33FCC43E" w:rsidR="5139EDD7">
        <w:rPr>
          <w:rFonts w:ascii="Times New Roman" w:eastAsia="Times New Roman" w:hAnsi="Times New Roman" w:cs="Times New Roman"/>
        </w:rPr>
        <w:t xml:space="preserve">  </w:t>
      </w:r>
      <w:r w:rsidRPr="33FCC43E" w:rsidR="5C6E9209">
        <w:rPr>
          <w:rFonts w:ascii="Times New Roman" w:eastAsia="Times New Roman" w:hAnsi="Times New Roman" w:cs="Times New Roman"/>
        </w:rPr>
        <w:t>Further, f</w:t>
      </w:r>
      <w:r w:rsidRPr="33FCC43E" w:rsidR="776ECBDD">
        <w:rPr>
          <w:rFonts w:ascii="Times New Roman" w:eastAsia="Times New Roman" w:hAnsi="Times New Roman" w:cs="Times New Roman"/>
        </w:rPr>
        <w:t xml:space="preserve">or </w:t>
      </w:r>
      <w:r w:rsidR="00C60BC7">
        <w:rPr>
          <w:rFonts w:ascii="Times New Roman" w:eastAsia="Times New Roman" w:hAnsi="Times New Roman" w:cs="Times New Roman"/>
        </w:rPr>
        <w:t xml:space="preserve">the </w:t>
      </w:r>
      <w:r w:rsidR="00E0296C">
        <w:rPr>
          <w:rFonts w:ascii="Times New Roman" w:eastAsia="Times New Roman" w:hAnsi="Times New Roman" w:cs="Times New Roman"/>
        </w:rPr>
        <w:t>fourth</w:t>
      </w:r>
      <w:r w:rsidRPr="33FCC43E" w:rsidR="6A38BFD4">
        <w:rPr>
          <w:rFonts w:ascii="Times New Roman" w:eastAsia="Times New Roman" w:hAnsi="Times New Roman" w:cs="Times New Roman"/>
        </w:rPr>
        <w:t xml:space="preserve"> quarter</w:t>
      </w:r>
      <w:r w:rsidRPr="33FCC43E" w:rsidR="5C6E9209">
        <w:rPr>
          <w:rFonts w:ascii="Times New Roman" w:eastAsia="Times New Roman" w:hAnsi="Times New Roman" w:cs="Times New Roman"/>
        </w:rPr>
        <w:t xml:space="preserve"> 2023</w:t>
      </w:r>
      <w:r w:rsidRPr="33FCC43E" w:rsidR="6A38BFD4">
        <w:rPr>
          <w:rFonts w:ascii="Times New Roman" w:eastAsia="Times New Roman" w:hAnsi="Times New Roman" w:cs="Times New Roman"/>
        </w:rPr>
        <w:t xml:space="preserve">, </w:t>
      </w:r>
      <w:r w:rsidRPr="33FCC43E" w:rsidR="5C6E9209">
        <w:rPr>
          <w:rFonts w:ascii="Times New Roman" w:eastAsia="Times New Roman" w:hAnsi="Times New Roman" w:cs="Times New Roman"/>
        </w:rPr>
        <w:t>OMD</w:t>
      </w:r>
      <w:r w:rsidRPr="33FCC43E" w:rsidR="5139EDD7">
        <w:rPr>
          <w:rFonts w:ascii="Times New Roman" w:eastAsia="Times New Roman" w:hAnsi="Times New Roman" w:cs="Times New Roman"/>
        </w:rPr>
        <w:t xml:space="preserve"> instructed USAC to apply $</w:t>
      </w:r>
      <w:r w:rsidR="00E0296C">
        <w:rPr>
          <w:rFonts w:ascii="Times New Roman" w:eastAsia="Times New Roman" w:hAnsi="Times New Roman" w:cs="Times New Roman"/>
        </w:rPr>
        <w:t>73.76</w:t>
      </w:r>
      <w:r w:rsidRPr="33FCC43E" w:rsidR="5139EDD7">
        <w:rPr>
          <w:rFonts w:ascii="Times New Roman" w:eastAsia="Times New Roman" w:hAnsi="Times New Roman" w:cs="Times New Roman"/>
        </w:rPr>
        <w:t xml:space="preserve"> million of the $211.50 million in unused funds to offset the</w:t>
      </w:r>
      <w:r w:rsidRPr="33FCC43E" w:rsidR="776ECBDD">
        <w:rPr>
          <w:rFonts w:ascii="Times New Roman" w:eastAsia="Times New Roman" w:hAnsi="Times New Roman" w:cs="Times New Roman"/>
        </w:rPr>
        <w:t xml:space="preserve"> $1</w:t>
      </w:r>
      <w:r w:rsidR="001947B9">
        <w:rPr>
          <w:rFonts w:ascii="Times New Roman" w:eastAsia="Times New Roman" w:hAnsi="Times New Roman" w:cs="Times New Roman"/>
        </w:rPr>
        <w:t>63</w:t>
      </w:r>
      <w:r w:rsidRPr="33FCC43E" w:rsidR="776ECBDD">
        <w:rPr>
          <w:rFonts w:ascii="Times New Roman" w:eastAsia="Times New Roman" w:hAnsi="Times New Roman" w:cs="Times New Roman"/>
        </w:rPr>
        <w:t>.</w:t>
      </w:r>
      <w:r w:rsidR="001947B9">
        <w:rPr>
          <w:rFonts w:ascii="Times New Roman" w:eastAsia="Times New Roman" w:hAnsi="Times New Roman" w:cs="Times New Roman"/>
        </w:rPr>
        <w:t>81</w:t>
      </w:r>
      <w:r w:rsidRPr="33FCC43E" w:rsidR="776ECBDD">
        <w:rPr>
          <w:rFonts w:ascii="Times New Roman" w:eastAsia="Times New Roman" w:hAnsi="Times New Roman" w:cs="Times New Roman"/>
        </w:rPr>
        <w:t xml:space="preserve"> million projected </w:t>
      </w:r>
      <w:r w:rsidRPr="33FCC43E" w:rsidR="5C6E9209">
        <w:rPr>
          <w:rFonts w:ascii="Times New Roman" w:eastAsia="Times New Roman" w:hAnsi="Times New Roman" w:cs="Times New Roman"/>
        </w:rPr>
        <w:t xml:space="preserve">Rural Health Care </w:t>
      </w:r>
      <w:r w:rsidRPr="33FCC43E" w:rsidR="776ECBDD">
        <w:rPr>
          <w:rFonts w:ascii="Times New Roman" w:eastAsia="Times New Roman" w:hAnsi="Times New Roman" w:cs="Times New Roman"/>
        </w:rPr>
        <w:t>program demand</w:t>
      </w:r>
      <w:r w:rsidRPr="33FCC43E" w:rsidR="5C6E9209">
        <w:rPr>
          <w:rFonts w:ascii="Times New Roman" w:eastAsia="Times New Roman" w:hAnsi="Times New Roman" w:cs="Times New Roman"/>
        </w:rPr>
        <w:t>.</w:t>
      </w:r>
      <w:r w:rsidRPr="33FCC43E" w:rsidR="6A38BFD4">
        <w:rPr>
          <w:rFonts w:ascii="Times New Roman" w:eastAsia="Times New Roman" w:hAnsi="Times New Roman" w:cs="Times New Roman"/>
        </w:rPr>
        <w:t xml:space="preserve">  This o</w:t>
      </w:r>
      <w:r w:rsidRPr="33FCC43E" w:rsidR="6A80F1E7">
        <w:rPr>
          <w:rFonts w:ascii="Times New Roman" w:eastAsia="Times New Roman" w:hAnsi="Times New Roman" w:cs="Times New Roman"/>
        </w:rPr>
        <w:t>ffset reduces</w:t>
      </w:r>
      <w:r w:rsidRPr="33FCC43E" w:rsidR="5139EDD7">
        <w:rPr>
          <w:rFonts w:ascii="Times New Roman" w:eastAsia="Times New Roman" w:hAnsi="Times New Roman" w:cs="Times New Roman"/>
        </w:rPr>
        <w:t xml:space="preserve"> the</w:t>
      </w:r>
      <w:r w:rsidRPr="33FCC43E" w:rsidR="5C6E9209">
        <w:rPr>
          <w:rFonts w:ascii="Times New Roman" w:eastAsia="Times New Roman" w:hAnsi="Times New Roman" w:cs="Times New Roman"/>
        </w:rPr>
        <w:t xml:space="preserve"> </w:t>
      </w:r>
      <w:r w:rsidR="00E0296C">
        <w:rPr>
          <w:rFonts w:ascii="Times New Roman" w:eastAsia="Times New Roman" w:hAnsi="Times New Roman" w:cs="Times New Roman"/>
        </w:rPr>
        <w:t>fourth</w:t>
      </w:r>
      <w:r w:rsidRPr="33FCC43E" w:rsidR="5C6E9209">
        <w:rPr>
          <w:rFonts w:ascii="Times New Roman" w:eastAsia="Times New Roman" w:hAnsi="Times New Roman" w:cs="Times New Roman"/>
        </w:rPr>
        <w:t xml:space="preserve"> quarter 2023</w:t>
      </w:r>
      <w:r w:rsidRPr="33FCC43E" w:rsidR="5139EDD7">
        <w:rPr>
          <w:rFonts w:ascii="Times New Roman" w:eastAsia="Times New Roman" w:hAnsi="Times New Roman" w:cs="Times New Roman"/>
        </w:rPr>
        <w:t xml:space="preserve"> contribution factor </w:t>
      </w:r>
      <w:r w:rsidRPr="33FCC43E" w:rsidR="6A80F1E7">
        <w:rPr>
          <w:rFonts w:ascii="Times New Roman" w:eastAsia="Times New Roman" w:hAnsi="Times New Roman" w:cs="Times New Roman"/>
        </w:rPr>
        <w:t>to a leve</w:t>
      </w:r>
      <w:r w:rsidRPr="33FCC43E" w:rsidR="6A38BFD4">
        <w:rPr>
          <w:rFonts w:ascii="Times New Roman" w:eastAsia="Times New Roman" w:hAnsi="Times New Roman" w:cs="Times New Roman"/>
        </w:rPr>
        <w:t xml:space="preserve">l </w:t>
      </w:r>
      <w:r w:rsidRPr="33FCC43E" w:rsidR="6A80F1E7">
        <w:rPr>
          <w:rFonts w:ascii="Times New Roman" w:eastAsia="Times New Roman" w:hAnsi="Times New Roman" w:cs="Times New Roman"/>
        </w:rPr>
        <w:t xml:space="preserve">below what the contribution factor would be based </w:t>
      </w:r>
      <w:r w:rsidRPr="33FCC43E" w:rsidR="5139EDD7">
        <w:rPr>
          <w:rFonts w:ascii="Times New Roman" w:eastAsia="Times New Roman" w:hAnsi="Times New Roman" w:cs="Times New Roman"/>
        </w:rPr>
        <w:t>on USAC’s filings</w:t>
      </w:r>
      <w:r w:rsidRPr="33FCC43E" w:rsidR="776ECBDD">
        <w:rPr>
          <w:rFonts w:ascii="Times New Roman" w:eastAsia="Times New Roman" w:hAnsi="Times New Roman" w:cs="Times New Roman"/>
        </w:rPr>
        <w:t>.</w:t>
      </w:r>
      <w:r>
        <w:rPr>
          <w:rFonts w:ascii="Times New Roman" w:eastAsia="Times New Roman" w:hAnsi="Times New Roman" w:cs="Times New Roman"/>
          <w:vertAlign w:val="superscript"/>
        </w:rPr>
        <w:footnoteReference w:id="10"/>
      </w:r>
    </w:p>
    <w:p w:rsidR="00274791" w:rsidRPr="00274791" w:rsidP="00274791" w14:paraId="51AE08AF" w14:textId="77777777">
      <w:pPr>
        <w:pStyle w:val="xxmsolistparagraph"/>
        <w:ind w:left="0" w:firstLine="720"/>
        <w:rPr>
          <w:rFonts w:ascii="Times New Roman" w:eastAsia="Times New Roman" w:hAnsi="Times New Roman" w:cs="Times New Roman"/>
        </w:rPr>
      </w:pPr>
      <w:r w:rsidRPr="5903194A">
        <w:rPr>
          <w:rFonts w:ascii="Times New Roman" w:eastAsia="Times New Roman" w:hAnsi="Times New Roman" w:cs="Times New Roman"/>
        </w:rPr>
        <w:t xml:space="preserve">  </w:t>
      </w:r>
    </w:p>
    <w:p w:rsidR="00C80814" w:rsidRPr="00A128DC" w:rsidP="00C80814" w14:paraId="1C9014D1" w14:textId="390102E3">
      <w:pPr>
        <w:ind w:firstLine="720"/>
      </w:pPr>
      <w:r>
        <w:t>Accordingly, the projected demand and expenses</w:t>
      </w:r>
      <w:r w:rsidR="4BC8F69E">
        <w:t>, after application of the Rural Health Care offset,</w:t>
      </w:r>
      <w:r>
        <w:t xml:space="preserve"> are as follows:</w:t>
      </w:r>
      <w:r w:rsidR="42B473ED">
        <w:t xml:space="preserve"> </w:t>
      </w:r>
    </w:p>
    <w:p w:rsidR="00C80814" w:rsidRPr="00A128DC" w:rsidP="00C80814" w14:paraId="5E7B5756" w14:textId="77777777">
      <w:pPr>
        <w:ind w:firstLine="720"/>
        <w:rPr>
          <w:szCs w:val="22"/>
        </w:rPr>
      </w:pPr>
    </w:p>
    <w:p w:rsidR="00C80814" w:rsidRPr="00A128DC" w:rsidP="00CC75F9" w14:paraId="3CD26E09" w14:textId="77777777">
      <w:pPr>
        <w:keepNext/>
        <w:keepLines/>
        <w:spacing w:line="360" w:lineRule="auto"/>
        <w:ind w:firstLine="720"/>
        <w:jc w:val="center"/>
        <w:rPr>
          <w:szCs w:val="22"/>
        </w:rPr>
      </w:pPr>
      <w:r w:rsidRPr="00A128DC">
        <w:rPr>
          <w:szCs w:val="22"/>
        </w:rPr>
        <w:t xml:space="preserve">($ </w:t>
      </w:r>
      <w:r w:rsidRPr="00A128DC">
        <w:rPr>
          <w:szCs w:val="22"/>
        </w:rPr>
        <w:t>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340"/>
        <w:gridCol w:w="1590"/>
        <w:gridCol w:w="1620"/>
        <w:gridCol w:w="1620"/>
        <w:gridCol w:w="1650"/>
      </w:tblGrid>
      <w:tr w14:paraId="1E127B57" w14:textId="77777777"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14:paraId="6FD42968"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14:paraId="39456854"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14:paraId="36C02792"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14:paraId="04BAE9B4"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14:paraId="11A453D1"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14:paraId="68303FF5"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7D12E7C8"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14:paraId="46126A35"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14:paraId="4B815689" w14:textId="2AF11622">
            <w:pPr>
              <w:jc w:val="center"/>
              <w:rPr>
                <w:szCs w:val="22"/>
              </w:rPr>
            </w:pPr>
            <w:r>
              <w:rPr>
                <w:szCs w:val="22"/>
              </w:rPr>
              <w:t xml:space="preserve">     </w:t>
            </w:r>
            <w:r w:rsidR="001B0B85">
              <w:rPr>
                <w:szCs w:val="22"/>
              </w:rPr>
              <w:t>631.45</w:t>
            </w:r>
            <w:r>
              <w:rPr>
                <w:szCs w:val="22"/>
              </w:rPr>
              <w:t xml:space="preserve">       </w:t>
            </w:r>
          </w:p>
        </w:tc>
        <w:tc>
          <w:tcPr>
            <w:tcW w:w="1620" w:type="dxa"/>
            <w:tcBorders>
              <w:top w:val="nil"/>
            </w:tcBorders>
            <w:vAlign w:val="bottom"/>
          </w:tcPr>
          <w:p w:rsidR="00B710D4" w:rsidRPr="00ED4FA0" w:rsidP="00B710D4" w14:paraId="3BE19319" w14:textId="25576F06">
            <w:pPr>
              <w:rPr>
                <w:szCs w:val="22"/>
              </w:rPr>
            </w:pPr>
            <w:r>
              <w:rPr>
                <w:szCs w:val="22"/>
              </w:rPr>
              <w:t xml:space="preserve">          </w:t>
            </w:r>
            <w:r w:rsidR="0079473E">
              <w:rPr>
                <w:szCs w:val="22"/>
              </w:rPr>
              <w:t>19.</w:t>
            </w:r>
            <w:r w:rsidR="001B0B85">
              <w:rPr>
                <w:szCs w:val="22"/>
              </w:rPr>
              <w:t>42</w:t>
            </w:r>
            <w:r>
              <w:rPr>
                <w:szCs w:val="22"/>
              </w:rPr>
              <w:t xml:space="preserve">       </w:t>
            </w:r>
          </w:p>
        </w:tc>
        <w:tc>
          <w:tcPr>
            <w:tcW w:w="1620" w:type="dxa"/>
            <w:tcBorders>
              <w:top w:val="nil"/>
              <w:right w:val="nil"/>
            </w:tcBorders>
            <w:vAlign w:val="bottom"/>
          </w:tcPr>
          <w:p w:rsidR="00B710D4" w:rsidRPr="00ED4FA0" w:rsidP="00AE4841" w14:paraId="57D4EAF1" w14:textId="5EFBEF18">
            <w:pPr>
              <w:jc w:val="center"/>
              <w:rPr>
                <w:szCs w:val="22"/>
              </w:rPr>
            </w:pPr>
            <w:r>
              <w:rPr>
                <w:szCs w:val="22"/>
              </w:rPr>
              <w:t xml:space="preserve"> </w:t>
            </w:r>
            <w:r w:rsidR="008A1CB7">
              <w:rPr>
                <w:szCs w:val="22"/>
              </w:rPr>
              <w:t xml:space="preserve"> </w:t>
            </w:r>
            <w:r w:rsidR="001B0B85">
              <w:rPr>
                <w:szCs w:val="22"/>
              </w:rPr>
              <w:t>1.17</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14:paraId="1E45F69F" w14:textId="172351EB">
            <w:pPr>
              <w:jc w:val="center"/>
              <w:rPr>
                <w:szCs w:val="22"/>
              </w:rPr>
            </w:pPr>
            <w:r>
              <w:rPr>
                <w:szCs w:val="22"/>
              </w:rPr>
              <w:t>652.04</w:t>
            </w:r>
          </w:p>
        </w:tc>
      </w:tr>
      <w:tr w14:paraId="4A5F8074"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5952E26F" w14:textId="421016E1">
            <w:pPr>
              <w:keepNext/>
              <w:tabs>
                <w:tab w:val="left" w:pos="0"/>
              </w:tabs>
              <w:spacing w:before="90" w:after="54" w:line="226" w:lineRule="auto"/>
              <w:jc w:val="center"/>
              <w:rPr>
                <w:szCs w:val="22"/>
              </w:rPr>
            </w:pPr>
            <w:r w:rsidRPr="00A128DC">
              <w:rPr>
                <w:szCs w:val="22"/>
              </w:rPr>
              <w:t>Rural Health Care</w:t>
            </w:r>
          </w:p>
        </w:tc>
        <w:tc>
          <w:tcPr>
            <w:tcW w:w="1590" w:type="dxa"/>
            <w:vAlign w:val="bottom"/>
          </w:tcPr>
          <w:p w:rsidR="00B710D4" w:rsidRPr="00ED4FA0" w:rsidP="00B710D4" w14:paraId="5BC5A30D" w14:textId="679668C2">
            <w:pPr>
              <w:jc w:val="center"/>
              <w:rPr>
                <w:szCs w:val="22"/>
              </w:rPr>
            </w:pPr>
            <w:r>
              <w:rPr>
                <w:szCs w:val="22"/>
              </w:rPr>
              <w:t xml:space="preserve">   </w:t>
            </w:r>
            <w:r w:rsidR="0079473E">
              <w:rPr>
                <w:szCs w:val="22"/>
              </w:rPr>
              <w:t xml:space="preserve">   </w:t>
            </w:r>
            <w:r>
              <w:rPr>
                <w:szCs w:val="22"/>
              </w:rPr>
              <w:t xml:space="preserve"> </w:t>
            </w:r>
            <w:r w:rsidR="001B0B85">
              <w:rPr>
                <w:szCs w:val="22"/>
              </w:rPr>
              <w:t>90.05</w:t>
            </w:r>
          </w:p>
        </w:tc>
        <w:tc>
          <w:tcPr>
            <w:tcW w:w="1620" w:type="dxa"/>
            <w:vAlign w:val="bottom"/>
          </w:tcPr>
          <w:p w:rsidR="00B710D4" w:rsidRPr="00ED4FA0" w:rsidP="00B710D4" w14:paraId="480D04AF" w14:textId="256B236D">
            <w:pPr>
              <w:jc w:val="center"/>
              <w:rPr>
                <w:szCs w:val="22"/>
              </w:rPr>
            </w:pPr>
            <w:r>
              <w:rPr>
                <w:szCs w:val="22"/>
              </w:rPr>
              <w:t xml:space="preserve"> </w:t>
            </w:r>
            <w:r w:rsidR="0079473E">
              <w:rPr>
                <w:szCs w:val="22"/>
              </w:rPr>
              <w:t xml:space="preserve">     6.7</w:t>
            </w:r>
            <w:r w:rsidR="001B0B85">
              <w:rPr>
                <w:szCs w:val="22"/>
              </w:rPr>
              <w:t>8</w:t>
            </w:r>
          </w:p>
        </w:tc>
        <w:tc>
          <w:tcPr>
            <w:tcW w:w="1620" w:type="dxa"/>
            <w:tcBorders>
              <w:right w:val="nil"/>
            </w:tcBorders>
            <w:vAlign w:val="bottom"/>
          </w:tcPr>
          <w:p w:rsidR="00B710D4" w:rsidRPr="00ED4FA0" w:rsidP="00AE4841" w14:paraId="36799B0C" w14:textId="0D988BA1">
            <w:pPr>
              <w:jc w:val="center"/>
              <w:rPr>
                <w:szCs w:val="22"/>
              </w:rPr>
            </w:pPr>
            <w:r>
              <w:rPr>
                <w:szCs w:val="22"/>
              </w:rPr>
              <w:t xml:space="preserve"> </w:t>
            </w:r>
            <w:r w:rsidR="008A1CB7">
              <w:rPr>
                <w:szCs w:val="22"/>
              </w:rPr>
              <w:t xml:space="preserve"> </w:t>
            </w:r>
            <w:r w:rsidR="001B0B85">
              <w:rPr>
                <w:szCs w:val="22"/>
              </w:rPr>
              <w:t>0.39</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14:paraId="723DDD4B" w14:textId="025B5830">
            <w:pPr>
              <w:jc w:val="center"/>
              <w:rPr>
                <w:szCs w:val="22"/>
              </w:rPr>
            </w:pPr>
            <w:r>
              <w:rPr>
                <w:szCs w:val="22"/>
              </w:rPr>
              <w:t xml:space="preserve"> </w:t>
            </w:r>
            <w:r w:rsidR="001B0B85">
              <w:rPr>
                <w:szCs w:val="22"/>
              </w:rPr>
              <w:t>97.22</w:t>
            </w:r>
          </w:p>
        </w:tc>
      </w:tr>
      <w:tr w14:paraId="5C0DD006"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4CCFC5DF"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14:paraId="59E6CCC8" w14:textId="15E424A8">
            <w:pPr>
              <w:jc w:val="center"/>
              <w:rPr>
                <w:szCs w:val="22"/>
              </w:rPr>
            </w:pPr>
            <w:r>
              <w:rPr>
                <w:szCs w:val="22"/>
              </w:rPr>
              <w:t xml:space="preserve">  </w:t>
            </w:r>
            <w:r w:rsidR="00322C2E">
              <w:rPr>
                <w:szCs w:val="22"/>
              </w:rPr>
              <w:t>1,</w:t>
            </w:r>
            <w:r w:rsidR="001B0B85">
              <w:rPr>
                <w:szCs w:val="22"/>
              </w:rPr>
              <w:t>067.60</w:t>
            </w:r>
          </w:p>
        </w:tc>
        <w:tc>
          <w:tcPr>
            <w:tcW w:w="1620" w:type="dxa"/>
            <w:vAlign w:val="bottom"/>
          </w:tcPr>
          <w:p w:rsidR="00B710D4" w:rsidRPr="00ED4FA0" w:rsidP="00B710D4" w14:paraId="064B0D85" w14:textId="20230559">
            <w:pPr>
              <w:jc w:val="center"/>
              <w:rPr>
                <w:szCs w:val="22"/>
              </w:rPr>
            </w:pPr>
            <w:r>
              <w:rPr>
                <w:szCs w:val="22"/>
              </w:rPr>
              <w:t xml:space="preserve"> </w:t>
            </w:r>
            <w:r w:rsidR="00B8482F">
              <w:rPr>
                <w:szCs w:val="22"/>
              </w:rPr>
              <w:t xml:space="preserve">  </w:t>
            </w:r>
            <w:r w:rsidR="0079473E">
              <w:rPr>
                <w:szCs w:val="22"/>
              </w:rPr>
              <w:t xml:space="preserve">  </w:t>
            </w:r>
            <w:r w:rsidR="001B0B85">
              <w:rPr>
                <w:szCs w:val="22"/>
              </w:rPr>
              <w:t>18.14</w:t>
            </w:r>
          </w:p>
        </w:tc>
        <w:tc>
          <w:tcPr>
            <w:tcW w:w="1620" w:type="dxa"/>
            <w:tcBorders>
              <w:right w:val="nil"/>
            </w:tcBorders>
            <w:vAlign w:val="bottom"/>
          </w:tcPr>
          <w:p w:rsidR="00B710D4" w:rsidRPr="00ED4FA0" w:rsidP="00B8482F" w14:paraId="08525A45" w14:textId="5C28398D">
            <w:pPr>
              <w:rPr>
                <w:szCs w:val="22"/>
              </w:rPr>
            </w:pPr>
            <w:r>
              <w:rPr>
                <w:szCs w:val="22"/>
              </w:rPr>
              <w:t xml:space="preserve">      </w:t>
            </w:r>
            <w:r w:rsidR="008A1CB7">
              <w:rPr>
                <w:szCs w:val="22"/>
              </w:rPr>
              <w:t xml:space="preserve"> (</w:t>
            </w:r>
            <w:r w:rsidR="001B0B85">
              <w:rPr>
                <w:szCs w:val="22"/>
              </w:rPr>
              <w:t>18.86</w:t>
            </w:r>
            <w:r w:rsidR="008A1CB7">
              <w:rPr>
                <w:szCs w:val="22"/>
              </w:rPr>
              <w:t>)</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14:paraId="5A5DD052" w14:textId="224DF1B4">
            <w:pPr>
              <w:rPr>
                <w:szCs w:val="22"/>
              </w:rPr>
            </w:pPr>
            <w:r>
              <w:rPr>
                <w:szCs w:val="22"/>
              </w:rPr>
              <w:t xml:space="preserve">    </w:t>
            </w:r>
            <w:r w:rsidR="00ED6285">
              <w:rPr>
                <w:szCs w:val="22"/>
              </w:rPr>
              <w:t>1,</w:t>
            </w:r>
            <w:r w:rsidR="001B0B85">
              <w:rPr>
                <w:szCs w:val="22"/>
              </w:rPr>
              <w:t>066.88</w:t>
            </w:r>
          </w:p>
        </w:tc>
      </w:tr>
      <w:tr w14:paraId="2179DD96"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18F26826"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14:paraId="269237D9" w14:textId="45A5DAD9">
            <w:pPr>
              <w:jc w:val="center"/>
              <w:rPr>
                <w:szCs w:val="22"/>
              </w:rPr>
            </w:pPr>
            <w:r>
              <w:rPr>
                <w:szCs w:val="22"/>
              </w:rPr>
              <w:t xml:space="preserve">    </w:t>
            </w:r>
            <w:r w:rsidR="009D41E5">
              <w:rPr>
                <w:szCs w:val="22"/>
              </w:rPr>
              <w:t xml:space="preserve"> </w:t>
            </w:r>
            <w:r w:rsidR="001B0B85">
              <w:rPr>
                <w:szCs w:val="22"/>
              </w:rPr>
              <w:t>302.20</w:t>
            </w:r>
          </w:p>
        </w:tc>
        <w:tc>
          <w:tcPr>
            <w:tcW w:w="1620" w:type="dxa"/>
            <w:tcBorders>
              <w:bottom w:val="nil"/>
            </w:tcBorders>
            <w:vAlign w:val="bottom"/>
          </w:tcPr>
          <w:p w:rsidR="00B710D4" w:rsidRPr="00ED4FA0" w:rsidP="00B710D4" w14:paraId="52754298" w14:textId="491B0778">
            <w:pPr>
              <w:jc w:val="center"/>
              <w:rPr>
                <w:szCs w:val="22"/>
              </w:rPr>
            </w:pPr>
            <w:r>
              <w:rPr>
                <w:szCs w:val="22"/>
              </w:rPr>
              <w:t xml:space="preserve">   </w:t>
            </w:r>
            <w:r w:rsidR="0079473E">
              <w:rPr>
                <w:szCs w:val="22"/>
              </w:rPr>
              <w:t xml:space="preserve">  2</w:t>
            </w:r>
            <w:r w:rsidR="001B0B85">
              <w:rPr>
                <w:szCs w:val="22"/>
              </w:rPr>
              <w:t>4</w:t>
            </w:r>
            <w:r w:rsidR="0079473E">
              <w:rPr>
                <w:szCs w:val="22"/>
              </w:rPr>
              <w:t>.</w:t>
            </w:r>
            <w:r w:rsidR="001B0B85">
              <w:rPr>
                <w:szCs w:val="22"/>
              </w:rPr>
              <w:t>08</w:t>
            </w:r>
          </w:p>
        </w:tc>
        <w:tc>
          <w:tcPr>
            <w:tcW w:w="1620" w:type="dxa"/>
            <w:tcBorders>
              <w:bottom w:val="nil"/>
              <w:right w:val="nil"/>
            </w:tcBorders>
            <w:vAlign w:val="bottom"/>
          </w:tcPr>
          <w:p w:rsidR="00B710D4" w:rsidRPr="00ED4FA0" w:rsidP="009D41E5" w14:paraId="778894FC" w14:textId="154B6A0D">
            <w:pPr>
              <w:rPr>
                <w:szCs w:val="22"/>
              </w:rPr>
            </w:pPr>
            <w:r>
              <w:rPr>
                <w:szCs w:val="22"/>
              </w:rPr>
              <w:t xml:space="preserve">     </w:t>
            </w:r>
            <w:r w:rsidR="008A1CB7">
              <w:rPr>
                <w:szCs w:val="22"/>
              </w:rPr>
              <w:t xml:space="preserve">  </w:t>
            </w:r>
            <w:r>
              <w:rPr>
                <w:szCs w:val="22"/>
              </w:rPr>
              <w:t>(</w:t>
            </w:r>
            <w:r w:rsidR="001B0B85">
              <w:rPr>
                <w:szCs w:val="22"/>
              </w:rPr>
              <w:t>63.57</w:t>
            </w:r>
            <w:r w:rsidR="0084712C">
              <w:rPr>
                <w:szCs w:val="22"/>
              </w:rPr>
              <w:t>)</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79473E" w14:paraId="4DC88A99" w14:textId="12BF083B">
            <w:pPr>
              <w:rPr>
                <w:szCs w:val="22"/>
              </w:rPr>
            </w:pPr>
            <w:r>
              <w:rPr>
                <w:szCs w:val="22"/>
              </w:rPr>
              <w:t xml:space="preserve">       </w:t>
            </w:r>
            <w:r w:rsidR="001B0B85">
              <w:rPr>
                <w:szCs w:val="22"/>
              </w:rPr>
              <w:t>2</w:t>
            </w:r>
            <w:r w:rsidR="00123D83">
              <w:rPr>
                <w:szCs w:val="22"/>
              </w:rPr>
              <w:t>6</w:t>
            </w:r>
            <w:r w:rsidR="001B0B85">
              <w:rPr>
                <w:szCs w:val="22"/>
              </w:rPr>
              <w:t>2.71</w:t>
            </w:r>
          </w:p>
        </w:tc>
      </w:tr>
      <w:tr w14:paraId="5CAFFB63"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14:paraId="5B367A57"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14:paraId="540033F2" w14:textId="345D5F9A">
            <w:pPr>
              <w:jc w:val="center"/>
              <w:rPr>
                <w:szCs w:val="22"/>
              </w:rPr>
            </w:pPr>
            <w:r>
              <w:rPr>
                <w:szCs w:val="22"/>
              </w:rPr>
              <w:t xml:space="preserve">       </w:t>
            </w:r>
            <w:r w:rsidR="009D41E5">
              <w:rPr>
                <w:szCs w:val="22"/>
              </w:rPr>
              <w:t xml:space="preserve"> </w:t>
            </w:r>
            <w:r>
              <w:rPr>
                <w:szCs w:val="22"/>
              </w:rPr>
              <w:t xml:space="preserve"> </w:t>
            </w:r>
            <w:r w:rsidR="001B0B85">
              <w:rPr>
                <w:szCs w:val="22"/>
              </w:rPr>
              <w:t>0.04</w:t>
            </w:r>
          </w:p>
        </w:tc>
        <w:tc>
          <w:tcPr>
            <w:tcW w:w="1620" w:type="dxa"/>
            <w:tcBorders>
              <w:bottom w:val="nil"/>
            </w:tcBorders>
            <w:vAlign w:val="bottom"/>
          </w:tcPr>
          <w:p w:rsidR="007765E2" w:rsidP="00B710D4" w14:paraId="26D5AAAD" w14:textId="77777777">
            <w:pPr>
              <w:jc w:val="center"/>
              <w:rPr>
                <w:szCs w:val="22"/>
              </w:rPr>
            </w:pPr>
            <w:r>
              <w:rPr>
                <w:szCs w:val="22"/>
              </w:rPr>
              <w:t xml:space="preserve">    </w:t>
            </w:r>
            <w:r w:rsidR="0079473E">
              <w:rPr>
                <w:szCs w:val="22"/>
              </w:rPr>
              <w:t xml:space="preserve">  </w:t>
            </w:r>
            <w:r w:rsidR="00ED6285">
              <w:rPr>
                <w:szCs w:val="22"/>
              </w:rPr>
              <w:t xml:space="preserve"> </w:t>
            </w:r>
            <w:r w:rsidR="009638FB">
              <w:rPr>
                <w:szCs w:val="22"/>
              </w:rPr>
              <w:t>0.</w:t>
            </w:r>
            <w:r w:rsidR="0079473E">
              <w:rPr>
                <w:szCs w:val="22"/>
              </w:rPr>
              <w:t>0</w:t>
            </w:r>
            <w:r w:rsidR="00394DC5">
              <w:rPr>
                <w:szCs w:val="22"/>
              </w:rPr>
              <w:t>8</w:t>
            </w:r>
          </w:p>
        </w:tc>
        <w:tc>
          <w:tcPr>
            <w:tcW w:w="1620" w:type="dxa"/>
            <w:tcBorders>
              <w:bottom w:val="nil"/>
              <w:right w:val="nil"/>
            </w:tcBorders>
            <w:vAlign w:val="bottom"/>
          </w:tcPr>
          <w:p w:rsidR="007765E2" w:rsidRPr="00ED4FA0" w:rsidP="00AE4841" w14:paraId="6E016791" w14:textId="1F7EB354">
            <w:pPr>
              <w:jc w:val="center"/>
              <w:rPr>
                <w:szCs w:val="22"/>
              </w:rPr>
            </w:pPr>
            <w:r>
              <w:rPr>
                <w:szCs w:val="22"/>
              </w:rPr>
              <w:t xml:space="preserve"> </w:t>
            </w:r>
            <w:r w:rsidR="008A1CB7">
              <w:rPr>
                <w:szCs w:val="22"/>
              </w:rPr>
              <w:t>(</w:t>
            </w:r>
            <w:r>
              <w:rPr>
                <w:szCs w:val="22"/>
              </w:rPr>
              <w:t xml:space="preserve"> </w:t>
            </w:r>
            <w:r w:rsidR="009638FB">
              <w:rPr>
                <w:szCs w:val="22"/>
              </w:rPr>
              <w:t>0.</w:t>
            </w:r>
            <w:r w:rsidR="001B0B85">
              <w:rPr>
                <w:szCs w:val="22"/>
              </w:rPr>
              <w:t>14</w:t>
            </w:r>
            <w:r w:rsidR="008A1CB7">
              <w:rPr>
                <w:szCs w:val="22"/>
              </w:rPr>
              <w:t>)</w:t>
            </w:r>
          </w:p>
        </w:tc>
        <w:tc>
          <w:tcPr>
            <w:tcW w:w="1650" w:type="dxa"/>
            <w:tcBorders>
              <w:top w:val="single" w:sz="4" w:space="0" w:color="auto"/>
              <w:left w:val="double" w:sz="6" w:space="0" w:color="auto"/>
              <w:bottom w:val="nil"/>
              <w:right w:val="double" w:sz="6" w:space="0" w:color="auto"/>
            </w:tcBorders>
            <w:vAlign w:val="bottom"/>
          </w:tcPr>
          <w:p w:rsidR="007765E2" w:rsidP="00D37EE5" w14:paraId="46EF12C5" w14:textId="141C2F1A">
            <w:pPr>
              <w:jc w:val="center"/>
              <w:rPr>
                <w:szCs w:val="22"/>
              </w:rPr>
            </w:pPr>
            <w:r>
              <w:rPr>
                <w:szCs w:val="22"/>
              </w:rPr>
              <w:t xml:space="preserve">  </w:t>
            </w:r>
            <w:r w:rsidR="001B0B85">
              <w:rPr>
                <w:szCs w:val="22"/>
              </w:rPr>
              <w:t>(0.02)</w:t>
            </w:r>
          </w:p>
        </w:tc>
      </w:tr>
      <w:tr w14:paraId="2D245858" w14:textId="77777777" w:rsidTr="00B710D4">
        <w:tblPrEx>
          <w:tblW w:w="8820" w:type="dxa"/>
          <w:jc w:val="right"/>
          <w:tblLayout w:type="fixed"/>
          <w:tblCellMar>
            <w:left w:w="12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14:paraId="664BED6A"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14:paraId="09DFDD4B" w14:textId="5901FF13">
            <w:pPr>
              <w:jc w:val="center"/>
              <w:rPr>
                <w:szCs w:val="22"/>
              </w:rPr>
            </w:pPr>
            <w:r>
              <w:rPr>
                <w:szCs w:val="22"/>
              </w:rPr>
              <w:t xml:space="preserve">  </w:t>
            </w:r>
            <w:r w:rsidR="001B0B85">
              <w:rPr>
                <w:szCs w:val="22"/>
              </w:rPr>
              <w:t>2,091.34</w:t>
            </w:r>
          </w:p>
        </w:tc>
        <w:tc>
          <w:tcPr>
            <w:tcW w:w="1620" w:type="dxa"/>
            <w:tcBorders>
              <w:top w:val="double" w:sz="6" w:space="0" w:color="auto"/>
              <w:bottom w:val="double" w:sz="6" w:space="0" w:color="auto"/>
            </w:tcBorders>
            <w:vAlign w:val="bottom"/>
          </w:tcPr>
          <w:p w:rsidR="00B710D4" w:rsidRPr="00ED4FA0" w:rsidP="00B710D4" w14:paraId="6C393B4B" w14:textId="5055BDF8">
            <w:pPr>
              <w:jc w:val="center"/>
              <w:rPr>
                <w:szCs w:val="22"/>
              </w:rPr>
            </w:pPr>
            <w:r>
              <w:rPr>
                <w:szCs w:val="22"/>
              </w:rPr>
              <w:t xml:space="preserve">   </w:t>
            </w:r>
            <w:r w:rsidR="00394DC5">
              <w:rPr>
                <w:szCs w:val="22"/>
              </w:rPr>
              <w:t xml:space="preserve">  </w:t>
            </w:r>
            <w:r w:rsidR="00ED6285">
              <w:rPr>
                <w:szCs w:val="22"/>
              </w:rPr>
              <w:t>6</w:t>
            </w:r>
            <w:r w:rsidR="00394DC5">
              <w:rPr>
                <w:szCs w:val="22"/>
              </w:rPr>
              <w:t>8</w:t>
            </w:r>
            <w:r>
              <w:rPr>
                <w:szCs w:val="22"/>
              </w:rPr>
              <w:t>.</w:t>
            </w:r>
            <w:r w:rsidR="001B0B85">
              <w:rPr>
                <w:szCs w:val="22"/>
              </w:rPr>
              <w:t>50</w:t>
            </w:r>
          </w:p>
        </w:tc>
        <w:tc>
          <w:tcPr>
            <w:tcW w:w="1620" w:type="dxa"/>
            <w:tcBorders>
              <w:top w:val="double" w:sz="6" w:space="0" w:color="auto"/>
              <w:bottom w:val="double" w:sz="6" w:space="0" w:color="auto"/>
              <w:right w:val="nil"/>
            </w:tcBorders>
            <w:vAlign w:val="bottom"/>
          </w:tcPr>
          <w:p w:rsidR="00B710D4" w:rsidRPr="00ED4FA0" w:rsidP="00B8482F" w14:paraId="6AA49D29" w14:textId="3155CBDB">
            <w:pPr>
              <w:rPr>
                <w:szCs w:val="22"/>
              </w:rPr>
            </w:pPr>
            <w:r>
              <w:rPr>
                <w:szCs w:val="22"/>
              </w:rPr>
              <w:t xml:space="preserve">    </w:t>
            </w:r>
            <w:r w:rsidR="001B0B85">
              <w:rPr>
                <w:szCs w:val="22"/>
              </w:rPr>
              <w:t xml:space="preserve">  </w:t>
            </w:r>
            <w:r w:rsidR="0079473E">
              <w:rPr>
                <w:szCs w:val="22"/>
              </w:rPr>
              <w:t xml:space="preserve"> </w:t>
            </w:r>
            <w:r w:rsidR="008A1CB7">
              <w:rPr>
                <w:szCs w:val="22"/>
              </w:rPr>
              <w:t>(</w:t>
            </w:r>
            <w:r w:rsidR="001B0B85">
              <w:rPr>
                <w:szCs w:val="22"/>
              </w:rPr>
              <w:t>81.01)</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14:paraId="482E23E8" w14:textId="18A6F874">
            <w:pPr>
              <w:rPr>
                <w:szCs w:val="22"/>
              </w:rPr>
            </w:pPr>
            <w:r>
              <w:rPr>
                <w:szCs w:val="22"/>
              </w:rPr>
              <w:t xml:space="preserve">    </w:t>
            </w:r>
            <w:r w:rsidR="001B0B85">
              <w:rPr>
                <w:szCs w:val="22"/>
              </w:rPr>
              <w:t>2,078.83</w:t>
            </w:r>
            <w:r w:rsidR="00A664DE">
              <w:rPr>
                <w:szCs w:val="22"/>
              </w:rPr>
              <w:t xml:space="preserve"> </w:t>
            </w:r>
          </w:p>
        </w:tc>
      </w:tr>
    </w:tbl>
    <w:p w:rsidR="00C80814" w:rsidRPr="00A128DC" w:rsidP="00C80814" w14:paraId="665DF25F" w14:textId="77777777">
      <w:pPr>
        <w:rPr>
          <w:b/>
          <w:szCs w:val="22"/>
          <w:u w:val="single"/>
        </w:rPr>
      </w:pPr>
    </w:p>
    <w:p w:rsidR="00C80814" w:rsidRPr="00A128DC" w:rsidP="00C80814" w14:paraId="3D280E83" w14:textId="77777777">
      <w:pPr>
        <w:rPr>
          <w:b/>
          <w:szCs w:val="22"/>
          <w:u w:val="single"/>
        </w:rPr>
      </w:pPr>
      <w:r w:rsidRPr="00A128DC">
        <w:rPr>
          <w:b/>
          <w:szCs w:val="22"/>
          <w:u w:val="single"/>
        </w:rPr>
        <w:t>USAC Projections of Industry Revenues</w:t>
      </w:r>
      <w:r w:rsidR="00182EB9">
        <w:rPr>
          <w:b/>
          <w:szCs w:val="22"/>
          <w:u w:val="single"/>
        </w:rPr>
        <w:t xml:space="preserve"> </w:t>
      </w:r>
      <w:r w:rsidR="00AB435D">
        <w:rPr>
          <w:b/>
          <w:szCs w:val="22"/>
          <w:u w:val="single"/>
        </w:rPr>
        <w:t xml:space="preserve">      </w:t>
      </w:r>
    </w:p>
    <w:p w:rsidR="00C80814" w:rsidRPr="00A128DC" w:rsidP="00C80814" w14:paraId="44C195ED" w14:textId="77777777">
      <w:pPr>
        <w:rPr>
          <w:b/>
          <w:szCs w:val="22"/>
          <w:u w:val="single"/>
        </w:rPr>
      </w:pPr>
    </w:p>
    <w:p w:rsidR="00C80814" w:rsidRPr="00A128DC" w:rsidP="00C80814" w14:paraId="51A172DF" w14:textId="2CA30295">
      <w:pPr>
        <w:rPr>
          <w:szCs w:val="22"/>
        </w:rPr>
      </w:pPr>
      <w:r w:rsidRPr="00A128DC">
        <w:rPr>
          <w:szCs w:val="22"/>
        </w:rPr>
        <w:tab/>
        <w:t xml:space="preserve">USAC submitted projected collected end-user telecommunications revenues for </w:t>
      </w:r>
      <w:r w:rsidR="001B0B85">
        <w:rPr>
          <w:szCs w:val="22"/>
        </w:rPr>
        <w:t xml:space="preserve">October </w:t>
      </w:r>
      <w:r w:rsidR="00A664DE">
        <w:rPr>
          <w:szCs w:val="22"/>
        </w:rPr>
        <w:t>202</w:t>
      </w:r>
      <w:r w:rsidR="005A0EF4">
        <w:rPr>
          <w:szCs w:val="22"/>
        </w:rPr>
        <w:t>3</w:t>
      </w:r>
      <w:r w:rsidR="00650E6E">
        <w:rPr>
          <w:szCs w:val="22"/>
        </w:rPr>
        <w:t xml:space="preserve"> </w:t>
      </w:r>
      <w:r w:rsidR="001243ED">
        <w:rPr>
          <w:szCs w:val="22"/>
        </w:rPr>
        <w:t xml:space="preserve">through </w:t>
      </w:r>
      <w:r w:rsidR="001B0B85">
        <w:rPr>
          <w:szCs w:val="22"/>
        </w:rPr>
        <w:t>December</w:t>
      </w:r>
      <w:r w:rsidRPr="00070D90" w:rsidR="006F5B52">
        <w:rPr>
          <w:color w:val="FF0000"/>
          <w:szCs w:val="22"/>
        </w:rPr>
        <w:t xml:space="preserve"> </w:t>
      </w:r>
      <w:r w:rsidRPr="00BF573D">
        <w:rPr>
          <w:szCs w:val="22"/>
        </w:rPr>
        <w:t>20</w:t>
      </w:r>
      <w:r w:rsidR="00016E44">
        <w:rPr>
          <w:szCs w:val="22"/>
        </w:rPr>
        <w:t>2</w:t>
      </w:r>
      <w:r w:rsidR="005A0EF4">
        <w:rPr>
          <w:szCs w:val="22"/>
        </w:rPr>
        <w:t>3</w:t>
      </w:r>
      <w:r w:rsidR="003E33E5">
        <w:rPr>
          <w:szCs w:val="22"/>
        </w:rPr>
        <w:t xml:space="preserve"> </w:t>
      </w:r>
      <w:r w:rsidRPr="00A128DC">
        <w:rPr>
          <w:szCs w:val="22"/>
        </w:rPr>
        <w:t xml:space="preserve">based on information contained in the </w:t>
      </w:r>
      <w:r w:rsidR="001B0B85">
        <w:rPr>
          <w:szCs w:val="22"/>
        </w:rPr>
        <w:t>Fourth</w:t>
      </w:r>
      <w:r w:rsidR="00A500E1">
        <w:rPr>
          <w:szCs w:val="22"/>
        </w:rPr>
        <w:t xml:space="preserve"> </w:t>
      </w:r>
      <w:r w:rsidRPr="00BF573D">
        <w:rPr>
          <w:szCs w:val="22"/>
        </w:rPr>
        <w:t>Quarter 20</w:t>
      </w:r>
      <w:r w:rsidR="00016E44">
        <w:rPr>
          <w:szCs w:val="22"/>
        </w:rPr>
        <w:t>2</w:t>
      </w:r>
      <w:r w:rsidR="00FD7DF2">
        <w:rPr>
          <w:szCs w:val="22"/>
        </w:rPr>
        <w:t>3</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11"/>
      </w:r>
      <w:r w:rsidRPr="00A128DC">
        <w:rPr>
          <w:szCs w:val="22"/>
        </w:rPr>
        <w:t xml:space="preserve">  The amount is as follows:</w:t>
      </w:r>
    </w:p>
    <w:p w:rsidR="00C80814" w:rsidRPr="00A128DC" w:rsidP="00C80814" w14:paraId="39C0C3AE" w14:textId="77777777">
      <w:pPr>
        <w:rPr>
          <w:szCs w:val="22"/>
        </w:rPr>
      </w:pPr>
    </w:p>
    <w:p w:rsidR="00C80814" w:rsidRPr="00A128DC" w:rsidP="00C80814" w14:paraId="331FCEEA" w14:textId="2F70460C">
      <w:pPr>
        <w:ind w:left="720"/>
        <w:rPr>
          <w:szCs w:val="22"/>
        </w:rPr>
      </w:pPr>
      <w:r w:rsidRPr="00A128DC">
        <w:rPr>
          <w:szCs w:val="22"/>
        </w:rPr>
        <w:t xml:space="preserve">Total Projected Collected Interstate and International End-User Telecommunications Revenues for </w:t>
      </w:r>
      <w:r w:rsidR="001B0B85">
        <w:rPr>
          <w:szCs w:val="22"/>
        </w:rPr>
        <w:t>Fourth</w:t>
      </w:r>
      <w:r w:rsidR="00C815B4">
        <w:rPr>
          <w:szCs w:val="22"/>
        </w:rPr>
        <w:t xml:space="preserve"> </w:t>
      </w:r>
      <w:r w:rsidRPr="00BF573D">
        <w:rPr>
          <w:szCs w:val="22"/>
        </w:rPr>
        <w:t xml:space="preserve">Quarter </w:t>
      </w:r>
      <w:r w:rsidRPr="00BF573D" w:rsidR="00842AEB">
        <w:rPr>
          <w:szCs w:val="22"/>
        </w:rPr>
        <w:t>20</w:t>
      </w:r>
      <w:r w:rsidR="00016E44">
        <w:rPr>
          <w:szCs w:val="22"/>
        </w:rPr>
        <w:t>2</w:t>
      </w:r>
      <w:r w:rsidR="00FD7DF2">
        <w:rPr>
          <w:szCs w:val="22"/>
        </w:rPr>
        <w:t>3</w:t>
      </w:r>
      <w:r w:rsidRPr="00BF573D">
        <w:rPr>
          <w:szCs w:val="22"/>
        </w:rPr>
        <w:t>:  $</w:t>
      </w:r>
      <w:r w:rsidRPr="00D929A7" w:rsidR="001A19BF">
        <w:rPr>
          <w:szCs w:val="22"/>
        </w:rPr>
        <w:t>8</w:t>
      </w:r>
      <w:r w:rsidRPr="00D929A7" w:rsidR="009A7E94">
        <w:rPr>
          <w:szCs w:val="22"/>
        </w:rPr>
        <w:t>.</w:t>
      </w:r>
      <w:r w:rsidR="001B0B85">
        <w:rPr>
          <w:szCs w:val="22"/>
        </w:rPr>
        <w:t xml:space="preserve">172483 </w:t>
      </w:r>
      <w:r w:rsidRPr="00A128DC">
        <w:rPr>
          <w:szCs w:val="22"/>
        </w:rPr>
        <w:t>billion.</w:t>
      </w:r>
    </w:p>
    <w:p w:rsidR="00C80814" w:rsidRPr="00A128DC" w:rsidP="00C80814" w14:paraId="6651C5A4" w14:textId="77777777">
      <w:pPr>
        <w:jc w:val="center"/>
        <w:rPr>
          <w:szCs w:val="22"/>
        </w:rPr>
      </w:pPr>
    </w:p>
    <w:p w:rsidR="00C80814" w:rsidRPr="00A128DC" w:rsidP="00C80814" w14:paraId="6A180E3A" w14:textId="77777777">
      <w:pPr>
        <w:rPr>
          <w:b/>
          <w:szCs w:val="22"/>
          <w:u w:val="single"/>
        </w:rPr>
      </w:pPr>
      <w:r w:rsidRPr="00A128DC">
        <w:rPr>
          <w:b/>
          <w:szCs w:val="22"/>
          <w:u w:val="single"/>
        </w:rPr>
        <w:t>Adjusted Contribution Base</w:t>
      </w:r>
    </w:p>
    <w:p w:rsidR="00C80814" w:rsidRPr="00A128DC" w:rsidP="00C80814" w14:paraId="37E6A542" w14:textId="77777777">
      <w:pPr>
        <w:rPr>
          <w:b/>
          <w:szCs w:val="22"/>
          <w:u w:val="single"/>
        </w:rPr>
      </w:pPr>
    </w:p>
    <w:p w:rsidR="00C80814" w:rsidRPr="00BF573D" w:rsidP="00C80814" w14:paraId="265E94D1" w14:textId="30BEB45B">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1B0B85">
        <w:rPr>
          <w:szCs w:val="22"/>
        </w:rPr>
        <w:t>fourth</w:t>
      </w:r>
      <w:r w:rsidR="0078491C">
        <w:rPr>
          <w:szCs w:val="22"/>
        </w:rPr>
        <w:t xml:space="preserve"> q</w:t>
      </w:r>
      <w:r w:rsidRPr="00BF573D">
        <w:rPr>
          <w:szCs w:val="22"/>
        </w:rPr>
        <w:t xml:space="preserve">uarter </w:t>
      </w:r>
      <w:r w:rsidRPr="00BF573D" w:rsidR="00842AEB">
        <w:rPr>
          <w:szCs w:val="22"/>
        </w:rPr>
        <w:t>20</w:t>
      </w:r>
      <w:r w:rsidR="00046C35">
        <w:rPr>
          <w:szCs w:val="22"/>
        </w:rPr>
        <w:t>2</w:t>
      </w:r>
      <w:r w:rsidR="00545135">
        <w:rPr>
          <w:szCs w:val="22"/>
        </w:rPr>
        <w:t>3</w:t>
      </w:r>
      <w:r w:rsidRPr="00A128DC" w:rsidR="00842AEB">
        <w:rPr>
          <w:szCs w:val="22"/>
        </w:rPr>
        <w:t xml:space="preserve"> </w:t>
      </w:r>
      <w:r w:rsidRPr="00A128DC">
        <w:rPr>
          <w:szCs w:val="22"/>
        </w:rPr>
        <w:t xml:space="preserve">estimate of projected collected interstate and international end-user telecommunications revenues by the </w:t>
      </w:r>
      <w:r w:rsidRPr="00A128DC">
        <w:rPr>
          <w:szCs w:val="22"/>
        </w:rPr>
        <w:t>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9D06CF">
        <w:rPr>
          <w:szCs w:val="22"/>
        </w:rPr>
        <w:t>fourth</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w:t>
      </w:r>
      <w:r w:rsidR="00545135">
        <w:rPr>
          <w:szCs w:val="22"/>
        </w:rPr>
        <w:t>3</w:t>
      </w:r>
      <w:r w:rsidR="00842AEB">
        <w:rPr>
          <w:szCs w:val="22"/>
        </w:rPr>
        <w:t xml:space="preserve"> </w:t>
      </w:r>
      <w:r w:rsidRPr="00A128DC">
        <w:rPr>
          <w:szCs w:val="22"/>
        </w:rPr>
        <w:t>is as follows:</w:t>
      </w:r>
    </w:p>
    <w:p w:rsidR="00C80814" w:rsidRPr="00A128DC" w:rsidP="00C80814" w14:paraId="157FE67A" w14:textId="77777777">
      <w:pPr>
        <w:ind w:firstLine="720"/>
        <w:rPr>
          <w:szCs w:val="22"/>
        </w:rPr>
      </w:pPr>
    </w:p>
    <w:p w:rsidR="00022C05" w:rsidP="00C80814" w14:paraId="66B993E9" w14:textId="77777777">
      <w:pPr>
        <w:ind w:firstLine="720"/>
        <w:rPr>
          <w:szCs w:val="22"/>
        </w:rPr>
      </w:pPr>
    </w:p>
    <w:p w:rsidR="00C80814" w:rsidRPr="00A128DC" w:rsidP="00C80814" w14:paraId="786C3752" w14:textId="77777777">
      <w:pPr>
        <w:ind w:firstLine="720"/>
        <w:rPr>
          <w:szCs w:val="22"/>
        </w:rPr>
      </w:pPr>
      <w:r w:rsidRPr="00A128DC">
        <w:rPr>
          <w:szCs w:val="22"/>
        </w:rPr>
        <w:t>Adjusted Quarterly Contribution Base for Universal Service Support Mechanism</w:t>
      </w:r>
    </w:p>
    <w:p w:rsidR="00C80814" w:rsidRPr="00A128DC" w:rsidP="00C80814" w14:paraId="6A933148" w14:textId="77777777">
      <w:pPr>
        <w:ind w:firstLine="720"/>
        <w:rPr>
          <w:szCs w:val="22"/>
        </w:rPr>
      </w:pPr>
    </w:p>
    <w:p w:rsidR="00C80814" w:rsidRPr="00A128DC" w:rsidP="00C2619C" w14:paraId="2BD697F6" w14:textId="69A71973">
      <w:pPr>
        <w:ind w:firstLine="720"/>
        <w:rPr>
          <w:szCs w:val="22"/>
        </w:rPr>
      </w:pPr>
      <w:r w:rsidRPr="00DE7F07">
        <w:rPr>
          <w:szCs w:val="22"/>
        </w:rPr>
        <w:t>(</w:t>
      </w:r>
      <w:r w:rsidR="009D06CF">
        <w:rPr>
          <w:szCs w:val="22"/>
        </w:rPr>
        <w:t>Fourth</w:t>
      </w:r>
      <w:r w:rsidRPr="00BF573D" w:rsidR="00842AEB">
        <w:rPr>
          <w:szCs w:val="22"/>
        </w:rPr>
        <w:t xml:space="preserve"> </w:t>
      </w:r>
      <w:r w:rsidRPr="00BF573D">
        <w:rPr>
          <w:szCs w:val="22"/>
        </w:rPr>
        <w:t xml:space="preserve">Quarter </w:t>
      </w:r>
      <w:r w:rsidRPr="00BF573D" w:rsidR="00842AEB">
        <w:rPr>
          <w:szCs w:val="22"/>
        </w:rPr>
        <w:t>20</w:t>
      </w:r>
      <w:r w:rsidR="00046C35">
        <w:rPr>
          <w:szCs w:val="22"/>
        </w:rPr>
        <w:t>2</w:t>
      </w:r>
      <w:r w:rsidR="00545135">
        <w:rPr>
          <w:szCs w:val="22"/>
        </w:rPr>
        <w:t>3</w:t>
      </w:r>
      <w:r w:rsidRPr="00A128DC" w:rsidR="00842AEB">
        <w:rPr>
          <w:szCs w:val="22"/>
        </w:rPr>
        <w:t xml:space="preserve"> </w:t>
      </w:r>
      <w:r w:rsidRPr="00A128DC">
        <w:rPr>
          <w:szCs w:val="22"/>
        </w:rPr>
        <w:t>Revenues - Projected Revenue Requirement</w:t>
      </w:r>
      <w:r w:rsidRPr="00DE7F07">
        <w:rPr>
          <w:szCs w:val="22"/>
        </w:rPr>
        <w:t>) * (100%</w:t>
      </w:r>
      <w:r w:rsidR="00DE7F07">
        <w:rPr>
          <w:szCs w:val="22"/>
        </w:rPr>
        <w:t xml:space="preserve"> </w:t>
      </w:r>
      <w:r w:rsidRPr="00DE7F07">
        <w:rPr>
          <w:szCs w:val="22"/>
        </w:rPr>
        <w:t>-</w:t>
      </w:r>
      <w:r w:rsidR="00DE7F07">
        <w:rPr>
          <w:szCs w:val="22"/>
        </w:rPr>
        <w:t xml:space="preserve"> </w:t>
      </w:r>
      <w:r w:rsidRPr="00DE7F07">
        <w:rPr>
          <w:szCs w:val="22"/>
        </w:rPr>
        <w:t>1%)</w:t>
      </w:r>
    </w:p>
    <w:p w:rsidR="00445B7E" w:rsidP="00445B7E" w14:paraId="6290750F" w14:textId="77777777">
      <w:pPr>
        <w:ind w:left="1440" w:firstLine="720"/>
        <w:rPr>
          <w:szCs w:val="22"/>
        </w:rPr>
      </w:pPr>
    </w:p>
    <w:p w:rsidR="00C80814" w:rsidRPr="00A128DC" w:rsidP="00EA1199" w14:paraId="5AE79F3B" w14:textId="70A8D56C">
      <w:pPr>
        <w:ind w:left="720" w:firstLine="720"/>
        <w:rPr>
          <w:szCs w:val="22"/>
        </w:rPr>
      </w:pPr>
      <w:r>
        <w:rPr>
          <w:szCs w:val="22"/>
        </w:rPr>
        <w:t>=</w:t>
      </w:r>
      <w:r w:rsidRPr="00A128DC">
        <w:rPr>
          <w:szCs w:val="22"/>
        </w:rPr>
        <w:t xml:space="preserve"> ($</w:t>
      </w:r>
      <w:r w:rsidRPr="00D929A7" w:rsidR="001A19BF">
        <w:rPr>
          <w:szCs w:val="22"/>
        </w:rPr>
        <w:t>8</w:t>
      </w:r>
      <w:r w:rsidRPr="00D929A7" w:rsidR="00915560">
        <w:rPr>
          <w:szCs w:val="22"/>
        </w:rPr>
        <w:t>.</w:t>
      </w:r>
      <w:r w:rsidR="009D06CF">
        <w:rPr>
          <w:szCs w:val="22"/>
        </w:rPr>
        <w:t>172483</w:t>
      </w:r>
      <w:r w:rsidR="009E5A6B">
        <w:rPr>
          <w:szCs w:val="22"/>
        </w:rPr>
        <w:t xml:space="preserve"> </w:t>
      </w:r>
      <w:r w:rsidRPr="00A128DC">
        <w:rPr>
          <w:szCs w:val="22"/>
        </w:rPr>
        <w:t>billion – $</w:t>
      </w:r>
      <w:r w:rsidR="009D06CF">
        <w:rPr>
          <w:szCs w:val="22"/>
        </w:rPr>
        <w:t>2</w:t>
      </w:r>
      <w:r w:rsidRPr="00793A3F" w:rsidR="00130DCD">
        <w:rPr>
          <w:color w:val="000000"/>
          <w:szCs w:val="22"/>
        </w:rPr>
        <w:t>.</w:t>
      </w:r>
      <w:r w:rsidR="009D06CF">
        <w:rPr>
          <w:color w:val="000000"/>
          <w:szCs w:val="22"/>
        </w:rPr>
        <w:t>078830</w:t>
      </w:r>
      <w:r w:rsidR="009E5A6B">
        <w:rPr>
          <w:szCs w:val="22"/>
        </w:rPr>
        <w:t xml:space="preserve"> b</w:t>
      </w:r>
      <w:r w:rsidRPr="00A128DC">
        <w:rPr>
          <w:szCs w:val="22"/>
        </w:rPr>
        <w:t>illion) * 0.99</w:t>
      </w:r>
    </w:p>
    <w:p w:rsidR="00C80814" w:rsidRPr="00A128DC" w:rsidP="00C80814" w14:paraId="02D49206" w14:textId="77777777">
      <w:pPr>
        <w:ind w:left="720" w:firstLine="720"/>
        <w:rPr>
          <w:szCs w:val="22"/>
        </w:rPr>
      </w:pPr>
    </w:p>
    <w:p w:rsidR="00C80814" w:rsidRPr="00A128DC" w:rsidP="00445B7E" w14:paraId="2FF29FC3" w14:textId="57578351">
      <w:pPr>
        <w:ind w:left="2880"/>
        <w:rPr>
          <w:szCs w:val="22"/>
        </w:rPr>
      </w:pPr>
      <w:r>
        <w:rPr>
          <w:szCs w:val="22"/>
        </w:rPr>
        <w:t>=</w:t>
      </w:r>
      <w:r w:rsidRPr="00A128DC">
        <w:rPr>
          <w:szCs w:val="22"/>
        </w:rPr>
        <w:t>$</w:t>
      </w:r>
      <w:r w:rsidRPr="00D929A7" w:rsidR="00130DCD">
        <w:rPr>
          <w:szCs w:val="22"/>
        </w:rPr>
        <w:t>6.</w:t>
      </w:r>
      <w:r w:rsidR="009D06CF">
        <w:rPr>
          <w:szCs w:val="22"/>
        </w:rPr>
        <w:t>032716</w:t>
      </w:r>
      <w:r w:rsidR="008A6117">
        <w:rPr>
          <w:color w:val="FF0000"/>
          <w:szCs w:val="22"/>
        </w:rPr>
        <w:t xml:space="preserve"> </w:t>
      </w:r>
      <w:r w:rsidRPr="00A128DC">
        <w:rPr>
          <w:szCs w:val="22"/>
        </w:rPr>
        <w:t>billion.</w:t>
      </w:r>
    </w:p>
    <w:p w:rsidR="00C80814" w:rsidRPr="00A128DC" w:rsidP="00C80814" w14:paraId="09E7BC6F" w14:textId="77777777">
      <w:pPr>
        <w:ind w:left="2160"/>
        <w:rPr>
          <w:szCs w:val="22"/>
        </w:rPr>
      </w:pPr>
    </w:p>
    <w:p w:rsidR="00C80814" w:rsidRPr="00A128DC" w:rsidP="00C80814" w14:paraId="1A34A879" w14:textId="77777777">
      <w:pPr>
        <w:rPr>
          <w:szCs w:val="22"/>
        </w:rPr>
      </w:pPr>
      <w:r w:rsidRPr="00A128DC">
        <w:rPr>
          <w:b/>
          <w:szCs w:val="22"/>
          <w:u w:val="single"/>
        </w:rPr>
        <w:t>Unadjusted Contribution Factor</w:t>
      </w:r>
    </w:p>
    <w:p w:rsidR="00C80814" w:rsidRPr="00A128DC" w:rsidP="00C80814" w14:paraId="712FDBA2" w14:textId="77777777">
      <w:pPr>
        <w:rPr>
          <w:szCs w:val="22"/>
        </w:rPr>
      </w:pPr>
    </w:p>
    <w:p w:rsidR="00C80814" w:rsidRPr="00A128DC" w:rsidP="00C80814" w14:paraId="5409C019" w14:textId="4D383967">
      <w:pPr>
        <w:rPr>
          <w:szCs w:val="22"/>
        </w:rPr>
      </w:pPr>
      <w:r w:rsidRPr="00A128DC">
        <w:rPr>
          <w:szCs w:val="22"/>
        </w:rPr>
        <w:tab/>
      </w:r>
      <w:r w:rsidRPr="00A128DC">
        <w:rPr>
          <w:szCs w:val="22"/>
        </w:rPr>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9D06CF">
        <w:rPr>
          <w:szCs w:val="22"/>
        </w:rPr>
        <w:t>fourth</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2</w:t>
      </w:r>
      <w:r w:rsidR="00545135">
        <w:rPr>
          <w:szCs w:val="22"/>
        </w:rPr>
        <w:t>3</w:t>
      </w:r>
      <w:r w:rsidR="002D2DD3">
        <w:rPr>
          <w:szCs w:val="22"/>
        </w:rPr>
        <w:t xml:space="preserve"> </w:t>
      </w:r>
      <w:r w:rsidRPr="00A128DC">
        <w:rPr>
          <w:szCs w:val="22"/>
        </w:rPr>
        <w:t xml:space="preserve">is as follows: </w:t>
      </w:r>
    </w:p>
    <w:p w:rsidR="00C80814" w:rsidRPr="00A128DC" w:rsidP="00C80814" w14:paraId="151B6ECE" w14:textId="77777777">
      <w:pPr>
        <w:rPr>
          <w:szCs w:val="22"/>
        </w:rPr>
      </w:pPr>
    </w:p>
    <w:p w:rsidR="00C80814" w:rsidRPr="00A128DC" w:rsidP="00C80814" w14:paraId="587681A4" w14:textId="77777777">
      <w:pPr>
        <w:keepNext/>
        <w:ind w:left="720"/>
        <w:rPr>
          <w:szCs w:val="22"/>
        </w:rPr>
      </w:pPr>
      <w:r w:rsidRPr="00A128DC">
        <w:rPr>
          <w:szCs w:val="22"/>
        </w:rPr>
        <w:t>Contribution Factor for Universal Service Support Mechanisms</w:t>
      </w:r>
    </w:p>
    <w:p w:rsidR="00C80814" w:rsidRPr="00A128DC" w:rsidP="00C80814" w14:paraId="5558623E" w14:textId="77777777">
      <w:pPr>
        <w:keepNext/>
        <w:ind w:firstLine="720"/>
        <w:rPr>
          <w:szCs w:val="22"/>
        </w:rPr>
      </w:pPr>
    </w:p>
    <w:p w:rsidR="00C80814" w:rsidRPr="00A128DC" w:rsidP="00C2619C" w14:paraId="3ABDD36B" w14:textId="77777777">
      <w:pPr>
        <w:keepNext/>
        <w:ind w:left="720" w:firstLine="720"/>
        <w:rPr>
          <w:szCs w:val="22"/>
        </w:rPr>
      </w:pPr>
      <w:r w:rsidRPr="00A128DC">
        <w:rPr>
          <w:szCs w:val="22"/>
        </w:rPr>
        <w:t>Total Program Collection / Adjusted Quarterly Contribution Base</w:t>
      </w:r>
    </w:p>
    <w:p w:rsidR="00C80814" w:rsidRPr="00A128DC" w:rsidP="00C80814" w14:paraId="1F64831E" w14:textId="77777777">
      <w:pPr>
        <w:keepNext/>
        <w:ind w:left="1440" w:firstLine="720"/>
        <w:rPr>
          <w:szCs w:val="22"/>
        </w:rPr>
      </w:pPr>
    </w:p>
    <w:p w:rsidR="00C80814" w:rsidRPr="00CD6E19" w:rsidP="00A128DC" w14:paraId="6E06E82B" w14:textId="32DEA90A">
      <w:pPr>
        <w:keepNext/>
        <w:ind w:left="1440"/>
        <w:rPr>
          <w:szCs w:val="22"/>
        </w:rPr>
      </w:pPr>
      <w:r w:rsidRPr="00A128DC">
        <w:rPr>
          <w:szCs w:val="22"/>
        </w:rPr>
        <w:tab/>
      </w:r>
      <w:r w:rsidR="00B44857">
        <w:rPr>
          <w:szCs w:val="22"/>
        </w:rPr>
        <w:t>=</w:t>
      </w:r>
      <w:r w:rsidRPr="00A128DC">
        <w:rPr>
          <w:szCs w:val="22"/>
        </w:rPr>
        <w:t>$</w:t>
      </w:r>
      <w:r w:rsidR="009D06CF">
        <w:rPr>
          <w:szCs w:val="22"/>
        </w:rPr>
        <w:t>2</w:t>
      </w:r>
      <w:r w:rsidRPr="00793A3F" w:rsidR="00130DCD">
        <w:rPr>
          <w:color w:val="000000"/>
          <w:szCs w:val="22"/>
        </w:rPr>
        <w:t>.</w:t>
      </w:r>
      <w:r w:rsidR="009D06CF">
        <w:rPr>
          <w:color w:val="000000"/>
          <w:szCs w:val="22"/>
        </w:rPr>
        <w:t>078830</w:t>
      </w:r>
      <w:r w:rsidR="002C1478">
        <w:rPr>
          <w:szCs w:val="22"/>
        </w:rPr>
        <w:t xml:space="preserve"> </w:t>
      </w:r>
      <w:r w:rsidRPr="00CD6E19">
        <w:rPr>
          <w:szCs w:val="22"/>
        </w:rPr>
        <w:t>billion / $</w:t>
      </w:r>
      <w:r w:rsidRPr="00D929A7" w:rsidR="00130DCD">
        <w:rPr>
          <w:szCs w:val="22"/>
        </w:rPr>
        <w:t>6.</w:t>
      </w:r>
      <w:r w:rsidR="009D06CF">
        <w:rPr>
          <w:szCs w:val="22"/>
        </w:rPr>
        <w:t>032716</w:t>
      </w:r>
      <w:r w:rsidR="009E5A6B">
        <w:rPr>
          <w:szCs w:val="22"/>
        </w:rPr>
        <w:t xml:space="preserve"> b</w:t>
      </w:r>
      <w:r w:rsidRPr="00CD6E19">
        <w:rPr>
          <w:szCs w:val="22"/>
        </w:rPr>
        <w:t>illion</w:t>
      </w:r>
    </w:p>
    <w:p w:rsidR="00C80814" w:rsidRPr="00CD6E19" w:rsidP="00C80814" w14:paraId="1A05A466" w14:textId="77777777">
      <w:pPr>
        <w:keepNext/>
        <w:ind w:left="1440" w:firstLine="720"/>
        <w:rPr>
          <w:szCs w:val="22"/>
        </w:rPr>
      </w:pPr>
    </w:p>
    <w:p w:rsidR="009A7E94" w:rsidRPr="0097662D" w:rsidP="009A7E94" w14:paraId="65808A62" w14:textId="76EDE86A">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009D06CF">
        <w:rPr>
          <w:szCs w:val="22"/>
        </w:rPr>
        <w:t>344593</w:t>
      </w:r>
    </w:p>
    <w:p w:rsidR="003240CF" w:rsidRPr="00CD6E19" w:rsidP="00C80814" w14:paraId="0F49CDB0" w14:textId="77777777">
      <w:pPr>
        <w:keepNext/>
        <w:ind w:left="1440"/>
        <w:rPr>
          <w:szCs w:val="22"/>
        </w:rPr>
      </w:pPr>
    </w:p>
    <w:p w:rsidR="00C80814" w:rsidRPr="00A128DC" w:rsidP="00AB148C" w14:paraId="1D6484A0" w14:textId="77777777">
      <w:pPr>
        <w:keepNext/>
        <w:rPr>
          <w:b/>
          <w:szCs w:val="22"/>
          <w:u w:val="single"/>
        </w:rPr>
      </w:pPr>
      <w:r w:rsidRPr="00A128DC">
        <w:rPr>
          <w:b/>
          <w:szCs w:val="22"/>
          <w:u w:val="single"/>
        </w:rPr>
        <w:t>Unadjusted Circularity Factor</w:t>
      </w:r>
    </w:p>
    <w:p w:rsidR="00C80814" w:rsidRPr="00A128DC" w:rsidP="00C80814" w14:paraId="34409DA1" w14:textId="77777777">
      <w:pPr>
        <w:rPr>
          <w:b/>
          <w:szCs w:val="22"/>
          <w:u w:val="single"/>
        </w:rPr>
      </w:pPr>
    </w:p>
    <w:p w:rsidR="00C80814" w:rsidRPr="00A128DC" w:rsidP="00C80814" w14:paraId="2DEC0979" w14:textId="24329CC9">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9D06CF">
        <w:rPr>
          <w:szCs w:val="22"/>
        </w:rPr>
        <w:t>fourth</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w:t>
      </w:r>
      <w:r w:rsidR="00545135">
        <w:rPr>
          <w:szCs w:val="22"/>
        </w:rPr>
        <w:t>3</w:t>
      </w:r>
      <w:r w:rsidR="00D37EE5">
        <w:rPr>
          <w:szCs w:val="22"/>
        </w:rPr>
        <w:t xml:space="preserve"> </w:t>
      </w:r>
      <w:r w:rsidRPr="00A128DC">
        <w:rPr>
          <w:szCs w:val="22"/>
        </w:rPr>
        <w:t xml:space="preserve">is as follows:   </w:t>
      </w:r>
    </w:p>
    <w:p w:rsidR="00C80814" w:rsidRPr="00A128DC" w:rsidP="00C80814" w14:paraId="53343495" w14:textId="77777777">
      <w:pPr>
        <w:ind w:firstLine="720"/>
        <w:rPr>
          <w:szCs w:val="22"/>
        </w:rPr>
      </w:pPr>
    </w:p>
    <w:p w:rsidR="00C80814" w:rsidRPr="00A128DC" w:rsidP="00C80814" w14:paraId="14D218DD" w14:textId="77777777">
      <w:pPr>
        <w:ind w:firstLine="720"/>
        <w:rPr>
          <w:szCs w:val="22"/>
        </w:rPr>
      </w:pPr>
      <w:r w:rsidRPr="00A128DC">
        <w:rPr>
          <w:szCs w:val="22"/>
        </w:rPr>
        <w:t>Unadjusted Circularity Factor for Universal Service Support Mechanisms</w:t>
      </w:r>
    </w:p>
    <w:p w:rsidR="00C80814" w:rsidRPr="00A128DC" w:rsidP="00C80814" w14:paraId="5B109CDE" w14:textId="77777777">
      <w:pPr>
        <w:ind w:firstLine="720"/>
        <w:rPr>
          <w:szCs w:val="22"/>
        </w:rPr>
      </w:pPr>
    </w:p>
    <w:p w:rsidR="00EB08AD" w:rsidP="00B44857" w14:paraId="275ECE89" w14:textId="0F725052">
      <w:pPr>
        <w:ind w:firstLine="720"/>
        <w:rPr>
          <w:szCs w:val="22"/>
        </w:rPr>
      </w:pPr>
      <w:r>
        <w:rPr>
          <w:szCs w:val="22"/>
        </w:rPr>
        <w:t xml:space="preserve">= Total Program Collection / </w:t>
      </w:r>
      <w:r w:rsidR="00111A5F">
        <w:rPr>
          <w:szCs w:val="22"/>
        </w:rPr>
        <w:t xml:space="preserve">Projected </w:t>
      </w:r>
      <w:r w:rsidR="009D06CF">
        <w:rPr>
          <w:szCs w:val="22"/>
        </w:rPr>
        <w:t>Fourth</w:t>
      </w:r>
      <w:r>
        <w:rPr>
          <w:szCs w:val="22"/>
        </w:rPr>
        <w:t xml:space="preserve"> Quarter 202</w:t>
      </w:r>
      <w:r w:rsidR="00545135">
        <w:rPr>
          <w:szCs w:val="22"/>
        </w:rPr>
        <w:t>3</w:t>
      </w:r>
      <w:r>
        <w:rPr>
          <w:szCs w:val="22"/>
        </w:rPr>
        <w:t xml:space="preserve"> Revenues</w:t>
      </w:r>
    </w:p>
    <w:p w:rsidR="00EB08AD" w:rsidP="00B44857" w14:paraId="7B262818" w14:textId="22477F63">
      <w:pPr>
        <w:ind w:firstLine="720"/>
        <w:rPr>
          <w:szCs w:val="22"/>
        </w:rPr>
      </w:pPr>
      <w:r>
        <w:rPr>
          <w:szCs w:val="22"/>
        </w:rPr>
        <w:t>= $</w:t>
      </w:r>
      <w:r w:rsidR="009D06CF">
        <w:rPr>
          <w:szCs w:val="22"/>
        </w:rPr>
        <w:t>2.078830</w:t>
      </w:r>
      <w:r>
        <w:rPr>
          <w:szCs w:val="22"/>
        </w:rPr>
        <w:t xml:space="preserve"> billion / $</w:t>
      </w:r>
      <w:r w:rsidRPr="00D929A7" w:rsidR="00130DCD">
        <w:rPr>
          <w:szCs w:val="22"/>
        </w:rPr>
        <w:t>8.</w:t>
      </w:r>
      <w:r w:rsidR="009D06CF">
        <w:rPr>
          <w:szCs w:val="22"/>
        </w:rPr>
        <w:t>172483</w:t>
      </w:r>
      <w:r>
        <w:rPr>
          <w:szCs w:val="22"/>
        </w:rPr>
        <w:t xml:space="preserve"> billion</w:t>
      </w:r>
    </w:p>
    <w:p w:rsidR="00EB08AD" w:rsidP="00B44857" w14:paraId="01DD281E" w14:textId="6AF28871">
      <w:pPr>
        <w:ind w:firstLine="720"/>
        <w:rPr>
          <w:szCs w:val="22"/>
        </w:rPr>
      </w:pPr>
      <w:r>
        <w:rPr>
          <w:szCs w:val="22"/>
        </w:rPr>
        <w:t xml:space="preserve">= </w:t>
      </w:r>
      <w:r w:rsidRPr="00793A3F" w:rsidR="00130DCD">
        <w:rPr>
          <w:color w:val="000000"/>
          <w:szCs w:val="22"/>
        </w:rPr>
        <w:t>0.</w:t>
      </w:r>
      <w:r w:rsidR="009D06CF">
        <w:rPr>
          <w:szCs w:val="22"/>
        </w:rPr>
        <w:t>254369</w:t>
      </w:r>
    </w:p>
    <w:p w:rsidR="00111A5F" w:rsidP="00B44857" w14:paraId="1C58C312" w14:textId="77777777">
      <w:pPr>
        <w:ind w:firstLine="720"/>
        <w:rPr>
          <w:szCs w:val="22"/>
        </w:rPr>
      </w:pPr>
    </w:p>
    <w:p w:rsidR="00C80814" w:rsidRPr="00A128DC" w:rsidP="00C80814" w14:paraId="1440378D" w14:textId="77777777">
      <w:pPr>
        <w:rPr>
          <w:b/>
          <w:szCs w:val="22"/>
          <w:u w:val="single"/>
        </w:rPr>
      </w:pPr>
      <w:r w:rsidRPr="00A128DC">
        <w:rPr>
          <w:b/>
          <w:szCs w:val="22"/>
          <w:u w:val="single"/>
        </w:rPr>
        <w:t>Proposed Contribution Factor</w:t>
      </w:r>
    </w:p>
    <w:p w:rsidR="00DA1DD5" w:rsidP="003E33E5" w14:paraId="7E9FD491" w14:textId="77777777">
      <w:pPr>
        <w:ind w:firstLine="720"/>
        <w:rPr>
          <w:szCs w:val="22"/>
        </w:rPr>
      </w:pPr>
    </w:p>
    <w:p w:rsidR="00111A5F" w:rsidP="003E33E5" w14:paraId="54AAAF4B" w14:textId="53B5A60A">
      <w:pPr>
        <w:ind w:firstLine="720"/>
        <w:rPr>
          <w:szCs w:val="22"/>
        </w:rPr>
      </w:pPr>
      <w:r>
        <w:rPr>
          <w:szCs w:val="22"/>
        </w:rPr>
        <w:t xml:space="preserve">The Commission has </w:t>
      </w:r>
      <w:r>
        <w:rPr>
          <w:szCs w:val="22"/>
        </w:rPr>
        <w:t>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12"/>
      </w:r>
      <w:r w:rsidRPr="00A128DC" w:rsidR="00C80814">
        <w:rPr>
          <w:szCs w:val="22"/>
        </w:rPr>
        <w:t xml:space="preserve">  Accordingly, the proposed contribution factor for the</w:t>
      </w:r>
      <w:r w:rsidR="002C1478">
        <w:rPr>
          <w:szCs w:val="22"/>
        </w:rPr>
        <w:t xml:space="preserve"> </w:t>
      </w:r>
      <w:r w:rsidR="004A25B3">
        <w:rPr>
          <w:szCs w:val="22"/>
        </w:rPr>
        <w:t>fourth</w:t>
      </w:r>
      <w:r w:rsidR="00DE776E">
        <w:rPr>
          <w:szCs w:val="22"/>
        </w:rPr>
        <w:t xml:space="preserve"> </w:t>
      </w:r>
      <w:r w:rsidRPr="00BF573D" w:rsidR="00C80814">
        <w:rPr>
          <w:szCs w:val="22"/>
        </w:rPr>
        <w:t>quarter of 20</w:t>
      </w:r>
      <w:r w:rsidR="002D2DD3">
        <w:rPr>
          <w:szCs w:val="22"/>
        </w:rPr>
        <w:t>2</w:t>
      </w:r>
      <w:r w:rsidR="00545135">
        <w:rPr>
          <w:szCs w:val="22"/>
        </w:rPr>
        <w:t>3</w:t>
      </w:r>
      <w:r w:rsidR="00927F0B">
        <w:rPr>
          <w:szCs w:val="22"/>
        </w:rPr>
        <w:t xml:space="preserve"> </w:t>
      </w:r>
      <w:r w:rsidRPr="00A128DC" w:rsidR="00C80814">
        <w:rPr>
          <w:szCs w:val="22"/>
        </w:rPr>
        <w:t>is as follows:</w:t>
      </w:r>
      <w:r>
        <w:rPr>
          <w:szCs w:val="22"/>
        </w:rPr>
        <w:t xml:space="preserve"> </w:t>
      </w:r>
    </w:p>
    <w:p w:rsidR="00CE7A94" w:rsidRPr="00780343" w:rsidP="00CE7A94" w14:paraId="3313AA63" w14:textId="2CCAB6A3">
      <w:pPr>
        <w:rPr>
          <w:color w:val="000000"/>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004A25B3">
        <w:rPr>
          <w:szCs w:val="22"/>
        </w:rPr>
        <w:t>34.5</w:t>
      </w:r>
      <w:r w:rsidRPr="00780343" w:rsidR="00494CD5">
        <w:rPr>
          <w:color w:val="000000"/>
          <w:szCs w:val="22"/>
        </w:rPr>
        <w:t>%</w:t>
      </w:r>
    </w:p>
    <w:p w:rsidR="00CE7A94" w:rsidP="007345FD" w14:paraId="147C5F26" w14:textId="77777777">
      <w:pPr>
        <w:rPr>
          <w:b/>
          <w:szCs w:val="22"/>
          <w:u w:val="single"/>
        </w:rPr>
      </w:pPr>
    </w:p>
    <w:p w:rsidR="00C80814" w:rsidRPr="00CE7A94" w:rsidP="00CE7A94" w14:paraId="025AFDB7" w14:textId="77777777">
      <w:pPr>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823722" w14:paraId="77C3FED6" w14:textId="77777777">
      <w:pPr>
        <w:rPr>
          <w:szCs w:val="22"/>
        </w:rPr>
      </w:pPr>
    </w:p>
    <w:p w:rsidR="00C80814" w:rsidRPr="00A128DC" w:rsidP="00823722" w14:paraId="35146223" w14:textId="155463EF">
      <w:pPr>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3"/>
      </w:r>
      <w:r w:rsidRPr="00A128DC">
        <w:rPr>
          <w:szCs w:val="22"/>
        </w:rPr>
        <w:t xml:space="preserve">  Accordingly, the proposed circularity factor for </w:t>
      </w:r>
      <w:r w:rsidRPr="00BF573D">
        <w:rPr>
          <w:szCs w:val="22"/>
        </w:rPr>
        <w:t xml:space="preserve">the </w:t>
      </w:r>
      <w:r w:rsidR="004A25B3">
        <w:rPr>
          <w:szCs w:val="22"/>
        </w:rPr>
        <w:t>fourth</w:t>
      </w:r>
      <w:r w:rsidR="00E339CF">
        <w:rPr>
          <w:szCs w:val="22"/>
        </w:rPr>
        <w:t xml:space="preserve"> </w:t>
      </w:r>
      <w:r w:rsidR="00F44C61">
        <w:rPr>
          <w:szCs w:val="22"/>
        </w:rPr>
        <w:t>quarter</w:t>
      </w:r>
      <w:r w:rsidRPr="00BF573D">
        <w:rPr>
          <w:szCs w:val="22"/>
        </w:rPr>
        <w:t xml:space="preserve"> of </w:t>
      </w:r>
      <w:r w:rsidRPr="00BF573D" w:rsidR="00D37EE5">
        <w:rPr>
          <w:szCs w:val="22"/>
        </w:rPr>
        <w:t>20</w:t>
      </w:r>
      <w:r w:rsidR="002D2DD3">
        <w:rPr>
          <w:szCs w:val="22"/>
        </w:rPr>
        <w:t>2</w:t>
      </w:r>
      <w:r w:rsidR="00545135">
        <w:rPr>
          <w:szCs w:val="22"/>
        </w:rPr>
        <w:t>3</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14:paraId="6A05B600" w14:textId="77777777">
      <w:pPr>
        <w:rPr>
          <w:szCs w:val="22"/>
        </w:rPr>
      </w:pPr>
    </w:p>
    <w:p w:rsidR="00C80814" w:rsidRPr="00A128DC" w:rsidP="00823722" w14:paraId="7823FD4E" w14:textId="0D6AC896">
      <w:pPr>
        <w:ind w:firstLine="720"/>
        <w:rPr>
          <w:szCs w:val="22"/>
        </w:rPr>
      </w:pPr>
      <w:r>
        <w:rPr>
          <w:szCs w:val="22"/>
        </w:rPr>
        <w:tab/>
      </w:r>
      <w:r>
        <w:rPr>
          <w:szCs w:val="22"/>
        </w:rPr>
        <w:tab/>
      </w:r>
      <w:r w:rsidRPr="00BF573D">
        <w:rPr>
          <w:szCs w:val="22"/>
        </w:rPr>
        <w:tab/>
      </w:r>
      <w:r w:rsidRPr="00793A3F" w:rsidR="00130DCD">
        <w:rPr>
          <w:color w:val="000000"/>
          <w:szCs w:val="22"/>
        </w:rPr>
        <w:t>0.</w:t>
      </w:r>
      <w:r w:rsidRPr="00D929A7" w:rsidR="00130DCD">
        <w:rPr>
          <w:szCs w:val="22"/>
        </w:rPr>
        <w:t>2</w:t>
      </w:r>
      <w:r w:rsidR="004A25B3">
        <w:rPr>
          <w:szCs w:val="22"/>
        </w:rPr>
        <w:t>55250</w:t>
      </w:r>
      <w:r>
        <w:rPr>
          <w:rStyle w:val="FootnoteReference"/>
          <w:szCs w:val="22"/>
        </w:rPr>
        <w:footnoteReference w:id="14"/>
      </w:r>
      <w:r w:rsidRPr="00A128DC">
        <w:rPr>
          <w:szCs w:val="22"/>
        </w:rPr>
        <w:t xml:space="preserve"> </w:t>
      </w:r>
    </w:p>
    <w:p w:rsidR="000D1ABA" w:rsidRPr="00A128DC" w:rsidP="00823722" w14:paraId="17B99B57" w14:textId="77777777">
      <w:pPr>
        <w:rPr>
          <w:szCs w:val="22"/>
          <w:u w:val="single"/>
        </w:rPr>
      </w:pPr>
    </w:p>
    <w:p w:rsidR="00C80814" w:rsidRPr="00A128DC" w:rsidP="00823722" w14:paraId="468911C7" w14:textId="77777777">
      <w:pPr>
        <w:rPr>
          <w:b/>
          <w:szCs w:val="22"/>
          <w:u w:val="single"/>
        </w:rPr>
      </w:pPr>
      <w:r w:rsidRPr="00A128DC">
        <w:rPr>
          <w:b/>
          <w:szCs w:val="22"/>
          <w:u w:val="single"/>
        </w:rPr>
        <w:t>Conclusion</w:t>
      </w:r>
    </w:p>
    <w:p w:rsidR="00C80814" w:rsidRPr="00A128DC" w:rsidP="00823722" w14:paraId="137BC97A" w14:textId="77777777">
      <w:pPr>
        <w:tabs>
          <w:tab w:val="left" w:pos="0"/>
          <w:tab w:val="left" w:pos="720"/>
          <w:tab w:val="left" w:pos="1440"/>
        </w:tabs>
        <w:spacing w:line="226" w:lineRule="auto"/>
        <w:rPr>
          <w:szCs w:val="22"/>
        </w:rPr>
      </w:pPr>
    </w:p>
    <w:p w:rsidR="00C80814" w:rsidRPr="00A128DC" w:rsidP="00823722" w14:paraId="0EECFA0E" w14:textId="50E1150C">
      <w:pPr>
        <w:tabs>
          <w:tab w:val="left" w:pos="0"/>
          <w:tab w:val="left" w:pos="720"/>
          <w:tab w:val="left" w:pos="1440"/>
        </w:tabs>
        <w:spacing w:line="226" w:lineRule="auto"/>
        <w:rPr>
          <w:szCs w:val="22"/>
        </w:rPr>
      </w:pPr>
      <w:r w:rsidRPr="00A128DC">
        <w:rPr>
          <w:szCs w:val="22"/>
        </w:rPr>
        <w:tab/>
        <w:t xml:space="preserve">If the Commission takes no action regarding the projections of demand and administrative expenses and the proposed contribution factor within the 14-day period following release of this Public Notice, they shall be </w:t>
      </w:r>
      <w:r w:rsidRPr="00A128DC">
        <w:rPr>
          <w:szCs w:val="22"/>
        </w:rPr>
        <w:t>deemed approved by the Commission.</w:t>
      </w:r>
      <w:r>
        <w:rPr>
          <w:rStyle w:val="FootnoteReference"/>
          <w:szCs w:val="22"/>
        </w:rPr>
        <w:footnoteReference w:id="15"/>
      </w:r>
      <w:r w:rsidRPr="00A128DC">
        <w:rPr>
          <w:szCs w:val="22"/>
        </w:rPr>
        <w:t xml:space="preserve">  USAC shall use the contribution factor to calculate universal service contributions for </w:t>
      </w:r>
      <w:r w:rsidRPr="00BF573D">
        <w:rPr>
          <w:szCs w:val="22"/>
        </w:rPr>
        <w:t xml:space="preserve">the </w:t>
      </w:r>
      <w:r w:rsidR="004A25B3">
        <w:rPr>
          <w:szCs w:val="22"/>
        </w:rPr>
        <w:t>fourth</w:t>
      </w:r>
      <w:r w:rsidR="00B84A22">
        <w:rPr>
          <w:szCs w:val="22"/>
        </w:rPr>
        <w:t xml:space="preserve"> </w:t>
      </w:r>
      <w:r w:rsidRPr="00BF573D">
        <w:rPr>
          <w:szCs w:val="22"/>
        </w:rPr>
        <w:t xml:space="preserve">quarter of </w:t>
      </w:r>
      <w:r w:rsidRPr="00BF573D" w:rsidR="00D37EE5">
        <w:rPr>
          <w:szCs w:val="22"/>
        </w:rPr>
        <w:t>20</w:t>
      </w:r>
      <w:r w:rsidR="002D2DD3">
        <w:rPr>
          <w:szCs w:val="22"/>
        </w:rPr>
        <w:t>2</w:t>
      </w:r>
      <w:r w:rsidR="00FD7DF2">
        <w:rPr>
          <w:szCs w:val="22"/>
        </w:rPr>
        <w:t>3</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6"/>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w:t>
      </w:r>
      <w:r w:rsidRPr="00A128DC">
        <w:rPr>
          <w:szCs w:val="22"/>
        </w:rPr>
        <w:t>cting overdue contributions.</w:t>
      </w:r>
      <w:r>
        <w:rPr>
          <w:rStyle w:val="FootnoteReference"/>
          <w:szCs w:val="22"/>
        </w:rPr>
        <w:footnoteReference w:id="17"/>
      </w:r>
    </w:p>
    <w:p w:rsidR="00C80814" w:rsidRPr="00A128DC" w:rsidP="00823722" w14:paraId="3441AF6C" w14:textId="77777777">
      <w:pPr>
        <w:tabs>
          <w:tab w:val="left" w:pos="0"/>
        </w:tabs>
        <w:spacing w:line="226" w:lineRule="auto"/>
        <w:rPr>
          <w:szCs w:val="22"/>
        </w:rPr>
      </w:pPr>
    </w:p>
    <w:p w:rsidR="00C80814" w:rsidP="00823722" w14:paraId="56F38EE3" w14:textId="533ECD19">
      <w:pPr>
        <w:tabs>
          <w:tab w:val="left" w:pos="0"/>
        </w:tabs>
        <w:spacing w:line="226" w:lineRule="auto"/>
        <w:rPr>
          <w:szCs w:val="22"/>
        </w:rPr>
      </w:pPr>
      <w:r w:rsidRPr="00A128DC">
        <w:rPr>
          <w:szCs w:val="22"/>
        </w:rPr>
        <w:tab/>
        <w:t xml:space="preserve">We also emphasize that carriers may not </w:t>
      </w:r>
      <w:r w:rsidRPr="00A128DC" w:rsidR="00F42CF1">
        <w:rPr>
          <w:szCs w:val="22"/>
        </w:rPr>
        <w:t>markup</w:t>
      </w:r>
      <w:r w:rsidRPr="00A128DC">
        <w:rPr>
          <w:szCs w:val="22"/>
        </w:rPr>
        <w:t xml:space="preserve"> federal universal service line-item amounts above the contribution factor.</w:t>
      </w:r>
      <w:r>
        <w:rPr>
          <w:szCs w:val="22"/>
          <w:vertAlign w:val="superscript"/>
        </w:rPr>
        <w:footnoteReference w:id="18"/>
      </w:r>
      <w:r w:rsidRPr="00A128DC">
        <w:rPr>
          <w:szCs w:val="22"/>
        </w:rPr>
        <w:t xml:space="preserve">  Thus, carriers may not, during the </w:t>
      </w:r>
      <w:r w:rsidR="00A07EEF">
        <w:rPr>
          <w:szCs w:val="22"/>
        </w:rPr>
        <w:t>fourth</w:t>
      </w:r>
      <w:r w:rsidR="00C7385E">
        <w:rPr>
          <w:szCs w:val="22"/>
        </w:rPr>
        <w:t xml:space="preserve"> </w:t>
      </w:r>
      <w:r w:rsidRPr="00BF573D">
        <w:rPr>
          <w:szCs w:val="22"/>
        </w:rPr>
        <w:t xml:space="preserve">quarter of </w:t>
      </w:r>
      <w:r w:rsidRPr="00BF573D" w:rsidR="00381AA1">
        <w:rPr>
          <w:szCs w:val="22"/>
        </w:rPr>
        <w:t>20</w:t>
      </w:r>
      <w:r w:rsidR="00677A20">
        <w:rPr>
          <w:szCs w:val="22"/>
        </w:rPr>
        <w:t>2</w:t>
      </w:r>
      <w:r w:rsidR="00FD7DF2">
        <w:rPr>
          <w:szCs w:val="22"/>
        </w:rPr>
        <w:t>3</w:t>
      </w:r>
      <w:r w:rsidRPr="00A128DC">
        <w:rPr>
          <w:szCs w:val="22"/>
        </w:rPr>
        <w:t xml:space="preserve">, recover through a federal universal service line item an amount that </w:t>
      </w:r>
      <w:r w:rsidRPr="00BF573D">
        <w:rPr>
          <w:szCs w:val="22"/>
        </w:rPr>
        <w:t xml:space="preserve">exceeds </w:t>
      </w:r>
      <w:r w:rsidR="00F42CF1">
        <w:rPr>
          <w:szCs w:val="22"/>
        </w:rPr>
        <w:t>34.5</w:t>
      </w:r>
      <w:r w:rsidRPr="00A50439">
        <w:rPr>
          <w:b/>
          <w:szCs w:val="22"/>
        </w:rPr>
        <w:t xml:space="preserve"> </w:t>
      </w:r>
      <w:r w:rsidRPr="00A50439">
        <w:rPr>
          <w:szCs w:val="22"/>
        </w:rPr>
        <w:t>percent</w:t>
      </w:r>
      <w:r w:rsidRPr="00A128DC">
        <w:rPr>
          <w:szCs w:val="22"/>
        </w:rPr>
        <w:t xml:space="preserve"> of the interstate</w:t>
      </w:r>
      <w:r w:rsidR="00D929A7">
        <w:rPr>
          <w:szCs w:val="22"/>
        </w:rPr>
        <w:t xml:space="preserve"> </w:t>
      </w:r>
      <w:r w:rsidRPr="00A128DC">
        <w:rPr>
          <w:szCs w:val="22"/>
        </w:rPr>
        <w:t>telecommunications charges on a customer’s bill.</w:t>
      </w:r>
    </w:p>
    <w:p w:rsidR="00C93EBE" w:rsidP="00823722" w14:paraId="58BD6D56" w14:textId="77777777">
      <w:pPr>
        <w:tabs>
          <w:tab w:val="left" w:pos="0"/>
        </w:tabs>
        <w:spacing w:line="226" w:lineRule="auto"/>
        <w:rPr>
          <w:szCs w:val="22"/>
        </w:rPr>
      </w:pPr>
    </w:p>
    <w:p w:rsidR="00C93EBE" w:rsidRPr="00A128DC" w:rsidP="00C93EBE" w14:paraId="76185208" w14:textId="77777777">
      <w:pPr>
        <w:ind w:firstLine="720"/>
        <w:rPr>
          <w:szCs w:val="22"/>
        </w:rPr>
      </w:pPr>
      <w:r>
        <w:rPr>
          <w:szCs w:val="22"/>
        </w:rPr>
        <w:t xml:space="preserve">In addition, under the limited international revenues exception (LIRE) in </w:t>
      </w:r>
      <w:r>
        <w:rPr>
          <w:szCs w:val="22"/>
        </w:rPr>
        <w:t>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9"/>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20"/>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21"/>
      </w:r>
    </w:p>
    <w:p w:rsidR="00C93EBE" w:rsidRPr="00A128DC" w:rsidP="00823722" w14:paraId="1E0FFC49" w14:textId="77777777">
      <w:pPr>
        <w:tabs>
          <w:tab w:val="left" w:pos="0"/>
        </w:tabs>
        <w:spacing w:line="226" w:lineRule="auto"/>
        <w:rPr>
          <w:szCs w:val="22"/>
        </w:rPr>
      </w:pPr>
    </w:p>
    <w:p w:rsidR="00C80814" w:rsidRPr="00A128DC" w:rsidP="00823722" w14:paraId="664E4E44" w14:textId="77777777">
      <w:pPr>
        <w:tabs>
          <w:tab w:val="left" w:pos="0"/>
        </w:tabs>
        <w:spacing w:line="226" w:lineRule="auto"/>
        <w:rPr>
          <w:szCs w:val="22"/>
        </w:rPr>
      </w:pPr>
      <w:r w:rsidRPr="00A128DC">
        <w:rPr>
          <w:szCs w:val="22"/>
        </w:rPr>
        <w:tab/>
        <w:t xml:space="preserve">For further information, contact </w:t>
      </w:r>
      <w:r w:rsidR="00C7385E">
        <w:rPr>
          <w:szCs w:val="22"/>
        </w:rPr>
        <w:t xml:space="preserve">Thomas Buckley </w:t>
      </w:r>
      <w:r w:rsidR="00C017DB">
        <w:rPr>
          <w:szCs w:val="22"/>
        </w:rPr>
        <w:t>at (202) 418</w:t>
      </w:r>
      <w:r w:rsidR="0013281C">
        <w:rPr>
          <w:szCs w:val="22"/>
        </w:rPr>
        <w:t xml:space="preserve">-0725 or </w:t>
      </w:r>
      <w:r w:rsidR="00444AC2">
        <w:rPr>
          <w:szCs w:val="22"/>
        </w:rPr>
        <w:t>Kim Yee</w:t>
      </w:r>
      <w:r w:rsidRPr="00A128DC">
        <w:rPr>
          <w:szCs w:val="22"/>
        </w:rPr>
        <w:t xml:space="preserve"> </w:t>
      </w:r>
      <w:r w:rsidR="0013281C">
        <w:rPr>
          <w:szCs w:val="22"/>
        </w:rPr>
        <w:t xml:space="preserve">at (202) 418-0805, </w:t>
      </w:r>
      <w:r w:rsidRPr="00A128DC" w:rsidR="0013281C">
        <w:rPr>
          <w:szCs w:val="22"/>
        </w:rPr>
        <w:t>TTY (</w:t>
      </w:r>
      <w:r w:rsidR="0013281C">
        <w:rPr>
          <w:szCs w:val="22"/>
        </w:rPr>
        <w:t>888</w:t>
      </w:r>
      <w:r w:rsidRPr="00A128DC" w:rsidR="0013281C">
        <w:rPr>
          <w:szCs w:val="22"/>
        </w:rPr>
        <w:t xml:space="preserve">) </w:t>
      </w:r>
      <w:r w:rsidR="0013281C">
        <w:rPr>
          <w:szCs w:val="22"/>
        </w:rPr>
        <w:t>835-5322, in the</w:t>
      </w:r>
      <w:r w:rsidR="00DD255A">
        <w:rPr>
          <w:szCs w:val="22"/>
        </w:rPr>
        <w:t xml:space="preserve"> Office of Managing Director</w:t>
      </w:r>
      <w:r w:rsidR="0013281C">
        <w:rPr>
          <w:szCs w:val="22"/>
        </w:rPr>
        <w:t>.</w:t>
      </w:r>
    </w:p>
    <w:sectPr w:rsidSect="00823722">
      <w:headerReference w:type="default" r:id="rId11"/>
      <w:type w:val="continuous"/>
      <w:pgSz w:w="12240" w:h="15840" w:code="1"/>
      <w:pgMar w:top="1440" w:right="1440" w:bottom="1152" w:left="144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6E21FF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14:paraId="295680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5D752C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5B4F77" w:rsidP="005B4F77" w14:paraId="733FA11E" w14:textId="77777777">
    <w:pPr>
      <w:pStyle w:val="Header"/>
      <w:jc w:val="center"/>
      <w:rPr>
        <w:b/>
        <w:i/>
      </w:rPr>
    </w:pPr>
  </w:p>
  <w:p w:rsidR="009266BA" w:rsidP="005B4F77" w14:paraId="6B14E58C" w14:textId="77777777">
    <w:pPr>
      <w:pStyle w:val="Header"/>
      <w:jc w:val="center"/>
      <w:rPr>
        <w:b/>
        <w:i/>
      </w:rPr>
    </w:pPr>
  </w:p>
  <w:p w:rsidR="009266BA" w:rsidP="005B4F77" w14:paraId="1BB70A32" w14:textId="77777777">
    <w:pPr>
      <w:pStyle w:val="Header"/>
      <w:jc w:val="center"/>
      <w:rPr>
        <w:b/>
        <w:i/>
      </w:rPr>
    </w:pPr>
  </w:p>
  <w:p w:rsidR="009266BA" w:rsidP="005B4F77" w14:paraId="580EEE03" w14:textId="77777777">
    <w:pPr>
      <w:pStyle w:val="Header"/>
      <w:jc w:val="center"/>
      <w:rPr>
        <w:b/>
        <w:i/>
      </w:rPr>
    </w:pPr>
  </w:p>
  <w:p w:rsidR="009266BA" w:rsidRPr="009266BA" w:rsidP="009266BA" w14:paraId="4FCDDEBA" w14:textId="77777777">
    <w:pPr>
      <w:pStyle w:val="Header"/>
      <w:jc w:val="right"/>
    </w:pPr>
  </w:p>
  <w:p w:rsidR="00B44511" w14:paraId="27E66628" w14:textId="77777777">
    <w:pPr>
      <w:pStyle w:val="Footer"/>
    </w:pPr>
  </w:p>
  <w:p w:rsidR="00A82D5B" w14:paraId="4CE9C52D" w14:textId="77777777">
    <w:pPr>
      <w:pStyle w:val="Footer"/>
    </w:pPr>
  </w:p>
  <w:p w:rsidR="00A82D5B" w:rsidP="00A82D5B" w14:paraId="3F3E357A"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350" w14:paraId="204A332D" w14:textId="77777777">
    <w:pPr>
      <w:pStyle w:val="Footer"/>
    </w:pPr>
  </w:p>
  <w:p w:rsidR="00AE0350" w:rsidP="00A75361" w14:paraId="599A0722" w14:textId="77777777">
    <w:pPr>
      <w:pStyle w:val="Footer"/>
      <w:jc w:val="center"/>
    </w:pP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200" w14:paraId="76F9BBD3" w14:textId="77777777">
      <w:r>
        <w:separator/>
      </w:r>
    </w:p>
  </w:footnote>
  <w:footnote w:type="continuationSeparator" w:id="1">
    <w:p w:rsidR="00766200" w14:paraId="665ECEB9" w14:textId="77777777">
      <w:r>
        <w:continuationSeparator/>
      </w:r>
    </w:p>
  </w:footnote>
  <w:footnote w:type="continuationNotice" w:id="2">
    <w:p w:rsidR="00766200" w14:paraId="11264BE3" w14:textId="77777777"/>
  </w:footnote>
  <w:footnote w:id="3">
    <w:p w:rsidR="00B44511" w:rsidRPr="00207C5F" w:rsidP="00C80814" w14:paraId="6C8F97E5" w14:textId="77777777">
      <w:pPr>
        <w:pStyle w:val="FootnoteText"/>
        <w:rPr>
          <w:sz w:val="20"/>
        </w:rPr>
      </w:pPr>
      <w:r w:rsidRPr="00207C5F">
        <w:rPr>
          <w:rStyle w:val="FootnoteReference"/>
          <w:sz w:val="20"/>
        </w:rPr>
        <w:footnoteRef/>
      </w:r>
      <w:r w:rsidRPr="00207C5F">
        <w:rPr>
          <w:sz w:val="20"/>
        </w:rPr>
        <w:t xml:space="preserve"> </w:t>
      </w:r>
      <w:bookmarkStart w:id="1" w:name="_Hlk137117025"/>
      <w:r w:rsidRPr="00207C5F">
        <w:rPr>
          <w:i/>
          <w:sz w:val="20"/>
        </w:rPr>
        <w:t xml:space="preserve">See </w:t>
      </w:r>
      <w:r w:rsidRPr="00207C5F">
        <w:rPr>
          <w:sz w:val="20"/>
        </w:rPr>
        <w:t xml:space="preserve">47 </w:t>
      </w:r>
      <w:r w:rsidRPr="00207C5F">
        <w:rPr>
          <w:sz w:val="20"/>
        </w:rPr>
        <w:t>C.F.R. § 54.709(a).</w:t>
      </w:r>
      <w:bookmarkEnd w:id="1"/>
    </w:p>
  </w:footnote>
  <w:footnote w:id="4">
    <w:p w:rsidR="00B44511" w:rsidRPr="00207C5F" w:rsidP="00C80814" w14:paraId="5BC32666" w14:textId="77777777">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5">
    <w:p w:rsidR="00B44511" w:rsidRPr="00207C5F" w:rsidP="00C80814" w14:paraId="68A4FAC8"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6">
    <w:p w:rsidR="00B44511" w:rsidRPr="00207C5F" w:rsidP="00C80814" w14:paraId="1C35C1CB" w14:textId="77777777">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7">
    <w:p w:rsidR="00B44511" w:rsidRPr="00207C5F" w:rsidP="00FE744A" w14:paraId="55585B3E" w14:textId="72B492EC">
      <w:pPr>
        <w:pStyle w:val="FootnoteText"/>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E0296C">
        <w:rPr>
          <w:sz w:val="20"/>
        </w:rPr>
        <w:t>Fourth</w:t>
      </w:r>
      <w:r w:rsidR="0092777F">
        <w:rPr>
          <w:sz w:val="20"/>
        </w:rPr>
        <w:t xml:space="preserve"> </w:t>
      </w:r>
      <w:r w:rsidR="005D4670">
        <w:rPr>
          <w:sz w:val="20"/>
        </w:rPr>
        <w:t>Quarter</w:t>
      </w:r>
      <w:r w:rsidRPr="00BF573D">
        <w:rPr>
          <w:sz w:val="20"/>
        </w:rPr>
        <w:t xml:space="preserve"> 20</w:t>
      </w:r>
      <w:r w:rsidR="00016E44">
        <w:rPr>
          <w:sz w:val="20"/>
        </w:rPr>
        <w:t>2</w:t>
      </w:r>
      <w:r w:rsidR="005A0EF4">
        <w:rPr>
          <w:sz w:val="20"/>
        </w:rPr>
        <w:t>3</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E0296C">
        <w:rPr>
          <w:sz w:val="20"/>
        </w:rPr>
        <w:t>August</w:t>
      </w:r>
      <w:r w:rsidR="001977F8">
        <w:rPr>
          <w:sz w:val="20"/>
        </w:rPr>
        <w:t xml:space="preserve"> </w:t>
      </w:r>
      <w:r w:rsidR="00394DC5">
        <w:rPr>
          <w:sz w:val="20"/>
        </w:rPr>
        <w:t>2</w:t>
      </w:r>
      <w:r w:rsidR="00274923">
        <w:rPr>
          <w:sz w:val="20"/>
        </w:rPr>
        <w:t>, 20</w:t>
      </w:r>
      <w:r w:rsidR="000D4E23">
        <w:rPr>
          <w:sz w:val="20"/>
        </w:rPr>
        <w:t>2</w:t>
      </w:r>
      <w:r w:rsidR="001977F8">
        <w:rPr>
          <w:sz w:val="20"/>
        </w:rPr>
        <w:t>3</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E0296C">
        <w:rPr>
          <w:i/>
          <w:sz w:val="20"/>
        </w:rPr>
        <w:t>Fourth</w:t>
      </w:r>
      <w:r w:rsidR="00016E44">
        <w:rPr>
          <w:i/>
          <w:sz w:val="20"/>
        </w:rPr>
        <w:t xml:space="preserve"> </w:t>
      </w:r>
      <w:r w:rsidRPr="00BF573D">
        <w:rPr>
          <w:i/>
          <w:sz w:val="20"/>
        </w:rPr>
        <w:t>Quarter 20</w:t>
      </w:r>
      <w:r w:rsidR="00016E44">
        <w:rPr>
          <w:i/>
          <w:sz w:val="20"/>
        </w:rPr>
        <w:t>2</w:t>
      </w:r>
      <w:r w:rsidR="005A0EF4">
        <w:rPr>
          <w:i/>
          <w:sz w:val="20"/>
        </w:rPr>
        <w:t>3</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w:t>
      </w:r>
      <w:r w:rsidR="00E0296C">
        <w:rPr>
          <w:sz w:val="20"/>
        </w:rPr>
        <w:t>Fourth</w:t>
      </w:r>
      <w:r w:rsidR="00660355">
        <w:rPr>
          <w:sz w:val="20"/>
        </w:rPr>
        <w:t xml:space="preserve"> </w:t>
      </w:r>
      <w:r w:rsidRPr="00BF573D">
        <w:rPr>
          <w:sz w:val="20"/>
        </w:rPr>
        <w:t>Quarter 20</w:t>
      </w:r>
      <w:r w:rsidR="00016E44">
        <w:rPr>
          <w:sz w:val="20"/>
        </w:rPr>
        <w:t>2</w:t>
      </w:r>
      <w:r w:rsidR="005A0EF4">
        <w:rPr>
          <w:sz w:val="20"/>
        </w:rPr>
        <w:t>3</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w:t>
      </w:r>
      <w:r w:rsidR="001977F8">
        <w:rPr>
          <w:sz w:val="20"/>
        </w:rPr>
        <w:t xml:space="preserve">iled </w:t>
      </w:r>
      <w:r w:rsidR="00E0296C">
        <w:rPr>
          <w:sz w:val="20"/>
        </w:rPr>
        <w:t>September</w:t>
      </w:r>
      <w:r w:rsidR="009C516D">
        <w:rPr>
          <w:sz w:val="20"/>
        </w:rPr>
        <w:t xml:space="preserve"> </w:t>
      </w:r>
      <w:r w:rsidR="001977F8">
        <w:rPr>
          <w:sz w:val="20"/>
        </w:rPr>
        <w:t>1</w:t>
      </w:r>
      <w:r w:rsidRPr="009C516D" w:rsidR="00F735BB">
        <w:rPr>
          <w:sz w:val="20"/>
        </w:rPr>
        <w:t>,</w:t>
      </w:r>
      <w:r w:rsidRPr="009C516D" w:rsidR="00B87981">
        <w:rPr>
          <w:sz w:val="20"/>
        </w:rPr>
        <w:t xml:space="preserve"> 20</w:t>
      </w:r>
      <w:r w:rsidRPr="009C516D" w:rsidR="000D4E23">
        <w:rPr>
          <w:sz w:val="20"/>
        </w:rPr>
        <w:t>2</w:t>
      </w:r>
      <w:r w:rsidR="001977F8">
        <w:rPr>
          <w:sz w:val="20"/>
        </w:rPr>
        <w:t>3</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E0296C">
        <w:rPr>
          <w:i/>
          <w:sz w:val="20"/>
        </w:rPr>
        <w:t>Fourth</w:t>
      </w:r>
      <w:r w:rsidRPr="00BF573D">
        <w:rPr>
          <w:i/>
          <w:sz w:val="20"/>
        </w:rPr>
        <w:t xml:space="preserve"> Quarter 20</w:t>
      </w:r>
      <w:r w:rsidR="00016E44">
        <w:rPr>
          <w:i/>
          <w:sz w:val="20"/>
        </w:rPr>
        <w:t>2</w:t>
      </w:r>
      <w:r w:rsidR="005A0EF4">
        <w:rPr>
          <w:i/>
          <w:sz w:val="20"/>
        </w:rPr>
        <w:t>3</w:t>
      </w:r>
      <w:r w:rsidR="000D127F">
        <w:rPr>
          <w:i/>
          <w:sz w:val="20"/>
        </w:rPr>
        <w:t xml:space="preserve"> C</w:t>
      </w:r>
      <w:r w:rsidRPr="00207C5F">
        <w:rPr>
          <w:i/>
          <w:sz w:val="20"/>
        </w:rPr>
        <w:t>ontribution Base</w:t>
      </w:r>
      <w:r w:rsidRPr="00207C5F">
        <w:rPr>
          <w:sz w:val="20"/>
        </w:rPr>
        <w:t xml:space="preserve">). </w:t>
      </w:r>
    </w:p>
  </w:footnote>
  <w:footnote w:id="8">
    <w:p w:rsidR="00013502" w:rsidP="52567491" w14:paraId="4C8C13BE" w14:textId="7B95E0B3">
      <w:pPr>
        <w:pStyle w:val="FootnoteText"/>
        <w:rPr>
          <w:sz w:val="20"/>
        </w:rPr>
      </w:pPr>
      <w:r>
        <w:rPr>
          <w:rStyle w:val="FootnoteReference"/>
        </w:rPr>
        <w:footnoteRef/>
      </w:r>
      <w:r w:rsidRPr="52567491" w:rsidR="52567491">
        <w:rPr>
          <w:sz w:val="20"/>
        </w:rPr>
        <w:t xml:space="preserve"> </w:t>
      </w:r>
      <w:r w:rsidRPr="00D036C2" w:rsidR="52567491">
        <w:rPr>
          <w:i/>
          <w:iCs/>
          <w:sz w:val="20"/>
        </w:rPr>
        <w:t xml:space="preserve">See </w:t>
      </w:r>
      <w:r w:rsidRPr="52567491" w:rsidR="52567491">
        <w:rPr>
          <w:sz w:val="20"/>
        </w:rPr>
        <w:t>47 C.F.R. § 54.619(a)(5).</w:t>
      </w:r>
    </w:p>
  </w:footnote>
  <w:footnote w:id="9">
    <w:p w:rsidR="001C3F8A" w14:paraId="5DF8295C" w14:textId="3D66091F">
      <w:pPr>
        <w:pStyle w:val="FootnoteText"/>
      </w:pPr>
      <w:r>
        <w:rPr>
          <w:rStyle w:val="FootnoteReference"/>
        </w:rPr>
        <w:footnoteRef/>
      </w:r>
      <w:r>
        <w:t xml:space="preserve"> </w:t>
      </w:r>
      <w:r w:rsidRPr="008A1CB7">
        <w:rPr>
          <w:i/>
          <w:iCs/>
          <w:sz w:val="20"/>
        </w:rPr>
        <w:t>See</w:t>
      </w:r>
      <w:r>
        <w:rPr>
          <w:i/>
          <w:iCs/>
          <w:sz w:val="20"/>
        </w:rPr>
        <w:t xml:space="preserve"> Public Notice </w:t>
      </w:r>
      <w:r>
        <w:rPr>
          <w:sz w:val="20"/>
        </w:rPr>
        <w:t>(DA 23-440) released May 24, 2023, Wireline Competition Bureau Announces the Availability of Unused Funds to Fully Satisfy Demand for Rural Health Care Program Funding for Funding Year 2023.</w:t>
      </w:r>
    </w:p>
  </w:footnote>
  <w:footnote w:id="10">
    <w:p w:rsidR="001C3F8A" w:rsidRPr="001274F4" w:rsidP="00376A55" w14:paraId="0154B300" w14:textId="34CEC485">
      <w:pPr>
        <w:pStyle w:val="FootnoteText"/>
        <w:rPr>
          <w:color w:val="FF0000"/>
        </w:rPr>
      </w:pPr>
      <w:r w:rsidRPr="00756458">
        <w:rPr>
          <w:rStyle w:val="FootnoteReference"/>
          <w:i/>
          <w:iCs/>
          <w:sz w:val="20"/>
        </w:rPr>
        <w:footnoteRef/>
      </w:r>
      <w:r w:rsidRPr="00756458">
        <w:rPr>
          <w:sz w:val="20"/>
        </w:rPr>
        <w:t xml:space="preserve"> </w:t>
      </w:r>
      <w:r w:rsidRPr="00756458">
        <w:rPr>
          <w:i/>
          <w:sz w:val="20"/>
        </w:rPr>
        <w:t>See</w:t>
      </w:r>
      <w:r w:rsidRPr="00756458">
        <w:rPr>
          <w:sz w:val="20"/>
        </w:rPr>
        <w:t xml:space="preserve"> Federal Universal Service Support Mechanisms Fund Size Projections for the </w:t>
      </w:r>
      <w:r w:rsidR="001B0B85">
        <w:rPr>
          <w:sz w:val="20"/>
        </w:rPr>
        <w:t>Fourth</w:t>
      </w:r>
      <w:r w:rsidRPr="00756458">
        <w:rPr>
          <w:sz w:val="20"/>
        </w:rPr>
        <w:t xml:space="preserve"> Quarter 202</w:t>
      </w:r>
      <w:r>
        <w:rPr>
          <w:sz w:val="20"/>
        </w:rPr>
        <w:t>3</w:t>
      </w:r>
      <w:r w:rsidRPr="00756458">
        <w:rPr>
          <w:sz w:val="20"/>
        </w:rPr>
        <w:t xml:space="preserve">, available at &lt;http://www.usac.org/fcc-filings&gt; (filed </w:t>
      </w:r>
      <w:r w:rsidR="001B0B85">
        <w:rPr>
          <w:sz w:val="20"/>
        </w:rPr>
        <w:t>August</w:t>
      </w:r>
      <w:r w:rsidRPr="00756458">
        <w:rPr>
          <w:sz w:val="20"/>
        </w:rPr>
        <w:t xml:space="preserve"> 2, 202</w:t>
      </w:r>
      <w:r>
        <w:rPr>
          <w:sz w:val="20"/>
        </w:rPr>
        <w:t>3</w:t>
      </w:r>
      <w:r w:rsidRPr="00756458">
        <w:rPr>
          <w:sz w:val="20"/>
        </w:rPr>
        <w:t>) (</w:t>
      </w:r>
      <w:r w:rsidRPr="00756458">
        <w:rPr>
          <w:i/>
          <w:sz w:val="20"/>
        </w:rPr>
        <w:t xml:space="preserve">USAC Filing for </w:t>
      </w:r>
      <w:r w:rsidR="001B0B85">
        <w:rPr>
          <w:i/>
          <w:sz w:val="20"/>
        </w:rPr>
        <w:t>the Fourth</w:t>
      </w:r>
      <w:r w:rsidRPr="00756458">
        <w:rPr>
          <w:i/>
          <w:sz w:val="20"/>
        </w:rPr>
        <w:t xml:space="preserve"> Quarter 202</w:t>
      </w:r>
      <w:r>
        <w:rPr>
          <w:i/>
          <w:sz w:val="20"/>
        </w:rPr>
        <w:t>3</w:t>
      </w:r>
      <w:r w:rsidRPr="00756458">
        <w:rPr>
          <w:i/>
          <w:sz w:val="20"/>
        </w:rPr>
        <w:t xml:space="preserve"> Projections)</w:t>
      </w:r>
      <w:r w:rsidRPr="00274791">
        <w:rPr>
          <w:sz w:val="20"/>
        </w:rPr>
        <w:t>.</w:t>
      </w:r>
    </w:p>
  </w:footnote>
  <w:footnote w:id="11">
    <w:p w:rsidR="00B44511" w:rsidRPr="00B55B23" w:rsidP="00E558B8" w14:paraId="359C66C0" w14:textId="491E91DE">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1B0B85">
        <w:rPr>
          <w:i/>
          <w:sz w:val="20"/>
        </w:rPr>
        <w:t>Fourth</w:t>
      </w:r>
      <w:r w:rsidR="00C815B4">
        <w:rPr>
          <w:i/>
          <w:sz w:val="20"/>
        </w:rPr>
        <w:t xml:space="preserve"> </w:t>
      </w:r>
      <w:r w:rsidR="009A0125">
        <w:rPr>
          <w:i/>
          <w:sz w:val="20"/>
        </w:rPr>
        <w:t>Quarter</w:t>
      </w:r>
      <w:r w:rsidRPr="00BF573D">
        <w:rPr>
          <w:i/>
          <w:sz w:val="20"/>
        </w:rPr>
        <w:t xml:space="preserve"> 20</w:t>
      </w:r>
      <w:r w:rsidR="002D2DD3">
        <w:rPr>
          <w:i/>
          <w:sz w:val="20"/>
        </w:rPr>
        <w:t>2</w:t>
      </w:r>
      <w:r w:rsidR="00545135">
        <w:rPr>
          <w:i/>
          <w:sz w:val="20"/>
        </w:rPr>
        <w:t>3</w:t>
      </w:r>
      <w:r w:rsidRPr="00207C5F">
        <w:rPr>
          <w:i/>
          <w:sz w:val="20"/>
        </w:rPr>
        <w:t xml:space="preserve"> Contribution Base</w:t>
      </w:r>
      <w:r w:rsidRPr="00EF1E44" w:rsidR="00CD6E19">
        <w:rPr>
          <w:i/>
          <w:sz w:val="20"/>
        </w:rPr>
        <w:t xml:space="preserve"> </w:t>
      </w:r>
      <w:r w:rsidRPr="00D00031" w:rsidR="002666FF">
        <w:rPr>
          <w:sz w:val="20"/>
        </w:rPr>
        <w:t xml:space="preserve">at </w:t>
      </w:r>
      <w:r w:rsidRPr="00780343" w:rsidR="00C85C0C">
        <w:rPr>
          <w:color w:val="000000"/>
          <w:sz w:val="20"/>
        </w:rPr>
        <w:t>4</w:t>
      </w:r>
      <w:r w:rsidRPr="00C85C0C" w:rsidR="00C85C0C">
        <w:rPr>
          <w:sz w:val="20"/>
        </w:rPr>
        <w:t>.</w:t>
      </w:r>
    </w:p>
  </w:footnote>
  <w:footnote w:id="12">
    <w:p w:rsidR="00B44511" w:rsidRPr="00207C5F" w:rsidP="00C80814" w14:paraId="4C1E98C2"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w:t>
      </w:r>
      <w:r w:rsidRPr="00207C5F">
        <w:rPr>
          <w:i/>
          <w:sz w:val="20"/>
        </w:rPr>
        <w:t xml:space="preserve"> Plan Cost Recovery Contribution Factor and Fund Size, Number Resource Optimization, Telephone Number Portability</w:t>
      </w:r>
      <w:r w:rsidRPr="00207C5F">
        <w:rPr>
          <w:rStyle w:val="Normal1"/>
          <w:i/>
          <w:sz w:val="20"/>
        </w:rPr>
        <w:t>, Truth-in-Billing and Billing Format</w:t>
      </w:r>
      <w:r w:rsidRPr="00207C5F">
        <w:rPr>
          <w:rStyle w:val="Normal1"/>
          <w:sz w:val="20"/>
        </w:rPr>
        <w:t xml:space="preserve">, CC Docket Nos. 96-45, 98-171, 90-571, 92-237, 99-200, 95-116, 98-170, Order and </w:t>
      </w:r>
      <w:r w:rsidR="005B4F77">
        <w:rPr>
          <w:rStyle w:val="Normal1"/>
          <w:sz w:val="20"/>
        </w:rPr>
        <w:t>Second</w:t>
      </w:r>
      <w:r w:rsidRPr="00207C5F">
        <w:rPr>
          <w:rStyle w:val="Normal1"/>
          <w:sz w:val="20"/>
        </w:rPr>
        <w:t xml:space="preserve"> Order on Reconsideration, 18 FCC Rcd 4818, 4826, para. 22 (2003) (</w:t>
      </w:r>
      <w:r w:rsidRPr="00207C5F">
        <w:rPr>
          <w:rStyle w:val="Normal1"/>
          <w:i/>
          <w:sz w:val="20"/>
        </w:rPr>
        <w:t>Second Order on Reconsideration)</w:t>
      </w:r>
      <w:r w:rsidRPr="00207C5F">
        <w:rPr>
          <w:rStyle w:val="Normal1"/>
          <w:sz w:val="20"/>
        </w:rPr>
        <w:t xml:space="preserve">.  </w:t>
      </w:r>
    </w:p>
  </w:footnote>
  <w:footnote w:id="13">
    <w:p w:rsidR="00B44511" w:rsidRPr="00207C5F" w:rsidP="00C80814" w14:paraId="4CD72F7B" w14:textId="77777777">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4">
    <w:p w:rsidR="00B44511" w:rsidRPr="00207C5F" w:rsidP="00C80814" w14:paraId="764555D3" w14:textId="77777777">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5">
    <w:p w:rsidR="00B44511" w:rsidRPr="00207C5F" w:rsidP="00C80814" w14:paraId="5CFA7F2E" w14:textId="77777777">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6">
    <w:p w:rsidR="00B44511" w:rsidRPr="00207C5F" w:rsidP="00C80814" w14:paraId="10EDE78C" w14:textId="77777777">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w:t>
      </w:r>
      <w:r w:rsidR="009C516D">
        <w:rPr>
          <w:sz w:val="20"/>
        </w:rPr>
        <w:t xml:space="preserve"> </w:t>
      </w:r>
      <w:r w:rsidRPr="00207C5F">
        <w:rPr>
          <w:sz w:val="20"/>
        </w:rPr>
        <w:t>(</w:t>
      </w:r>
      <w:r w:rsidR="00702A8B">
        <w:rPr>
          <w:sz w:val="20"/>
        </w:rPr>
        <w:t>1-Circulatory F</w:t>
      </w:r>
      <w:r w:rsidRPr="00207C5F">
        <w:rPr>
          <w:sz w:val="20"/>
        </w:rPr>
        <w:t>actor</w:t>
      </w:r>
      <w:r w:rsidR="00702A8B">
        <w:rPr>
          <w:sz w:val="20"/>
        </w:rPr>
        <w:t>)</w:t>
      </w:r>
      <w:r w:rsidR="009C516D">
        <w:rPr>
          <w:sz w:val="20"/>
        </w:rPr>
        <w:t xml:space="preserve"> </w:t>
      </w:r>
      <w:r w:rsidRPr="00207C5F">
        <w:rPr>
          <w:sz w:val="20"/>
        </w:rPr>
        <w:t>*</w:t>
      </w:r>
      <w:r w:rsidR="009C516D">
        <w:rPr>
          <w:sz w:val="20"/>
        </w:rPr>
        <w:t xml:space="preserve"> </w:t>
      </w:r>
      <w:r w:rsidR="00702A8B">
        <w:rPr>
          <w:sz w:val="20"/>
        </w:rPr>
        <w:t>(Contribution Factor*Revenue)</w:t>
      </w:r>
    </w:p>
  </w:footnote>
  <w:footnote w:id="17">
    <w:p w:rsidR="00B44511" w:rsidRPr="00207C5F" w:rsidP="00C80814" w14:paraId="11D8A58D" w14:textId="77777777">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8">
    <w:p w:rsidR="00B44511" w:rsidRPr="00207C5F" w:rsidP="00C80814" w14:paraId="3F53D4D6"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9">
    <w:p w:rsidR="00C93EBE" w:rsidRPr="005C14D5" w:rsidP="00C93EBE" w14:paraId="0E18DB94" w14:textId="77777777">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20">
    <w:p w:rsidR="00C93EBE" w:rsidRPr="005C14D5" w:rsidP="00C93EBE" w14:paraId="6AAC7B54" w14:textId="77777777">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Sixteenth Order on Reconsideration, CC Docket No. 96-45, Eighth Report and Order, CC Docket No. 96-45, Sixth Report and Order, Docket No. 96-262, 15 FCC Rcd 1679, 1687-1692, paras. 17-29 (1999) (</w:t>
      </w:r>
      <w:r w:rsidRPr="005C14D5">
        <w:rPr>
          <w:i/>
          <w:sz w:val="20"/>
        </w:rPr>
        <w:t>Fifth Circuit Remand Order</w:t>
      </w:r>
      <w:r w:rsidRPr="005C14D5">
        <w:rPr>
          <w:sz w:val="20"/>
        </w:rPr>
        <w:t>).</w:t>
      </w:r>
    </w:p>
  </w:footnote>
  <w:footnote w:id="21">
    <w:p w:rsidR="00C93EBE" w:rsidRPr="005C14D5" w:rsidP="00C93EBE" w14:paraId="7604390D" w14:textId="77777777">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w:t>
      </w:r>
      <w:r w:rsidRPr="005C14D5" w:rsidR="00B06D6F">
        <w:rPr>
          <w:sz w:val="20"/>
        </w:rPr>
        <w:t>consider</w:t>
      </w:r>
      <w:r w:rsidRPr="005C14D5">
        <w:rPr>
          <w:sz w:val="20"/>
        </w:rPr>
        <w:t xml:space="preserve"> considerations of hardship, equity, or more effective implementation of overall policy on an individual basis. </w:t>
      </w:r>
      <w:r w:rsidRPr="005C14D5">
        <w:rPr>
          <w:i/>
          <w:sz w:val="20"/>
        </w:rPr>
        <w:t xml:space="preserve"> WAIT Radio v. FCC</w:t>
      </w:r>
      <w:r w:rsidRPr="005C14D5">
        <w:rPr>
          <w:sz w:val="20"/>
        </w:rPr>
        <w:t xml:space="preserve">, </w:t>
      </w:r>
      <w:r w:rsidRPr="005C14D5">
        <w:rPr>
          <w:sz w:val="20"/>
        </w:rPr>
        <w:t xml:space="preserve">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6C2" w14:paraId="3CE64B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600"/>
      <w:gridCol w:w="3600"/>
      <w:gridCol w:w="3600"/>
    </w:tblGrid>
    <w:tr w14:paraId="1414403A" w14:textId="77777777" w:rsidTr="00D036C2">
      <w:tblPrEx>
        <w:tblW w:w="0" w:type="auto"/>
        <w:tblLayout w:type="fixed"/>
        <w:tblLook w:val="06A0"/>
      </w:tblPrEx>
      <w:trPr>
        <w:trHeight w:val="300"/>
      </w:trPr>
      <w:tc>
        <w:tcPr>
          <w:tcW w:w="3600" w:type="dxa"/>
        </w:tcPr>
        <w:p w:rsidR="2C7B7E79" w:rsidP="00D036C2" w14:paraId="37D1CE33" w14:textId="05CE220A">
          <w:pPr>
            <w:pStyle w:val="Header"/>
            <w:ind w:left="-115"/>
          </w:pPr>
        </w:p>
      </w:tc>
      <w:tc>
        <w:tcPr>
          <w:tcW w:w="3600" w:type="dxa"/>
        </w:tcPr>
        <w:p w:rsidR="2C7B7E79" w:rsidP="00D036C2" w14:paraId="1E6E0FA7" w14:textId="65F5C79F">
          <w:pPr>
            <w:pStyle w:val="Header"/>
            <w:jc w:val="center"/>
          </w:pPr>
        </w:p>
      </w:tc>
      <w:tc>
        <w:tcPr>
          <w:tcW w:w="3600" w:type="dxa"/>
        </w:tcPr>
        <w:p w:rsidR="2C7B7E79" w:rsidP="00D036C2" w14:paraId="677E6571" w14:textId="72051519">
          <w:pPr>
            <w:pStyle w:val="Header"/>
            <w:ind w:right="-115"/>
            <w:jc w:val="right"/>
          </w:pPr>
        </w:p>
      </w:tc>
    </w:tr>
  </w:tbl>
  <w:p w:rsidR="2C7B7E79" w:rsidP="00D036C2" w14:paraId="3E8721E4" w14:textId="12487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14:paraId="31F729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B44511" w14:paraId="76743AE4" w14:textId="77777777">
                <w:pPr>
                  <w:rPr>
                    <w:rFonts w:ascii="Arial" w:hAnsi="Arial"/>
                    <w:b/>
                  </w:rPr>
                </w:pPr>
                <w:r>
                  <w:rPr>
                    <w:rFonts w:ascii="Arial" w:hAnsi="Arial"/>
                    <w:b/>
                  </w:rPr>
                  <w:t>Federal Communications Commission</w:t>
                </w:r>
              </w:p>
              <w:p w:rsidR="00B44511" w14:paraId="640445CC" w14:textId="77777777">
                <w:pPr>
                  <w:rPr>
                    <w:rFonts w:ascii="Arial" w:hAnsi="Arial"/>
                    <w:b/>
                  </w:rPr>
                </w:pPr>
                <w:r>
                  <w:rPr>
                    <w:rFonts w:ascii="Arial" w:hAnsi="Arial"/>
                    <w:b/>
                  </w:rPr>
                  <w:t xml:space="preserve">45 </w:t>
                </w:r>
                <w:r w:rsidR="00FF2107">
                  <w:rPr>
                    <w:rFonts w:ascii="Arial" w:hAnsi="Arial"/>
                    <w:b/>
                  </w:rPr>
                  <w:t>L</w:t>
                </w:r>
                <w:r>
                  <w:rPr>
                    <w:rFonts w:ascii="Arial" w:hAnsi="Arial"/>
                    <w:b/>
                  </w:rPr>
                  <w:t xml:space="preserve"> St., </w:t>
                </w:r>
                <w:r w:rsidR="00FF2107">
                  <w:rPr>
                    <w:rFonts w:ascii="Arial" w:hAnsi="Arial"/>
                    <w:b/>
                  </w:rPr>
                  <w:t>N.E.</w:t>
                </w:r>
              </w:p>
              <w:p w:rsidR="00B44511" w14:paraId="12F67E73"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B44511" w14:paraId="7204EAC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B44511" w14:paraId="4969547B" w14:textId="77777777">
                <w:pPr>
                  <w:spacing w:before="40"/>
                  <w:jc w:val="right"/>
                  <w:rPr>
                    <w:rFonts w:ascii="Arial" w:hAnsi="Arial"/>
                    <w:b/>
                    <w:sz w:val="16"/>
                  </w:rPr>
                </w:pPr>
                <w:r>
                  <w:rPr>
                    <w:rFonts w:ascii="Arial" w:hAnsi="Arial"/>
                    <w:b/>
                    <w:sz w:val="16"/>
                  </w:rPr>
                  <w:t>News Media Information 202 / 418-0500</w:t>
                </w:r>
              </w:p>
              <w:p w:rsidR="00B44511" w14:paraId="68DAC86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44511" w14:paraId="2C46E977" w14:textId="77777777">
                <w:pPr>
                  <w:jc w:val="right"/>
                  <w:rPr>
                    <w:rFonts w:ascii="Arial" w:hAnsi="Arial"/>
                    <w:b/>
                    <w:sz w:val="16"/>
                  </w:rPr>
                </w:pPr>
                <w:r>
                  <w:rPr>
                    <w:rFonts w:ascii="Arial" w:hAnsi="Arial"/>
                    <w:b/>
                    <w:sz w:val="16"/>
                  </w:rPr>
                  <w:t>TTY: 1-888-835-5322</w:t>
                </w:r>
              </w:p>
              <w:p w:rsidR="00B44511" w14:paraId="37775019" w14:textId="77777777">
                <w:pPr>
                  <w:jc w:val="right"/>
                </w:pP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5CC1DAC" w14:textId="77777777" w:rsidTr="5903194A">
      <w:tblPrEx>
        <w:tblW w:w="0" w:type="auto"/>
        <w:tblLayout w:type="fixed"/>
        <w:tblLook w:val="06A0"/>
      </w:tblPrEx>
      <w:trPr>
        <w:trHeight w:val="300"/>
      </w:trPr>
      <w:tc>
        <w:tcPr>
          <w:tcW w:w="3120" w:type="dxa"/>
        </w:tcPr>
        <w:p w:rsidR="2C7B7E79" w:rsidP="5903194A" w14:paraId="01BA6F44" w14:textId="7976F67D">
          <w:pPr>
            <w:pStyle w:val="Header"/>
            <w:ind w:left="-115"/>
          </w:pPr>
        </w:p>
      </w:tc>
      <w:tc>
        <w:tcPr>
          <w:tcW w:w="3120" w:type="dxa"/>
        </w:tcPr>
        <w:p w:rsidR="2C7B7E79" w:rsidP="00D036C2" w14:paraId="269AC659" w14:textId="14007813">
          <w:pPr>
            <w:pStyle w:val="Header"/>
            <w:jc w:val="center"/>
          </w:pPr>
        </w:p>
      </w:tc>
      <w:tc>
        <w:tcPr>
          <w:tcW w:w="3120" w:type="dxa"/>
        </w:tcPr>
        <w:p w:rsidR="2C7B7E79" w:rsidP="00D036C2" w14:paraId="000FAAC1" w14:textId="11FE58AF">
          <w:pPr>
            <w:pStyle w:val="Header"/>
            <w:ind w:right="-115"/>
            <w:jc w:val="right"/>
          </w:pPr>
        </w:p>
      </w:tc>
    </w:tr>
  </w:tbl>
  <w:p w:rsidR="2C7B7E79" w:rsidP="00D036C2" w14:paraId="6E1A02C4" w14:textId="69F8B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B1A4747"/>
    <w:multiLevelType w:val="multilevel"/>
    <w:tmpl w:val="3EE8A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44511"/>
    <w:rsid w:val="000039A2"/>
    <w:rsid w:val="000059E2"/>
    <w:rsid w:val="00006858"/>
    <w:rsid w:val="00010BAB"/>
    <w:rsid w:val="00010D08"/>
    <w:rsid w:val="000120DD"/>
    <w:rsid w:val="00013502"/>
    <w:rsid w:val="00016E44"/>
    <w:rsid w:val="00021620"/>
    <w:rsid w:val="00022C05"/>
    <w:rsid w:val="0002302C"/>
    <w:rsid w:val="00024B56"/>
    <w:rsid w:val="00026193"/>
    <w:rsid w:val="00026D8F"/>
    <w:rsid w:val="00030E62"/>
    <w:rsid w:val="000338C9"/>
    <w:rsid w:val="0003472B"/>
    <w:rsid w:val="00037E3A"/>
    <w:rsid w:val="00043CFC"/>
    <w:rsid w:val="000452D5"/>
    <w:rsid w:val="000464D3"/>
    <w:rsid w:val="00046C35"/>
    <w:rsid w:val="0005040D"/>
    <w:rsid w:val="00050764"/>
    <w:rsid w:val="00050DC5"/>
    <w:rsid w:val="00051BD4"/>
    <w:rsid w:val="00053C9B"/>
    <w:rsid w:val="00055B71"/>
    <w:rsid w:val="0005778D"/>
    <w:rsid w:val="000604E8"/>
    <w:rsid w:val="00062340"/>
    <w:rsid w:val="00063285"/>
    <w:rsid w:val="00067FFD"/>
    <w:rsid w:val="00070D90"/>
    <w:rsid w:val="00076DCB"/>
    <w:rsid w:val="00076F30"/>
    <w:rsid w:val="00077D7F"/>
    <w:rsid w:val="00082F92"/>
    <w:rsid w:val="00085374"/>
    <w:rsid w:val="00086A18"/>
    <w:rsid w:val="0009130B"/>
    <w:rsid w:val="0009505A"/>
    <w:rsid w:val="00097BA5"/>
    <w:rsid w:val="000A20F8"/>
    <w:rsid w:val="000A439D"/>
    <w:rsid w:val="000A55EA"/>
    <w:rsid w:val="000B046D"/>
    <w:rsid w:val="000B1197"/>
    <w:rsid w:val="000C2161"/>
    <w:rsid w:val="000C5273"/>
    <w:rsid w:val="000D127F"/>
    <w:rsid w:val="000D1491"/>
    <w:rsid w:val="000D1ABA"/>
    <w:rsid w:val="000D24A2"/>
    <w:rsid w:val="000D4E23"/>
    <w:rsid w:val="000E480A"/>
    <w:rsid w:val="000F0AE7"/>
    <w:rsid w:val="000F5AF3"/>
    <w:rsid w:val="001025EB"/>
    <w:rsid w:val="00110350"/>
    <w:rsid w:val="001104D6"/>
    <w:rsid w:val="00111A5F"/>
    <w:rsid w:val="001152BD"/>
    <w:rsid w:val="00120252"/>
    <w:rsid w:val="001217B1"/>
    <w:rsid w:val="00121B85"/>
    <w:rsid w:val="00123A00"/>
    <w:rsid w:val="00123A50"/>
    <w:rsid w:val="00123D83"/>
    <w:rsid w:val="001242B6"/>
    <w:rsid w:val="001243D2"/>
    <w:rsid w:val="001243ED"/>
    <w:rsid w:val="00125068"/>
    <w:rsid w:val="001274F4"/>
    <w:rsid w:val="00127E6D"/>
    <w:rsid w:val="00130DCD"/>
    <w:rsid w:val="0013281C"/>
    <w:rsid w:val="001347F4"/>
    <w:rsid w:val="001375F1"/>
    <w:rsid w:val="001448CD"/>
    <w:rsid w:val="00144D8B"/>
    <w:rsid w:val="001454F9"/>
    <w:rsid w:val="001563B1"/>
    <w:rsid w:val="001573D6"/>
    <w:rsid w:val="001618BC"/>
    <w:rsid w:val="0016231A"/>
    <w:rsid w:val="00163F05"/>
    <w:rsid w:val="001653AF"/>
    <w:rsid w:val="00170D03"/>
    <w:rsid w:val="00172855"/>
    <w:rsid w:val="00175E36"/>
    <w:rsid w:val="00176BA6"/>
    <w:rsid w:val="00182EB9"/>
    <w:rsid w:val="00183A79"/>
    <w:rsid w:val="00187D8F"/>
    <w:rsid w:val="00193E48"/>
    <w:rsid w:val="001947B9"/>
    <w:rsid w:val="001977F8"/>
    <w:rsid w:val="00197965"/>
    <w:rsid w:val="001A19BF"/>
    <w:rsid w:val="001A52C2"/>
    <w:rsid w:val="001A7DED"/>
    <w:rsid w:val="001B0108"/>
    <w:rsid w:val="001B0B85"/>
    <w:rsid w:val="001B22FA"/>
    <w:rsid w:val="001B560D"/>
    <w:rsid w:val="001B621F"/>
    <w:rsid w:val="001C21B4"/>
    <w:rsid w:val="001C3F8A"/>
    <w:rsid w:val="001D5EEC"/>
    <w:rsid w:val="001E0801"/>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303C"/>
    <w:rsid w:val="00264449"/>
    <w:rsid w:val="00265E19"/>
    <w:rsid w:val="00266615"/>
    <w:rsid w:val="002666FF"/>
    <w:rsid w:val="00266819"/>
    <w:rsid w:val="00267D4D"/>
    <w:rsid w:val="00274791"/>
    <w:rsid w:val="00274923"/>
    <w:rsid w:val="002759F2"/>
    <w:rsid w:val="00277FAE"/>
    <w:rsid w:val="0028235B"/>
    <w:rsid w:val="00282BDC"/>
    <w:rsid w:val="002866FF"/>
    <w:rsid w:val="00293B74"/>
    <w:rsid w:val="00295535"/>
    <w:rsid w:val="002A1DF7"/>
    <w:rsid w:val="002B0E74"/>
    <w:rsid w:val="002B2F04"/>
    <w:rsid w:val="002B38F8"/>
    <w:rsid w:val="002B4AD7"/>
    <w:rsid w:val="002C0AA2"/>
    <w:rsid w:val="002C1478"/>
    <w:rsid w:val="002C2717"/>
    <w:rsid w:val="002C72A5"/>
    <w:rsid w:val="002D2DD3"/>
    <w:rsid w:val="002D2E78"/>
    <w:rsid w:val="002D3461"/>
    <w:rsid w:val="002D7759"/>
    <w:rsid w:val="002E0C93"/>
    <w:rsid w:val="002E721B"/>
    <w:rsid w:val="002F1681"/>
    <w:rsid w:val="002F24EC"/>
    <w:rsid w:val="002F5F86"/>
    <w:rsid w:val="00303030"/>
    <w:rsid w:val="003040ED"/>
    <w:rsid w:val="0030448A"/>
    <w:rsid w:val="00310290"/>
    <w:rsid w:val="003130AC"/>
    <w:rsid w:val="0031521C"/>
    <w:rsid w:val="003228EA"/>
    <w:rsid w:val="00322C2E"/>
    <w:rsid w:val="00322D60"/>
    <w:rsid w:val="003240CF"/>
    <w:rsid w:val="0032681D"/>
    <w:rsid w:val="00331B83"/>
    <w:rsid w:val="0033276D"/>
    <w:rsid w:val="0033574A"/>
    <w:rsid w:val="0033633E"/>
    <w:rsid w:val="003374D0"/>
    <w:rsid w:val="0034089B"/>
    <w:rsid w:val="00340E4D"/>
    <w:rsid w:val="00347F30"/>
    <w:rsid w:val="00350136"/>
    <w:rsid w:val="003521B9"/>
    <w:rsid w:val="0035564F"/>
    <w:rsid w:val="003559AC"/>
    <w:rsid w:val="00355B71"/>
    <w:rsid w:val="00356427"/>
    <w:rsid w:val="003577A9"/>
    <w:rsid w:val="003657F3"/>
    <w:rsid w:val="00366F43"/>
    <w:rsid w:val="00370BB4"/>
    <w:rsid w:val="00372E89"/>
    <w:rsid w:val="00376A55"/>
    <w:rsid w:val="003774FC"/>
    <w:rsid w:val="00381AA1"/>
    <w:rsid w:val="00381E40"/>
    <w:rsid w:val="00385254"/>
    <w:rsid w:val="00391AF5"/>
    <w:rsid w:val="00392F58"/>
    <w:rsid w:val="003936BF"/>
    <w:rsid w:val="0039448B"/>
    <w:rsid w:val="00394DC5"/>
    <w:rsid w:val="00397A13"/>
    <w:rsid w:val="003A0AAD"/>
    <w:rsid w:val="003A603D"/>
    <w:rsid w:val="003A7035"/>
    <w:rsid w:val="003B06E1"/>
    <w:rsid w:val="003B0757"/>
    <w:rsid w:val="003B11ED"/>
    <w:rsid w:val="003B2A9B"/>
    <w:rsid w:val="003D0617"/>
    <w:rsid w:val="003D5733"/>
    <w:rsid w:val="003D71ED"/>
    <w:rsid w:val="003E0423"/>
    <w:rsid w:val="003E3046"/>
    <w:rsid w:val="003E33E5"/>
    <w:rsid w:val="003E585B"/>
    <w:rsid w:val="003E6BBD"/>
    <w:rsid w:val="003E6ED1"/>
    <w:rsid w:val="003F3508"/>
    <w:rsid w:val="003F60E8"/>
    <w:rsid w:val="0040257F"/>
    <w:rsid w:val="00404668"/>
    <w:rsid w:val="0040469D"/>
    <w:rsid w:val="00404963"/>
    <w:rsid w:val="00411E80"/>
    <w:rsid w:val="00412A8C"/>
    <w:rsid w:val="00413828"/>
    <w:rsid w:val="00415A15"/>
    <w:rsid w:val="0041705D"/>
    <w:rsid w:val="0042273C"/>
    <w:rsid w:val="00425DEF"/>
    <w:rsid w:val="00426DCC"/>
    <w:rsid w:val="00427F43"/>
    <w:rsid w:val="004317FD"/>
    <w:rsid w:val="00432C99"/>
    <w:rsid w:val="00435577"/>
    <w:rsid w:val="00437505"/>
    <w:rsid w:val="00441A45"/>
    <w:rsid w:val="00442CE0"/>
    <w:rsid w:val="00443335"/>
    <w:rsid w:val="00444AC2"/>
    <w:rsid w:val="00445459"/>
    <w:rsid w:val="00445B7E"/>
    <w:rsid w:val="00447988"/>
    <w:rsid w:val="00450434"/>
    <w:rsid w:val="00454291"/>
    <w:rsid w:val="0045537C"/>
    <w:rsid w:val="00457206"/>
    <w:rsid w:val="00463A7E"/>
    <w:rsid w:val="00470D4A"/>
    <w:rsid w:val="00473B71"/>
    <w:rsid w:val="004751E9"/>
    <w:rsid w:val="004863B8"/>
    <w:rsid w:val="00494CD5"/>
    <w:rsid w:val="004A25B3"/>
    <w:rsid w:val="004A2BEE"/>
    <w:rsid w:val="004A2E6C"/>
    <w:rsid w:val="004A47EF"/>
    <w:rsid w:val="004A4C31"/>
    <w:rsid w:val="004A6625"/>
    <w:rsid w:val="004B4395"/>
    <w:rsid w:val="004B588D"/>
    <w:rsid w:val="004C0D2F"/>
    <w:rsid w:val="004C0FAF"/>
    <w:rsid w:val="004C1663"/>
    <w:rsid w:val="004C49D6"/>
    <w:rsid w:val="004D072F"/>
    <w:rsid w:val="004D20EC"/>
    <w:rsid w:val="004D616B"/>
    <w:rsid w:val="004D7857"/>
    <w:rsid w:val="004E083A"/>
    <w:rsid w:val="004E0D51"/>
    <w:rsid w:val="004E2F16"/>
    <w:rsid w:val="004E4E1F"/>
    <w:rsid w:val="004E5AEF"/>
    <w:rsid w:val="004E5F1C"/>
    <w:rsid w:val="004F2FB5"/>
    <w:rsid w:val="004F45DA"/>
    <w:rsid w:val="0051376B"/>
    <w:rsid w:val="00515227"/>
    <w:rsid w:val="00515733"/>
    <w:rsid w:val="00515865"/>
    <w:rsid w:val="00517192"/>
    <w:rsid w:val="00524A3B"/>
    <w:rsid w:val="00524D0D"/>
    <w:rsid w:val="0053199B"/>
    <w:rsid w:val="0054088A"/>
    <w:rsid w:val="00545135"/>
    <w:rsid w:val="005457FD"/>
    <w:rsid w:val="005476FB"/>
    <w:rsid w:val="00547CC3"/>
    <w:rsid w:val="00552B93"/>
    <w:rsid w:val="00552FBD"/>
    <w:rsid w:val="00556566"/>
    <w:rsid w:val="005569F6"/>
    <w:rsid w:val="00556F5F"/>
    <w:rsid w:val="00557E48"/>
    <w:rsid w:val="005602B1"/>
    <w:rsid w:val="0057026F"/>
    <w:rsid w:val="00571DCB"/>
    <w:rsid w:val="00574AF3"/>
    <w:rsid w:val="00575C9B"/>
    <w:rsid w:val="00577C5F"/>
    <w:rsid w:val="0058463E"/>
    <w:rsid w:val="00596D9B"/>
    <w:rsid w:val="005A0D52"/>
    <w:rsid w:val="005A0EF4"/>
    <w:rsid w:val="005A2DB0"/>
    <w:rsid w:val="005A2ECB"/>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2EFE"/>
    <w:rsid w:val="005F67FD"/>
    <w:rsid w:val="005F71F5"/>
    <w:rsid w:val="006017DC"/>
    <w:rsid w:val="00603C50"/>
    <w:rsid w:val="00603F79"/>
    <w:rsid w:val="006041AD"/>
    <w:rsid w:val="00606832"/>
    <w:rsid w:val="006134B6"/>
    <w:rsid w:val="00616FC9"/>
    <w:rsid w:val="0062267B"/>
    <w:rsid w:val="00624949"/>
    <w:rsid w:val="00626AA0"/>
    <w:rsid w:val="00630E73"/>
    <w:rsid w:val="00630F33"/>
    <w:rsid w:val="006355E5"/>
    <w:rsid w:val="00635623"/>
    <w:rsid w:val="006358A0"/>
    <w:rsid w:val="00637446"/>
    <w:rsid w:val="00643713"/>
    <w:rsid w:val="00650E6E"/>
    <w:rsid w:val="00652C13"/>
    <w:rsid w:val="00653AF8"/>
    <w:rsid w:val="00654F2F"/>
    <w:rsid w:val="00660355"/>
    <w:rsid w:val="006615D9"/>
    <w:rsid w:val="006622FC"/>
    <w:rsid w:val="00663092"/>
    <w:rsid w:val="00667D38"/>
    <w:rsid w:val="00670B29"/>
    <w:rsid w:val="00672186"/>
    <w:rsid w:val="00674038"/>
    <w:rsid w:val="006766C1"/>
    <w:rsid w:val="00677A20"/>
    <w:rsid w:val="00677F5B"/>
    <w:rsid w:val="00685211"/>
    <w:rsid w:val="0068585A"/>
    <w:rsid w:val="00687D6E"/>
    <w:rsid w:val="00694395"/>
    <w:rsid w:val="006957A0"/>
    <w:rsid w:val="00697832"/>
    <w:rsid w:val="006B0747"/>
    <w:rsid w:val="006B0888"/>
    <w:rsid w:val="006B205B"/>
    <w:rsid w:val="006B2D54"/>
    <w:rsid w:val="006B50BE"/>
    <w:rsid w:val="006D15B8"/>
    <w:rsid w:val="006D1A5A"/>
    <w:rsid w:val="006D1E63"/>
    <w:rsid w:val="006D63D1"/>
    <w:rsid w:val="006E1259"/>
    <w:rsid w:val="006E2699"/>
    <w:rsid w:val="006E6DE3"/>
    <w:rsid w:val="006F4494"/>
    <w:rsid w:val="006F5B52"/>
    <w:rsid w:val="00702A8B"/>
    <w:rsid w:val="00703142"/>
    <w:rsid w:val="00704EAC"/>
    <w:rsid w:val="0070509E"/>
    <w:rsid w:val="00707336"/>
    <w:rsid w:val="007117C2"/>
    <w:rsid w:val="007122F2"/>
    <w:rsid w:val="0071264A"/>
    <w:rsid w:val="00716815"/>
    <w:rsid w:val="00724AF3"/>
    <w:rsid w:val="00724BFA"/>
    <w:rsid w:val="0073276D"/>
    <w:rsid w:val="0073413E"/>
    <w:rsid w:val="007345FD"/>
    <w:rsid w:val="00734929"/>
    <w:rsid w:val="00736DAE"/>
    <w:rsid w:val="0074213C"/>
    <w:rsid w:val="00742182"/>
    <w:rsid w:val="00745B1D"/>
    <w:rsid w:val="007464C7"/>
    <w:rsid w:val="0075193F"/>
    <w:rsid w:val="00753270"/>
    <w:rsid w:val="007549E5"/>
    <w:rsid w:val="00755602"/>
    <w:rsid w:val="00756458"/>
    <w:rsid w:val="00760586"/>
    <w:rsid w:val="007632E5"/>
    <w:rsid w:val="007644D8"/>
    <w:rsid w:val="00764C7D"/>
    <w:rsid w:val="00765C42"/>
    <w:rsid w:val="00765F3C"/>
    <w:rsid w:val="00766200"/>
    <w:rsid w:val="007669C0"/>
    <w:rsid w:val="0077598A"/>
    <w:rsid w:val="007765E2"/>
    <w:rsid w:val="00776DD2"/>
    <w:rsid w:val="00780343"/>
    <w:rsid w:val="00781848"/>
    <w:rsid w:val="00783E16"/>
    <w:rsid w:val="0078491C"/>
    <w:rsid w:val="007875E8"/>
    <w:rsid w:val="00793A3F"/>
    <w:rsid w:val="00794352"/>
    <w:rsid w:val="0079473E"/>
    <w:rsid w:val="007A1CA0"/>
    <w:rsid w:val="007A2724"/>
    <w:rsid w:val="007A7407"/>
    <w:rsid w:val="007B1A84"/>
    <w:rsid w:val="007B2A6B"/>
    <w:rsid w:val="007B5D90"/>
    <w:rsid w:val="007B5F37"/>
    <w:rsid w:val="007B7314"/>
    <w:rsid w:val="007C2CE6"/>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06906"/>
    <w:rsid w:val="0081018A"/>
    <w:rsid w:val="008123E4"/>
    <w:rsid w:val="008152FA"/>
    <w:rsid w:val="00816408"/>
    <w:rsid w:val="00817DE2"/>
    <w:rsid w:val="008202F5"/>
    <w:rsid w:val="00821449"/>
    <w:rsid w:val="00821A3B"/>
    <w:rsid w:val="00823714"/>
    <w:rsid w:val="00823722"/>
    <w:rsid w:val="00826C35"/>
    <w:rsid w:val="008273B8"/>
    <w:rsid w:val="00827DF0"/>
    <w:rsid w:val="00837A8D"/>
    <w:rsid w:val="00842AEB"/>
    <w:rsid w:val="00845F3E"/>
    <w:rsid w:val="0084712C"/>
    <w:rsid w:val="00852323"/>
    <w:rsid w:val="00852FB5"/>
    <w:rsid w:val="00853396"/>
    <w:rsid w:val="00853596"/>
    <w:rsid w:val="008546AF"/>
    <w:rsid w:val="0085553D"/>
    <w:rsid w:val="00856684"/>
    <w:rsid w:val="00856FA7"/>
    <w:rsid w:val="0086157E"/>
    <w:rsid w:val="00861D6F"/>
    <w:rsid w:val="00862924"/>
    <w:rsid w:val="00863279"/>
    <w:rsid w:val="008636DF"/>
    <w:rsid w:val="0086780B"/>
    <w:rsid w:val="008763AE"/>
    <w:rsid w:val="00876E0B"/>
    <w:rsid w:val="00885462"/>
    <w:rsid w:val="00885F41"/>
    <w:rsid w:val="00890B4E"/>
    <w:rsid w:val="00890E3C"/>
    <w:rsid w:val="008A1CB7"/>
    <w:rsid w:val="008A6117"/>
    <w:rsid w:val="008A6440"/>
    <w:rsid w:val="008A679F"/>
    <w:rsid w:val="008A70A8"/>
    <w:rsid w:val="008B0093"/>
    <w:rsid w:val="008B2C03"/>
    <w:rsid w:val="008B70FE"/>
    <w:rsid w:val="008C5EC4"/>
    <w:rsid w:val="008C70DA"/>
    <w:rsid w:val="008D0F47"/>
    <w:rsid w:val="008D2C4A"/>
    <w:rsid w:val="008D3540"/>
    <w:rsid w:val="008D4478"/>
    <w:rsid w:val="008D6933"/>
    <w:rsid w:val="008E00C3"/>
    <w:rsid w:val="008E0F56"/>
    <w:rsid w:val="008E36F3"/>
    <w:rsid w:val="008F0861"/>
    <w:rsid w:val="008F10E3"/>
    <w:rsid w:val="008F6684"/>
    <w:rsid w:val="008F6EDB"/>
    <w:rsid w:val="00904E11"/>
    <w:rsid w:val="00911108"/>
    <w:rsid w:val="00912E1D"/>
    <w:rsid w:val="00912F37"/>
    <w:rsid w:val="00912F56"/>
    <w:rsid w:val="00915560"/>
    <w:rsid w:val="00917E33"/>
    <w:rsid w:val="00920900"/>
    <w:rsid w:val="009223B9"/>
    <w:rsid w:val="00923958"/>
    <w:rsid w:val="00923FE9"/>
    <w:rsid w:val="009266BA"/>
    <w:rsid w:val="0092777F"/>
    <w:rsid w:val="00927F0B"/>
    <w:rsid w:val="00931554"/>
    <w:rsid w:val="00932FF1"/>
    <w:rsid w:val="0093351E"/>
    <w:rsid w:val="00935D4A"/>
    <w:rsid w:val="00937B15"/>
    <w:rsid w:val="009408F9"/>
    <w:rsid w:val="009421B3"/>
    <w:rsid w:val="00942DE6"/>
    <w:rsid w:val="00952801"/>
    <w:rsid w:val="00953A9C"/>
    <w:rsid w:val="009562B1"/>
    <w:rsid w:val="009567B6"/>
    <w:rsid w:val="00961937"/>
    <w:rsid w:val="009638FB"/>
    <w:rsid w:val="00964013"/>
    <w:rsid w:val="00964396"/>
    <w:rsid w:val="00970C55"/>
    <w:rsid w:val="009721F3"/>
    <w:rsid w:val="009744BA"/>
    <w:rsid w:val="0097662D"/>
    <w:rsid w:val="00976C73"/>
    <w:rsid w:val="00976DF7"/>
    <w:rsid w:val="00977793"/>
    <w:rsid w:val="00982AA3"/>
    <w:rsid w:val="00982D20"/>
    <w:rsid w:val="009876EC"/>
    <w:rsid w:val="00990136"/>
    <w:rsid w:val="00992A40"/>
    <w:rsid w:val="009942EF"/>
    <w:rsid w:val="009943CA"/>
    <w:rsid w:val="009A0125"/>
    <w:rsid w:val="009A261A"/>
    <w:rsid w:val="009A35AC"/>
    <w:rsid w:val="009A43B9"/>
    <w:rsid w:val="009A4B28"/>
    <w:rsid w:val="009A6158"/>
    <w:rsid w:val="009A78B6"/>
    <w:rsid w:val="009A7E94"/>
    <w:rsid w:val="009C0F52"/>
    <w:rsid w:val="009C1EAF"/>
    <w:rsid w:val="009C36ED"/>
    <w:rsid w:val="009C516D"/>
    <w:rsid w:val="009D06CF"/>
    <w:rsid w:val="009D2D2E"/>
    <w:rsid w:val="009D3C5F"/>
    <w:rsid w:val="009D41E5"/>
    <w:rsid w:val="009E2E3B"/>
    <w:rsid w:val="009E5664"/>
    <w:rsid w:val="009E5A01"/>
    <w:rsid w:val="009E5A6B"/>
    <w:rsid w:val="009F0646"/>
    <w:rsid w:val="00A03E90"/>
    <w:rsid w:val="00A043EA"/>
    <w:rsid w:val="00A07EEF"/>
    <w:rsid w:val="00A10FFD"/>
    <w:rsid w:val="00A128DC"/>
    <w:rsid w:val="00A2387F"/>
    <w:rsid w:val="00A2560D"/>
    <w:rsid w:val="00A2561A"/>
    <w:rsid w:val="00A31D58"/>
    <w:rsid w:val="00A40519"/>
    <w:rsid w:val="00A4133F"/>
    <w:rsid w:val="00A413E0"/>
    <w:rsid w:val="00A420C4"/>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8731D"/>
    <w:rsid w:val="00A931E1"/>
    <w:rsid w:val="00A939CD"/>
    <w:rsid w:val="00A962F0"/>
    <w:rsid w:val="00A9645C"/>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06D6F"/>
    <w:rsid w:val="00B13167"/>
    <w:rsid w:val="00B132D6"/>
    <w:rsid w:val="00B1392B"/>
    <w:rsid w:val="00B14B5A"/>
    <w:rsid w:val="00B2535E"/>
    <w:rsid w:val="00B3124B"/>
    <w:rsid w:val="00B320C8"/>
    <w:rsid w:val="00B3337E"/>
    <w:rsid w:val="00B36748"/>
    <w:rsid w:val="00B37B4F"/>
    <w:rsid w:val="00B37CE0"/>
    <w:rsid w:val="00B37DC0"/>
    <w:rsid w:val="00B4303A"/>
    <w:rsid w:val="00B44511"/>
    <w:rsid w:val="00B44857"/>
    <w:rsid w:val="00B4543E"/>
    <w:rsid w:val="00B50D01"/>
    <w:rsid w:val="00B55B23"/>
    <w:rsid w:val="00B55B91"/>
    <w:rsid w:val="00B61E85"/>
    <w:rsid w:val="00B626AB"/>
    <w:rsid w:val="00B64095"/>
    <w:rsid w:val="00B710D4"/>
    <w:rsid w:val="00B8067C"/>
    <w:rsid w:val="00B84453"/>
    <w:rsid w:val="00B847FC"/>
    <w:rsid w:val="00B8482F"/>
    <w:rsid w:val="00B84A22"/>
    <w:rsid w:val="00B863BA"/>
    <w:rsid w:val="00B870F6"/>
    <w:rsid w:val="00B87981"/>
    <w:rsid w:val="00B964D5"/>
    <w:rsid w:val="00BA0B85"/>
    <w:rsid w:val="00BA19E4"/>
    <w:rsid w:val="00BA4465"/>
    <w:rsid w:val="00BB162A"/>
    <w:rsid w:val="00BB352C"/>
    <w:rsid w:val="00BB3921"/>
    <w:rsid w:val="00BB3DBD"/>
    <w:rsid w:val="00BB472E"/>
    <w:rsid w:val="00BB54F3"/>
    <w:rsid w:val="00BB5AB6"/>
    <w:rsid w:val="00BC1343"/>
    <w:rsid w:val="00BC6F43"/>
    <w:rsid w:val="00BC7EF4"/>
    <w:rsid w:val="00BD2426"/>
    <w:rsid w:val="00BE0618"/>
    <w:rsid w:val="00BE0BD8"/>
    <w:rsid w:val="00BE34F3"/>
    <w:rsid w:val="00BF119A"/>
    <w:rsid w:val="00BF573D"/>
    <w:rsid w:val="00BF5C23"/>
    <w:rsid w:val="00BF66DB"/>
    <w:rsid w:val="00BF68CC"/>
    <w:rsid w:val="00C0073B"/>
    <w:rsid w:val="00C017DB"/>
    <w:rsid w:val="00C04D6D"/>
    <w:rsid w:val="00C06407"/>
    <w:rsid w:val="00C07BEF"/>
    <w:rsid w:val="00C1153A"/>
    <w:rsid w:val="00C12083"/>
    <w:rsid w:val="00C13A90"/>
    <w:rsid w:val="00C15ED6"/>
    <w:rsid w:val="00C21B34"/>
    <w:rsid w:val="00C248FB"/>
    <w:rsid w:val="00C2619C"/>
    <w:rsid w:val="00C2765F"/>
    <w:rsid w:val="00C419D5"/>
    <w:rsid w:val="00C42AD0"/>
    <w:rsid w:val="00C43C84"/>
    <w:rsid w:val="00C44593"/>
    <w:rsid w:val="00C507D3"/>
    <w:rsid w:val="00C53442"/>
    <w:rsid w:val="00C54B28"/>
    <w:rsid w:val="00C6080C"/>
    <w:rsid w:val="00C60BC7"/>
    <w:rsid w:val="00C622C9"/>
    <w:rsid w:val="00C66F0B"/>
    <w:rsid w:val="00C67A80"/>
    <w:rsid w:val="00C70DCE"/>
    <w:rsid w:val="00C717A4"/>
    <w:rsid w:val="00C72FA4"/>
    <w:rsid w:val="00C7385E"/>
    <w:rsid w:val="00C74462"/>
    <w:rsid w:val="00C74951"/>
    <w:rsid w:val="00C7738B"/>
    <w:rsid w:val="00C77709"/>
    <w:rsid w:val="00C80814"/>
    <w:rsid w:val="00C815B4"/>
    <w:rsid w:val="00C816F7"/>
    <w:rsid w:val="00C82CAA"/>
    <w:rsid w:val="00C83A43"/>
    <w:rsid w:val="00C85C0C"/>
    <w:rsid w:val="00C931F2"/>
    <w:rsid w:val="00C93B74"/>
    <w:rsid w:val="00C93EBE"/>
    <w:rsid w:val="00CA0B32"/>
    <w:rsid w:val="00CA177B"/>
    <w:rsid w:val="00CA1BBB"/>
    <w:rsid w:val="00CA38C0"/>
    <w:rsid w:val="00CA3A66"/>
    <w:rsid w:val="00CA3EA4"/>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03B2"/>
    <w:rsid w:val="00CE1461"/>
    <w:rsid w:val="00CE2B3D"/>
    <w:rsid w:val="00CE396B"/>
    <w:rsid w:val="00CE564E"/>
    <w:rsid w:val="00CE7A94"/>
    <w:rsid w:val="00CE7CDC"/>
    <w:rsid w:val="00CE7CEC"/>
    <w:rsid w:val="00CE7FF5"/>
    <w:rsid w:val="00CF0669"/>
    <w:rsid w:val="00CF1409"/>
    <w:rsid w:val="00CF2CF5"/>
    <w:rsid w:val="00D00031"/>
    <w:rsid w:val="00D02BF3"/>
    <w:rsid w:val="00D036C2"/>
    <w:rsid w:val="00D044CD"/>
    <w:rsid w:val="00D058C5"/>
    <w:rsid w:val="00D06353"/>
    <w:rsid w:val="00D1559D"/>
    <w:rsid w:val="00D24997"/>
    <w:rsid w:val="00D266D9"/>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2F31"/>
    <w:rsid w:val="00D656F0"/>
    <w:rsid w:val="00D65EB0"/>
    <w:rsid w:val="00D66400"/>
    <w:rsid w:val="00D83F3C"/>
    <w:rsid w:val="00D87491"/>
    <w:rsid w:val="00D91DAD"/>
    <w:rsid w:val="00D929A7"/>
    <w:rsid w:val="00D9549D"/>
    <w:rsid w:val="00DA098F"/>
    <w:rsid w:val="00DA1DD5"/>
    <w:rsid w:val="00DA2CCE"/>
    <w:rsid w:val="00DA5A0E"/>
    <w:rsid w:val="00DA6123"/>
    <w:rsid w:val="00DA79B7"/>
    <w:rsid w:val="00DB662A"/>
    <w:rsid w:val="00DB6DDC"/>
    <w:rsid w:val="00DB7AA9"/>
    <w:rsid w:val="00DC7233"/>
    <w:rsid w:val="00DC7E90"/>
    <w:rsid w:val="00DD0B9C"/>
    <w:rsid w:val="00DD255A"/>
    <w:rsid w:val="00DD6E39"/>
    <w:rsid w:val="00DE02F3"/>
    <w:rsid w:val="00DE059A"/>
    <w:rsid w:val="00DE0954"/>
    <w:rsid w:val="00DE15F9"/>
    <w:rsid w:val="00DE295D"/>
    <w:rsid w:val="00DE66A3"/>
    <w:rsid w:val="00DE776E"/>
    <w:rsid w:val="00DE7F07"/>
    <w:rsid w:val="00DF046A"/>
    <w:rsid w:val="00DF12EE"/>
    <w:rsid w:val="00DF4744"/>
    <w:rsid w:val="00DF4A26"/>
    <w:rsid w:val="00E0296C"/>
    <w:rsid w:val="00E100E5"/>
    <w:rsid w:val="00E116E5"/>
    <w:rsid w:val="00E17B99"/>
    <w:rsid w:val="00E22763"/>
    <w:rsid w:val="00E24E11"/>
    <w:rsid w:val="00E25803"/>
    <w:rsid w:val="00E2603C"/>
    <w:rsid w:val="00E3070D"/>
    <w:rsid w:val="00E30E52"/>
    <w:rsid w:val="00E322FE"/>
    <w:rsid w:val="00E339CF"/>
    <w:rsid w:val="00E36ACE"/>
    <w:rsid w:val="00E371A3"/>
    <w:rsid w:val="00E413CB"/>
    <w:rsid w:val="00E4374E"/>
    <w:rsid w:val="00E43B3D"/>
    <w:rsid w:val="00E43EF4"/>
    <w:rsid w:val="00E47BD4"/>
    <w:rsid w:val="00E558B8"/>
    <w:rsid w:val="00E60751"/>
    <w:rsid w:val="00E63847"/>
    <w:rsid w:val="00E70FC5"/>
    <w:rsid w:val="00E771D8"/>
    <w:rsid w:val="00E77C2A"/>
    <w:rsid w:val="00E82BEA"/>
    <w:rsid w:val="00E83BF8"/>
    <w:rsid w:val="00E903F2"/>
    <w:rsid w:val="00E9401C"/>
    <w:rsid w:val="00EA1199"/>
    <w:rsid w:val="00EA2CEC"/>
    <w:rsid w:val="00EA32E3"/>
    <w:rsid w:val="00EA38F0"/>
    <w:rsid w:val="00EB08AD"/>
    <w:rsid w:val="00EB42E5"/>
    <w:rsid w:val="00ED28C1"/>
    <w:rsid w:val="00ED3CA9"/>
    <w:rsid w:val="00ED4FA0"/>
    <w:rsid w:val="00ED6285"/>
    <w:rsid w:val="00ED6AE5"/>
    <w:rsid w:val="00EE3F73"/>
    <w:rsid w:val="00EE4D47"/>
    <w:rsid w:val="00EE756D"/>
    <w:rsid w:val="00EF0FA8"/>
    <w:rsid w:val="00EF1E44"/>
    <w:rsid w:val="00EF2591"/>
    <w:rsid w:val="00EF6ED6"/>
    <w:rsid w:val="00F047E0"/>
    <w:rsid w:val="00F0672F"/>
    <w:rsid w:val="00F07B85"/>
    <w:rsid w:val="00F07C39"/>
    <w:rsid w:val="00F1032B"/>
    <w:rsid w:val="00F13707"/>
    <w:rsid w:val="00F13928"/>
    <w:rsid w:val="00F17216"/>
    <w:rsid w:val="00F17EC7"/>
    <w:rsid w:val="00F23A5C"/>
    <w:rsid w:val="00F267A6"/>
    <w:rsid w:val="00F316AD"/>
    <w:rsid w:val="00F321FF"/>
    <w:rsid w:val="00F3427F"/>
    <w:rsid w:val="00F377D9"/>
    <w:rsid w:val="00F41C34"/>
    <w:rsid w:val="00F42CF1"/>
    <w:rsid w:val="00F43FB7"/>
    <w:rsid w:val="00F44C61"/>
    <w:rsid w:val="00F5115D"/>
    <w:rsid w:val="00F529F8"/>
    <w:rsid w:val="00F55E4C"/>
    <w:rsid w:val="00F56DCF"/>
    <w:rsid w:val="00F62503"/>
    <w:rsid w:val="00F6647A"/>
    <w:rsid w:val="00F665E9"/>
    <w:rsid w:val="00F7094E"/>
    <w:rsid w:val="00F70DD6"/>
    <w:rsid w:val="00F72A2A"/>
    <w:rsid w:val="00F730ED"/>
    <w:rsid w:val="00F735BB"/>
    <w:rsid w:val="00F73808"/>
    <w:rsid w:val="00F7687A"/>
    <w:rsid w:val="00F76AAF"/>
    <w:rsid w:val="00F84E31"/>
    <w:rsid w:val="00FA5E0B"/>
    <w:rsid w:val="00FB050D"/>
    <w:rsid w:val="00FB31B0"/>
    <w:rsid w:val="00FB7B04"/>
    <w:rsid w:val="00FB7F37"/>
    <w:rsid w:val="00FC63BD"/>
    <w:rsid w:val="00FD2922"/>
    <w:rsid w:val="00FD3542"/>
    <w:rsid w:val="00FD4BBC"/>
    <w:rsid w:val="00FD7818"/>
    <w:rsid w:val="00FD7DF2"/>
    <w:rsid w:val="00FE512C"/>
    <w:rsid w:val="00FE67DE"/>
    <w:rsid w:val="00FE6D3B"/>
    <w:rsid w:val="00FE744A"/>
    <w:rsid w:val="00FF0056"/>
    <w:rsid w:val="00FF2107"/>
    <w:rsid w:val="00FF2370"/>
    <w:rsid w:val="00FF2C0B"/>
    <w:rsid w:val="039059B5"/>
    <w:rsid w:val="06B7038F"/>
    <w:rsid w:val="0F3F4DF3"/>
    <w:rsid w:val="103BB9E0"/>
    <w:rsid w:val="12D1D84C"/>
    <w:rsid w:val="149B04CB"/>
    <w:rsid w:val="18F9047F"/>
    <w:rsid w:val="1B54DFB5"/>
    <w:rsid w:val="1FEC6D0F"/>
    <w:rsid w:val="217F4DBA"/>
    <w:rsid w:val="23C5D580"/>
    <w:rsid w:val="23E64369"/>
    <w:rsid w:val="25973B37"/>
    <w:rsid w:val="28AA213C"/>
    <w:rsid w:val="2C7B7E79"/>
    <w:rsid w:val="2C968BC8"/>
    <w:rsid w:val="2D7E5F5F"/>
    <w:rsid w:val="2F2B0BBE"/>
    <w:rsid w:val="302E4146"/>
    <w:rsid w:val="33CE1635"/>
    <w:rsid w:val="33FCC43E"/>
    <w:rsid w:val="34A73317"/>
    <w:rsid w:val="39E893D6"/>
    <w:rsid w:val="3E9B6D5F"/>
    <w:rsid w:val="3E9E2DC5"/>
    <w:rsid w:val="3FE0A7B3"/>
    <w:rsid w:val="40C5665A"/>
    <w:rsid w:val="42B473ED"/>
    <w:rsid w:val="47E01D01"/>
    <w:rsid w:val="47EEFE6F"/>
    <w:rsid w:val="4A2299F4"/>
    <w:rsid w:val="4ACEBCC8"/>
    <w:rsid w:val="4BC8F69E"/>
    <w:rsid w:val="4BDD041A"/>
    <w:rsid w:val="4C5DF809"/>
    <w:rsid w:val="4CAD2E35"/>
    <w:rsid w:val="4DBFDDD6"/>
    <w:rsid w:val="4E8DD229"/>
    <w:rsid w:val="511CE58B"/>
    <w:rsid w:val="5139EDD7"/>
    <w:rsid w:val="52567491"/>
    <w:rsid w:val="54D58908"/>
    <w:rsid w:val="56E9D289"/>
    <w:rsid w:val="57E3C235"/>
    <w:rsid w:val="58C2B636"/>
    <w:rsid w:val="5903194A"/>
    <w:rsid w:val="59AEC1CA"/>
    <w:rsid w:val="5C6E9209"/>
    <w:rsid w:val="5E4AFA0B"/>
    <w:rsid w:val="5E4C0CD5"/>
    <w:rsid w:val="60323A35"/>
    <w:rsid w:val="62CBDA80"/>
    <w:rsid w:val="6591622B"/>
    <w:rsid w:val="65BA482B"/>
    <w:rsid w:val="695AC330"/>
    <w:rsid w:val="69816AB3"/>
    <w:rsid w:val="69D090B4"/>
    <w:rsid w:val="6A38BFD4"/>
    <w:rsid w:val="6A80F1E7"/>
    <w:rsid w:val="6E77FEE5"/>
    <w:rsid w:val="710DC037"/>
    <w:rsid w:val="713A559D"/>
    <w:rsid w:val="731FA2C9"/>
    <w:rsid w:val="7373BFCE"/>
    <w:rsid w:val="776ECBDD"/>
    <w:rsid w:val="77BCBEC9"/>
    <w:rsid w:val="78A58076"/>
    <w:rsid w:val="7A5FBD62"/>
    <w:rsid w:val="7B3EF06A"/>
    <w:rsid w:val="7F8113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2F93623"/>
  <w15:docId w15:val="{2F97BBE4-B7BB-44BE-ACE3-1303C3A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1">
    <w:name w:val="Normal1"/>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 w:type="character" w:styleId="CommentReference">
    <w:name w:val="annotation reference"/>
    <w:rsid w:val="00976C73"/>
    <w:rPr>
      <w:sz w:val="16"/>
      <w:szCs w:val="16"/>
    </w:rPr>
  </w:style>
  <w:style w:type="paragraph" w:styleId="CommentText">
    <w:name w:val="annotation text"/>
    <w:basedOn w:val="Normal"/>
    <w:link w:val="CommentTextChar"/>
    <w:rsid w:val="00976C73"/>
    <w:rPr>
      <w:sz w:val="20"/>
    </w:rPr>
  </w:style>
  <w:style w:type="character" w:customStyle="1" w:styleId="CommentTextChar">
    <w:name w:val="Comment Text Char"/>
    <w:basedOn w:val="DefaultParagraphFont"/>
    <w:link w:val="CommentText"/>
    <w:rsid w:val="00976C73"/>
  </w:style>
  <w:style w:type="paragraph" w:styleId="CommentSubject">
    <w:name w:val="annotation subject"/>
    <w:basedOn w:val="CommentText"/>
    <w:next w:val="CommentText"/>
    <w:link w:val="CommentSubjectChar"/>
    <w:rsid w:val="00976C73"/>
    <w:rPr>
      <w:b/>
      <w:bCs/>
    </w:rPr>
  </w:style>
  <w:style w:type="character" w:customStyle="1" w:styleId="CommentSubjectChar">
    <w:name w:val="Comment Subject Char"/>
    <w:link w:val="CommentSubject"/>
    <w:rsid w:val="00976C73"/>
    <w:rPr>
      <w:b/>
      <w:bCs/>
    </w:rPr>
  </w:style>
  <w:style w:type="paragraph" w:customStyle="1" w:styleId="xxmsolistparagraph">
    <w:name w:val="x_x_msolistparagraph"/>
    <w:basedOn w:val="Normal"/>
    <w:rsid w:val="00D266D9"/>
    <w:pPr>
      <w:ind w:left="720"/>
    </w:pPr>
    <w:rPr>
      <w:rFonts w:ascii="Calibri" w:eastAsia="Calibri" w:hAnsi="Calibri" w:cs="Calibri"/>
      <w:szCs w:val="22"/>
    </w:rPr>
  </w:style>
  <w:style w:type="paragraph" w:styleId="Revision">
    <w:name w:val="Revision"/>
    <w:hidden/>
    <w:uiPriority w:val="99"/>
    <w:semiHidden/>
    <w:rsid w:val="00274791"/>
    <w:rPr>
      <w:sz w:val="22"/>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