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3EF3" w:rsidRPr="006D5400" w:rsidP="000C5F32" w14:paraId="2525DF6C" w14:textId="77777777">
      <w:pPr>
        <w:pStyle w:val="Title"/>
        <w:rPr>
          <w:szCs w:val="22"/>
        </w:rPr>
      </w:pPr>
      <w:r w:rsidRPr="006D5400">
        <w:rPr>
          <w:szCs w:val="22"/>
        </w:rPr>
        <w:t>Before the</w:t>
      </w:r>
    </w:p>
    <w:p w:rsidR="00313EF3" w:rsidRPr="006D5400" w14:paraId="38F8EB08" w14:textId="77777777">
      <w:pPr>
        <w:pStyle w:val="Subtitle"/>
        <w:ind w:firstLine="0"/>
        <w:rPr>
          <w:szCs w:val="22"/>
        </w:rPr>
      </w:pPr>
      <w:r w:rsidRPr="006D5400">
        <w:rPr>
          <w:szCs w:val="22"/>
        </w:rPr>
        <w:t>Federal Communications Commission</w:t>
      </w:r>
    </w:p>
    <w:p w:rsidR="00313EF3" w:rsidRPr="006D5400" w14:paraId="405D5F9B" w14:textId="77777777">
      <w:pPr>
        <w:jc w:val="center"/>
        <w:rPr>
          <w:b/>
          <w:szCs w:val="22"/>
        </w:rPr>
      </w:pPr>
      <w:r w:rsidRPr="006D5400">
        <w:rPr>
          <w:b/>
          <w:szCs w:val="22"/>
        </w:rPr>
        <w:t>Washington, D.C. 20554</w:t>
      </w:r>
    </w:p>
    <w:p w:rsidR="00313EF3" w:rsidRPr="006D5400" w14:paraId="5929A502" w14:textId="77777777">
      <w:pPr>
        <w:tabs>
          <w:tab w:val="left" w:pos="-720"/>
        </w:tabs>
        <w:suppressAutoHyphens/>
        <w:spacing w:line="227" w:lineRule="auto"/>
        <w:rPr>
          <w:spacing w:val="-2"/>
          <w:szCs w:val="22"/>
        </w:rPr>
      </w:pPr>
    </w:p>
    <w:p w:rsidR="00313EF3" w:rsidRPr="006D5400" w14:paraId="2DAC268D"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030B9D5D" w14:textId="77777777" w:rsidTr="00DE1F08">
        <w:tblPrEx>
          <w:tblW w:w="0" w:type="auto"/>
          <w:tblLayout w:type="fixed"/>
          <w:tblLook w:val="0000"/>
        </w:tblPrEx>
        <w:tc>
          <w:tcPr>
            <w:tcW w:w="4698"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16B66727">
            <w:pPr>
              <w:tabs>
                <w:tab w:val="center" w:pos="4680"/>
              </w:tabs>
              <w:suppressAutoHyphens/>
              <w:rPr>
                <w:szCs w:val="22"/>
              </w:rPr>
            </w:pPr>
            <w:r>
              <w:rPr>
                <w:szCs w:val="22"/>
              </w:rPr>
              <w:t>C</w:t>
            </w:r>
            <w:r w:rsidR="00CE5ED5">
              <w:rPr>
                <w:szCs w:val="22"/>
              </w:rPr>
              <w:t xml:space="preserve">ommunication </w:t>
            </w:r>
            <w:r w:rsidR="00CE5ED5">
              <w:rPr>
                <w:szCs w:val="22"/>
              </w:rPr>
              <w:t>Telefonicas</w:t>
            </w:r>
            <w:r w:rsidR="00CE5ED5">
              <w:rPr>
                <w:szCs w:val="22"/>
              </w:rPr>
              <w:t xml:space="preserve"> Latinas Corp</w:t>
            </w:r>
            <w:r w:rsidR="00E852C7">
              <w:rPr>
                <w:szCs w:val="22"/>
              </w:rPr>
              <w:t>.</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DE1F08" w:rsidRPr="006D5400" w14:paraId="698F69AD" w14:textId="77777777">
            <w:pPr>
              <w:tabs>
                <w:tab w:val="center" w:pos="4680"/>
              </w:tabs>
              <w:suppressAutoHyphens/>
              <w:rPr>
                <w:b/>
                <w:spacing w:val="-2"/>
                <w:szCs w:val="22"/>
              </w:rPr>
            </w:pPr>
          </w:p>
          <w:p w:rsidR="00E84E6A" w:rsidRPr="006D5400" w14:paraId="3DD607C9" w14:textId="77777777">
            <w:pPr>
              <w:tabs>
                <w:tab w:val="center" w:pos="4680"/>
              </w:tabs>
              <w:suppressAutoHyphens/>
              <w:rPr>
                <w:b/>
                <w:spacing w:val="-2"/>
                <w:szCs w:val="22"/>
              </w:rPr>
            </w:pPr>
          </w:p>
        </w:tc>
        <w:tc>
          <w:tcPr>
            <w:tcW w:w="4248"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106617D6">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CE5ED5">
              <w:rPr>
                <w:szCs w:val="22"/>
              </w:rPr>
              <w:t>5966578</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CD6BB8"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42364552">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F800BD">
        <w:rPr>
          <w:b/>
          <w:spacing w:val="-2"/>
          <w:szCs w:val="22"/>
        </w:rPr>
        <w:t>January 27</w:t>
      </w:r>
      <w:r w:rsidR="001E68F1">
        <w:rPr>
          <w:b/>
          <w:spacing w:val="-2"/>
          <w:szCs w:val="22"/>
        </w:rPr>
        <w:t>,</w:t>
      </w:r>
      <w:r w:rsidRPr="006D5400" w:rsidR="00236AA1">
        <w:rPr>
          <w:b/>
          <w:spacing w:val="-2"/>
          <w:szCs w:val="22"/>
        </w:rPr>
        <w:t xml:space="preserve"> </w:t>
      </w:r>
      <w:r w:rsidRPr="006D5400" w:rsidR="00454DF3">
        <w:rPr>
          <w:b/>
          <w:spacing w:val="-2"/>
          <w:szCs w:val="22"/>
        </w:rPr>
        <w:t>20</w:t>
      </w:r>
      <w:r w:rsidR="003A5B5A">
        <w:rPr>
          <w:b/>
          <w:spacing w:val="-2"/>
          <w:szCs w:val="22"/>
        </w:rPr>
        <w:t>2</w:t>
      </w:r>
      <w:r w:rsidR="00CE5ED5">
        <w:rPr>
          <w:b/>
          <w:spacing w:val="-2"/>
          <w:szCs w:val="22"/>
        </w:rPr>
        <w:t>3</w:t>
      </w:r>
      <w:r w:rsidRPr="006D5400">
        <w:rPr>
          <w:b/>
          <w:spacing w:val="-2"/>
          <w:szCs w:val="22"/>
        </w:rPr>
        <w:tab/>
        <w:t>Released:</w:t>
      </w:r>
      <w:r w:rsidRPr="006D5400" w:rsidR="00676CB9">
        <w:rPr>
          <w:b/>
          <w:spacing w:val="-2"/>
          <w:szCs w:val="22"/>
        </w:rPr>
        <w:t xml:space="preserve"> </w:t>
      </w:r>
      <w:r w:rsidR="001E68F1">
        <w:rPr>
          <w:b/>
          <w:spacing w:val="-2"/>
          <w:szCs w:val="22"/>
        </w:rPr>
        <w:t xml:space="preserve"> </w:t>
      </w:r>
      <w:r w:rsidR="00F800BD">
        <w:rPr>
          <w:b/>
          <w:spacing w:val="-2"/>
          <w:szCs w:val="22"/>
        </w:rPr>
        <w:t>January 30</w:t>
      </w:r>
      <w:r w:rsidRPr="006D5400" w:rsidR="00236AA1">
        <w:rPr>
          <w:b/>
          <w:spacing w:val="-2"/>
          <w:szCs w:val="22"/>
        </w:rPr>
        <w:t xml:space="preserve">, </w:t>
      </w:r>
      <w:r w:rsidRPr="006D5400">
        <w:rPr>
          <w:b/>
          <w:spacing w:val="-2"/>
          <w:szCs w:val="22"/>
        </w:rPr>
        <w:t>20</w:t>
      </w:r>
      <w:r w:rsidR="003A5B5A">
        <w:rPr>
          <w:b/>
          <w:spacing w:val="-2"/>
          <w:szCs w:val="22"/>
        </w:rPr>
        <w:t>2</w:t>
      </w:r>
      <w:r w:rsidR="00CE5ED5">
        <w:rPr>
          <w:b/>
          <w:spacing w:val="-2"/>
          <w:szCs w:val="22"/>
        </w:rPr>
        <w:t>3</w:t>
      </w:r>
    </w:p>
    <w:p w:rsidR="00313EF3" w:rsidRPr="006D5400" w14:paraId="6B2525FA" w14:textId="77777777">
      <w:pPr>
        <w:rPr>
          <w:szCs w:val="22"/>
        </w:rPr>
      </w:pPr>
    </w:p>
    <w:p w:rsidR="00313EF3" w:rsidRPr="006D5400" w:rsidP="0062716E" w14:paraId="0B2EEA6D" w14:textId="301815E3">
      <w:pPr>
        <w:spacing w:after="120"/>
        <w:rPr>
          <w:szCs w:val="22"/>
        </w:rPr>
      </w:pPr>
      <w:r w:rsidRPr="006D5400">
        <w:rPr>
          <w:szCs w:val="22"/>
        </w:rPr>
        <w:t xml:space="preserve">By the </w:t>
      </w:r>
      <w:r w:rsidR="00B76E26">
        <w:rPr>
          <w:szCs w:val="22"/>
        </w:rPr>
        <w:t xml:space="preserve">Acting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6EA00149">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3A5B5A">
        <w:rPr>
          <w:szCs w:val="22"/>
        </w:rPr>
        <w:t>C</w:t>
      </w:r>
      <w:r w:rsidR="00CE5ED5">
        <w:rPr>
          <w:szCs w:val="22"/>
        </w:rPr>
        <w:t xml:space="preserve">ommunication </w:t>
      </w:r>
      <w:r w:rsidR="00CE5ED5">
        <w:rPr>
          <w:szCs w:val="22"/>
        </w:rPr>
        <w:t>Telefonicas</w:t>
      </w:r>
      <w:r w:rsidR="00CE5ED5">
        <w:rPr>
          <w:szCs w:val="22"/>
        </w:rPr>
        <w:t xml:space="preserve"> Latinas Corp</w:t>
      </w:r>
      <w:r w:rsidR="00E852C7">
        <w:rPr>
          <w:szCs w:val="22"/>
        </w:rPr>
        <w:t>.</w:t>
      </w:r>
      <w:r w:rsidR="009C3ADD">
        <w:rPr>
          <w:szCs w:val="22"/>
        </w:rPr>
        <w:t xml:space="preserve"> </w:t>
      </w:r>
      <w:r w:rsidRPr="006D5400" w:rsidR="001204B1">
        <w:rPr>
          <w:szCs w:val="22"/>
        </w:rPr>
        <w:t>(</w:t>
      </w:r>
      <w:r w:rsidR="00A10E59">
        <w:rPr>
          <w:szCs w:val="22"/>
        </w:rPr>
        <w:t>C</w:t>
      </w:r>
      <w:r w:rsidR="00B76E26">
        <w:rPr>
          <w:szCs w:val="22"/>
        </w:rPr>
        <w:t>TL</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conclude that</w:t>
      </w:r>
      <w:r w:rsidRPr="006D5400" w:rsidR="004914A3">
        <w:rPr>
          <w:szCs w:val="22"/>
        </w:rPr>
        <w:t xml:space="preserve"> </w:t>
      </w:r>
      <w:r w:rsidR="00E86E1E">
        <w:rPr>
          <w:szCs w:val="22"/>
        </w:rPr>
        <w:t>CTL</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21EB7265">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C332E" w:rsidRPr="006D5400" w:rsidP="0062716E" w14:paraId="101EE41A" w14:textId="48ADA452">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E86E1E">
        <w:t>CTL</w:t>
      </w:r>
      <w:r w:rsidR="00C335BA">
        <w:t xml:space="preserve"> of the complaint</w:t>
      </w:r>
      <w:r w:rsidRPr="00142D97" w:rsidR="00C335BA">
        <w:t>.</w:t>
      </w:r>
      <w:r>
        <w:rPr>
          <w:rStyle w:val="FootnoteReference"/>
        </w:rPr>
        <w:footnoteReference w:id="9"/>
      </w:r>
      <w:r w:rsidRPr="00142D97" w:rsidR="00C335BA">
        <w:t xml:space="preserve">  </w:t>
      </w:r>
      <w:r w:rsidR="00E86E1E">
        <w:t>CTL</w:t>
      </w:r>
      <w:r w:rsidR="00C12167">
        <w:t xml:space="preserve"> </w:t>
      </w:r>
      <w:r w:rsidR="003A5B5A">
        <w:t>respond</w:t>
      </w:r>
      <w:r w:rsidR="00374D56">
        <w:t>ed</w:t>
      </w:r>
      <w:r w:rsidR="003A5B5A">
        <w:t xml:space="preserve">, stating that authorization was received and confirmed through </w:t>
      </w:r>
      <w:r w:rsidR="00374D56">
        <w:t xml:space="preserve">a </w:t>
      </w:r>
      <w:r w:rsidR="003A5B5A">
        <w:t>third-party verification</w:t>
      </w:r>
      <w:r w:rsidR="00374D56">
        <w:t xml:space="preserve"> process</w:t>
      </w:r>
      <w:r w:rsidR="00E86E1E">
        <w:t xml:space="preserve"> in 2014.</w:t>
      </w:r>
      <w:r>
        <w:rPr>
          <w:rStyle w:val="FootnoteReference"/>
        </w:rPr>
        <w:footnoteReference w:id="10"/>
      </w:r>
      <w:r w:rsidR="00E86E1E">
        <w:t xml:space="preserve">  </w:t>
      </w:r>
      <w:r w:rsidR="00577A87">
        <w:t>CTL further stated that</w:t>
      </w:r>
      <w:r w:rsidR="00396F88">
        <w:t xml:space="preserve"> </w:t>
      </w:r>
      <w:r w:rsidR="00374D56">
        <w:t>it had been</w:t>
      </w:r>
      <w:r w:rsidR="00396F88">
        <w:t xml:space="preserve"> Complainant’s long distance </w:t>
      </w:r>
      <w:r w:rsidR="00374D56">
        <w:t xml:space="preserve">service </w:t>
      </w:r>
      <w:r w:rsidR="00396F88">
        <w:t>provider</w:t>
      </w:r>
      <w:r w:rsidR="00577A87">
        <w:t xml:space="preserve"> since 2014</w:t>
      </w:r>
      <w:r w:rsidR="00572754">
        <w:t xml:space="preserve"> but that it only recently started billing </w:t>
      </w:r>
      <w:r w:rsidR="00374D56">
        <w:t>Complainant</w:t>
      </w:r>
      <w:r w:rsidR="00572754">
        <w:t xml:space="preserve"> directly when her</w:t>
      </w:r>
      <w:r w:rsidR="00577A87">
        <w:t xml:space="preserve"> local service provider, Windstream, </w:t>
      </w:r>
      <w:r w:rsidR="00572754">
        <w:t>ceased billing on behalf of CTL</w:t>
      </w:r>
      <w:r w:rsidR="00577A87">
        <w:t>.</w:t>
      </w:r>
      <w:r>
        <w:rPr>
          <w:rStyle w:val="FootnoteReference"/>
        </w:rPr>
        <w:footnoteReference w:id="11"/>
      </w:r>
      <w:r w:rsidR="00577A87">
        <w:t xml:space="preserve">  </w:t>
      </w:r>
      <w:r w:rsidR="003A5B5A">
        <w:t>The Commission’s rules require that carriers preserve records of verification for a period of two years.</w:t>
      </w:r>
      <w:r>
        <w:rPr>
          <w:rStyle w:val="FootnoteReference"/>
        </w:rPr>
        <w:footnoteReference w:id="12"/>
      </w:r>
      <w:r w:rsidR="003A5B5A">
        <w:t xml:space="preserve">  </w:t>
      </w:r>
      <w:r w:rsidR="00C12167">
        <w:t xml:space="preserve">Thus, based on the evidence in the record, we conclude that </w:t>
      </w:r>
      <w:r w:rsidR="00E86E1E">
        <w:t>CTL</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3"/>
      </w:r>
      <w:r w:rsidRPr="006D5400" w:rsidR="00454DF3">
        <w:rPr>
          <w:szCs w:val="22"/>
        </w:rPr>
        <w:t xml:space="preserve">  </w:t>
      </w:r>
    </w:p>
    <w:p w:rsidR="00454DF3" w:rsidRPr="006D5400" w:rsidP="0062716E" w14:paraId="0C21619C" w14:textId="25682B55">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CE40AE">
        <w:rPr>
          <w:szCs w:val="22"/>
        </w:rPr>
        <w:t xml:space="preserve">Communication </w:t>
      </w:r>
      <w:r w:rsidR="00CE40AE">
        <w:rPr>
          <w:szCs w:val="22"/>
        </w:rPr>
        <w:t>Telefonicas</w:t>
      </w:r>
      <w:r w:rsidR="00CE40AE">
        <w:rPr>
          <w:szCs w:val="22"/>
        </w:rPr>
        <w:t xml:space="preserve"> Latinas Corp</w:t>
      </w:r>
      <w:r w:rsidR="00E852C7">
        <w:rPr>
          <w:szCs w:val="22"/>
        </w:rPr>
        <w:t>.</w:t>
      </w:r>
      <w:r w:rsidR="0011768C">
        <w:rPr>
          <w:szCs w:val="22"/>
        </w:rPr>
        <w:t xml:space="preserve">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p>
    <w:p w:rsidR="00510F6C" w:rsidP="001F52FE" w14:paraId="324DA01E" w14:textId="3BD6FEAB">
      <w:pPr>
        <w:ind w:left="3600" w:right="270" w:firstLine="720"/>
        <w:rPr>
          <w:szCs w:val="22"/>
        </w:rPr>
      </w:pPr>
      <w:r>
        <w:rPr>
          <w:szCs w:val="22"/>
        </w:rPr>
        <w:t>K</w:t>
      </w:r>
      <w:r w:rsidR="00B76E26">
        <w:rPr>
          <w:szCs w:val="22"/>
        </w:rPr>
        <w:t>risti Thornton</w:t>
      </w:r>
    </w:p>
    <w:p w:rsidR="00313EF3" w:rsidRPr="006D5400" w:rsidP="001F52FE" w14:paraId="67045F2F" w14:textId="16BC2299">
      <w:pPr>
        <w:ind w:left="3600" w:right="270" w:firstLine="720"/>
        <w:rPr>
          <w:szCs w:val="22"/>
        </w:rPr>
      </w:pPr>
      <w:r>
        <w:rPr>
          <w:szCs w:val="22"/>
        </w:rPr>
        <w:t xml:space="preserve">Acting </w:t>
      </w:r>
      <w:r w:rsidR="0011768C">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61700B2B" w14:textId="77777777">
      <w:r>
        <w:separator/>
      </w:r>
    </w:p>
  </w:footnote>
  <w:footnote w:type="continuationSeparator" w:id="1">
    <w:p w:rsidR="00E430A7" w14:paraId="40E96E08" w14:textId="77777777">
      <w:pPr>
        <w:rPr>
          <w:sz w:val="20"/>
        </w:rPr>
      </w:pPr>
      <w:r>
        <w:rPr>
          <w:sz w:val="20"/>
        </w:rPr>
        <w:t xml:space="preserve">(Continued from previous page)  </w:t>
      </w:r>
      <w:r>
        <w:rPr>
          <w:sz w:val="20"/>
        </w:rPr>
        <w:separator/>
      </w:r>
    </w:p>
  </w:footnote>
  <w:footnote w:type="continuationNotice" w:id="2">
    <w:p w:rsidR="00E430A7" w:rsidP="006D5400" w14:paraId="66B1123A" w14:textId="77777777">
      <w:pPr>
        <w:jc w:val="right"/>
        <w:rPr>
          <w:sz w:val="20"/>
        </w:rPr>
      </w:pPr>
      <w:r>
        <w:rPr>
          <w:sz w:val="20"/>
        </w:rPr>
        <w:t>(continued…)</w:t>
      </w:r>
    </w:p>
  </w:footnote>
  <w:footnote w:id="3">
    <w:p w:rsidR="00EC4494" w:rsidP="005D03A5" w14:paraId="26547958" w14:textId="00F28AC4">
      <w:pPr>
        <w:pStyle w:val="FootnoteText"/>
        <w:spacing w:after="120"/>
      </w:pPr>
      <w:r>
        <w:rPr>
          <w:rStyle w:val="FootnoteReference"/>
        </w:rPr>
        <w:footnoteRef/>
      </w:r>
      <w:r>
        <w:t xml:space="preserve"> </w:t>
      </w:r>
      <w:r w:rsidRPr="00140317" w:rsidR="00A10E59">
        <w:rPr>
          <w:i/>
        </w:rPr>
        <w:t xml:space="preserve">See </w:t>
      </w:r>
      <w:r w:rsidR="00A10E59">
        <w:t xml:space="preserve">Informal Complaint No. </w:t>
      </w:r>
      <w:r w:rsidR="00B76E26">
        <w:t>5966578</w:t>
      </w:r>
      <w:r w:rsidR="00A10E59">
        <w:t xml:space="preserve"> (filed </w:t>
      </w:r>
      <w:r w:rsidR="00B76E26">
        <w:t>Jan</w:t>
      </w:r>
      <w:r w:rsidR="00A10E59">
        <w:t xml:space="preserve">. </w:t>
      </w:r>
      <w:r w:rsidR="00B76E26">
        <w:t>13</w:t>
      </w:r>
      <w:r w:rsidR="00A10E59">
        <w:t>, 202</w:t>
      </w:r>
      <w:r w:rsidR="00B76E26">
        <w:t>3</w:t>
      </w:r>
      <w:r w:rsidR="00A10E59">
        <w:t xml:space="preserve">);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DD475C" w14:paraId="226078B1" w14:textId="6DFB5340">
      <w:pPr>
        <w:pStyle w:val="FootnoteText"/>
        <w:spacing w:after="120"/>
      </w:pPr>
      <w:r>
        <w:rPr>
          <w:rStyle w:val="FootnoteReference"/>
        </w:rPr>
        <w:footnoteRef/>
      </w:r>
      <w:r>
        <w:t xml:space="preserve"> </w:t>
      </w:r>
      <w:r w:rsidRPr="00392549">
        <w:rPr>
          <w:i/>
          <w:iCs/>
        </w:rPr>
        <w:t>See</w:t>
      </w:r>
      <w:r>
        <w:t xml:space="preserve"> Informal Complaint No. </w:t>
      </w:r>
      <w:r w:rsidR="00B76E26">
        <w:t>5966578</w:t>
      </w:r>
      <w:r>
        <w:t>.</w:t>
      </w:r>
    </w:p>
  </w:footnote>
  <w:footnote w:id="9">
    <w:p w:rsidR="00C335BA" w:rsidP="00DD475C"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6B5B05" w14:paraId="0A537593" w14:textId="445ECD6A">
      <w:pPr>
        <w:pStyle w:val="FootnoteText"/>
      </w:pPr>
      <w:r>
        <w:rPr>
          <w:rStyle w:val="FootnoteReference"/>
        </w:rPr>
        <w:footnoteRef/>
      </w:r>
      <w:r>
        <w:t xml:space="preserve"> </w:t>
      </w:r>
      <w:r w:rsidRPr="00577A87">
        <w:rPr>
          <w:i/>
          <w:iCs/>
        </w:rPr>
        <w:t>See</w:t>
      </w:r>
      <w:r>
        <w:t xml:space="preserve"> CTL Response to Informal Complaint No. 5966578 (Jan. 23, 2023) (</w:t>
      </w:r>
      <w:r w:rsidRPr="006B5B05">
        <w:rPr>
          <w:i/>
          <w:iCs/>
        </w:rPr>
        <w:t>CTL Response</w:t>
      </w:r>
      <w:r>
        <w:t>).</w:t>
      </w:r>
    </w:p>
  </w:footnote>
  <w:footnote w:id="11">
    <w:p w:rsidR="00577A87" w14:paraId="4E31C61C" w14:textId="525147B9">
      <w:pPr>
        <w:pStyle w:val="FootnoteText"/>
      </w:pPr>
      <w:r>
        <w:rPr>
          <w:rStyle w:val="FootnoteReference"/>
        </w:rPr>
        <w:footnoteRef/>
      </w:r>
      <w:r>
        <w:t xml:space="preserve"> </w:t>
      </w:r>
      <w:r w:rsidRPr="00577A87">
        <w:rPr>
          <w:i/>
          <w:iCs/>
        </w:rPr>
        <w:t>Id.</w:t>
      </w:r>
    </w:p>
  </w:footnote>
  <w:footnote w:id="12">
    <w:p w:rsidR="003A5B5A" w:rsidP="00DD475C" w14:paraId="717A01DD" w14:textId="207F58D8">
      <w:pPr>
        <w:pStyle w:val="FootnoteText"/>
        <w:spacing w:after="120"/>
      </w:pPr>
      <w:r>
        <w:rPr>
          <w:rStyle w:val="FootnoteReference"/>
        </w:rPr>
        <w:footnoteRef/>
      </w:r>
      <w:r>
        <w:t xml:space="preserve"> </w:t>
      </w:r>
      <w:r w:rsidRPr="00622CD2">
        <w:rPr>
          <w:i/>
        </w:rPr>
        <w:t>See</w:t>
      </w:r>
      <w:r>
        <w:rPr>
          <w:i/>
        </w:rPr>
        <w:t xml:space="preserve"> </w:t>
      </w:r>
      <w:r>
        <w:t xml:space="preserve">47 CFR </w:t>
      </w:r>
      <w:r w:rsidRPr="00F86B2C">
        <w:t>§</w:t>
      </w:r>
      <w:r>
        <w:t xml:space="preserve"> 64.1120(c)(3)(iv).</w:t>
      </w:r>
      <w:r w:rsidR="006B5B05">
        <w:t xml:space="preserve">  CTL also stated that it cancelled Compl</w:t>
      </w:r>
      <w:r w:rsidR="002520A9">
        <w:t>ai</w:t>
      </w:r>
      <w:r w:rsidR="006B5B05">
        <w:t xml:space="preserve">nant’s account and issued a full credit.  </w:t>
      </w:r>
      <w:r w:rsidRPr="006B5B05" w:rsidR="006B5B05">
        <w:rPr>
          <w:i/>
          <w:iCs/>
        </w:rPr>
        <w:t>See CTL Response</w:t>
      </w:r>
      <w:r w:rsidR="006B5B05">
        <w:t xml:space="preserve"> at 1.</w:t>
      </w:r>
    </w:p>
  </w:footnote>
  <w:footnote w:id="13">
    <w:p w:rsidR="00EC4494" w:rsidP="00DD475C" w14:paraId="30975A84" w14:textId="23A716F7">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19D23D8A">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w:t>
    </w:r>
    <w:r w:rsidR="00CE5ED5">
      <w:rPr>
        <w:b/>
        <w:spacing w:val="-2"/>
      </w:rPr>
      <w:t>3</w:t>
    </w:r>
    <w:r>
      <w:rPr>
        <w:b/>
        <w:spacing w:val="-2"/>
      </w:rPr>
      <w:t>-</w:t>
    </w:r>
    <w:r w:rsidR="00F800BD">
      <w:rPr>
        <w:b/>
        <w:spacing w:val="-2"/>
      </w:rPr>
      <w:t>85</w:t>
    </w:r>
  </w:p>
  <w:p w:rsidR="00EC4494" w14:paraId="357893A2" w14:textId="3192C57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15A83E5A">
    <w:pPr>
      <w:pStyle w:val="Header"/>
      <w:pBdr>
        <w:bottom w:val="single" w:sz="12" w:space="1" w:color="auto"/>
      </w:pBdr>
      <w:rPr>
        <w:b w:val="0"/>
      </w:rPr>
    </w:pPr>
    <w:r>
      <w:tab/>
      <w:t>Federal</w:t>
    </w:r>
    <w:r w:rsidR="00385691">
      <w:t xml:space="preserve"> Communications Commission</w:t>
    </w:r>
    <w:r w:rsidR="00385691">
      <w:tab/>
      <w:t xml:space="preserve">DA </w:t>
    </w:r>
    <w:r w:rsidR="0011768C">
      <w:t>2</w:t>
    </w:r>
    <w:r w:rsidR="00CE5ED5">
      <w:t>3</w:t>
    </w:r>
    <w:r>
      <w:t>-</w:t>
    </w:r>
    <w:r w:rsidR="00F800BD">
      <w:t>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228F2"/>
    <w:rsid w:val="00023C8E"/>
    <w:rsid w:val="0002797A"/>
    <w:rsid w:val="00034B5F"/>
    <w:rsid w:val="000436C2"/>
    <w:rsid w:val="0005108E"/>
    <w:rsid w:val="000609D0"/>
    <w:rsid w:val="000715F6"/>
    <w:rsid w:val="000B7A45"/>
    <w:rsid w:val="000C5F32"/>
    <w:rsid w:val="000D6FF3"/>
    <w:rsid w:val="000E6D51"/>
    <w:rsid w:val="00111598"/>
    <w:rsid w:val="00113639"/>
    <w:rsid w:val="00113FE4"/>
    <w:rsid w:val="0011768C"/>
    <w:rsid w:val="001204B1"/>
    <w:rsid w:val="00120529"/>
    <w:rsid w:val="001402F5"/>
    <w:rsid w:val="00140317"/>
    <w:rsid w:val="001414E3"/>
    <w:rsid w:val="00142D97"/>
    <w:rsid w:val="00162727"/>
    <w:rsid w:val="001717CE"/>
    <w:rsid w:val="00190163"/>
    <w:rsid w:val="00195161"/>
    <w:rsid w:val="001A0861"/>
    <w:rsid w:val="001A7A2C"/>
    <w:rsid w:val="001C36B6"/>
    <w:rsid w:val="001C67AE"/>
    <w:rsid w:val="001E4CAB"/>
    <w:rsid w:val="001E68F1"/>
    <w:rsid w:val="001F2E5C"/>
    <w:rsid w:val="001F4128"/>
    <w:rsid w:val="001F52FE"/>
    <w:rsid w:val="002137D1"/>
    <w:rsid w:val="0021434E"/>
    <w:rsid w:val="002354D5"/>
    <w:rsid w:val="002357D3"/>
    <w:rsid w:val="00236AA1"/>
    <w:rsid w:val="00236EDD"/>
    <w:rsid w:val="00237BAA"/>
    <w:rsid w:val="002431FD"/>
    <w:rsid w:val="002439C1"/>
    <w:rsid w:val="002479AB"/>
    <w:rsid w:val="002520A9"/>
    <w:rsid w:val="00265A91"/>
    <w:rsid w:val="00283DF4"/>
    <w:rsid w:val="002960A7"/>
    <w:rsid w:val="002A3B0B"/>
    <w:rsid w:val="002C332E"/>
    <w:rsid w:val="002F4B88"/>
    <w:rsid w:val="00307BB1"/>
    <w:rsid w:val="00310BAA"/>
    <w:rsid w:val="00313EF3"/>
    <w:rsid w:val="0031706B"/>
    <w:rsid w:val="003427C1"/>
    <w:rsid w:val="00353700"/>
    <w:rsid w:val="00360D54"/>
    <w:rsid w:val="00374D56"/>
    <w:rsid w:val="00385691"/>
    <w:rsid w:val="00392549"/>
    <w:rsid w:val="00396F88"/>
    <w:rsid w:val="003A1EBA"/>
    <w:rsid w:val="003A5B5A"/>
    <w:rsid w:val="003C5092"/>
    <w:rsid w:val="003D32F8"/>
    <w:rsid w:val="003E5B69"/>
    <w:rsid w:val="003F7602"/>
    <w:rsid w:val="003F7D44"/>
    <w:rsid w:val="00422B9B"/>
    <w:rsid w:val="00454DF3"/>
    <w:rsid w:val="0047594E"/>
    <w:rsid w:val="004914A3"/>
    <w:rsid w:val="004A1686"/>
    <w:rsid w:val="004A400A"/>
    <w:rsid w:val="004C3D84"/>
    <w:rsid w:val="004C7040"/>
    <w:rsid w:val="00510F6C"/>
    <w:rsid w:val="005265B9"/>
    <w:rsid w:val="005561FD"/>
    <w:rsid w:val="00563A90"/>
    <w:rsid w:val="00566D7F"/>
    <w:rsid w:val="00572754"/>
    <w:rsid w:val="005772B2"/>
    <w:rsid w:val="00577A87"/>
    <w:rsid w:val="00586E06"/>
    <w:rsid w:val="005A6A46"/>
    <w:rsid w:val="005B2F11"/>
    <w:rsid w:val="005B796C"/>
    <w:rsid w:val="005C203E"/>
    <w:rsid w:val="005C4098"/>
    <w:rsid w:val="005D03A5"/>
    <w:rsid w:val="005D78D7"/>
    <w:rsid w:val="005E78CA"/>
    <w:rsid w:val="00622CD2"/>
    <w:rsid w:val="00623693"/>
    <w:rsid w:val="00623E7A"/>
    <w:rsid w:val="0062716E"/>
    <w:rsid w:val="0063192B"/>
    <w:rsid w:val="00676CB9"/>
    <w:rsid w:val="00685FD6"/>
    <w:rsid w:val="00697A80"/>
    <w:rsid w:val="006B0F44"/>
    <w:rsid w:val="006B5B05"/>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C3627"/>
    <w:rsid w:val="007D2B0E"/>
    <w:rsid w:val="007D7FBB"/>
    <w:rsid w:val="007E0B90"/>
    <w:rsid w:val="007E5AF2"/>
    <w:rsid w:val="008101C7"/>
    <w:rsid w:val="00816066"/>
    <w:rsid w:val="0083033B"/>
    <w:rsid w:val="00831E67"/>
    <w:rsid w:val="00836C88"/>
    <w:rsid w:val="00857FBE"/>
    <w:rsid w:val="00870845"/>
    <w:rsid w:val="00876880"/>
    <w:rsid w:val="008E6C8C"/>
    <w:rsid w:val="008F1B97"/>
    <w:rsid w:val="008F47DB"/>
    <w:rsid w:val="008F4E04"/>
    <w:rsid w:val="00901A56"/>
    <w:rsid w:val="00916312"/>
    <w:rsid w:val="00927544"/>
    <w:rsid w:val="00941EA5"/>
    <w:rsid w:val="0097045E"/>
    <w:rsid w:val="0097482E"/>
    <w:rsid w:val="00983C4E"/>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E60"/>
    <w:rsid w:val="00A52236"/>
    <w:rsid w:val="00A574EA"/>
    <w:rsid w:val="00A6088E"/>
    <w:rsid w:val="00A728EC"/>
    <w:rsid w:val="00A75410"/>
    <w:rsid w:val="00A75458"/>
    <w:rsid w:val="00A841B1"/>
    <w:rsid w:val="00AA548C"/>
    <w:rsid w:val="00AD1EE9"/>
    <w:rsid w:val="00AD583F"/>
    <w:rsid w:val="00AE2D7C"/>
    <w:rsid w:val="00B0254C"/>
    <w:rsid w:val="00B030B5"/>
    <w:rsid w:val="00B25D8D"/>
    <w:rsid w:val="00B329ED"/>
    <w:rsid w:val="00B46EF1"/>
    <w:rsid w:val="00B46FCC"/>
    <w:rsid w:val="00B47339"/>
    <w:rsid w:val="00B6689F"/>
    <w:rsid w:val="00B76E26"/>
    <w:rsid w:val="00BA0244"/>
    <w:rsid w:val="00BC643E"/>
    <w:rsid w:val="00BD2451"/>
    <w:rsid w:val="00C04D95"/>
    <w:rsid w:val="00C12167"/>
    <w:rsid w:val="00C335BA"/>
    <w:rsid w:val="00C3654F"/>
    <w:rsid w:val="00C403BC"/>
    <w:rsid w:val="00C447BD"/>
    <w:rsid w:val="00C5129C"/>
    <w:rsid w:val="00C53380"/>
    <w:rsid w:val="00C81A17"/>
    <w:rsid w:val="00C96705"/>
    <w:rsid w:val="00CA575D"/>
    <w:rsid w:val="00CB11F0"/>
    <w:rsid w:val="00CB1F6D"/>
    <w:rsid w:val="00CD65A9"/>
    <w:rsid w:val="00CD6BB8"/>
    <w:rsid w:val="00CE40AE"/>
    <w:rsid w:val="00CE5ED5"/>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475C"/>
    <w:rsid w:val="00DD5275"/>
    <w:rsid w:val="00DE04F2"/>
    <w:rsid w:val="00DE1F08"/>
    <w:rsid w:val="00DE60CD"/>
    <w:rsid w:val="00E0746D"/>
    <w:rsid w:val="00E12641"/>
    <w:rsid w:val="00E12DF2"/>
    <w:rsid w:val="00E35C29"/>
    <w:rsid w:val="00E430A7"/>
    <w:rsid w:val="00E54D57"/>
    <w:rsid w:val="00E62B5D"/>
    <w:rsid w:val="00E67930"/>
    <w:rsid w:val="00E84E6A"/>
    <w:rsid w:val="00E852C7"/>
    <w:rsid w:val="00E86E1E"/>
    <w:rsid w:val="00E961F6"/>
    <w:rsid w:val="00EA795E"/>
    <w:rsid w:val="00EB38E9"/>
    <w:rsid w:val="00EC408A"/>
    <w:rsid w:val="00EC4494"/>
    <w:rsid w:val="00EC75FC"/>
    <w:rsid w:val="00EF15C3"/>
    <w:rsid w:val="00F416D5"/>
    <w:rsid w:val="00F7752B"/>
    <w:rsid w:val="00F800BD"/>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1F64D1"/>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