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F0875" w14:paraId="6E2C9968" w14:textId="77777777">
      <w:pPr>
        <w:jc w:val="right"/>
        <w:rPr>
          <w:sz w:val="24"/>
        </w:rPr>
      </w:pPr>
    </w:p>
    <w:p w:rsidR="00DB2CA7" w:rsidP="00DB2CA7" w14:paraId="347CF6DE" w14:textId="39178076">
      <w:pPr>
        <w:jc w:val="right"/>
        <w:rPr>
          <w:b/>
          <w:sz w:val="24"/>
        </w:rPr>
      </w:pPr>
      <w:r>
        <w:rPr>
          <w:b/>
          <w:sz w:val="24"/>
        </w:rPr>
        <w:t>DA 23-</w:t>
      </w:r>
      <w:r>
        <w:rPr>
          <w:b/>
          <w:sz w:val="24"/>
        </w:rPr>
        <w:t>862</w:t>
      </w:r>
    </w:p>
    <w:p w:rsidR="00382861" w:rsidP="00DB2CA7" w14:paraId="12D5030B" w14:textId="2A0C49EE">
      <w:pPr>
        <w:jc w:val="right"/>
        <w:rPr>
          <w:b/>
          <w:sz w:val="24"/>
        </w:rPr>
      </w:pPr>
      <w:r>
        <w:rPr>
          <w:b/>
          <w:sz w:val="24"/>
        </w:rPr>
        <w:t xml:space="preserve">Released:  </w:t>
      </w:r>
      <w:r w:rsidR="00663638">
        <w:rPr>
          <w:b/>
          <w:sz w:val="24"/>
        </w:rPr>
        <w:t xml:space="preserve">September </w:t>
      </w:r>
      <w:r w:rsidR="00BD0049">
        <w:rPr>
          <w:b/>
          <w:sz w:val="24"/>
        </w:rPr>
        <w:t>18</w:t>
      </w:r>
      <w:r>
        <w:rPr>
          <w:b/>
          <w:sz w:val="24"/>
        </w:rPr>
        <w:t>, 2023</w:t>
      </w:r>
    </w:p>
    <w:p w:rsidR="00382861" w:rsidP="00382861" w14:paraId="10E289CD" w14:textId="77777777">
      <w:pPr>
        <w:jc w:val="right"/>
        <w:rPr>
          <w:sz w:val="24"/>
        </w:rPr>
      </w:pPr>
    </w:p>
    <w:p w:rsidR="00382861" w:rsidP="00382861" w14:paraId="5DCD37EA" w14:textId="77777777">
      <w:pPr>
        <w:jc w:val="right"/>
        <w:rPr>
          <w:sz w:val="24"/>
        </w:rPr>
      </w:pPr>
    </w:p>
    <w:p w:rsidR="00663638" w:rsidP="00663638" w14:paraId="14C9F11C" w14:textId="28E11FB7">
      <w:pPr>
        <w:jc w:val="center"/>
        <w:rPr>
          <w:b/>
          <w:bCs/>
        </w:rPr>
      </w:pPr>
      <w:r w:rsidRPr="00DA622C">
        <w:rPr>
          <w:b/>
          <w:bCs/>
        </w:rPr>
        <w:t xml:space="preserve">MEDIA BUREAU </w:t>
      </w:r>
      <w:r>
        <w:rPr>
          <w:b/>
          <w:bCs/>
        </w:rPr>
        <w:t xml:space="preserve">REMINDS BROADCASTERS OF UPCOMING WINDOW FOR FILING </w:t>
      </w:r>
      <w:r w:rsidRPr="00DA622C">
        <w:rPr>
          <w:b/>
          <w:bCs/>
        </w:rPr>
        <w:t>BIENNIAL OWNERSHIP REPORT</w:t>
      </w:r>
      <w:r>
        <w:rPr>
          <w:b/>
          <w:bCs/>
        </w:rPr>
        <w:t>S</w:t>
      </w:r>
      <w:r w:rsidRPr="00DA622C">
        <w:rPr>
          <w:b/>
          <w:bCs/>
        </w:rPr>
        <w:t xml:space="preserve"> </w:t>
      </w:r>
    </w:p>
    <w:p w:rsidR="00663638" w:rsidP="00663638" w14:paraId="223375B9" w14:textId="77777777">
      <w:pPr>
        <w:jc w:val="center"/>
        <w:rPr>
          <w:b/>
          <w:bCs/>
        </w:rPr>
      </w:pPr>
    </w:p>
    <w:p w:rsidR="00663638" w:rsidP="00663638" w14:paraId="2B37F6AD" w14:textId="5CDA8D77">
      <w:pPr>
        <w:jc w:val="center"/>
        <w:rPr>
          <w:b/>
          <w:bCs/>
        </w:rPr>
      </w:pPr>
      <w:r>
        <w:rPr>
          <w:b/>
          <w:bCs/>
        </w:rPr>
        <w:t>Filing Window Opens on October 2, 2023</w:t>
      </w:r>
    </w:p>
    <w:p w:rsidR="00382861" w:rsidP="00382861" w14:paraId="4CF4DA7F" w14:textId="77777777">
      <w:pPr>
        <w:rPr>
          <w:sz w:val="24"/>
        </w:rPr>
      </w:pPr>
    </w:p>
    <w:p w:rsidR="00663638" w:rsidP="00663638" w14:paraId="0E5F512C" w14:textId="1E266BBB">
      <w:pPr>
        <w:ind w:firstLine="720"/>
      </w:pPr>
      <w:r w:rsidRPr="00927E48">
        <w:t xml:space="preserve">By this </w:t>
      </w:r>
      <w:r>
        <w:t>Public N</w:t>
      </w:r>
      <w:r w:rsidRPr="00927E48">
        <w:t>otice, the Media Bureau reminds commercial and noncommercial broadcasters of their upcoming obligation to file 202</w:t>
      </w:r>
      <w:r>
        <w:t>3</w:t>
      </w:r>
      <w:r w:rsidRPr="00927E48">
        <w:t xml:space="preserve"> biennial ownership report</w:t>
      </w:r>
      <w:r>
        <w:t>s on FCC Form 323 or 323-E, respectively</w:t>
      </w:r>
      <w:r w:rsidRPr="00927E48">
        <w:t xml:space="preserve">. </w:t>
      </w:r>
      <w:r>
        <w:t xml:space="preserve"> </w:t>
      </w:r>
      <w:r w:rsidRPr="00927E48">
        <w:t xml:space="preserve">The broadcast ownership report filing window will open on October </w:t>
      </w:r>
      <w:r w:rsidR="005B1462">
        <w:t>2</w:t>
      </w:r>
      <w:r w:rsidRPr="00927E48">
        <w:t>, 202</w:t>
      </w:r>
      <w:r w:rsidR="00C02A46">
        <w:t>3</w:t>
      </w:r>
      <w:r w:rsidRPr="00927E48">
        <w:t xml:space="preserve">, and all reports must be </w:t>
      </w:r>
      <w:r>
        <w:t xml:space="preserve">submitted </w:t>
      </w:r>
      <w:r w:rsidRPr="00927E48">
        <w:t>by December 1, 202</w:t>
      </w:r>
      <w:r>
        <w:t>3</w:t>
      </w:r>
      <w:r w:rsidRPr="00927E48">
        <w:t>.</w:t>
      </w:r>
      <w:r>
        <w:rPr>
          <w:rStyle w:val="FootnoteReference"/>
        </w:rPr>
        <w:footnoteReference w:id="3"/>
      </w:r>
      <w:r w:rsidRPr="00927E48">
        <w:t xml:space="preserve"> </w:t>
      </w:r>
    </w:p>
    <w:p w:rsidR="00663638" w:rsidP="00663638" w14:paraId="79B9B157" w14:textId="77777777">
      <w:pPr>
        <w:ind w:firstLine="720"/>
      </w:pPr>
    </w:p>
    <w:p w:rsidR="00663638" w:rsidP="00663638" w14:paraId="63D544D3" w14:textId="10FDCCA8">
      <w:pPr>
        <w:ind w:firstLine="720"/>
      </w:pPr>
      <w:r w:rsidRPr="001A2B82">
        <w:t>Pursuant to the Commission’s rules, licensees of commercial and non-commercial full power television, Class A television, low power television, AM radio, and FM radio stations must file biennial ownership reports with the Commission in odd-numbered years.</w:t>
      </w:r>
      <w:r>
        <w:rPr>
          <w:vertAlign w:val="superscript"/>
        </w:rPr>
        <w:footnoteReference w:id="4"/>
      </w:r>
      <w:r w:rsidRPr="001A2B82">
        <w:t xml:space="preserve">  </w:t>
      </w:r>
      <w:r>
        <w:t>Information contained in this year’s b</w:t>
      </w:r>
      <w:r w:rsidRPr="001A2B82">
        <w:t xml:space="preserve">iennial ownership reports must </w:t>
      </w:r>
      <w:r>
        <w:t>be c</w:t>
      </w:r>
      <w:r w:rsidRPr="001A2B82">
        <w:t>urrent as of October 1</w:t>
      </w:r>
      <w:r>
        <w:t>, 2023</w:t>
      </w:r>
      <w:r w:rsidRPr="001A2B82">
        <w:t>.</w:t>
      </w:r>
      <w:r>
        <w:rPr>
          <w:rStyle w:val="FootnoteReference"/>
        </w:rPr>
        <w:footnoteReference w:id="5"/>
      </w:r>
      <w:r w:rsidRPr="001A2B82">
        <w:t xml:space="preserve"> </w:t>
      </w:r>
      <w:r>
        <w:t xml:space="preserve"> R</w:t>
      </w:r>
      <w:r w:rsidRPr="001A2B82">
        <w:t>eports must provide all information required by, and comply with all requirements set forth in, the current version of the relevant broadcast ownership report form (FCC Form 323 or 323-E).</w:t>
      </w:r>
      <w:r>
        <w:rPr>
          <w:rStyle w:val="FootnoteReference"/>
        </w:rPr>
        <w:footnoteReference w:id="6"/>
      </w:r>
      <w:r w:rsidRPr="001A2B82">
        <w:t xml:space="preserve">  </w:t>
      </w:r>
    </w:p>
    <w:p w:rsidR="00663638" w:rsidP="00663638" w14:paraId="07BE33FD" w14:textId="77777777">
      <w:pPr>
        <w:ind w:firstLine="720"/>
      </w:pPr>
    </w:p>
    <w:p w:rsidR="00663638" w:rsidRPr="001A2B82" w:rsidP="00663638" w14:paraId="26DD2284" w14:textId="73A0F084">
      <w:pPr>
        <w:ind w:firstLine="720"/>
      </w:pPr>
      <w:r>
        <w:t>We remind stations that r</w:t>
      </w:r>
      <w:r w:rsidRPr="001A2B82">
        <w:t xml:space="preserve">eporting </w:t>
      </w:r>
      <w:r>
        <w:t>ownership</w:t>
      </w:r>
      <w:r w:rsidRPr="001A2B82">
        <w:t xml:space="preserve"> information has long been a fundamental obligation of broadcast licensees.</w:t>
      </w:r>
      <w:r>
        <w:rPr>
          <w:vertAlign w:val="superscript"/>
        </w:rPr>
        <w:footnoteReference w:id="7"/>
      </w:r>
      <w:r w:rsidRPr="001A2B82">
        <w:t xml:space="preserve">  The accurate and timely filing of </w:t>
      </w:r>
      <w:r>
        <w:t>such</w:t>
      </w:r>
      <w:r w:rsidRPr="001A2B82">
        <w:t xml:space="preserve"> information is critical to ensuring that the </w:t>
      </w:r>
      <w:r>
        <w:t xml:space="preserve">Commission and the </w:t>
      </w:r>
      <w:r w:rsidRPr="001A2B82">
        <w:t xml:space="preserve">public know who owns, operates, and controls broadcast stations.  Additionally, </w:t>
      </w:r>
      <w:r>
        <w:t>such</w:t>
      </w:r>
      <w:r w:rsidRPr="001A2B82">
        <w:t xml:space="preserve"> ownership information is crucial to an understanding of the broadcast industry as a whole, including an understanding of the diversity and multiplicity of owners.</w:t>
      </w:r>
      <w:r>
        <w:t xml:space="preserve">  </w:t>
      </w:r>
      <w:bookmarkStart w:id="1" w:name="_Hlk81908112"/>
      <w:r w:rsidRPr="00A031CB">
        <w:t>Given the importance of the biennial ownership reporting requirement, we encourage licensees</w:t>
      </w:r>
      <w:r>
        <w:t xml:space="preserve"> to prepare accordingly and to file their reports during the designated window.</w:t>
      </w:r>
      <w:bookmarkEnd w:id="1"/>
      <w:r>
        <w:t xml:space="preserve">  C</w:t>
      </w:r>
      <w:r w:rsidRPr="00A031CB">
        <w:t xml:space="preserve">ommission staff may pursue </w:t>
      </w:r>
      <w:r>
        <w:t xml:space="preserve">enforcement </w:t>
      </w:r>
      <w:r w:rsidRPr="00A031CB">
        <w:t xml:space="preserve">action against licensees that fail to file </w:t>
      </w:r>
      <w:r>
        <w:t>t</w:t>
      </w:r>
      <w:r w:rsidRPr="00A031CB">
        <w:t>heir biennial ownership reports</w:t>
      </w:r>
      <w:r>
        <w:t xml:space="preserve"> in a timely or complete manner. </w:t>
      </w:r>
    </w:p>
    <w:p w:rsidR="00663638" w:rsidP="00663638" w14:paraId="0C81DEE0" w14:textId="77777777">
      <w:pPr>
        <w:ind w:firstLine="720"/>
      </w:pPr>
    </w:p>
    <w:p w:rsidR="007E1E82" w:rsidP="007E1E82" w14:paraId="516A3E45" w14:textId="2CE30D96">
      <w:pPr>
        <w:ind w:firstLine="720"/>
        <w:rPr>
          <w:szCs w:val="22"/>
        </w:rPr>
      </w:pPr>
      <w:r>
        <w:t xml:space="preserve">Further information about biennial ownership reports, including answers to frequently asked questions and links to replays of past ownership report information sessions, is available on the </w:t>
      </w:r>
      <w:r>
        <w:rPr>
          <w:szCs w:val="22"/>
        </w:rPr>
        <w:t>Commission</w:t>
      </w:r>
      <w:r w:rsidRPr="00927E48">
        <w:rPr>
          <w:szCs w:val="22"/>
        </w:rPr>
        <w:t>’s web page at</w:t>
      </w:r>
      <w:r>
        <w:rPr>
          <w:szCs w:val="22"/>
        </w:rPr>
        <w:t xml:space="preserve"> </w:t>
      </w:r>
      <w:hyperlink r:id="rId5" w:history="1">
        <w:r w:rsidRPr="00575BAA">
          <w:rPr>
            <w:rStyle w:val="Hyperlink"/>
            <w:szCs w:val="22"/>
          </w:rPr>
          <w:t>www.fcc.gov/media/ownership-report-commercial-broadcast-station-form-323</w:t>
        </w:r>
      </w:hyperlink>
      <w:r>
        <w:rPr>
          <w:szCs w:val="22"/>
        </w:rPr>
        <w:t>.</w:t>
      </w:r>
    </w:p>
    <w:p w:rsidR="007E1E82" w:rsidP="007E1E82" w14:paraId="17422581" w14:textId="77777777">
      <w:pPr>
        <w:ind w:firstLine="720"/>
        <w:rPr>
          <w:szCs w:val="22"/>
        </w:rPr>
      </w:pPr>
    </w:p>
    <w:p w:rsidR="00663638" w:rsidRPr="00927E48" w:rsidP="00663638" w14:paraId="039323A8" w14:textId="77777777"/>
    <w:p w:rsidR="00663638" w:rsidRPr="00995773" w:rsidP="00663638" w14:paraId="3ECB951C" w14:textId="741AE206">
      <w:pPr>
        <w:ind w:firstLine="720"/>
        <w:rPr>
          <w:b/>
          <w:bCs/>
          <w:szCs w:val="22"/>
        </w:rPr>
      </w:pPr>
      <w:r w:rsidRPr="00927E48">
        <w:t xml:space="preserve">For additional information, please send an email to </w:t>
      </w:r>
      <w:hyperlink r:id="rId6" w:history="1">
        <w:r w:rsidRPr="00927E48">
          <w:rPr>
            <w:rStyle w:val="Hyperlink"/>
          </w:rPr>
          <w:t>form323@fcc.gov</w:t>
        </w:r>
      </w:hyperlink>
      <w:r w:rsidRPr="00927E48">
        <w:t xml:space="preserve">. </w:t>
      </w:r>
    </w:p>
    <w:p w:rsidR="00382861" w:rsidP="00382861" w14:paraId="42E9CB8B" w14:textId="77777777">
      <w:pPr>
        <w:rPr>
          <w:sz w:val="24"/>
        </w:rPr>
      </w:pPr>
      <w:r>
        <w:rPr>
          <w:sz w:val="24"/>
        </w:rPr>
        <w:t xml:space="preserve"> </w:t>
      </w:r>
    </w:p>
    <w:p w:rsidR="00382861" w:rsidP="00382861" w14:paraId="1E325D14" w14:textId="77777777">
      <w:pPr>
        <w:rPr>
          <w:sz w:val="24"/>
        </w:rPr>
      </w:pPr>
    </w:p>
    <w:p w:rsidR="00382861" w:rsidRPr="001B641F" w:rsidP="00382861" w14:paraId="0D2989FB" w14:textId="77777777">
      <w:pPr>
        <w:jc w:val="center"/>
        <w:rPr>
          <w:b/>
          <w:bCs/>
          <w:sz w:val="24"/>
        </w:rPr>
      </w:pPr>
      <w:r w:rsidRPr="001B641F">
        <w:rPr>
          <w:b/>
          <w:bCs/>
          <w:sz w:val="24"/>
        </w:rPr>
        <w:t>– FCC –</w:t>
      </w:r>
    </w:p>
    <w:p w:rsidR="00C554A6" w:rsidP="00382861" w14:paraId="0DC183A5" w14:textId="6021FE8C">
      <w:pPr>
        <w:jc w:val="right"/>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2A97755" w14:textId="77777777">
    <w:pPr>
      <w:pStyle w:val="Footer"/>
      <w:framePr w:wrap="around" w:vAnchor="text" w:hAnchor="margin" w:xAlign="center" w:y="1"/>
    </w:pPr>
    <w:r>
      <w:fldChar w:fldCharType="begin"/>
    </w:r>
    <w:r>
      <w:instrText xml:space="preserve">PAGE  </w:instrText>
    </w:r>
    <w:r w:rsidR="00DB2CA7">
      <w:fldChar w:fldCharType="separate"/>
    </w:r>
    <w:r>
      <w:fldChar w:fldCharType="end"/>
    </w:r>
  </w:p>
  <w:p w:rsidR="004F0875" w14:paraId="2A53D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6FE259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17F9BB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84E" w14:paraId="4F40A9D2" w14:textId="77777777">
      <w:r>
        <w:separator/>
      </w:r>
    </w:p>
  </w:footnote>
  <w:footnote w:type="continuationSeparator" w:id="1">
    <w:p w:rsidR="0078084E" w14:paraId="1B09A85D" w14:textId="77777777">
      <w:pPr>
        <w:rPr>
          <w:sz w:val="20"/>
        </w:rPr>
      </w:pPr>
      <w:r>
        <w:rPr>
          <w:sz w:val="20"/>
        </w:rPr>
        <w:t xml:space="preserve">(Continued from previous page)  </w:t>
      </w:r>
      <w:r>
        <w:rPr>
          <w:sz w:val="20"/>
        </w:rPr>
        <w:separator/>
      </w:r>
    </w:p>
  </w:footnote>
  <w:footnote w:type="continuationNotice" w:id="2">
    <w:p w:rsidR="0078084E" w14:paraId="1BD7F7E9" w14:textId="77777777">
      <w:pPr>
        <w:jc w:val="right"/>
        <w:rPr>
          <w:sz w:val="20"/>
        </w:rPr>
      </w:pPr>
      <w:r>
        <w:rPr>
          <w:sz w:val="20"/>
        </w:rPr>
        <w:t>(continued….)</w:t>
      </w:r>
    </w:p>
  </w:footnote>
  <w:footnote w:id="3">
    <w:p w:rsidR="00663638" w:rsidRPr="00320A63" w:rsidP="00663638" w14:paraId="23242C0A" w14:textId="77777777">
      <w:pPr>
        <w:pStyle w:val="FootnoteText"/>
      </w:pPr>
      <w:r w:rsidRPr="00320A63">
        <w:rPr>
          <w:rStyle w:val="FootnoteReference"/>
          <w:sz w:val="20"/>
        </w:rPr>
        <w:footnoteRef/>
      </w:r>
      <w:r w:rsidRPr="00320A63">
        <w:t xml:space="preserve"> </w:t>
      </w:r>
      <w:r w:rsidRPr="00320A63">
        <w:rPr>
          <w:i/>
          <w:iCs/>
        </w:rPr>
        <w:t>See</w:t>
      </w:r>
      <w:r w:rsidRPr="00320A63">
        <w:t xml:space="preserve"> 47 C.F.R. §§ 73.3615(a), (d); 73.6026; 74.797.</w:t>
      </w:r>
    </w:p>
  </w:footnote>
  <w:footnote w:id="4">
    <w:p w:rsidR="00663638" w:rsidRPr="00320A63" w:rsidP="00663638" w14:paraId="3DBA3F72" w14:textId="77777777">
      <w:pPr>
        <w:pStyle w:val="FootnoteText"/>
      </w:pPr>
      <w:r w:rsidRPr="00320A63">
        <w:rPr>
          <w:rStyle w:val="FootnoteReference"/>
          <w:sz w:val="20"/>
        </w:rPr>
        <w:footnoteRef/>
      </w:r>
      <w:r w:rsidRPr="00320A63">
        <w:t xml:space="preserve"> </w:t>
      </w:r>
      <w:bookmarkStart w:id="0" w:name="_Hlk72504917"/>
      <w:r w:rsidRPr="00320A63">
        <w:rPr>
          <w:i/>
          <w:iCs/>
        </w:rPr>
        <w:t xml:space="preserve">Id. </w:t>
      </w:r>
      <w:r w:rsidRPr="00320A63">
        <w:t>§§ 73.3615(a), (d); 73.6026; 74.797.</w:t>
      </w:r>
      <w:bookmarkEnd w:id="0"/>
    </w:p>
  </w:footnote>
  <w:footnote w:id="5">
    <w:p w:rsidR="00663638" w:rsidRPr="00320A63" w:rsidP="00663638" w14:paraId="2D20BAA7" w14:textId="77777777">
      <w:pPr>
        <w:pStyle w:val="FootnoteText"/>
      </w:pPr>
      <w:r w:rsidRPr="00320A63">
        <w:rPr>
          <w:rStyle w:val="FootnoteReference"/>
          <w:sz w:val="20"/>
        </w:rPr>
        <w:footnoteRef/>
      </w:r>
      <w:r w:rsidRPr="00320A63">
        <w:t xml:space="preserve"> </w:t>
      </w:r>
      <w:r w:rsidRPr="00320A63">
        <w:rPr>
          <w:i/>
          <w:iCs/>
        </w:rPr>
        <w:t>Id.</w:t>
      </w:r>
      <w:r w:rsidRPr="00320A63">
        <w:t xml:space="preserve"> §§ 73.3615(a), (d); 74.797.  </w:t>
      </w:r>
    </w:p>
  </w:footnote>
  <w:footnote w:id="6">
    <w:p w:rsidR="00663638" w:rsidRPr="00320A63" w:rsidP="00663638" w14:paraId="5BA56205" w14:textId="77777777">
      <w:pPr>
        <w:pStyle w:val="FootnoteText"/>
      </w:pPr>
      <w:r w:rsidRPr="00320A63">
        <w:rPr>
          <w:rStyle w:val="FootnoteReference"/>
          <w:sz w:val="20"/>
        </w:rPr>
        <w:footnoteRef/>
      </w:r>
      <w:r w:rsidRPr="00320A63">
        <w:t xml:space="preserve"> </w:t>
      </w:r>
      <w:r w:rsidRPr="00320A63">
        <w:rPr>
          <w:i/>
          <w:iCs/>
        </w:rPr>
        <w:t>Id.</w:t>
      </w:r>
      <w:r w:rsidRPr="00320A63">
        <w:t xml:space="preserve"> §§ 73.3615(a), (d); 74.797.</w:t>
      </w:r>
    </w:p>
  </w:footnote>
  <w:footnote w:id="7">
    <w:p w:rsidR="00663638" w:rsidRPr="00320A63" w:rsidP="00663638" w14:paraId="72AE5359" w14:textId="139F85B9">
      <w:pPr>
        <w:pStyle w:val="FootnoteText"/>
      </w:pPr>
      <w:r w:rsidRPr="00320A63">
        <w:rPr>
          <w:rStyle w:val="FootnoteReference"/>
          <w:sz w:val="20"/>
        </w:rPr>
        <w:footnoteRef/>
      </w:r>
      <w:r w:rsidRPr="00320A63">
        <w:t xml:space="preserve"> We note further that a licensee must maintain its current ownership report in the station’s Online Public Inspection File, which is intended to “encourage a continuing dialogue between broadcasters and the public to ensure stations meet their obligations and remain responsive to the needs of the local community.”  </w:t>
      </w:r>
      <w:r w:rsidRPr="00320A63">
        <w:rPr>
          <w:color w:val="000000"/>
        </w:rPr>
        <w:t xml:space="preserve">Media Bureau, FCC, </w:t>
      </w:r>
      <w:r w:rsidRPr="00320A63">
        <w:rPr>
          <w:i/>
          <w:iCs/>
          <w:color w:val="000000"/>
        </w:rPr>
        <w:t>The Public and Broadcasting 2</w:t>
      </w:r>
      <w:r>
        <w:rPr>
          <w:i/>
          <w:iCs/>
          <w:color w:val="000000"/>
        </w:rPr>
        <w:t>8</w:t>
      </w:r>
      <w:r w:rsidRPr="00320A63">
        <w:rPr>
          <w:color w:val="000000"/>
        </w:rPr>
        <w:t xml:space="preserve"> (20</w:t>
      </w:r>
      <w:r>
        <w:rPr>
          <w:color w:val="000000"/>
        </w:rPr>
        <w:t>21</w:t>
      </w:r>
      <w:r w:rsidRPr="00320A63">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49" w14:paraId="48E907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80A69E8" w14:textId="72B7ECC9">
    <w:pPr>
      <w:tabs>
        <w:tab w:val="center" w:pos="4680"/>
        <w:tab w:val="right" w:pos="9360"/>
      </w:tabs>
    </w:pPr>
    <w:r>
      <w:rPr>
        <w:b/>
      </w:rPr>
      <w:tab/>
      <w:t>Federal Communications Commission</w:t>
    </w:r>
    <w:r>
      <w:rPr>
        <w:b/>
      </w:rPr>
      <w:tab/>
    </w:r>
    <w:r w:rsidR="00BD0049">
      <w:rPr>
        <w:b/>
      </w:rPr>
      <w:t>DA 23-</w:t>
    </w:r>
    <w:r w:rsidR="00DB2CA7">
      <w:rPr>
        <w:b/>
      </w:rPr>
      <w:t>862</w:t>
    </w:r>
    <w:r w:rsidR="00BD0049">
      <w:rPr>
        <w:b/>
      </w:rPr>
      <w:t>___</w:t>
    </w:r>
  </w:p>
  <w:p w:rsidR="004F0875" w14:paraId="028DB63D" w14:textId="669917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0875" w14:paraId="1194E42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0D37A0C" w14:textId="1C0FE851">
    <w:pPr>
      <w:pStyle w:val="Header"/>
    </w:pPr>
    <w:r>
      <w:rPr>
        <w:noProof/>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A6"/>
    <w:rsid w:val="00103DBE"/>
    <w:rsid w:val="001A2B82"/>
    <w:rsid w:val="001B641F"/>
    <w:rsid w:val="001D0938"/>
    <w:rsid w:val="001F02DD"/>
    <w:rsid w:val="0021336D"/>
    <w:rsid w:val="002367C4"/>
    <w:rsid w:val="00241ED0"/>
    <w:rsid w:val="002501BC"/>
    <w:rsid w:val="002B4444"/>
    <w:rsid w:val="00307EE2"/>
    <w:rsid w:val="00320A63"/>
    <w:rsid w:val="00322375"/>
    <w:rsid w:val="00382861"/>
    <w:rsid w:val="003A778A"/>
    <w:rsid w:val="004947CC"/>
    <w:rsid w:val="004D7A65"/>
    <w:rsid w:val="004F0875"/>
    <w:rsid w:val="005346AD"/>
    <w:rsid w:val="00554C78"/>
    <w:rsid w:val="00575BAA"/>
    <w:rsid w:val="005A75EB"/>
    <w:rsid w:val="005B1462"/>
    <w:rsid w:val="005B531B"/>
    <w:rsid w:val="00663638"/>
    <w:rsid w:val="00684C88"/>
    <w:rsid w:val="006F0E78"/>
    <w:rsid w:val="0078084E"/>
    <w:rsid w:val="00796355"/>
    <w:rsid w:val="007E19FA"/>
    <w:rsid w:val="007E1E82"/>
    <w:rsid w:val="008202F9"/>
    <w:rsid w:val="00873385"/>
    <w:rsid w:val="00877969"/>
    <w:rsid w:val="008F5C4D"/>
    <w:rsid w:val="00927E48"/>
    <w:rsid w:val="00950A4F"/>
    <w:rsid w:val="0095128C"/>
    <w:rsid w:val="00995773"/>
    <w:rsid w:val="009D5FD3"/>
    <w:rsid w:val="00A031CB"/>
    <w:rsid w:val="00A339E6"/>
    <w:rsid w:val="00A97226"/>
    <w:rsid w:val="00AB256D"/>
    <w:rsid w:val="00AB753F"/>
    <w:rsid w:val="00B01269"/>
    <w:rsid w:val="00B37CBB"/>
    <w:rsid w:val="00B72AD5"/>
    <w:rsid w:val="00BA0F38"/>
    <w:rsid w:val="00BB10D4"/>
    <w:rsid w:val="00BC1D86"/>
    <w:rsid w:val="00BD0049"/>
    <w:rsid w:val="00C02A46"/>
    <w:rsid w:val="00C554A6"/>
    <w:rsid w:val="00DA622C"/>
    <w:rsid w:val="00DB2CA7"/>
    <w:rsid w:val="00DD59EB"/>
    <w:rsid w:val="00E11DE9"/>
    <w:rsid w:val="00E56410"/>
    <w:rsid w:val="00EB66EE"/>
    <w:rsid w:val="00EC19F2"/>
    <w:rsid w:val="00EF0F44"/>
    <w:rsid w:val="00F84E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23989"/>
  <w15:chartTrackingRefBased/>
  <w15:docId w15:val="{FCEA23D2-BA4D-46B6-AA9C-EBAE3A5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A6"/>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emiHidden/>
    <w:rsid w:val="00C554A6"/>
  </w:style>
  <w:style w:type="character" w:styleId="FollowedHyperlink">
    <w:name w:val="FollowedHyperlink"/>
    <w:basedOn w:val="DefaultParagraphFont"/>
    <w:uiPriority w:val="99"/>
    <w:semiHidden/>
    <w:unhideWhenUsed/>
    <w:rsid w:val="00BA0F38"/>
    <w:rPr>
      <w:color w:val="954F72" w:themeColor="followedHyperlink"/>
      <w:u w:val="single"/>
    </w:rPr>
  </w:style>
  <w:style w:type="paragraph" w:styleId="Revision">
    <w:name w:val="Revision"/>
    <w:hidden/>
    <w:uiPriority w:val="99"/>
    <w:semiHidden/>
    <w:rsid w:val="00663638"/>
    <w:rPr>
      <w:sz w:val="22"/>
    </w:rPr>
  </w:style>
  <w:style w:type="character" w:styleId="CommentReference">
    <w:name w:val="annotation reference"/>
    <w:basedOn w:val="DefaultParagraphFont"/>
    <w:uiPriority w:val="99"/>
    <w:semiHidden/>
    <w:unhideWhenUsed/>
    <w:rsid w:val="00663638"/>
    <w:rPr>
      <w:sz w:val="16"/>
      <w:szCs w:val="16"/>
    </w:rPr>
  </w:style>
  <w:style w:type="paragraph" w:styleId="CommentText">
    <w:name w:val="annotation text"/>
    <w:basedOn w:val="Normal"/>
    <w:link w:val="CommentTextChar"/>
    <w:uiPriority w:val="99"/>
    <w:unhideWhenUsed/>
    <w:rsid w:val="00663638"/>
    <w:rPr>
      <w:sz w:val="20"/>
    </w:rPr>
  </w:style>
  <w:style w:type="character" w:customStyle="1" w:styleId="CommentTextChar">
    <w:name w:val="Comment Text Char"/>
    <w:basedOn w:val="DefaultParagraphFont"/>
    <w:link w:val="CommentText"/>
    <w:uiPriority w:val="99"/>
    <w:rsid w:val="00663638"/>
  </w:style>
  <w:style w:type="paragraph" w:styleId="CommentSubject">
    <w:name w:val="annotation subject"/>
    <w:basedOn w:val="CommentText"/>
    <w:next w:val="CommentText"/>
    <w:link w:val="CommentSubjectChar"/>
    <w:uiPriority w:val="99"/>
    <w:semiHidden/>
    <w:unhideWhenUsed/>
    <w:rsid w:val="00663638"/>
    <w:rPr>
      <w:b/>
      <w:bCs/>
    </w:rPr>
  </w:style>
  <w:style w:type="character" w:customStyle="1" w:styleId="CommentSubjectChar">
    <w:name w:val="Comment Subject Char"/>
    <w:basedOn w:val="CommentTextChar"/>
    <w:link w:val="CommentSubject"/>
    <w:uiPriority w:val="99"/>
    <w:semiHidden/>
    <w:rsid w:val="00663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media/ownership-report-commercial-broadcast-station-form-323" TargetMode="External" /><Relationship Id="rId6" Type="http://schemas.openxmlformats.org/officeDocument/2006/relationships/hyperlink" Target="mailto:form323@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