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RPr="0069050E" w:rsidP="00776DA6" w14:paraId="7FDD33D1" w14:textId="77777777">
      <w:pPr>
        <w:widowControl/>
        <w:jc w:val="center"/>
        <w:rPr>
          <w:b/>
        </w:rPr>
      </w:pPr>
      <w:r w:rsidRPr="0069050E">
        <w:rPr>
          <w:rFonts w:ascii="Times New Roman Bold" w:hAnsi="Times New Roman Bold"/>
          <w:b/>
          <w:kern w:val="0"/>
          <w:szCs w:val="22"/>
        </w:rPr>
        <w:t>Before</w:t>
      </w:r>
      <w:r w:rsidRPr="0069050E">
        <w:rPr>
          <w:b/>
        </w:rPr>
        <w:t xml:space="preserve"> the</w:t>
      </w:r>
    </w:p>
    <w:p w:rsidR="00E4677C" w:rsidRPr="0069050E" w:rsidP="00776DA6" w14:paraId="6419D35B" w14:textId="77777777">
      <w:pPr>
        <w:pStyle w:val="StyleBoldCentered"/>
        <w:widowControl/>
      </w:pPr>
      <w:r w:rsidRPr="0069050E">
        <w:t>F</w:t>
      </w:r>
      <w:r w:rsidRPr="0069050E">
        <w:rPr>
          <w:caps w:val="0"/>
        </w:rPr>
        <w:t>ederal Communications Commission</w:t>
      </w:r>
    </w:p>
    <w:p w:rsidR="00E4677C" w:rsidRPr="0069050E" w:rsidP="00776DA6" w14:paraId="4DCE42C4" w14:textId="77777777">
      <w:pPr>
        <w:pStyle w:val="StyleBoldCentered"/>
        <w:widowControl/>
      </w:pPr>
      <w:r w:rsidRPr="0069050E">
        <w:rPr>
          <w:caps w:val="0"/>
        </w:rPr>
        <w:t>Washington, D.C. 20554</w:t>
      </w:r>
    </w:p>
    <w:p w:rsidR="00E4677C" w:rsidRPr="0069050E" w:rsidP="00776DA6" w14:paraId="7CE44AF1" w14:textId="77777777">
      <w:pPr>
        <w:widowControl/>
      </w:pPr>
    </w:p>
    <w:p w:rsidR="00E4677C" w:rsidRPr="0069050E" w:rsidP="00776DA6" w14:paraId="5D1BF569" w14:textId="77777777">
      <w:pPr>
        <w:widowControl/>
      </w:pPr>
    </w:p>
    <w:tbl>
      <w:tblPr>
        <w:tblW w:w="0" w:type="auto"/>
        <w:tblLayout w:type="fixed"/>
        <w:tblLook w:val="0000"/>
      </w:tblPr>
      <w:tblGrid>
        <w:gridCol w:w="4698"/>
        <w:gridCol w:w="630"/>
        <w:gridCol w:w="4248"/>
      </w:tblGrid>
      <w:tr w14:paraId="2AFF1B0E" w14:textId="77777777" w:rsidTr="00292B7E">
        <w:tblPrEx>
          <w:tblW w:w="0" w:type="auto"/>
          <w:tblLayout w:type="fixed"/>
          <w:tblLook w:val="0000"/>
        </w:tblPrEx>
        <w:tc>
          <w:tcPr>
            <w:tcW w:w="4698" w:type="dxa"/>
          </w:tcPr>
          <w:p w:rsidR="00E4677C" w:rsidRPr="0069050E" w:rsidP="00776DA6" w14:paraId="14A2B2B6" w14:textId="77777777">
            <w:pPr>
              <w:widowControl/>
              <w:tabs>
                <w:tab w:val="center" w:pos="4680"/>
              </w:tabs>
              <w:suppressAutoHyphens/>
              <w:rPr>
                <w:spacing w:val="-2"/>
              </w:rPr>
            </w:pPr>
            <w:r w:rsidRPr="0069050E">
              <w:rPr>
                <w:spacing w:val="-2"/>
              </w:rPr>
              <w:t>In the Matter of</w:t>
            </w:r>
          </w:p>
          <w:p w:rsidR="00E4677C" w:rsidRPr="0069050E" w:rsidP="00776DA6" w14:paraId="40AEA35E" w14:textId="77777777">
            <w:pPr>
              <w:widowControl/>
              <w:tabs>
                <w:tab w:val="center" w:pos="4680"/>
              </w:tabs>
              <w:suppressAutoHyphens/>
              <w:rPr>
                <w:spacing w:val="-2"/>
              </w:rPr>
            </w:pPr>
          </w:p>
          <w:p w:rsidR="00E4677C" w:rsidRPr="0069050E" w:rsidP="00776DA6" w14:paraId="06BE3048" w14:textId="21AA39DF">
            <w:pPr>
              <w:widowControl/>
              <w:tabs>
                <w:tab w:val="center" w:pos="4680"/>
              </w:tabs>
              <w:suppressAutoHyphens/>
              <w:rPr>
                <w:spacing w:val="-2"/>
              </w:rPr>
            </w:pPr>
            <w:r w:rsidRPr="0069050E">
              <w:rPr>
                <w:spacing w:val="-2"/>
              </w:rPr>
              <w:t>O</w:t>
            </w:r>
            <w:r w:rsidRPr="0069050E" w:rsidR="002348C5">
              <w:rPr>
                <w:spacing w:val="-2"/>
              </w:rPr>
              <w:t>ne O</w:t>
            </w:r>
            <w:r w:rsidRPr="0069050E">
              <w:rPr>
                <w:spacing w:val="-2"/>
              </w:rPr>
              <w:t>wl Telecom Inc.</w:t>
            </w:r>
          </w:p>
        </w:tc>
        <w:tc>
          <w:tcPr>
            <w:tcW w:w="630" w:type="dxa"/>
          </w:tcPr>
          <w:p w:rsidR="00E4677C" w:rsidRPr="0069050E" w:rsidP="00776DA6" w14:paraId="494EF98C" w14:textId="77777777">
            <w:pPr>
              <w:widowControl/>
              <w:tabs>
                <w:tab w:val="center" w:pos="4680"/>
              </w:tabs>
              <w:suppressAutoHyphens/>
              <w:rPr>
                <w:b/>
                <w:spacing w:val="-2"/>
              </w:rPr>
            </w:pPr>
            <w:r w:rsidRPr="0069050E">
              <w:rPr>
                <w:b/>
                <w:spacing w:val="-2"/>
              </w:rPr>
              <w:t>)</w:t>
            </w:r>
          </w:p>
          <w:p w:rsidR="00E4677C" w:rsidRPr="0069050E" w:rsidP="00776DA6" w14:paraId="75C83CF5" w14:textId="77777777">
            <w:pPr>
              <w:widowControl/>
              <w:tabs>
                <w:tab w:val="center" w:pos="4680"/>
              </w:tabs>
              <w:suppressAutoHyphens/>
              <w:rPr>
                <w:b/>
                <w:spacing w:val="-2"/>
              </w:rPr>
            </w:pPr>
            <w:r w:rsidRPr="0069050E">
              <w:rPr>
                <w:b/>
                <w:spacing w:val="-2"/>
              </w:rPr>
              <w:t>)</w:t>
            </w:r>
          </w:p>
          <w:p w:rsidR="00E4677C" w:rsidRPr="0069050E" w:rsidP="00776DA6" w14:paraId="1DD77FB0" w14:textId="77777777">
            <w:pPr>
              <w:widowControl/>
              <w:tabs>
                <w:tab w:val="center" w:pos="4680"/>
              </w:tabs>
              <w:suppressAutoHyphens/>
              <w:rPr>
                <w:b/>
                <w:spacing w:val="-2"/>
              </w:rPr>
            </w:pPr>
            <w:r w:rsidRPr="0069050E">
              <w:rPr>
                <w:b/>
                <w:spacing w:val="-2"/>
              </w:rPr>
              <w:t>)</w:t>
            </w:r>
          </w:p>
          <w:p w:rsidR="00E4677C" w:rsidRPr="0069050E" w:rsidP="00776DA6" w14:paraId="6F4A4000" w14:textId="77777777">
            <w:pPr>
              <w:widowControl/>
              <w:tabs>
                <w:tab w:val="center" w:pos="4680"/>
              </w:tabs>
              <w:suppressAutoHyphens/>
              <w:rPr>
                <w:b/>
                <w:spacing w:val="-2"/>
              </w:rPr>
            </w:pPr>
            <w:r w:rsidRPr="0069050E">
              <w:rPr>
                <w:b/>
                <w:spacing w:val="-2"/>
              </w:rPr>
              <w:t>)</w:t>
            </w:r>
          </w:p>
          <w:p w:rsidR="006523E7" w:rsidRPr="0069050E" w:rsidP="00776DA6" w14:paraId="0E8641A1" w14:textId="77777777">
            <w:pPr>
              <w:widowControl/>
              <w:tabs>
                <w:tab w:val="center" w:pos="4680"/>
              </w:tabs>
              <w:suppressAutoHyphens/>
              <w:rPr>
                <w:b/>
                <w:spacing w:val="-2"/>
              </w:rPr>
            </w:pPr>
            <w:r w:rsidRPr="0069050E">
              <w:rPr>
                <w:b/>
                <w:spacing w:val="-2"/>
              </w:rPr>
              <w:t>)</w:t>
            </w:r>
          </w:p>
        </w:tc>
        <w:tc>
          <w:tcPr>
            <w:tcW w:w="4248" w:type="dxa"/>
          </w:tcPr>
          <w:p w:rsidR="00E4677C" w:rsidRPr="0069050E" w:rsidP="00776DA6" w14:paraId="4F907A41" w14:textId="77777777">
            <w:pPr>
              <w:widowControl/>
              <w:tabs>
                <w:tab w:val="center" w:pos="4680"/>
              </w:tabs>
              <w:suppressAutoHyphens/>
              <w:rPr>
                <w:spacing w:val="-2"/>
              </w:rPr>
            </w:pPr>
          </w:p>
          <w:p w:rsidR="00E4677C" w:rsidRPr="0069050E" w:rsidP="00776DA6" w14:paraId="74AEF55D" w14:textId="77777777">
            <w:pPr>
              <w:pStyle w:val="TOAHeading"/>
              <w:widowControl/>
              <w:tabs>
                <w:tab w:val="center" w:pos="4680"/>
                <w:tab w:val="clear" w:pos="9360"/>
              </w:tabs>
              <w:rPr>
                <w:spacing w:val="-2"/>
              </w:rPr>
            </w:pPr>
          </w:p>
          <w:p w:rsidR="00AA70D9" w:rsidRPr="0069050E" w:rsidP="00776DA6" w14:paraId="311A1BEE" w14:textId="55D6DFFC">
            <w:pPr>
              <w:widowControl/>
              <w:tabs>
                <w:tab w:val="center" w:pos="4680"/>
              </w:tabs>
              <w:suppressAutoHyphens/>
              <w:rPr>
                <w:spacing w:val="-2"/>
              </w:rPr>
            </w:pPr>
            <w:r w:rsidRPr="0069050E">
              <w:rPr>
                <w:spacing w:val="-2"/>
              </w:rPr>
              <w:t>EB-TCD-23-</w:t>
            </w:r>
            <w:r w:rsidRPr="0069050E" w:rsidR="005058EA">
              <w:rPr>
                <w:spacing w:val="-2"/>
              </w:rPr>
              <w:t>00035574</w:t>
            </w:r>
            <w:r w:rsidRPr="0069050E" w:rsidR="005058EA">
              <w:rPr>
                <w:spacing w:val="-2"/>
              </w:rPr>
              <w:t xml:space="preserve"> </w:t>
            </w:r>
          </w:p>
          <w:p w:rsidR="00C41F38" w:rsidRPr="0069050E" w:rsidP="00776DA6" w14:paraId="04CC41A5" w14:textId="09DAFC9F">
            <w:pPr>
              <w:widowControl/>
              <w:tabs>
                <w:tab w:val="center" w:pos="4680"/>
              </w:tabs>
              <w:suppressAutoHyphens/>
              <w:rPr>
                <w:spacing w:val="-2"/>
              </w:rPr>
            </w:pPr>
            <w:r w:rsidRPr="001707C5">
              <w:rPr>
                <w:spacing w:val="-2"/>
              </w:rPr>
              <w:t>EB Docket No. 22-174</w:t>
            </w:r>
          </w:p>
        </w:tc>
      </w:tr>
    </w:tbl>
    <w:p w:rsidR="00E4677C" w:rsidRPr="0069050E" w:rsidP="00776DA6" w14:paraId="17BD9FD6" w14:textId="77777777">
      <w:pPr>
        <w:widowControl/>
      </w:pPr>
    </w:p>
    <w:p w:rsidR="007035B1" w:rsidRPr="0069050E" w:rsidP="00776DA6" w14:paraId="60A98D9C" w14:textId="77777777">
      <w:pPr>
        <w:pStyle w:val="StyleBoldCentered"/>
        <w:widowControl/>
      </w:pPr>
      <w:r w:rsidRPr="0069050E">
        <w:t xml:space="preserve">Initial Determination </w:t>
      </w:r>
      <w:r w:rsidRPr="0069050E" w:rsidR="00E4677C">
        <w:t>Order</w:t>
      </w:r>
    </w:p>
    <w:p w:rsidR="007035B1" w:rsidRPr="0069050E" w:rsidP="00776DA6" w14:paraId="63AA94B4" w14:textId="77777777">
      <w:pPr>
        <w:pStyle w:val="StyleBoldCentered"/>
        <w:widowControl/>
      </w:pPr>
    </w:p>
    <w:p w:rsidR="00E4677C" w:rsidRPr="0069050E" w:rsidP="00776DA6" w14:paraId="2217A0F9" w14:textId="77777777">
      <w:pPr>
        <w:widowControl/>
        <w:tabs>
          <w:tab w:val="left" w:pos="-720"/>
        </w:tabs>
        <w:suppressAutoHyphens/>
        <w:spacing w:line="227" w:lineRule="auto"/>
        <w:rPr>
          <w:spacing w:val="-2"/>
        </w:rPr>
      </w:pPr>
    </w:p>
    <w:p w:rsidR="00E4677C" w:rsidRPr="0069050E" w:rsidP="00776DA6" w14:paraId="7F87334A" w14:textId="204383FB">
      <w:pPr>
        <w:widowControl/>
        <w:tabs>
          <w:tab w:val="left" w:pos="720"/>
          <w:tab w:val="right" w:pos="9360"/>
        </w:tabs>
        <w:suppressAutoHyphens/>
        <w:spacing w:line="227" w:lineRule="auto"/>
        <w:rPr>
          <w:spacing w:val="-2"/>
        </w:rPr>
      </w:pPr>
      <w:r w:rsidRPr="0069050E">
        <w:rPr>
          <w:b/>
          <w:spacing w:val="-2"/>
        </w:rPr>
        <w:t xml:space="preserve">Adopted:  </w:t>
      </w:r>
      <w:r w:rsidR="00C077CA">
        <w:rPr>
          <w:b/>
          <w:spacing w:val="-2"/>
        </w:rPr>
        <w:t>September 19, 2023</w:t>
      </w:r>
      <w:r w:rsidRPr="0069050E">
        <w:rPr>
          <w:b/>
          <w:spacing w:val="-2"/>
        </w:rPr>
        <w:tab/>
        <w:t xml:space="preserve">Released:  </w:t>
      </w:r>
      <w:r w:rsidR="00C077CA">
        <w:rPr>
          <w:b/>
          <w:spacing w:val="-2"/>
        </w:rPr>
        <w:t>September 19, 2023</w:t>
      </w:r>
    </w:p>
    <w:p w:rsidR="00E4677C" w:rsidRPr="0069050E" w:rsidP="00776DA6" w14:paraId="00C79EFD" w14:textId="77777777">
      <w:pPr>
        <w:widowControl/>
      </w:pPr>
    </w:p>
    <w:p w:rsidR="00E4677C" w:rsidRPr="0069050E" w:rsidP="00776DA6" w14:paraId="052B0231" w14:textId="77777777">
      <w:pPr>
        <w:widowControl/>
        <w:rPr>
          <w:spacing w:val="-2"/>
        </w:rPr>
      </w:pPr>
      <w:r w:rsidRPr="0069050E">
        <w:t>By the Chief</w:t>
      </w:r>
      <w:r w:rsidRPr="0069050E" w:rsidR="00787966">
        <w:t>,</w:t>
      </w:r>
      <w:r w:rsidRPr="0069050E">
        <w:t xml:space="preserve"> Enforcement Bureau</w:t>
      </w:r>
      <w:r w:rsidRPr="0069050E">
        <w:rPr>
          <w:spacing w:val="-2"/>
        </w:rPr>
        <w:t>:</w:t>
      </w:r>
    </w:p>
    <w:p w:rsidR="00E4677C" w:rsidRPr="0069050E" w:rsidP="00776DA6" w14:paraId="5DFFC0B5" w14:textId="77777777">
      <w:pPr>
        <w:widowControl/>
        <w:rPr>
          <w:spacing w:val="-2"/>
        </w:rPr>
      </w:pPr>
    </w:p>
    <w:p w:rsidR="00E4677C" w:rsidRPr="0069050E" w:rsidP="00776DA6" w14:paraId="3790B9DA" w14:textId="77777777">
      <w:pPr>
        <w:pStyle w:val="Heading1"/>
        <w:widowControl/>
      </w:pPr>
      <w:r w:rsidRPr="0069050E">
        <w:t>introduction</w:t>
      </w:r>
    </w:p>
    <w:p w:rsidR="00E4677C" w:rsidRPr="0069050E" w:rsidP="00776DA6" w14:paraId="4636AF78" w14:textId="5A079A7F">
      <w:pPr>
        <w:pStyle w:val="ParaNum"/>
        <w:widowControl/>
      </w:pPr>
      <w:r w:rsidRPr="0069050E">
        <w:t>By thi</w:t>
      </w:r>
      <w:r w:rsidRPr="0069050E" w:rsidR="00BF3954">
        <w:t>s Initial Determination</w:t>
      </w:r>
      <w:r w:rsidRPr="0069050E">
        <w:t xml:space="preserve"> </w:t>
      </w:r>
      <w:r w:rsidRPr="0069050E" w:rsidR="00A436F2">
        <w:t>O</w:t>
      </w:r>
      <w:r w:rsidRPr="0069050E">
        <w:t xml:space="preserve">rder, </w:t>
      </w:r>
      <w:r w:rsidRPr="0069050E" w:rsidR="00CB2D01">
        <w:t>the Enforcement Bureau (Bureau)</w:t>
      </w:r>
      <w:r w:rsidRPr="0069050E" w:rsidR="00B96E94">
        <w:t xml:space="preserve"> apparently</w:t>
      </w:r>
      <w:r w:rsidRPr="0069050E" w:rsidR="00CB2D01">
        <w:t xml:space="preserve"> </w:t>
      </w:r>
      <w:r w:rsidRPr="0069050E" w:rsidR="006F154C">
        <w:t xml:space="preserve">finds </w:t>
      </w:r>
      <w:r w:rsidRPr="0069050E" w:rsidR="00C90269">
        <w:t>that</w:t>
      </w:r>
      <w:r w:rsidRPr="0069050E">
        <w:t xml:space="preserve"> </w:t>
      </w:r>
      <w:r w:rsidRPr="0069050E" w:rsidR="009914EA">
        <w:t>One Owl</w:t>
      </w:r>
      <w:r w:rsidRPr="0069050E" w:rsidR="00497500">
        <w:t xml:space="preserve"> </w:t>
      </w:r>
      <w:r w:rsidRPr="0069050E" w:rsidR="009914EA">
        <w:t>Telecom Inc.</w:t>
      </w:r>
      <w:r w:rsidRPr="0069050E" w:rsidR="00497500">
        <w:t xml:space="preserve"> </w:t>
      </w:r>
      <w:r w:rsidRPr="0069050E">
        <w:t>(</w:t>
      </w:r>
      <w:r w:rsidRPr="0069050E" w:rsidR="009914EA">
        <w:t>One Owl</w:t>
      </w:r>
      <w:r w:rsidRPr="0069050E" w:rsidR="00497500">
        <w:t xml:space="preserve"> </w:t>
      </w:r>
      <w:r w:rsidRPr="0069050E">
        <w:t xml:space="preserve">or Company) </w:t>
      </w:r>
      <w:r w:rsidRPr="0069050E" w:rsidR="00C53A3D">
        <w:t xml:space="preserve">has </w:t>
      </w:r>
      <w:r w:rsidRPr="0069050E" w:rsidR="00C90269">
        <w:t xml:space="preserve">not </w:t>
      </w:r>
      <w:r w:rsidRPr="0069050E" w:rsidR="006F154C">
        <w:t>complied</w:t>
      </w:r>
      <w:r w:rsidRPr="0069050E" w:rsidR="00C90269">
        <w:t xml:space="preserve"> with the </w:t>
      </w:r>
      <w:r w:rsidRPr="0069050E" w:rsidR="00477861">
        <w:t xml:space="preserve">Federal Communications </w:t>
      </w:r>
      <w:r w:rsidRPr="0069050E" w:rsidR="00C90269">
        <w:t>Commission’s</w:t>
      </w:r>
      <w:r w:rsidRPr="0069050E" w:rsidR="00477861">
        <w:t xml:space="preserve"> (Commission or FCC)</w:t>
      </w:r>
      <w:r w:rsidRPr="0069050E" w:rsidR="00C90269">
        <w:t xml:space="preserve"> call blocking rules for gateway providers</w:t>
      </w:r>
      <w:r w:rsidRPr="0069050E">
        <w:t>.</w:t>
      </w:r>
      <w:r w:rsidRPr="0069050E" w:rsidR="00C90269">
        <w:t xml:space="preserve">  </w:t>
      </w:r>
      <w:r w:rsidR="00BB52BD">
        <w:t xml:space="preserve">This Initial Determination Order follows the Bureau’s </w:t>
      </w:r>
      <w:r w:rsidR="00BE671F">
        <w:t xml:space="preserve">August 1, </w:t>
      </w:r>
      <w:r w:rsidR="00C65CE2">
        <w:t>2023</w:t>
      </w:r>
      <w:r w:rsidR="00E8074D">
        <w:t xml:space="preserve"> Notification of Suspected Illegal Traffic (Notice)</w:t>
      </w:r>
      <w:r w:rsidR="00A977E3">
        <w:t>,</w:t>
      </w:r>
      <w:r w:rsidR="00E8074D">
        <w:t xml:space="preserve"> </w:t>
      </w:r>
      <w:r w:rsidR="00B52CB9">
        <w:t>which identified apparently illegal traffic One Owl was transmitting</w:t>
      </w:r>
      <w:r w:rsidR="007133CC">
        <w:t xml:space="preserve"> and </w:t>
      </w:r>
      <w:r w:rsidR="00DF6D8E">
        <w:t>instructed One Owl t</w:t>
      </w:r>
      <w:r w:rsidR="005F3B60">
        <w:t xml:space="preserve">o </w:t>
      </w:r>
      <w:r w:rsidR="00EB2772">
        <w:t xml:space="preserve">investigate the traffic, block it if necessary, and </w:t>
      </w:r>
      <w:r w:rsidR="00AF5C53">
        <w:t>provide a report</w:t>
      </w:r>
      <w:r w:rsidR="005F3B60">
        <w:t xml:space="preserve"> to the Bureau</w:t>
      </w:r>
      <w:r w:rsidR="00AF5C53">
        <w:t xml:space="preserve"> within 14 days</w:t>
      </w:r>
      <w:r w:rsidR="005F3B60">
        <w:t>.</w:t>
      </w:r>
      <w:r>
        <w:rPr>
          <w:rStyle w:val="FootnoteReference"/>
        </w:rPr>
        <w:footnoteReference w:id="3"/>
      </w:r>
      <w:r w:rsidR="00D6200F">
        <w:t xml:space="preserve"> </w:t>
      </w:r>
      <w:r w:rsidR="005F3B60">
        <w:t xml:space="preserve"> </w:t>
      </w:r>
      <w:r w:rsidR="00B722C6">
        <w:t>One Owl never responded</w:t>
      </w:r>
      <w:r w:rsidR="00A977E3">
        <w:t>,</w:t>
      </w:r>
      <w:r w:rsidR="0077705B">
        <w:t xml:space="preserve"> and the Bureau is not aware</w:t>
      </w:r>
      <w:r w:rsidR="00A977E3">
        <w:t xml:space="preserve"> of</w:t>
      </w:r>
      <w:r w:rsidR="0077705B">
        <w:t xml:space="preserve"> </w:t>
      </w:r>
      <w:r w:rsidR="008F1088">
        <w:t xml:space="preserve">any measures </w:t>
      </w:r>
      <w:r w:rsidR="0077705B">
        <w:t xml:space="preserve">One Owl </w:t>
      </w:r>
      <w:r w:rsidR="008F1088">
        <w:t xml:space="preserve">has taken to </w:t>
      </w:r>
      <w:r w:rsidR="0077705B">
        <w:t>comply with the Notice</w:t>
      </w:r>
      <w:r w:rsidR="00B722C6">
        <w:t xml:space="preserve">.  </w:t>
      </w:r>
      <w:r w:rsidRPr="0069050E" w:rsidR="00AD5841">
        <w:t>Pursuant to section 64.1200(n)(5)(i</w:t>
      </w:r>
      <w:r w:rsidRPr="0069050E" w:rsidR="00057537">
        <w:t>i</w:t>
      </w:r>
      <w:r w:rsidRPr="0069050E" w:rsidR="00AD5841">
        <w:t>)</w:t>
      </w:r>
      <w:r w:rsidRPr="0069050E" w:rsidR="00E81AFF">
        <w:t xml:space="preserve"> </w:t>
      </w:r>
      <w:r w:rsidRPr="0069050E" w:rsidR="00AD5841">
        <w:t>of the Commission</w:t>
      </w:r>
      <w:r w:rsidRPr="0069050E" w:rsidR="00427BAC">
        <w:t>’s</w:t>
      </w:r>
      <w:r w:rsidRPr="0069050E" w:rsidR="00AD5841">
        <w:t xml:space="preserve"> rules, </w:t>
      </w:r>
      <w:r w:rsidRPr="0069050E" w:rsidR="009914EA">
        <w:t>One Owl</w:t>
      </w:r>
      <w:r w:rsidRPr="0069050E" w:rsidR="00C90269">
        <w:t xml:space="preserve"> </w:t>
      </w:r>
      <w:r w:rsidR="00D6200F">
        <w:t xml:space="preserve">now </w:t>
      </w:r>
      <w:r w:rsidRPr="0069050E" w:rsidR="00C90269">
        <w:t xml:space="preserve">has 14 days to respond to this </w:t>
      </w:r>
      <w:r w:rsidRPr="0069050E" w:rsidR="00F17E1A">
        <w:rPr>
          <w:rStyle w:val="cf01"/>
          <w:rFonts w:ascii="Times New Roman" w:hAnsi="Times New Roman" w:cs="Times New Roman"/>
          <w:sz w:val="22"/>
          <w:szCs w:val="22"/>
        </w:rPr>
        <w:t xml:space="preserve">Initial Determination Order </w:t>
      </w:r>
      <w:r w:rsidRPr="0069050E" w:rsidR="00472B25">
        <w:t>with a final response</w:t>
      </w:r>
      <w:r w:rsidRPr="0069050E" w:rsidR="00C41F38">
        <w:t xml:space="preserve"> to our </w:t>
      </w:r>
      <w:r w:rsidRPr="0069050E" w:rsidR="00B96E94">
        <w:t xml:space="preserve">apparent </w:t>
      </w:r>
      <w:r w:rsidRPr="0069050E" w:rsidR="00C41F38">
        <w:t>finding and to demonstrate compliance with our rules</w:t>
      </w:r>
      <w:r w:rsidRPr="0069050E" w:rsidR="00472B25">
        <w:t>.</w:t>
      </w:r>
      <w:r w:rsidRPr="0069050E">
        <w:t xml:space="preserve">  </w:t>
      </w:r>
      <w:r w:rsidRPr="0069050E" w:rsidR="00C90269">
        <w:t xml:space="preserve">If </w:t>
      </w:r>
      <w:r w:rsidRPr="0069050E" w:rsidR="009914EA">
        <w:t>One Owl</w:t>
      </w:r>
      <w:r w:rsidRPr="0069050E" w:rsidR="00C90269">
        <w:t xml:space="preserve"> fails to provide an adequate response </w:t>
      </w:r>
      <w:r w:rsidRPr="0069050E" w:rsidR="00F67FDB">
        <w:t>within 14 days</w:t>
      </w:r>
      <w:r w:rsidRPr="0069050E" w:rsidR="00240F15">
        <w:t xml:space="preserve"> </w:t>
      </w:r>
      <w:r w:rsidRPr="0069050E" w:rsidR="00D14227">
        <w:t>or</w:t>
      </w:r>
      <w:r w:rsidRPr="0069050E" w:rsidR="008705E0">
        <w:t xml:space="preserve"> </w:t>
      </w:r>
      <w:r w:rsidRPr="0069050E" w:rsidR="003F4F60">
        <w:t xml:space="preserve">continues to transmit substantially similar </w:t>
      </w:r>
      <w:r w:rsidRPr="0069050E" w:rsidR="00AD5841">
        <w:t xml:space="preserve">unlawful </w:t>
      </w:r>
      <w:r w:rsidRPr="0069050E" w:rsidR="003F4F60">
        <w:t>traffic</w:t>
      </w:r>
      <w:r w:rsidRPr="0069050E" w:rsidR="008705E0">
        <w:t>,</w:t>
      </w:r>
      <w:r w:rsidRPr="0069050E" w:rsidR="003F4F60">
        <w:t xml:space="preserve"> </w:t>
      </w:r>
      <w:r w:rsidRPr="0069050E" w:rsidR="008705E0">
        <w:t xml:space="preserve">the Bureau </w:t>
      </w:r>
      <w:r w:rsidRPr="0069050E" w:rsidR="00C90269">
        <w:t>will issue a Final Determination Order</w:t>
      </w:r>
      <w:r w:rsidRPr="0069050E" w:rsidR="008705E0">
        <w:t>.</w:t>
      </w:r>
      <w:r>
        <w:rPr>
          <w:rStyle w:val="FootnoteReference"/>
        </w:rPr>
        <w:footnoteReference w:id="4"/>
      </w:r>
      <w:r w:rsidRPr="0069050E" w:rsidR="008705E0">
        <w:t xml:space="preserve"> </w:t>
      </w:r>
      <w:r w:rsidRPr="0069050E" w:rsidR="00335B0F">
        <w:t xml:space="preserve"> </w:t>
      </w:r>
      <w:r w:rsidRPr="0069050E" w:rsidR="008705E0">
        <w:t>A</w:t>
      </w:r>
      <w:r w:rsidRPr="0069050E" w:rsidR="00C90269">
        <w:t xml:space="preserve">ny provider immediately downstream from </w:t>
      </w:r>
      <w:r w:rsidRPr="0069050E" w:rsidR="009914EA">
        <w:t>One Owl</w:t>
      </w:r>
      <w:r w:rsidRPr="0069050E" w:rsidR="00C90269">
        <w:t xml:space="preserve"> </w:t>
      </w:r>
      <w:r w:rsidRPr="0069050E" w:rsidR="008705E0">
        <w:t xml:space="preserve">will then be required to </w:t>
      </w:r>
      <w:r w:rsidRPr="0069050E" w:rsidR="00C90269">
        <w:t xml:space="preserve">block and cease accepting all traffic received from </w:t>
      </w:r>
      <w:r w:rsidRPr="0069050E" w:rsidR="009914EA">
        <w:t>One Owl</w:t>
      </w:r>
      <w:r w:rsidRPr="0069050E" w:rsidR="00C90269">
        <w:t xml:space="preserve"> beginning 30 days after release of the Final Determination Order.</w:t>
      </w:r>
      <w:r>
        <w:rPr>
          <w:rStyle w:val="FootnoteReference"/>
        </w:rPr>
        <w:footnoteReference w:id="5"/>
      </w:r>
      <w:r w:rsidRPr="0069050E" w:rsidR="00C90269">
        <w:t xml:space="preserve"> </w:t>
      </w:r>
    </w:p>
    <w:p w:rsidR="00E4677C" w:rsidRPr="0069050E" w:rsidP="00776DA6" w14:paraId="3AF66F2D" w14:textId="77777777">
      <w:pPr>
        <w:pStyle w:val="Heading1"/>
        <w:widowControl/>
      </w:pPr>
      <w:r w:rsidRPr="0069050E">
        <w:t>Background</w:t>
      </w:r>
    </w:p>
    <w:p w:rsidR="00E4677C" w:rsidRPr="0069050E" w:rsidP="00776DA6" w14:paraId="1B13F05C" w14:textId="77777777">
      <w:pPr>
        <w:pStyle w:val="Heading2"/>
        <w:widowControl/>
      </w:pPr>
      <w:r w:rsidRPr="0069050E">
        <w:t xml:space="preserve">Legal Framework for </w:t>
      </w:r>
      <w:r w:rsidRPr="0069050E" w:rsidR="007035B1">
        <w:t>Gateway Provider Mandatory Blocking Rules</w:t>
      </w:r>
    </w:p>
    <w:p w:rsidR="00E4677C" w:rsidRPr="0069050E" w:rsidP="00776DA6" w14:paraId="66F8B92F" w14:textId="29555D94">
      <w:pPr>
        <w:pStyle w:val="ParaNum"/>
        <w:widowControl/>
      </w:pPr>
      <w:r w:rsidRPr="0069050E">
        <w:t xml:space="preserve">Protecting </w:t>
      </w:r>
      <w:r w:rsidRPr="0069050E" w:rsidR="008672AD">
        <w:t>consumers in the United States</w:t>
      </w:r>
      <w:r w:rsidRPr="0069050E">
        <w:t xml:space="preserve"> from the dangers</w:t>
      </w:r>
      <w:r w:rsidRPr="0069050E" w:rsidR="00C4438E">
        <w:t xml:space="preserve"> and risks</w:t>
      </w:r>
      <w:r w:rsidRPr="0069050E">
        <w:t xml:space="preserve"> of unwanted and illegal robocalls is the Commission’s top consumer protection priority.</w:t>
      </w:r>
      <w:r>
        <w:rPr>
          <w:rStyle w:val="FootnoteReference"/>
        </w:rPr>
        <w:footnoteReference w:id="6"/>
      </w:r>
      <w:r w:rsidRPr="0069050E">
        <w:t xml:space="preserve">  </w:t>
      </w:r>
      <w:r w:rsidRPr="0069050E" w:rsidR="00E167E8">
        <w:t>Many of these calls originate overseas.  Gateway providers</w:t>
      </w:r>
      <w:r w:rsidRPr="0069050E" w:rsidR="00D579FC">
        <w:t xml:space="preserve"> are </w:t>
      </w:r>
      <w:r w:rsidRPr="0069050E" w:rsidR="00E167E8">
        <w:t xml:space="preserve">U.S.-based intermediate providers that receive calls directly from a foreign originating provider or foreign intermediate provider at </w:t>
      </w:r>
      <w:r w:rsidRPr="0069050E" w:rsidR="00F77AB7">
        <w:t xml:space="preserve">their </w:t>
      </w:r>
      <w:r w:rsidRPr="0069050E" w:rsidR="00E167E8">
        <w:t xml:space="preserve">U.S.-based facilities before </w:t>
      </w:r>
      <w:r w:rsidRPr="0069050E" w:rsidR="00E167E8">
        <w:t>transmitting the call downstream to another U.S.-based provider</w:t>
      </w:r>
      <w:r w:rsidRPr="0069050E" w:rsidR="00D579FC">
        <w:t>.</w:t>
      </w:r>
      <w:r>
        <w:rPr>
          <w:rStyle w:val="FootnoteReference"/>
        </w:rPr>
        <w:footnoteReference w:id="7"/>
      </w:r>
      <w:r w:rsidRPr="0069050E" w:rsidR="00D579FC">
        <w:t xml:space="preserve">  Such providers </w:t>
      </w:r>
      <w:r w:rsidRPr="0069050E" w:rsidR="00E167E8">
        <w:t>serve as critical choke</w:t>
      </w:r>
      <w:r w:rsidRPr="0069050E" w:rsidR="00B86248">
        <w:t xml:space="preserve"> </w:t>
      </w:r>
      <w:r w:rsidRPr="0069050E" w:rsidR="00E167E8">
        <w:t>points for reducing the number of illegal calls reaching consumers</w:t>
      </w:r>
      <w:r w:rsidRPr="0069050E" w:rsidR="00B86248">
        <w:t xml:space="preserve"> in the United States</w:t>
      </w:r>
      <w:r w:rsidRPr="0069050E" w:rsidR="00E167E8">
        <w:t>.</w:t>
      </w:r>
      <w:r>
        <w:rPr>
          <w:rStyle w:val="FootnoteReference"/>
        </w:rPr>
        <w:footnoteReference w:id="8"/>
      </w:r>
      <w:r w:rsidRPr="0069050E" w:rsidR="00E167E8">
        <w:t xml:space="preserve"> </w:t>
      </w:r>
      <w:r w:rsidRPr="0069050E" w:rsidR="00A33A72">
        <w:t xml:space="preserve"> </w:t>
      </w:r>
      <w:r w:rsidRPr="0069050E" w:rsidR="00D579FC">
        <w:t>In recognition of this fact</w:t>
      </w:r>
      <w:r w:rsidRPr="0069050E" w:rsidR="00BF3954">
        <w:t xml:space="preserve">, </w:t>
      </w:r>
      <w:r w:rsidRPr="0069050E" w:rsidR="00A33A72">
        <w:t xml:space="preserve">the Commission adopted the </w:t>
      </w:r>
      <w:r w:rsidRPr="0069050E" w:rsidR="00A33A72">
        <w:rPr>
          <w:i/>
          <w:iCs/>
        </w:rPr>
        <w:t>Gateway Provider Order</w:t>
      </w:r>
      <w:r w:rsidRPr="0069050E" w:rsidR="00A33A72">
        <w:t xml:space="preserve"> </w:t>
      </w:r>
      <w:r w:rsidRPr="0069050E" w:rsidR="00BF3954">
        <w:t xml:space="preserve">on May 19, 2022, </w:t>
      </w:r>
      <w:r w:rsidRPr="0069050E" w:rsidR="00D579FC">
        <w:t xml:space="preserve">increasing the obligations of </w:t>
      </w:r>
      <w:r w:rsidRPr="0069050E" w:rsidR="00A33A72">
        <w:t>gateway providers to police their</w:t>
      </w:r>
      <w:r w:rsidRPr="0069050E" w:rsidR="00D579FC">
        <w:t xml:space="preserve"> own</w:t>
      </w:r>
      <w:r w:rsidRPr="0069050E" w:rsidR="00A33A72">
        <w:t xml:space="preserve"> networks and </w:t>
      </w:r>
      <w:r w:rsidRPr="0069050E" w:rsidR="0097244F">
        <w:t xml:space="preserve">imposing </w:t>
      </w:r>
      <w:r w:rsidRPr="0069050E" w:rsidR="00A33A72">
        <w:t>consequences on gateway providers that fail to do so.</w:t>
      </w:r>
      <w:r>
        <w:rPr>
          <w:rStyle w:val="FootnoteReference"/>
        </w:rPr>
        <w:footnoteReference w:id="9"/>
      </w:r>
    </w:p>
    <w:p w:rsidR="00510BBF" w:rsidRPr="0069050E" w:rsidP="00776DA6" w14:paraId="6EE53004" w14:textId="75881EA2">
      <w:pPr>
        <w:pStyle w:val="ParaNum"/>
        <w:widowControl/>
      </w:pPr>
      <w:r w:rsidRPr="0069050E">
        <w:t xml:space="preserve">The </w:t>
      </w:r>
      <w:r w:rsidRPr="0069050E">
        <w:rPr>
          <w:i/>
          <w:iCs/>
        </w:rPr>
        <w:t>Gateway Provider</w:t>
      </w:r>
      <w:r w:rsidRPr="0069050E" w:rsidR="00477861">
        <w:rPr>
          <w:i/>
          <w:iCs/>
        </w:rPr>
        <w:t xml:space="preserve"> Order</w:t>
      </w:r>
      <w:r w:rsidRPr="0069050E">
        <w:t xml:space="preserve"> built </w:t>
      </w:r>
      <w:r w:rsidRPr="0069050E" w:rsidR="003902D7">
        <w:t>up</w:t>
      </w:r>
      <w:r w:rsidRPr="0069050E">
        <w:t>on the Commission’s call blocking rules to require gateway providers to block illegal traffic when notified of such traffic by the Commission.</w:t>
      </w:r>
      <w:r>
        <w:rPr>
          <w:rStyle w:val="FootnoteReference"/>
        </w:rPr>
        <w:footnoteReference w:id="10"/>
      </w:r>
      <w:r w:rsidRPr="0069050E" w:rsidR="00C87CE3">
        <w:t xml:space="preserve"> </w:t>
      </w:r>
      <w:r w:rsidRPr="0069050E" w:rsidR="00EA6469">
        <w:t xml:space="preserve"> </w:t>
      </w:r>
      <w:r w:rsidRPr="0069050E" w:rsidR="00EE513E">
        <w:t>O</w:t>
      </w:r>
      <w:r w:rsidRPr="0069050E" w:rsidR="00EA6469">
        <w:t>nce a</w:t>
      </w:r>
      <w:r w:rsidRPr="0069050E" w:rsidR="003902D7">
        <w:t xml:space="preserve"> </w:t>
      </w:r>
      <w:r w:rsidRPr="0069050E" w:rsidR="00C87CE3">
        <w:t xml:space="preserve">gateway </w:t>
      </w:r>
      <w:r w:rsidRPr="0069050E" w:rsidR="005D3997">
        <w:t xml:space="preserve">provider </w:t>
      </w:r>
      <w:r w:rsidRPr="0069050E" w:rsidR="00EA6469">
        <w:t xml:space="preserve">receives a </w:t>
      </w:r>
      <w:r w:rsidRPr="0069050E" w:rsidR="00E734AF">
        <w:t xml:space="preserve">Notice </w:t>
      </w:r>
      <w:r w:rsidRPr="0069050E" w:rsidR="00EA6469">
        <w:t xml:space="preserve">from the Bureau, </w:t>
      </w:r>
      <w:r w:rsidRPr="0069050E" w:rsidR="005D3997">
        <w:t>the</w:t>
      </w:r>
      <w:r w:rsidRPr="0069050E" w:rsidR="00EA6469">
        <w:t xml:space="preserve"> provider </w:t>
      </w:r>
      <w:r w:rsidRPr="0069050E" w:rsidR="00A151B7">
        <w:t>must</w:t>
      </w:r>
      <w:r w:rsidRPr="0069050E" w:rsidR="00EA6469">
        <w:t xml:space="preserve"> comply with the </w:t>
      </w:r>
      <w:r w:rsidR="005269C6">
        <w:t>N</w:t>
      </w:r>
      <w:r w:rsidRPr="0069050E" w:rsidR="00EA6469">
        <w:t>otice by investigating and reporting the results of the investigation to the Bureau.</w:t>
      </w:r>
      <w:r>
        <w:rPr>
          <w:rStyle w:val="FootnoteReference"/>
        </w:rPr>
        <w:footnoteReference w:id="11"/>
      </w:r>
      <w:r w:rsidRPr="0069050E" w:rsidR="005D3997">
        <w:t xml:space="preserve">  </w:t>
      </w:r>
      <w:r w:rsidRPr="0069050E" w:rsidR="00526014">
        <w:t>If the provider’s investigation determines it served as the gateway provider for the traffic, t</w:t>
      </w:r>
      <w:r w:rsidRPr="0069050E" w:rsidR="005D3997">
        <w:t>he provider must</w:t>
      </w:r>
      <w:r w:rsidRPr="0069050E" w:rsidR="00457A54">
        <w:t>:  (</w:t>
      </w:r>
      <w:r w:rsidR="007D4283">
        <w:t>i</w:t>
      </w:r>
      <w:r w:rsidRPr="0069050E" w:rsidR="00457A54">
        <w:t xml:space="preserve">) </w:t>
      </w:r>
      <w:r w:rsidRPr="0069050E" w:rsidR="005D3997">
        <w:t>block the traffic</w:t>
      </w:r>
      <w:r w:rsidRPr="0069050E" w:rsidR="00526014">
        <w:t xml:space="preserve">, </w:t>
      </w:r>
      <w:r w:rsidRPr="0069050E" w:rsidR="00457A54">
        <w:t>(</w:t>
      </w:r>
      <w:r w:rsidR="007D4283">
        <w:t>ii</w:t>
      </w:r>
      <w:r w:rsidRPr="0069050E" w:rsidR="00457A54">
        <w:t xml:space="preserve">) </w:t>
      </w:r>
      <w:r w:rsidRPr="0069050E" w:rsidR="001B2A3B">
        <w:t>certify</w:t>
      </w:r>
      <w:r w:rsidRPr="0069050E" w:rsidR="00CB034B">
        <w:t xml:space="preserve"> in its re</w:t>
      </w:r>
      <w:r w:rsidRPr="0069050E" w:rsidR="00F11251">
        <w:t>port</w:t>
      </w:r>
      <w:r w:rsidRPr="0069050E" w:rsidR="00CB034B">
        <w:t xml:space="preserve"> to the Bureau</w:t>
      </w:r>
      <w:r w:rsidRPr="0069050E" w:rsidR="00F11251">
        <w:t xml:space="preserve"> that</w:t>
      </w:r>
      <w:r w:rsidRPr="0069050E" w:rsidR="001B2A3B">
        <w:t xml:space="preserve"> it is blocking the traffic and will continue to do so, and </w:t>
      </w:r>
      <w:r w:rsidRPr="0069050E" w:rsidR="00457A54">
        <w:t>(</w:t>
      </w:r>
      <w:r w:rsidR="007D4283">
        <w:t>iii</w:t>
      </w:r>
      <w:r w:rsidRPr="0069050E" w:rsidR="00457A54">
        <w:t xml:space="preserve">) </w:t>
      </w:r>
      <w:r w:rsidRPr="0069050E" w:rsidR="00F11251">
        <w:t xml:space="preserve">in its report to the Bureau, </w:t>
      </w:r>
      <w:r w:rsidRPr="0069050E" w:rsidR="001B2A3B">
        <w:t>describe its plan to identify and block substantially similar traffic on an ongoing basis</w:t>
      </w:r>
      <w:r w:rsidRPr="0069050E" w:rsidR="005D3997">
        <w:t>.</w:t>
      </w:r>
      <w:r>
        <w:rPr>
          <w:rStyle w:val="FootnoteReference"/>
        </w:rPr>
        <w:footnoteReference w:id="12"/>
      </w:r>
      <w:r w:rsidRPr="0069050E" w:rsidR="00C87CE3">
        <w:t xml:space="preserve">  </w:t>
      </w:r>
      <w:r w:rsidRPr="0069050E" w:rsidR="009C25A4">
        <w:t>I</w:t>
      </w:r>
      <w:r w:rsidRPr="0069050E" w:rsidR="00DE2A96">
        <w:t xml:space="preserve">f the </w:t>
      </w:r>
      <w:r w:rsidRPr="0069050E" w:rsidR="00E719FB">
        <w:t xml:space="preserve">gateway </w:t>
      </w:r>
      <w:r w:rsidRPr="0069050E" w:rsidR="009C25A4">
        <w:t>provider</w:t>
      </w:r>
      <w:r w:rsidRPr="0069050E" w:rsidR="00DE2A96">
        <w:t xml:space="preserve"> d</w:t>
      </w:r>
      <w:r w:rsidRPr="0069050E" w:rsidR="00737B1D">
        <w:t>oes</w:t>
      </w:r>
      <w:r w:rsidRPr="0069050E" w:rsidR="00DE2A96">
        <w:t xml:space="preserve"> not block the traffic,</w:t>
      </w:r>
      <w:r w:rsidRPr="0069050E" w:rsidR="00C87CE3">
        <w:t xml:space="preserve"> </w:t>
      </w:r>
      <w:r w:rsidRPr="0069050E" w:rsidR="009C25A4">
        <w:t xml:space="preserve">it must </w:t>
      </w:r>
      <w:r w:rsidRPr="0069050E" w:rsidR="00C87CE3">
        <w:t>explain to the Bureau why the identified traffic was not illegal.</w:t>
      </w:r>
      <w:r>
        <w:rPr>
          <w:rStyle w:val="FootnoteReference"/>
        </w:rPr>
        <w:footnoteReference w:id="13"/>
      </w:r>
      <w:r w:rsidRPr="0069050E" w:rsidR="00E719FB">
        <w:t xml:space="preserve">  If the provider concludes that it did not serve as the gateway for the traffic, then it must provide an explanation and identify the upstream provider(s) from which it received the identified traffic</w:t>
      </w:r>
      <w:r w:rsidRPr="0069050E" w:rsidR="00137BF6">
        <w:t>, as well as take lawful steps, if possible, to mitigate that traffic</w:t>
      </w:r>
      <w:r w:rsidRPr="0069050E" w:rsidR="00E719FB">
        <w:t>.</w:t>
      </w:r>
      <w:r>
        <w:rPr>
          <w:rStyle w:val="FootnoteReference"/>
        </w:rPr>
        <w:footnoteReference w:id="14"/>
      </w:r>
      <w:r w:rsidRPr="0069050E" w:rsidR="00E719FB">
        <w:t xml:space="preserve">  </w:t>
      </w:r>
    </w:p>
    <w:p w:rsidR="00934138" w:rsidRPr="0069050E" w:rsidP="00776DA6" w14:paraId="696FF187" w14:textId="2129A785">
      <w:pPr>
        <w:pStyle w:val="ParaNum"/>
        <w:widowControl/>
      </w:pPr>
      <w:r w:rsidRPr="0069050E">
        <w:t xml:space="preserve">The Bureau may initiate a </w:t>
      </w:r>
      <w:r w:rsidRPr="0069050E" w:rsidR="00942E02">
        <w:t xml:space="preserve">process </w:t>
      </w:r>
      <w:r w:rsidRPr="0069050E">
        <w:t xml:space="preserve">to direct </w:t>
      </w:r>
      <w:r w:rsidRPr="0069050E" w:rsidR="00942E02">
        <w:rPr>
          <w:shd w:val="clear" w:color="auto" w:fill="FFFFFF"/>
        </w:rPr>
        <w:t>any provider immediately downstream from the </w:t>
      </w:r>
      <w:r w:rsidRPr="0069050E" w:rsidR="00942E02">
        <w:t xml:space="preserve">gateway </w:t>
      </w:r>
      <w:r w:rsidRPr="0069050E">
        <w:t xml:space="preserve">provider to block the notified gateway provider’s traffic if the gateway provider fails to respond to the </w:t>
      </w:r>
      <w:r w:rsidRPr="0069050E" w:rsidR="00E734AF">
        <w:t>Notice</w:t>
      </w:r>
      <w:r w:rsidRPr="0069050E" w:rsidR="00F664A5">
        <w:t>, fails to respond sufficiently,</w:t>
      </w:r>
      <w:r w:rsidRPr="0069050E">
        <w:t xml:space="preserve"> continues to transmit substantially similar traffic</w:t>
      </w:r>
      <w:r w:rsidRPr="0069050E" w:rsidR="001946ED">
        <w:t xml:space="preserve">, </w:t>
      </w:r>
      <w:r w:rsidRPr="0069050E" w:rsidR="00975E6C">
        <w:t>or the Bureau determines the identified traffic is illegal despite the provider’s assertions</w:t>
      </w:r>
      <w:r w:rsidRPr="0069050E">
        <w:t>.</w:t>
      </w:r>
      <w:r>
        <w:rPr>
          <w:rStyle w:val="FootnoteReference"/>
        </w:rPr>
        <w:footnoteReference w:id="15"/>
      </w:r>
      <w:r w:rsidRPr="0069050E">
        <w:t xml:space="preserve">  </w:t>
      </w:r>
      <w:r w:rsidRPr="0069050E" w:rsidR="00023533">
        <w:t>In such circumstances, t</w:t>
      </w:r>
      <w:r w:rsidRPr="0069050E">
        <w:t xml:space="preserve">he Bureau </w:t>
      </w:r>
      <w:r w:rsidRPr="0069050E" w:rsidR="009F5825">
        <w:t>may</w:t>
      </w:r>
      <w:r w:rsidRPr="0069050E" w:rsidR="00CD5069">
        <w:t xml:space="preserve"> issue</w:t>
      </w:r>
      <w:r w:rsidRPr="0069050E" w:rsidR="00CD5069">
        <w:rPr>
          <w:szCs w:val="22"/>
        </w:rPr>
        <w:t xml:space="preserve"> </w:t>
      </w:r>
      <w:r w:rsidRPr="0069050E">
        <w:t>an Initial Determination Order with its</w:t>
      </w:r>
      <w:r w:rsidRPr="0069050E">
        <w:rPr>
          <w:szCs w:val="22"/>
        </w:rPr>
        <w:t xml:space="preserve"> </w:t>
      </w:r>
      <w:r w:rsidRPr="0069050E" w:rsidR="00B96E94">
        <w:t xml:space="preserve">apparent </w:t>
      </w:r>
      <w:r w:rsidRPr="0069050E">
        <w:t>findings and provide the gateway provider with an opportunity to respond</w:t>
      </w:r>
      <w:r w:rsidRPr="0069050E" w:rsidR="00CD5069">
        <w:rPr>
          <w:szCs w:val="22"/>
        </w:rPr>
        <w:t>.</w:t>
      </w:r>
      <w:r>
        <w:rPr>
          <w:rStyle w:val="FootnoteReference"/>
          <w:sz w:val="22"/>
          <w:szCs w:val="22"/>
        </w:rPr>
        <w:footnoteReference w:id="16"/>
      </w:r>
      <w:r w:rsidRPr="0069050E">
        <w:t xml:space="preserve">  If the Bureau determines that the gateway provider’s response</w:t>
      </w:r>
      <w:r w:rsidRPr="0069050E" w:rsidR="00942E02">
        <w:t xml:space="preserve"> to the Initial Determination Order</w:t>
      </w:r>
      <w:r w:rsidRPr="0069050E">
        <w:rPr>
          <w:szCs w:val="22"/>
        </w:rPr>
        <w:t xml:space="preserve"> </w:t>
      </w:r>
      <w:r w:rsidRPr="0069050E" w:rsidR="000367A7">
        <w:t>is</w:t>
      </w:r>
      <w:r w:rsidRPr="0069050E">
        <w:t xml:space="preserve"> inadequate</w:t>
      </w:r>
      <w:r w:rsidRPr="0069050E">
        <w:rPr>
          <w:szCs w:val="22"/>
        </w:rPr>
        <w:t xml:space="preserve"> </w:t>
      </w:r>
      <w:r w:rsidRPr="0069050E" w:rsidR="00B65523">
        <w:rPr>
          <w:szCs w:val="22"/>
        </w:rPr>
        <w:t>(</w:t>
      </w:r>
      <w:r w:rsidRPr="0069050E">
        <w:t>including</w:t>
      </w:r>
      <w:r w:rsidRPr="0069050E" w:rsidR="00B65523">
        <w:t xml:space="preserve"> instances where the </w:t>
      </w:r>
      <w:r w:rsidRPr="0069050E" w:rsidR="00971D3E">
        <w:t xml:space="preserve">gateway </w:t>
      </w:r>
      <w:r w:rsidRPr="0069050E" w:rsidR="00B65523">
        <w:t>provider fails to respond)</w:t>
      </w:r>
      <w:r w:rsidRPr="0069050E">
        <w:rPr>
          <w:szCs w:val="22"/>
        </w:rPr>
        <w:t>,</w:t>
      </w:r>
      <w:r w:rsidRPr="0069050E">
        <w:t xml:space="preserve"> or </w:t>
      </w:r>
      <w:r w:rsidRPr="0069050E" w:rsidR="00082B83">
        <w:t xml:space="preserve">if </w:t>
      </w:r>
      <w:r w:rsidRPr="0069050E">
        <w:t>it continues to transmit substantially similar traffic,</w:t>
      </w:r>
      <w:r w:rsidRPr="0069050E">
        <w:rPr>
          <w:szCs w:val="22"/>
        </w:rPr>
        <w:t xml:space="preserve"> </w:t>
      </w:r>
      <w:r w:rsidRPr="0069050E">
        <w:t xml:space="preserve">the Bureau </w:t>
      </w:r>
      <w:r w:rsidRPr="0069050E" w:rsidR="00C8229A">
        <w:t xml:space="preserve">may </w:t>
      </w:r>
      <w:r w:rsidRPr="0069050E" w:rsidR="00C67357">
        <w:t>issue</w:t>
      </w:r>
      <w:r w:rsidRPr="0069050E" w:rsidR="00005735">
        <w:rPr>
          <w:szCs w:val="22"/>
        </w:rPr>
        <w:t xml:space="preserve"> </w:t>
      </w:r>
      <w:r w:rsidRPr="0069050E">
        <w:t>a Final Determination Order</w:t>
      </w:r>
      <w:r w:rsidRPr="0069050E" w:rsidR="00C8229A">
        <w:rPr>
          <w:szCs w:val="22"/>
        </w:rPr>
        <w:t xml:space="preserve"> mandating</w:t>
      </w:r>
      <w:r w:rsidRPr="0069050E" w:rsidR="00B65523">
        <w:rPr>
          <w:szCs w:val="22"/>
        </w:rPr>
        <w:t xml:space="preserve"> </w:t>
      </w:r>
      <w:r w:rsidRPr="0069050E" w:rsidR="00C8229A">
        <w:t>a</w:t>
      </w:r>
      <w:r w:rsidRPr="0069050E">
        <w:t xml:space="preserve">ll </w:t>
      </w:r>
      <w:r w:rsidRPr="0069050E" w:rsidR="00AF1238">
        <w:t>immediate</w:t>
      </w:r>
      <w:r w:rsidRPr="0069050E" w:rsidR="005F30D2">
        <w:rPr>
          <w:szCs w:val="22"/>
        </w:rPr>
        <w:t xml:space="preserve"> </w:t>
      </w:r>
      <w:r w:rsidRPr="0069050E">
        <w:t xml:space="preserve">downstream providers </w:t>
      </w:r>
      <w:r w:rsidRPr="0069050E" w:rsidR="00C8229A">
        <w:t xml:space="preserve">to </w:t>
      </w:r>
      <w:r w:rsidRPr="0069050E">
        <w:t xml:space="preserve">block and cease accepting all traffic that they receive from the </w:t>
      </w:r>
      <w:r w:rsidRPr="0069050E" w:rsidR="1DF6B091">
        <w:t>gateway</w:t>
      </w:r>
      <w:r w:rsidRPr="0069050E">
        <w:t xml:space="preserve"> provider starting 30 days from release of the Final Determination Order.</w:t>
      </w:r>
      <w:r>
        <w:rPr>
          <w:rStyle w:val="FootnoteReference"/>
          <w:sz w:val="22"/>
          <w:szCs w:val="22"/>
        </w:rPr>
        <w:footnoteReference w:id="17"/>
      </w:r>
    </w:p>
    <w:p w:rsidR="00E4677C" w:rsidRPr="0069050E" w:rsidP="00776DA6" w14:paraId="0691AD6D" w14:textId="0398271F">
      <w:pPr>
        <w:pStyle w:val="Heading2"/>
        <w:widowControl/>
      </w:pPr>
      <w:r w:rsidRPr="0069050E">
        <w:t>One Owl</w:t>
      </w:r>
      <w:r w:rsidRPr="0069050E" w:rsidR="00510BBF">
        <w:t>’s Transmission of Suspected Illegal Robocalls as a Gateway Provider</w:t>
      </w:r>
    </w:p>
    <w:p w:rsidR="000D01C6" w:rsidRPr="0069050E" w:rsidP="00776DA6" w14:paraId="262D7791" w14:textId="7820E9FD">
      <w:pPr>
        <w:pStyle w:val="ParaNum"/>
        <w:widowControl/>
      </w:pPr>
      <w:r w:rsidRPr="0069050E">
        <w:t>One Owl is both an originating provider and a gateway provider</w:t>
      </w:r>
      <w:r w:rsidRPr="0069050E" w:rsidR="00311F52">
        <w:t>.</w:t>
      </w:r>
      <w:r>
        <w:rPr>
          <w:rStyle w:val="FootnoteReference"/>
        </w:rPr>
        <w:footnoteReference w:id="18"/>
      </w:r>
      <w:r w:rsidRPr="0069050E" w:rsidR="0012272C">
        <w:t xml:space="preserve"> </w:t>
      </w:r>
      <w:r w:rsidRPr="0069050E" w:rsidR="00311F52">
        <w:t xml:space="preserve"> </w:t>
      </w:r>
      <w:r w:rsidRPr="0069050E" w:rsidR="00510BBF">
        <w:t xml:space="preserve">On </w:t>
      </w:r>
      <w:r w:rsidRPr="0069050E" w:rsidR="009914EA">
        <w:t>August 1</w:t>
      </w:r>
      <w:r w:rsidRPr="0069050E" w:rsidR="00510BBF">
        <w:t xml:space="preserve">, 2023, the Bureau issued a Notice </w:t>
      </w:r>
      <w:r w:rsidRPr="0069050E" w:rsidR="00474EA7">
        <w:t xml:space="preserve">to </w:t>
      </w:r>
      <w:r w:rsidRPr="0069050E" w:rsidR="009914EA">
        <w:t>One Owl</w:t>
      </w:r>
      <w:r w:rsidRPr="0069050E" w:rsidR="00E6064D">
        <w:t xml:space="preserve"> </w:t>
      </w:r>
      <w:r w:rsidRPr="0069050E" w:rsidR="00474EA7">
        <w:t xml:space="preserve">for </w:t>
      </w:r>
      <w:r w:rsidRPr="0069050E" w:rsidR="009C0EFC">
        <w:t xml:space="preserve">originating and </w:t>
      </w:r>
      <w:r w:rsidRPr="0069050E" w:rsidR="00474EA7">
        <w:t>transmitting apparent</w:t>
      </w:r>
      <w:r w:rsidRPr="0069050E" w:rsidR="00B86248">
        <w:t>ly</w:t>
      </w:r>
      <w:r w:rsidRPr="0069050E" w:rsidR="00474EA7">
        <w:t xml:space="preserve"> illegal traffic.</w:t>
      </w:r>
      <w:r>
        <w:rPr>
          <w:rStyle w:val="FootnoteReference"/>
        </w:rPr>
        <w:footnoteReference w:id="19"/>
      </w:r>
      <w:r w:rsidRPr="0069050E" w:rsidR="00474EA7">
        <w:t xml:space="preserve">  </w:t>
      </w:r>
      <w:r w:rsidRPr="0069050E" w:rsidR="004B3904">
        <w:t>The calls</w:t>
      </w:r>
      <w:r w:rsidRPr="0069050E" w:rsidR="003B5D95">
        <w:t xml:space="preserve"> apparently</w:t>
      </w:r>
      <w:r w:rsidRPr="0069050E" w:rsidR="004B3904">
        <w:t xml:space="preserve"> </w:t>
      </w:r>
      <w:r w:rsidRPr="0069050E" w:rsidR="00803781">
        <w:t>transmitted prerecorded voice messages without the requisite consent</w:t>
      </w:r>
      <w:r w:rsidRPr="0069050E" w:rsidR="00AF600B">
        <w:t xml:space="preserve"> of the called party</w:t>
      </w:r>
      <w:r w:rsidRPr="0069050E" w:rsidR="00803781">
        <w:t xml:space="preserve"> under the Communications Act</w:t>
      </w:r>
      <w:r w:rsidRPr="0069050E" w:rsidR="004D5068">
        <w:t xml:space="preserve"> of 1934, as amended,</w:t>
      </w:r>
      <w:r w:rsidRPr="0069050E" w:rsidR="00803781">
        <w:t xml:space="preserve"> and our rules.</w:t>
      </w:r>
      <w:r>
        <w:rPr>
          <w:rStyle w:val="FootnoteReference"/>
        </w:rPr>
        <w:footnoteReference w:id="20"/>
      </w:r>
      <w:r w:rsidRPr="0069050E" w:rsidR="00803781">
        <w:t xml:space="preserve">  </w:t>
      </w:r>
      <w:r w:rsidRPr="0069050E" w:rsidR="00736397">
        <w:rPr>
          <w:szCs w:val="22"/>
        </w:rPr>
        <w:t>Many of t</w:t>
      </w:r>
      <w:r w:rsidRPr="0069050E" w:rsidR="00474EA7">
        <w:rPr>
          <w:szCs w:val="22"/>
        </w:rPr>
        <w:t xml:space="preserve">hese calls </w:t>
      </w:r>
      <w:r w:rsidRPr="0069050E" w:rsidR="00736397">
        <w:rPr>
          <w:szCs w:val="22"/>
        </w:rPr>
        <w:t xml:space="preserve">apparently </w:t>
      </w:r>
      <w:r w:rsidRPr="0069050E" w:rsidR="00474EA7">
        <w:rPr>
          <w:szCs w:val="22"/>
        </w:rPr>
        <w:t xml:space="preserve">pertained to </w:t>
      </w:r>
      <w:r w:rsidRPr="0069050E" w:rsidR="009914EA">
        <w:t xml:space="preserve">fictitious </w:t>
      </w:r>
      <w:r w:rsidRPr="0069050E" w:rsidR="005A1214">
        <w:t xml:space="preserve">product </w:t>
      </w:r>
      <w:r w:rsidRPr="0069050E" w:rsidR="009914EA">
        <w:t>orders.</w:t>
      </w:r>
      <w:r>
        <w:rPr>
          <w:rStyle w:val="FootnoteReference"/>
        </w:rPr>
        <w:footnoteReference w:id="21"/>
      </w:r>
      <w:r w:rsidRPr="0069050E" w:rsidR="009914EA">
        <w:t xml:space="preserve">  Some calls purported to be from “AMC Trading LLC” and stated that “your product is ready to ship.”</w:t>
      </w:r>
      <w:r>
        <w:rPr>
          <w:rStyle w:val="FootnoteReference"/>
        </w:rPr>
        <w:footnoteReference w:id="22"/>
      </w:r>
      <w:r w:rsidRPr="0069050E" w:rsidR="009914EA">
        <w:t xml:space="preserve">  The calls asked consumers to confirm the order.</w:t>
      </w:r>
      <w:r>
        <w:rPr>
          <w:rStyle w:val="FootnoteReference"/>
        </w:rPr>
        <w:footnoteReference w:id="23"/>
      </w:r>
      <w:r w:rsidRPr="0069050E" w:rsidR="009914EA">
        <w:t xml:space="preserve">  Other calls stated that a “pre-authorized order” had been “placed on your name.”</w:t>
      </w:r>
      <w:r>
        <w:rPr>
          <w:rStyle w:val="FootnoteReference"/>
        </w:rPr>
        <w:footnoteReference w:id="24"/>
      </w:r>
      <w:r w:rsidRPr="0069050E" w:rsidR="009914EA">
        <w:t xml:space="preserve">  </w:t>
      </w:r>
      <w:r w:rsidRPr="0069050E" w:rsidR="00736397">
        <w:t>The call</w:t>
      </w:r>
      <w:r w:rsidRPr="0069050E" w:rsidR="00E31FA3">
        <w:t>s</w:t>
      </w:r>
      <w:r w:rsidRPr="0069050E" w:rsidR="00736397">
        <w:t xml:space="preserve"> did not state what the order was for or where the order was placed.</w:t>
      </w:r>
      <w:r>
        <w:rPr>
          <w:rStyle w:val="FootnoteReference"/>
        </w:rPr>
        <w:footnoteReference w:id="25"/>
      </w:r>
      <w:r w:rsidRPr="0069050E" w:rsidR="00736397">
        <w:t xml:space="preserve">  </w:t>
      </w:r>
      <w:r w:rsidRPr="0069050E" w:rsidR="0003570F">
        <w:rPr>
          <w:szCs w:val="22"/>
        </w:rPr>
        <w:t>USTelecom’s</w:t>
      </w:r>
      <w:r w:rsidRPr="0069050E" w:rsidR="0003570F">
        <w:rPr>
          <w:szCs w:val="22"/>
        </w:rPr>
        <w:t xml:space="preserve"> Industry</w:t>
      </w:r>
      <w:r w:rsidRPr="0069050E" w:rsidR="00390852">
        <w:rPr>
          <w:szCs w:val="22"/>
        </w:rPr>
        <w:t xml:space="preserve"> Traceback</w:t>
      </w:r>
      <w:r w:rsidRPr="0069050E" w:rsidR="0003570F">
        <w:rPr>
          <w:szCs w:val="22"/>
        </w:rPr>
        <w:t xml:space="preserve"> </w:t>
      </w:r>
      <w:r w:rsidRPr="0069050E" w:rsidR="00F17E1A">
        <w:rPr>
          <w:szCs w:val="22"/>
        </w:rPr>
        <w:t xml:space="preserve">Group </w:t>
      </w:r>
      <w:r w:rsidRPr="0069050E" w:rsidR="0003570F">
        <w:rPr>
          <w:szCs w:val="22"/>
        </w:rPr>
        <w:t>(</w:t>
      </w:r>
      <w:r w:rsidRPr="0069050E" w:rsidR="00106EC6">
        <w:rPr>
          <w:szCs w:val="22"/>
        </w:rPr>
        <w:t>ITG</w:t>
      </w:r>
      <w:r w:rsidRPr="0069050E" w:rsidR="0003570F">
        <w:rPr>
          <w:szCs w:val="22"/>
        </w:rPr>
        <w:t>)</w:t>
      </w:r>
      <w:r>
        <w:rPr>
          <w:rStyle w:val="FootnoteReference"/>
          <w:sz w:val="22"/>
          <w:szCs w:val="22"/>
        </w:rPr>
        <w:footnoteReference w:id="26"/>
      </w:r>
      <w:r w:rsidRPr="0069050E" w:rsidR="0003570F">
        <w:rPr>
          <w:szCs w:val="22"/>
        </w:rPr>
        <w:t xml:space="preserve"> </w:t>
      </w:r>
      <w:r w:rsidRPr="0069050E" w:rsidR="00474EA7">
        <w:rPr>
          <w:szCs w:val="22"/>
        </w:rPr>
        <w:t xml:space="preserve">investigated </w:t>
      </w:r>
      <w:r w:rsidRPr="0069050E" w:rsidR="009F0421">
        <w:rPr>
          <w:szCs w:val="22"/>
        </w:rPr>
        <w:t xml:space="preserve">purportedly </w:t>
      </w:r>
      <w:r w:rsidRPr="0069050E" w:rsidR="00474EA7">
        <w:rPr>
          <w:szCs w:val="22"/>
        </w:rPr>
        <w:t>prerecorded voice message calls made without consent</w:t>
      </w:r>
      <w:r w:rsidRPr="0069050E" w:rsidR="006C1B3A">
        <w:rPr>
          <w:szCs w:val="22"/>
        </w:rPr>
        <w:t xml:space="preserve"> between </w:t>
      </w:r>
      <w:r w:rsidRPr="0069050E" w:rsidR="006C1B3A">
        <w:t>February 3, 2023 and May 31, 2023</w:t>
      </w:r>
      <w:r w:rsidRPr="0069050E" w:rsidR="00474EA7">
        <w:rPr>
          <w:szCs w:val="22"/>
        </w:rPr>
        <w:t>.</w:t>
      </w:r>
      <w:r>
        <w:rPr>
          <w:rStyle w:val="FootnoteReference"/>
          <w:sz w:val="22"/>
          <w:szCs w:val="22"/>
        </w:rPr>
        <w:footnoteReference w:id="27"/>
      </w:r>
      <w:r w:rsidRPr="0069050E" w:rsidR="00474EA7">
        <w:rPr>
          <w:szCs w:val="22"/>
        </w:rPr>
        <w:t xml:space="preserve">  The </w:t>
      </w:r>
      <w:r w:rsidRPr="0069050E" w:rsidR="00106EC6">
        <w:rPr>
          <w:szCs w:val="22"/>
        </w:rPr>
        <w:t>ITG</w:t>
      </w:r>
      <w:r w:rsidRPr="0069050E" w:rsidR="00474EA7">
        <w:rPr>
          <w:szCs w:val="22"/>
        </w:rPr>
        <w:t xml:space="preserve"> conducted tracebacks and determined that </w:t>
      </w:r>
      <w:r w:rsidRPr="0069050E" w:rsidR="00106EC6">
        <w:rPr>
          <w:szCs w:val="22"/>
        </w:rPr>
        <w:t xml:space="preserve">the calls originated overseas and that </w:t>
      </w:r>
      <w:r w:rsidRPr="0069050E" w:rsidR="009914EA">
        <w:rPr>
          <w:szCs w:val="22"/>
        </w:rPr>
        <w:t>One Owl</w:t>
      </w:r>
      <w:r w:rsidRPr="0069050E" w:rsidR="00474EA7">
        <w:rPr>
          <w:szCs w:val="22"/>
        </w:rPr>
        <w:t xml:space="preserve"> acted as </w:t>
      </w:r>
      <w:r w:rsidRPr="0069050E" w:rsidR="00062F9D">
        <w:rPr>
          <w:szCs w:val="22"/>
        </w:rPr>
        <w:t xml:space="preserve">the originator for some of the calls and the gateway provider for other </w:t>
      </w:r>
      <w:r w:rsidRPr="0069050E" w:rsidR="00F56AC5">
        <w:rPr>
          <w:szCs w:val="22"/>
        </w:rPr>
        <w:t>calls</w:t>
      </w:r>
      <w:r w:rsidRPr="0069050E" w:rsidR="00474EA7">
        <w:rPr>
          <w:szCs w:val="22"/>
        </w:rPr>
        <w:t>.</w:t>
      </w:r>
      <w:r>
        <w:rPr>
          <w:rStyle w:val="FootnoteReference"/>
          <w:szCs w:val="22"/>
        </w:rPr>
        <w:footnoteReference w:id="28"/>
      </w:r>
      <w:r w:rsidRPr="0069050E" w:rsidR="00474EA7">
        <w:rPr>
          <w:szCs w:val="22"/>
        </w:rPr>
        <w:t xml:space="preserve">  The </w:t>
      </w:r>
      <w:r w:rsidRPr="0069050E" w:rsidR="00106EC6">
        <w:rPr>
          <w:szCs w:val="22"/>
        </w:rPr>
        <w:t>ITG</w:t>
      </w:r>
      <w:r w:rsidRPr="0069050E" w:rsidR="00474EA7">
        <w:rPr>
          <w:szCs w:val="22"/>
        </w:rPr>
        <w:t xml:space="preserve"> previously notified </w:t>
      </w:r>
      <w:r w:rsidRPr="0069050E" w:rsidR="009914EA">
        <w:rPr>
          <w:szCs w:val="22"/>
        </w:rPr>
        <w:t>One Owl</w:t>
      </w:r>
      <w:r w:rsidRPr="0069050E" w:rsidR="00474EA7">
        <w:rPr>
          <w:szCs w:val="22"/>
        </w:rPr>
        <w:t xml:space="preserve"> of these calls and provided it access to supporting data identifying each call.</w:t>
      </w:r>
      <w:r>
        <w:rPr>
          <w:rStyle w:val="FootnoteReference"/>
          <w:szCs w:val="22"/>
        </w:rPr>
        <w:footnoteReference w:id="29"/>
      </w:r>
      <w:r w:rsidRPr="0069050E" w:rsidR="0012263F">
        <w:rPr>
          <w:szCs w:val="22"/>
        </w:rPr>
        <w:t xml:space="preserve">  </w:t>
      </w:r>
      <w:r w:rsidRPr="0069050E" w:rsidR="009914EA">
        <w:rPr>
          <w:szCs w:val="22"/>
        </w:rPr>
        <w:t>One Owl</w:t>
      </w:r>
      <w:r w:rsidRPr="0069050E" w:rsidR="0012263F">
        <w:rPr>
          <w:szCs w:val="22"/>
        </w:rPr>
        <w:t xml:space="preserve"> </w:t>
      </w:r>
      <w:r w:rsidRPr="0069050E" w:rsidR="002C302C">
        <w:rPr>
          <w:szCs w:val="22"/>
        </w:rPr>
        <w:t>did not provide</w:t>
      </w:r>
      <w:r w:rsidRPr="0069050E" w:rsidR="00581BA9">
        <w:rPr>
          <w:szCs w:val="22"/>
        </w:rPr>
        <w:t xml:space="preserve"> the ITG</w:t>
      </w:r>
      <w:r w:rsidRPr="0069050E" w:rsidR="002C302C">
        <w:rPr>
          <w:szCs w:val="22"/>
        </w:rPr>
        <w:t xml:space="preserve"> proof of the requisite consent for the calls</w:t>
      </w:r>
      <w:r w:rsidRPr="0069050E" w:rsidR="0012263F">
        <w:rPr>
          <w:szCs w:val="22"/>
        </w:rPr>
        <w:t>.</w:t>
      </w:r>
      <w:r>
        <w:rPr>
          <w:rStyle w:val="FootnoteReference"/>
          <w:szCs w:val="22"/>
        </w:rPr>
        <w:footnoteReference w:id="30"/>
      </w:r>
    </w:p>
    <w:p w:rsidR="000D01C6" w:rsidRPr="0069050E" w:rsidP="00776DA6" w14:paraId="2610FB83" w14:textId="5CF45F2D">
      <w:pPr>
        <w:pStyle w:val="ParaNum"/>
        <w:widowControl/>
      </w:pPr>
      <w:r w:rsidRPr="0069050E">
        <w:t>The</w:t>
      </w:r>
      <w:r w:rsidRPr="0069050E" w:rsidR="008D3A33">
        <w:t xml:space="preserve"> Notice </w:t>
      </w:r>
      <w:r w:rsidRPr="0069050E">
        <w:t>require</w:t>
      </w:r>
      <w:r w:rsidRPr="0069050E" w:rsidR="00826F9C">
        <w:t>d</w:t>
      </w:r>
      <w:r w:rsidRPr="0069050E">
        <w:t xml:space="preserve"> </w:t>
      </w:r>
      <w:r w:rsidRPr="0069050E" w:rsidR="009914EA">
        <w:t>One Owl</w:t>
      </w:r>
      <w:r w:rsidRPr="0069050E">
        <w:t xml:space="preserve"> to investigate and block the traffic and report the results of the investigation to the Bureau by </w:t>
      </w:r>
      <w:r w:rsidRPr="0069050E" w:rsidR="000C4532">
        <w:t xml:space="preserve">August </w:t>
      </w:r>
      <w:r w:rsidRPr="0069050E" w:rsidR="00237945">
        <w:t>1</w:t>
      </w:r>
      <w:r w:rsidRPr="0069050E" w:rsidR="00D5533F">
        <w:t>5</w:t>
      </w:r>
      <w:r w:rsidRPr="0069050E" w:rsidR="00E3688E">
        <w:t>,</w:t>
      </w:r>
      <w:r w:rsidRPr="0069050E">
        <w:t xml:space="preserve"> 2023</w:t>
      </w:r>
      <w:r w:rsidRPr="0069050E" w:rsidR="00600197">
        <w:t>.</w:t>
      </w:r>
      <w:r>
        <w:rPr>
          <w:rStyle w:val="FootnoteReference"/>
        </w:rPr>
        <w:footnoteReference w:id="31"/>
      </w:r>
      <w:r w:rsidRPr="0069050E" w:rsidR="00600197">
        <w:t xml:space="preserve">  The </w:t>
      </w:r>
      <w:r w:rsidRPr="0069050E" w:rsidR="008D3A33">
        <w:t>Notice</w:t>
      </w:r>
      <w:r w:rsidRPr="0069050E" w:rsidR="00600197">
        <w:t xml:space="preserve"> warn</w:t>
      </w:r>
      <w:r w:rsidRPr="0069050E" w:rsidR="00826F9C">
        <w:t>ed</w:t>
      </w:r>
      <w:r w:rsidRPr="0069050E" w:rsidR="00600197">
        <w:t xml:space="preserve"> </w:t>
      </w:r>
      <w:r w:rsidRPr="0069050E" w:rsidR="009914EA">
        <w:t>One Owl</w:t>
      </w:r>
      <w:r w:rsidRPr="0069050E" w:rsidR="00600197">
        <w:t xml:space="preserve"> that a failure to </w:t>
      </w:r>
      <w:r w:rsidRPr="0069050E" w:rsidR="00600197">
        <w:t xml:space="preserve">comply with those obligations would result in the Bureau requiring all </w:t>
      </w:r>
      <w:r w:rsidRPr="0069050E" w:rsidR="00AF1238">
        <w:t>immediate</w:t>
      </w:r>
      <w:r w:rsidRPr="0069050E" w:rsidR="005F30D2">
        <w:t xml:space="preserve"> </w:t>
      </w:r>
      <w:r w:rsidRPr="0069050E" w:rsidR="00600197">
        <w:t>downstream providers to block its traffic pursuant to section 64.1200(n)(5) and (6).</w:t>
      </w:r>
      <w:r>
        <w:rPr>
          <w:rStyle w:val="FootnoteReference"/>
        </w:rPr>
        <w:footnoteReference w:id="32"/>
      </w:r>
      <w:r w:rsidRPr="0069050E" w:rsidR="00600197">
        <w:t xml:space="preserve">  </w:t>
      </w:r>
      <w:r w:rsidRPr="0069050E" w:rsidR="009914EA">
        <w:t>One Owl</w:t>
      </w:r>
      <w:r w:rsidRPr="0069050E" w:rsidR="00600197">
        <w:t xml:space="preserve"> has not responded to the letter or filed any report.</w:t>
      </w:r>
      <w:r>
        <w:rPr>
          <w:rStyle w:val="FootnoteReference"/>
        </w:rPr>
        <w:footnoteReference w:id="33"/>
      </w:r>
    </w:p>
    <w:p w:rsidR="00AE39B2" w:rsidRPr="0069050E" w:rsidP="003812DA" w14:paraId="3B858453" w14:textId="20E5C30E">
      <w:pPr>
        <w:pStyle w:val="ParaNum"/>
        <w:widowControl/>
        <w:rPr>
          <w:szCs w:val="22"/>
        </w:rPr>
      </w:pPr>
      <w:r w:rsidRPr="0069050E">
        <w:rPr>
          <w:szCs w:val="22"/>
        </w:rPr>
        <w:t>The</w:t>
      </w:r>
      <w:r w:rsidRPr="0069050E" w:rsidR="0003570F">
        <w:rPr>
          <w:szCs w:val="22"/>
        </w:rPr>
        <w:t xml:space="preserve"> </w:t>
      </w:r>
      <w:r w:rsidRPr="0069050E">
        <w:rPr>
          <w:szCs w:val="22"/>
        </w:rPr>
        <w:t>Notice</w:t>
      </w:r>
      <w:r w:rsidRPr="0069050E" w:rsidR="0003570F">
        <w:rPr>
          <w:szCs w:val="22"/>
        </w:rPr>
        <w:t xml:space="preserve"> also determined that </w:t>
      </w:r>
      <w:r w:rsidRPr="0069050E" w:rsidR="009914EA">
        <w:rPr>
          <w:szCs w:val="22"/>
        </w:rPr>
        <w:t>One Owl</w:t>
      </w:r>
      <w:r w:rsidRPr="0069050E" w:rsidR="0003570F">
        <w:rPr>
          <w:szCs w:val="22"/>
        </w:rPr>
        <w:t xml:space="preserve"> was </w:t>
      </w:r>
      <w:r w:rsidRPr="0069050E" w:rsidR="00AC1E1E">
        <w:rPr>
          <w:szCs w:val="22"/>
        </w:rPr>
        <w:t>associated with</w:t>
      </w:r>
      <w:r w:rsidRPr="0069050E" w:rsidR="0003570F">
        <w:rPr>
          <w:szCs w:val="22"/>
        </w:rPr>
        <w:t xml:space="preserve"> </w:t>
      </w:r>
      <w:r w:rsidRPr="0069050E" w:rsidR="002618FB">
        <w:rPr>
          <w:szCs w:val="22"/>
        </w:rPr>
        <w:t xml:space="preserve">two </w:t>
      </w:r>
      <w:r w:rsidRPr="0069050E" w:rsidR="0003570F">
        <w:rPr>
          <w:szCs w:val="22"/>
        </w:rPr>
        <w:t>previous recipient</w:t>
      </w:r>
      <w:r w:rsidRPr="0069050E" w:rsidR="000C4532">
        <w:rPr>
          <w:szCs w:val="22"/>
        </w:rPr>
        <w:t>s</w:t>
      </w:r>
      <w:r w:rsidRPr="0069050E" w:rsidR="0003570F">
        <w:rPr>
          <w:szCs w:val="22"/>
        </w:rPr>
        <w:t xml:space="preserve"> of Bureau cease-and-desist letter</w:t>
      </w:r>
      <w:r w:rsidRPr="0069050E" w:rsidR="000C4532">
        <w:rPr>
          <w:szCs w:val="22"/>
        </w:rPr>
        <w:t xml:space="preserve">s: </w:t>
      </w:r>
      <w:r w:rsidRPr="0069050E" w:rsidR="00A17761">
        <w:rPr>
          <w:szCs w:val="22"/>
        </w:rPr>
        <w:t xml:space="preserve"> </w:t>
      </w:r>
      <w:r w:rsidRPr="0069050E" w:rsidR="0003570F">
        <w:rPr>
          <w:szCs w:val="22"/>
        </w:rPr>
        <w:t>Illum Telecommunication</w:t>
      </w:r>
      <w:r w:rsidRPr="0069050E" w:rsidR="000C4532">
        <w:rPr>
          <w:szCs w:val="22"/>
        </w:rPr>
        <w:t xml:space="preserve"> </w:t>
      </w:r>
      <w:r w:rsidRPr="0069050E" w:rsidR="00CD6EA2">
        <w:rPr>
          <w:szCs w:val="22"/>
        </w:rPr>
        <w:t xml:space="preserve">Limited </w:t>
      </w:r>
      <w:r w:rsidRPr="0069050E" w:rsidR="00584B07">
        <w:rPr>
          <w:szCs w:val="22"/>
        </w:rPr>
        <w:t>(Illum)</w:t>
      </w:r>
      <w:r w:rsidRPr="0069050E" w:rsidR="000C4532">
        <w:rPr>
          <w:szCs w:val="22"/>
        </w:rPr>
        <w:t xml:space="preserve"> and One Eye LLC</w:t>
      </w:r>
      <w:r w:rsidRPr="0069050E" w:rsidR="00584B07">
        <w:rPr>
          <w:szCs w:val="22"/>
        </w:rPr>
        <w:t xml:space="preserve"> (One Eye)</w:t>
      </w:r>
      <w:r w:rsidRPr="0069050E" w:rsidR="0003570F">
        <w:rPr>
          <w:szCs w:val="22"/>
        </w:rPr>
        <w:t>.</w:t>
      </w:r>
      <w:r>
        <w:rPr>
          <w:rStyle w:val="FootnoteReference"/>
          <w:szCs w:val="22"/>
        </w:rPr>
        <w:footnoteReference w:id="34"/>
      </w:r>
      <w:r w:rsidRPr="0069050E" w:rsidR="0003570F">
        <w:rPr>
          <w:szCs w:val="22"/>
        </w:rPr>
        <w:t xml:space="preserve">  </w:t>
      </w:r>
      <w:r w:rsidRPr="0069050E" w:rsidR="000C4532">
        <w:rPr>
          <w:szCs w:val="22"/>
        </w:rPr>
        <w:t xml:space="preserve">One Eye was also the subject of an order which </w:t>
      </w:r>
      <w:r w:rsidRPr="0069050E" w:rsidR="00F10034">
        <w:rPr>
          <w:szCs w:val="22"/>
        </w:rPr>
        <w:t>directed all</w:t>
      </w:r>
      <w:r w:rsidRPr="0069050E" w:rsidR="000C4532">
        <w:rPr>
          <w:szCs w:val="22"/>
        </w:rPr>
        <w:t xml:space="preserve"> immediate downstream providers to block </w:t>
      </w:r>
      <w:r w:rsidRPr="0069050E" w:rsidR="00D26029">
        <w:rPr>
          <w:szCs w:val="22"/>
        </w:rPr>
        <w:t xml:space="preserve">and cease accepting </w:t>
      </w:r>
      <w:r w:rsidRPr="0069050E" w:rsidR="000C4532">
        <w:rPr>
          <w:szCs w:val="22"/>
        </w:rPr>
        <w:t>One Eye’s traffic.</w:t>
      </w:r>
      <w:r>
        <w:rPr>
          <w:rStyle w:val="FootnoteReference"/>
          <w:szCs w:val="22"/>
        </w:rPr>
        <w:footnoteReference w:id="35"/>
      </w:r>
      <w:r w:rsidRPr="0069050E" w:rsidR="005D7A08">
        <w:rPr>
          <w:szCs w:val="22"/>
        </w:rPr>
        <w:t xml:space="preserve">  </w:t>
      </w:r>
      <w:r w:rsidRPr="0069050E">
        <w:rPr>
          <w:szCs w:val="22"/>
        </w:rPr>
        <w:t>In response to the FCC’s enforcement action against Illum in October 2021, the CEO and Director of Illum, Prince Anand (Anand), who sometimes uses the alias “Frank Murphy,” created One Eye.</w:t>
      </w:r>
      <w:r>
        <w:rPr>
          <w:rStyle w:val="FootnoteReference"/>
          <w:sz w:val="22"/>
          <w:szCs w:val="22"/>
        </w:rPr>
        <w:footnoteReference w:id="36"/>
      </w:r>
      <w:r w:rsidRPr="0069050E">
        <w:rPr>
          <w:szCs w:val="22"/>
        </w:rPr>
        <w:t xml:space="preserve">  To deflect the FCC’s scrutiny, Anand intended to</w:t>
      </w:r>
      <w:r w:rsidRPr="0069050E">
        <w:rPr>
          <w:szCs w:val="22"/>
        </w:rPr>
        <w:t xml:space="preserve"> </w:t>
      </w:r>
      <w:r w:rsidRPr="0069050E">
        <w:rPr>
          <w:szCs w:val="22"/>
        </w:rPr>
        <w:t>keep his name off One Eye’s corporate documents.</w:t>
      </w:r>
      <w:r>
        <w:rPr>
          <w:szCs w:val="22"/>
          <w:vertAlign w:val="superscript"/>
        </w:rPr>
        <w:footnoteReference w:id="37"/>
      </w:r>
      <w:r w:rsidRPr="0069050E">
        <w:rPr>
          <w:szCs w:val="22"/>
        </w:rPr>
        <w:t xml:space="preserve">  Kaushal Bhavsar, a director of Illum, became One Eye’s CEO.</w:t>
      </w:r>
      <w:r>
        <w:rPr>
          <w:rStyle w:val="FootnoteReference"/>
          <w:sz w:val="22"/>
          <w:szCs w:val="22"/>
        </w:rPr>
        <w:footnoteReference w:id="38"/>
      </w:r>
      <w:r w:rsidRPr="0069050E">
        <w:rPr>
          <w:szCs w:val="22"/>
        </w:rPr>
        <w:t xml:space="preserve">  Aashay Khandelwal, the Human Resource Representative for Illum, subsequently formed One Owl and became the CEO.</w:t>
      </w:r>
      <w:r>
        <w:rPr>
          <w:rStyle w:val="FootnoteReference"/>
          <w:sz w:val="22"/>
          <w:szCs w:val="22"/>
        </w:rPr>
        <w:footnoteReference w:id="39"/>
      </w:r>
      <w:r w:rsidRPr="0069050E">
        <w:rPr>
          <w:szCs w:val="22"/>
        </w:rPr>
        <w:t xml:space="preserve">  Julya Barros, a seemingly close acquaintance of Anand,</w:t>
      </w:r>
      <w:r>
        <w:rPr>
          <w:rStyle w:val="FootnoteReference"/>
          <w:sz w:val="22"/>
          <w:szCs w:val="22"/>
        </w:rPr>
        <w:footnoteReference w:id="40"/>
      </w:r>
      <w:r w:rsidRPr="0069050E">
        <w:rPr>
          <w:szCs w:val="22"/>
        </w:rPr>
        <w:t xml:space="preserve"> became Vice President of Sales and Marketing at One Owl.</w:t>
      </w:r>
      <w:r>
        <w:rPr>
          <w:rStyle w:val="FootnoteReference"/>
          <w:sz w:val="22"/>
          <w:szCs w:val="22"/>
        </w:rPr>
        <w:footnoteReference w:id="41"/>
      </w:r>
      <w:r w:rsidRPr="0069050E">
        <w:rPr>
          <w:szCs w:val="22"/>
        </w:rPr>
        <w:t xml:space="preserve">  One Owl and One Eye used the same IP address to conduct their business.</w:t>
      </w:r>
      <w:r>
        <w:rPr>
          <w:rStyle w:val="FootnoteReference"/>
          <w:sz w:val="22"/>
          <w:szCs w:val="22"/>
        </w:rPr>
        <w:footnoteReference w:id="42"/>
      </w:r>
      <w:r w:rsidRPr="0069050E">
        <w:rPr>
          <w:szCs w:val="22"/>
        </w:rPr>
        <w:t xml:space="preserve">  One Owl and One Eye communicated under the same email domain, @oneeyetelecom.com.</w:t>
      </w:r>
      <w:r>
        <w:rPr>
          <w:rStyle w:val="FootnoteReference"/>
          <w:sz w:val="22"/>
          <w:szCs w:val="22"/>
        </w:rPr>
        <w:footnoteReference w:id="43"/>
      </w:r>
      <w:r w:rsidRPr="0069050E">
        <w:rPr>
          <w:szCs w:val="22"/>
        </w:rPr>
        <w:t xml:space="preserve">  One Owl and One Eye also shared customers that the FCC has explicitly identified as the source of illegal traffic</w:t>
      </w:r>
      <w:r w:rsidRPr="0069050E" w:rsidR="00354794">
        <w:rPr>
          <w:szCs w:val="22"/>
        </w:rPr>
        <w:t>,</w:t>
      </w:r>
      <w:r>
        <w:rPr>
          <w:rStyle w:val="FootnoteReference"/>
          <w:sz w:val="22"/>
          <w:szCs w:val="22"/>
        </w:rPr>
        <w:footnoteReference w:id="44"/>
      </w:r>
      <w:r w:rsidRPr="0069050E">
        <w:rPr>
          <w:szCs w:val="22"/>
        </w:rPr>
        <w:t xml:space="preserve"> </w:t>
      </w:r>
      <w:r w:rsidRPr="0069050E" w:rsidR="00354794">
        <w:rPr>
          <w:szCs w:val="22"/>
        </w:rPr>
        <w:t>and the content of the calls</w:t>
      </w:r>
      <w:r w:rsidRPr="0069050E" w:rsidR="00633E2E">
        <w:rPr>
          <w:szCs w:val="22"/>
        </w:rPr>
        <w:t xml:space="preserve"> carried by both companies </w:t>
      </w:r>
      <w:r w:rsidRPr="0069050E" w:rsidR="00606EF0">
        <w:rPr>
          <w:szCs w:val="22"/>
        </w:rPr>
        <w:t>pertain</w:t>
      </w:r>
      <w:r w:rsidRPr="0069050E" w:rsidR="001056EA">
        <w:rPr>
          <w:szCs w:val="22"/>
        </w:rPr>
        <w:t>ed</w:t>
      </w:r>
      <w:r w:rsidRPr="0069050E" w:rsidR="00606EF0">
        <w:rPr>
          <w:szCs w:val="22"/>
        </w:rPr>
        <w:t xml:space="preserve"> to orders purportedly placed by the </w:t>
      </w:r>
      <w:r w:rsidRPr="0069050E" w:rsidR="001056EA">
        <w:rPr>
          <w:szCs w:val="22"/>
        </w:rPr>
        <w:t xml:space="preserve">called </w:t>
      </w:r>
      <w:r w:rsidRPr="0069050E" w:rsidR="0011601A">
        <w:rPr>
          <w:szCs w:val="22"/>
        </w:rPr>
        <w:t>parties</w:t>
      </w:r>
      <w:r w:rsidRPr="0069050E" w:rsidR="00606EF0">
        <w:rPr>
          <w:szCs w:val="22"/>
        </w:rPr>
        <w:t>.</w:t>
      </w:r>
      <w:r>
        <w:rPr>
          <w:rStyle w:val="FootnoteReference"/>
          <w:szCs w:val="22"/>
        </w:rPr>
        <w:footnoteReference w:id="45"/>
      </w:r>
      <w:r w:rsidRPr="0069050E" w:rsidR="00606EF0">
        <w:rPr>
          <w:szCs w:val="22"/>
        </w:rPr>
        <w:t xml:space="preserve"> </w:t>
      </w:r>
      <w:r w:rsidRPr="0069050E">
        <w:rPr>
          <w:szCs w:val="22"/>
        </w:rPr>
        <w:t xml:space="preserve"> </w:t>
      </w:r>
      <w:r w:rsidRPr="0069050E" w:rsidR="004D537F">
        <w:rPr>
          <w:szCs w:val="22"/>
        </w:rPr>
        <w:t xml:space="preserve">The </w:t>
      </w:r>
      <w:r w:rsidRPr="0069050E">
        <w:rPr>
          <w:szCs w:val="22"/>
        </w:rPr>
        <w:t xml:space="preserve">personnel connections between One Owl, One Eye, and Illum are summarized in the </w:t>
      </w:r>
      <w:r w:rsidRPr="0008479D">
        <w:rPr>
          <w:szCs w:val="22"/>
        </w:rPr>
        <w:t>table below.</w:t>
      </w:r>
      <w:r w:rsidR="004407BA">
        <w:rPr>
          <w:szCs w:val="22"/>
        </w:rPr>
        <w:t xml:space="preserve"> </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tblPr>
      <w:tblGrid>
        <w:gridCol w:w="5485"/>
        <w:gridCol w:w="4206"/>
      </w:tblGrid>
      <w:tr w14:paraId="45B7C780" w14:textId="77777777" w:rsidTr="0071723A">
        <w:tblPrEx>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tblPrEx>
        <w:trPr>
          <w:cantSplit/>
          <w:tblHeader/>
        </w:trPr>
        <w:tc>
          <w:tcPr>
            <w:tcW w:w="5485" w:type="dxa"/>
            <w:shd w:val="clear" w:color="auto" w:fill="BFBFBF" w:themeFill="background1" w:themeFillShade="BF"/>
            <w:tcMar>
              <w:top w:w="0" w:type="dxa"/>
              <w:left w:w="108" w:type="dxa"/>
              <w:bottom w:w="0" w:type="dxa"/>
              <w:right w:w="108" w:type="dxa"/>
            </w:tcMar>
            <w:hideMark/>
          </w:tcPr>
          <w:p w:rsidR="00AE39B2" w:rsidRPr="0069050E" w:rsidP="00EF636E" w14:paraId="0C322EC9" w14:textId="77777777">
            <w:pPr>
              <w:pStyle w:val="xmsonormal"/>
              <w:keepNext/>
              <w:keepLines/>
              <w:spacing w:before="0" w:beforeAutospacing="0" w:after="0" w:afterAutospacing="0"/>
              <w:jc w:val="center"/>
              <w:rPr>
                <w:rFonts w:ascii="Times New Roman Bold" w:hAnsi="Times New Roman Bold"/>
                <w:caps/>
                <w:sz w:val="20"/>
                <w:szCs w:val="20"/>
              </w:rPr>
            </w:pPr>
            <w:r w:rsidRPr="0069050E">
              <w:rPr>
                <w:rFonts w:ascii="Times New Roman Bold" w:hAnsi="Times New Roman Bold" w:cs="Times New Roman"/>
                <w:b/>
                <w:bCs/>
                <w:caps/>
                <w:sz w:val="20"/>
                <w:szCs w:val="20"/>
              </w:rPr>
              <w:t>Individuals</w:t>
            </w:r>
          </w:p>
        </w:tc>
        <w:tc>
          <w:tcPr>
            <w:tcW w:w="4206" w:type="dxa"/>
            <w:shd w:val="clear" w:color="auto" w:fill="BFBFBF" w:themeFill="background1" w:themeFillShade="BF"/>
          </w:tcPr>
          <w:p w:rsidR="00AE39B2" w:rsidRPr="0069050E" w:rsidP="0071723A" w14:paraId="7C398532" w14:textId="77777777">
            <w:pPr>
              <w:pStyle w:val="xmsonormal"/>
              <w:keepLines/>
              <w:spacing w:before="0" w:beforeAutospacing="0" w:after="0" w:afterAutospacing="0"/>
              <w:jc w:val="center"/>
              <w:rPr>
                <w:rFonts w:ascii="Times New Roman Bold" w:hAnsi="Times New Roman Bold" w:cs="Times New Roman"/>
                <w:b/>
                <w:bCs/>
                <w:caps/>
                <w:sz w:val="20"/>
                <w:szCs w:val="20"/>
              </w:rPr>
            </w:pPr>
            <w:r w:rsidRPr="0069050E">
              <w:rPr>
                <w:rFonts w:ascii="Times New Roman Bold" w:hAnsi="Times New Roman Bold" w:cs="Times New Roman"/>
                <w:b/>
                <w:bCs/>
                <w:caps/>
                <w:sz w:val="20"/>
                <w:szCs w:val="20"/>
              </w:rPr>
              <w:t>Companies</w:t>
            </w:r>
          </w:p>
        </w:tc>
      </w:tr>
      <w:tr w14:paraId="3933B71A" w14:textId="77777777" w:rsidTr="0071723A">
        <w:tblPrEx>
          <w:tblW w:w="9691" w:type="dxa"/>
          <w:tblCellMar>
            <w:top w:w="43" w:type="dxa"/>
            <w:left w:w="43" w:type="dxa"/>
            <w:bottom w:w="43" w:type="dxa"/>
            <w:right w:w="43" w:type="dxa"/>
          </w:tblCellMar>
          <w:tblLook w:val="04A0"/>
        </w:tblPrEx>
        <w:trPr>
          <w:cantSplit/>
        </w:trPr>
        <w:tc>
          <w:tcPr>
            <w:tcW w:w="5485" w:type="dxa"/>
            <w:shd w:val="clear" w:color="auto" w:fill="auto"/>
            <w:tcMar>
              <w:top w:w="0" w:type="dxa"/>
              <w:left w:w="108" w:type="dxa"/>
              <w:bottom w:w="0" w:type="dxa"/>
              <w:right w:w="108" w:type="dxa"/>
            </w:tcMar>
            <w:hideMark/>
          </w:tcPr>
          <w:p w:rsidR="00AE39B2" w:rsidRPr="0069050E" w:rsidP="0071723A" w14:paraId="366D488D" w14:textId="4599359D">
            <w:pPr>
              <w:pStyle w:val="xmsonormal"/>
              <w:keepLines/>
              <w:spacing w:before="0" w:beforeAutospacing="0" w:after="0" w:afterAutospacing="0"/>
              <w:rPr>
                <w:rFonts w:ascii="Times New Roman" w:hAnsi="Times New Roman" w:cs="Times New Roman"/>
                <w:b/>
                <w:bCs/>
                <w:sz w:val="20"/>
                <w:szCs w:val="20"/>
              </w:rPr>
            </w:pPr>
            <w:r w:rsidRPr="0069050E">
              <w:rPr>
                <w:rFonts w:ascii="Times New Roman" w:hAnsi="Times New Roman" w:cs="Times New Roman"/>
                <w:b/>
                <w:bCs/>
                <w:sz w:val="20"/>
                <w:szCs w:val="20"/>
              </w:rPr>
              <w:t>Aash</w:t>
            </w:r>
            <w:r w:rsidRPr="00C72EA9">
              <w:rPr>
                <w:rFonts w:ascii="Times New Roman" w:hAnsi="Times New Roman" w:cs="Times New Roman"/>
                <w:b/>
                <w:bCs/>
                <w:sz w:val="20"/>
                <w:szCs w:val="20"/>
              </w:rPr>
              <w:t>ay Khandelwal</w:t>
            </w:r>
            <w:r w:rsidRPr="00C72EA9">
              <w:rPr>
                <w:rFonts w:ascii="Times New Roman" w:hAnsi="Times New Roman" w:cs="Times New Roman"/>
                <w:sz w:val="20"/>
                <w:szCs w:val="20"/>
              </w:rPr>
              <w:t>,</w:t>
            </w:r>
            <w:r w:rsidRPr="00C72EA9">
              <w:rPr>
                <w:rFonts w:ascii="Times New Roman" w:hAnsi="Times New Roman" w:cs="Times New Roman"/>
                <w:b/>
                <w:bCs/>
                <w:sz w:val="20"/>
                <w:szCs w:val="20"/>
              </w:rPr>
              <w:t xml:space="preserve"> </w:t>
            </w:r>
            <w:r w:rsidRPr="00C72EA9">
              <w:rPr>
                <w:rFonts w:ascii="Times New Roman" w:hAnsi="Times New Roman" w:cs="Times New Roman"/>
                <w:sz w:val="20"/>
                <w:szCs w:val="20"/>
              </w:rPr>
              <w:t>resident of Maryland,</w:t>
            </w:r>
            <w:r>
              <w:rPr>
                <w:rStyle w:val="FootnoteReference"/>
                <w:szCs w:val="20"/>
              </w:rPr>
              <w:footnoteReference w:id="46"/>
            </w:r>
            <w:r w:rsidRPr="00C72EA9">
              <w:rPr>
                <w:rFonts w:ascii="Times New Roman" w:hAnsi="Times New Roman" w:cs="Times New Roman"/>
                <w:sz w:val="20"/>
                <w:szCs w:val="20"/>
              </w:rPr>
              <w:t xml:space="preserve"> with a presence in Las Vegas, Nevada,</w:t>
            </w:r>
            <w:r>
              <w:rPr>
                <w:rStyle w:val="FootnoteReference"/>
                <w:rFonts w:cs="Times New Roman"/>
                <w:szCs w:val="20"/>
              </w:rPr>
              <w:footnoteReference w:id="47"/>
            </w:r>
            <w:r w:rsidRPr="00C72EA9">
              <w:rPr>
                <w:rFonts w:ascii="Times New Roman" w:hAnsi="Times New Roman" w:cs="Times New Roman"/>
                <w:sz w:val="20"/>
                <w:szCs w:val="20"/>
              </w:rPr>
              <w:t xml:space="preserve"> and Mumbai</w:t>
            </w:r>
            <w:r w:rsidRPr="0069050E">
              <w:rPr>
                <w:rFonts w:ascii="Times New Roman" w:hAnsi="Times New Roman" w:cs="Times New Roman"/>
                <w:sz w:val="20"/>
                <w:szCs w:val="20"/>
              </w:rPr>
              <w:t>, India</w:t>
            </w:r>
            <w:r>
              <w:rPr>
                <w:rStyle w:val="FootnoteReference"/>
                <w:rFonts w:cs="Times New Roman"/>
                <w:szCs w:val="20"/>
              </w:rPr>
              <w:footnoteReference w:id="48"/>
            </w:r>
          </w:p>
        </w:tc>
        <w:tc>
          <w:tcPr>
            <w:tcW w:w="4206" w:type="dxa"/>
          </w:tcPr>
          <w:p w:rsidR="00AE39B2" w:rsidRPr="0069050E" w:rsidP="0071723A" w14:paraId="198514E7" w14:textId="5E785902">
            <w:pPr>
              <w:pStyle w:val="xmsonormal"/>
              <w:keepLines/>
              <w:spacing w:before="0" w:beforeAutospacing="0" w:after="0" w:afterAutospacing="0"/>
              <w:rPr>
                <w:rFonts w:ascii="Times New Roman" w:hAnsi="Times New Roman" w:cs="Times New Roman"/>
                <w:sz w:val="20"/>
                <w:szCs w:val="20"/>
              </w:rPr>
            </w:pPr>
            <w:r w:rsidRPr="0069050E">
              <w:rPr>
                <w:rFonts w:ascii="Times New Roman" w:hAnsi="Times New Roman" w:cs="Times New Roman"/>
                <w:b/>
                <w:bCs/>
                <w:sz w:val="20"/>
                <w:szCs w:val="20"/>
              </w:rPr>
              <w:t xml:space="preserve">CEO </w:t>
            </w:r>
            <w:r w:rsidRPr="0069050E">
              <w:rPr>
                <w:rFonts w:ascii="Times New Roman" w:hAnsi="Times New Roman" w:cs="Times New Roman"/>
                <w:sz w:val="20"/>
                <w:szCs w:val="20"/>
              </w:rPr>
              <w:t>at One Owl</w:t>
            </w:r>
            <w:r>
              <w:rPr>
                <w:rStyle w:val="FootnoteReference"/>
                <w:rFonts w:cs="Times New Roman"/>
                <w:szCs w:val="20"/>
              </w:rPr>
              <w:footnoteReference w:id="49"/>
            </w:r>
            <w:r w:rsidRPr="00020410" w:rsidR="007431DE">
              <w:rPr>
                <w:rFonts w:ascii="Times New Roman" w:hAnsi="Times New Roman" w:cs="Times New Roman"/>
                <w:sz w:val="20"/>
                <w:szCs w:val="20"/>
              </w:rPr>
              <w:t xml:space="preserve"> </w:t>
            </w:r>
            <w:r w:rsidRPr="0069050E">
              <w:rPr>
                <w:rFonts w:ascii="Times New Roman" w:hAnsi="Times New Roman" w:cs="Times New Roman"/>
                <w:sz w:val="20"/>
                <w:szCs w:val="20"/>
              </w:rPr>
              <w:t xml:space="preserve"> </w:t>
            </w:r>
          </w:p>
          <w:p w:rsidR="00AE39B2" w:rsidRPr="0069050E" w:rsidP="0071723A" w14:paraId="217FA6EE" w14:textId="02B3E44D">
            <w:pPr>
              <w:pStyle w:val="xmsonormal"/>
              <w:keepLines/>
              <w:spacing w:before="0" w:beforeAutospacing="0" w:after="0" w:afterAutospacing="0"/>
              <w:rPr>
                <w:rFonts w:ascii="Times New Roman" w:hAnsi="Times New Roman" w:cs="Times New Roman"/>
                <w:b/>
                <w:bCs/>
                <w:sz w:val="20"/>
                <w:szCs w:val="20"/>
              </w:rPr>
            </w:pPr>
            <w:r w:rsidRPr="0069050E">
              <w:rPr>
                <w:rFonts w:ascii="Times New Roman" w:hAnsi="Times New Roman" w:cs="Times New Roman"/>
                <w:b/>
                <w:bCs/>
                <w:sz w:val="20"/>
                <w:szCs w:val="20"/>
              </w:rPr>
              <w:t xml:space="preserve">Human Resources Representative </w:t>
            </w:r>
            <w:r w:rsidRPr="0069050E">
              <w:rPr>
                <w:rFonts w:ascii="Times New Roman" w:hAnsi="Times New Roman" w:cs="Times New Roman"/>
                <w:sz w:val="20"/>
                <w:szCs w:val="20"/>
              </w:rPr>
              <w:t>at Illum</w:t>
            </w:r>
            <w:r>
              <w:rPr>
                <w:rStyle w:val="FootnoteReference"/>
                <w:rFonts w:cs="Times New Roman"/>
                <w:szCs w:val="20"/>
              </w:rPr>
              <w:footnoteReference w:id="50"/>
            </w:r>
          </w:p>
        </w:tc>
      </w:tr>
      <w:tr w14:paraId="34BDC580" w14:textId="77777777" w:rsidTr="0071723A">
        <w:tblPrEx>
          <w:tblW w:w="9691" w:type="dxa"/>
          <w:tblCellMar>
            <w:top w:w="43" w:type="dxa"/>
            <w:left w:w="43" w:type="dxa"/>
            <w:bottom w:w="43" w:type="dxa"/>
            <w:right w:w="43" w:type="dxa"/>
          </w:tblCellMar>
          <w:tblLook w:val="04A0"/>
        </w:tblPrEx>
        <w:trPr>
          <w:cantSplit/>
        </w:trPr>
        <w:tc>
          <w:tcPr>
            <w:tcW w:w="5485" w:type="dxa"/>
            <w:tcMar>
              <w:top w:w="0" w:type="dxa"/>
              <w:left w:w="108" w:type="dxa"/>
              <w:bottom w:w="0" w:type="dxa"/>
              <w:right w:w="108" w:type="dxa"/>
            </w:tcMar>
            <w:hideMark/>
          </w:tcPr>
          <w:p w:rsidR="00AE39B2" w:rsidRPr="0069050E" w:rsidP="0071723A" w14:paraId="10043498" w14:textId="742D5721">
            <w:pPr>
              <w:pStyle w:val="xmsonormal"/>
              <w:keepLines/>
              <w:spacing w:before="0" w:beforeAutospacing="0" w:after="0" w:afterAutospacing="0"/>
              <w:rPr>
                <w:sz w:val="20"/>
                <w:szCs w:val="20"/>
              </w:rPr>
            </w:pPr>
            <w:r w:rsidRPr="0069050E">
              <w:rPr>
                <w:rFonts w:ascii="Times New Roman" w:hAnsi="Times New Roman" w:cs="Times New Roman"/>
                <w:b/>
                <w:bCs/>
                <w:sz w:val="20"/>
                <w:szCs w:val="20"/>
              </w:rPr>
              <w:t>Julya Barros</w:t>
            </w:r>
            <w:r w:rsidRPr="0069050E">
              <w:rPr>
                <w:rFonts w:ascii="Times New Roman" w:hAnsi="Times New Roman" w:cs="Times New Roman"/>
                <w:sz w:val="20"/>
                <w:szCs w:val="20"/>
              </w:rPr>
              <w:t>, resident of Mumbai, India</w:t>
            </w:r>
            <w:r>
              <w:rPr>
                <w:rStyle w:val="FootnoteReference"/>
                <w:rFonts w:cs="Times New Roman"/>
                <w:szCs w:val="20"/>
              </w:rPr>
              <w:footnoteReference w:id="51"/>
            </w:r>
            <w:r w:rsidRPr="0069050E">
              <w:rPr>
                <w:rFonts w:ascii="Times New Roman" w:hAnsi="Times New Roman" w:cs="Times New Roman"/>
                <w:sz w:val="20"/>
                <w:szCs w:val="20"/>
              </w:rPr>
              <w:t xml:space="preserve"> and Dubai, United Arab Emirates</w:t>
            </w:r>
            <w:r>
              <w:rPr>
                <w:rStyle w:val="FootnoteReference"/>
                <w:rFonts w:cs="Times New Roman"/>
                <w:szCs w:val="20"/>
              </w:rPr>
              <w:footnoteReference w:id="52"/>
            </w:r>
          </w:p>
        </w:tc>
        <w:tc>
          <w:tcPr>
            <w:tcW w:w="4206" w:type="dxa"/>
          </w:tcPr>
          <w:p w:rsidR="00AE39B2" w:rsidRPr="0069050E" w:rsidP="0071723A" w14:paraId="0C625E06" w14:textId="418D448E">
            <w:pPr>
              <w:pStyle w:val="xmsonormal"/>
              <w:keepLines/>
              <w:spacing w:before="0" w:beforeAutospacing="0" w:after="0" w:afterAutospacing="0"/>
              <w:rPr>
                <w:rFonts w:ascii="Times New Roman" w:hAnsi="Times New Roman" w:cs="Times New Roman"/>
                <w:b/>
                <w:bCs/>
                <w:sz w:val="20"/>
                <w:szCs w:val="20"/>
              </w:rPr>
            </w:pPr>
            <w:r w:rsidRPr="0069050E">
              <w:rPr>
                <w:rFonts w:ascii="Times New Roman" w:hAnsi="Times New Roman" w:cs="Times New Roman"/>
                <w:b/>
                <w:bCs/>
                <w:sz w:val="20"/>
                <w:szCs w:val="20"/>
              </w:rPr>
              <w:t xml:space="preserve">Vice President of Sales and Marketing </w:t>
            </w:r>
            <w:r w:rsidRPr="0069050E">
              <w:rPr>
                <w:rFonts w:ascii="Times New Roman" w:hAnsi="Times New Roman" w:cs="Times New Roman"/>
                <w:sz w:val="20"/>
                <w:szCs w:val="20"/>
              </w:rPr>
              <w:t>at One Owl</w:t>
            </w:r>
            <w:r>
              <w:rPr>
                <w:rStyle w:val="FootnoteReference"/>
                <w:rFonts w:cs="Times New Roman"/>
                <w:szCs w:val="20"/>
              </w:rPr>
              <w:footnoteReference w:id="53"/>
            </w:r>
          </w:p>
        </w:tc>
      </w:tr>
      <w:tr w14:paraId="155EDD82" w14:textId="77777777" w:rsidTr="0071723A">
        <w:tblPrEx>
          <w:tblW w:w="9691" w:type="dxa"/>
          <w:tblCellMar>
            <w:top w:w="43" w:type="dxa"/>
            <w:left w:w="43" w:type="dxa"/>
            <w:bottom w:w="43" w:type="dxa"/>
            <w:right w:w="43" w:type="dxa"/>
          </w:tblCellMar>
          <w:tblLook w:val="04A0"/>
        </w:tblPrEx>
        <w:trPr>
          <w:cantSplit/>
        </w:trPr>
        <w:tc>
          <w:tcPr>
            <w:tcW w:w="5485" w:type="dxa"/>
            <w:tcMar>
              <w:top w:w="0" w:type="dxa"/>
              <w:left w:w="108" w:type="dxa"/>
              <w:bottom w:w="0" w:type="dxa"/>
              <w:right w:w="108" w:type="dxa"/>
            </w:tcMar>
          </w:tcPr>
          <w:p w:rsidR="00AE39B2" w:rsidRPr="0069050E" w:rsidP="0071723A" w14:paraId="6F4E979D" w14:textId="5C4A1689">
            <w:pPr>
              <w:pStyle w:val="xmsonormal"/>
              <w:keepLines/>
              <w:spacing w:before="0" w:beforeAutospacing="0" w:after="0" w:afterAutospacing="0"/>
              <w:rPr>
                <w:rFonts w:ascii="Times New Roman" w:hAnsi="Times New Roman" w:cs="Times New Roman"/>
                <w:b/>
                <w:bCs/>
                <w:sz w:val="20"/>
                <w:szCs w:val="20"/>
              </w:rPr>
            </w:pPr>
            <w:r w:rsidRPr="0069050E">
              <w:rPr>
                <w:rFonts w:ascii="Times New Roman" w:hAnsi="Times New Roman" w:cs="Times New Roman"/>
                <w:b/>
                <w:bCs/>
                <w:sz w:val="20"/>
                <w:szCs w:val="20"/>
              </w:rPr>
              <w:t>Prince Anand, also known as Frank Murphy</w:t>
            </w:r>
            <w:r w:rsidRPr="0069050E">
              <w:rPr>
                <w:rFonts w:ascii="Times New Roman" w:hAnsi="Times New Roman" w:cs="Times New Roman"/>
                <w:sz w:val="20"/>
                <w:szCs w:val="20"/>
              </w:rPr>
              <w:t>,</w:t>
            </w:r>
            <w:r>
              <w:rPr>
                <w:rStyle w:val="FootnoteReference"/>
                <w:rFonts w:cs="Times New Roman"/>
                <w:szCs w:val="20"/>
              </w:rPr>
              <w:footnoteReference w:id="54"/>
            </w:r>
            <w:r w:rsidRPr="0069050E">
              <w:rPr>
                <w:rFonts w:ascii="Times New Roman" w:hAnsi="Times New Roman" w:cs="Times New Roman"/>
                <w:sz w:val="20"/>
                <w:szCs w:val="20"/>
              </w:rPr>
              <w:t xml:space="preserve"> with a presence in Mumbai, India</w:t>
            </w:r>
            <w:r>
              <w:rPr>
                <w:rStyle w:val="FootnoteReference"/>
                <w:rFonts w:cs="Times New Roman"/>
                <w:szCs w:val="20"/>
              </w:rPr>
              <w:footnoteReference w:id="55"/>
            </w:r>
            <w:r w:rsidRPr="0069050E">
              <w:rPr>
                <w:rFonts w:ascii="Times New Roman" w:hAnsi="Times New Roman" w:cs="Times New Roman"/>
                <w:sz w:val="20"/>
                <w:szCs w:val="20"/>
              </w:rPr>
              <w:t xml:space="preserve"> and Dubai, United Arab Emirates</w:t>
            </w:r>
            <w:r>
              <w:rPr>
                <w:rStyle w:val="FootnoteReference"/>
                <w:rFonts w:cs="Times New Roman"/>
                <w:szCs w:val="20"/>
              </w:rPr>
              <w:footnoteReference w:id="56"/>
            </w:r>
          </w:p>
        </w:tc>
        <w:tc>
          <w:tcPr>
            <w:tcW w:w="4206" w:type="dxa"/>
          </w:tcPr>
          <w:p w:rsidR="00AE39B2" w:rsidRPr="0069050E" w:rsidP="0071723A" w14:paraId="351B5341" w14:textId="17E888E6">
            <w:pPr>
              <w:pStyle w:val="xmsonormal"/>
              <w:keepLines/>
              <w:spacing w:before="0" w:beforeAutospacing="0" w:after="0" w:afterAutospacing="0"/>
              <w:rPr>
                <w:rFonts w:ascii="Times New Roman" w:hAnsi="Times New Roman" w:cs="Times New Roman"/>
                <w:sz w:val="20"/>
                <w:szCs w:val="20"/>
              </w:rPr>
            </w:pPr>
            <w:r w:rsidRPr="003E0165">
              <w:rPr>
                <w:rFonts w:ascii="Times New Roman" w:hAnsi="Times New Roman" w:cs="Times New Roman"/>
                <w:b/>
                <w:bCs/>
                <w:sz w:val="20"/>
                <w:szCs w:val="20"/>
              </w:rPr>
              <w:t>CEO</w:t>
            </w:r>
            <w:r w:rsidRPr="0069050E">
              <w:rPr>
                <w:rFonts w:ascii="Times New Roman" w:hAnsi="Times New Roman" w:cs="Times New Roman"/>
                <w:b/>
                <w:bCs/>
                <w:sz w:val="20"/>
                <w:szCs w:val="20"/>
              </w:rPr>
              <w:t xml:space="preserve"> &amp; Director </w:t>
            </w:r>
            <w:r w:rsidRPr="0069050E">
              <w:rPr>
                <w:rFonts w:ascii="Times New Roman" w:hAnsi="Times New Roman" w:cs="Times New Roman"/>
                <w:sz w:val="20"/>
                <w:szCs w:val="20"/>
              </w:rPr>
              <w:t>at Illum</w:t>
            </w:r>
            <w:r>
              <w:rPr>
                <w:rStyle w:val="FootnoteReference"/>
                <w:rFonts w:cs="Times New Roman"/>
                <w:szCs w:val="20"/>
              </w:rPr>
              <w:footnoteReference w:id="57"/>
            </w:r>
          </w:p>
          <w:p w:rsidR="00AE39B2" w:rsidRPr="0069050E" w:rsidP="0071723A" w14:paraId="7455A9C5" w14:textId="74C4E9B5">
            <w:pPr>
              <w:pStyle w:val="xmsonormal"/>
              <w:keepLines/>
              <w:spacing w:before="0" w:beforeAutospacing="0" w:after="0" w:afterAutospacing="0"/>
              <w:rPr>
                <w:rFonts w:ascii="Times New Roman" w:hAnsi="Times New Roman" w:cs="Times New Roman"/>
                <w:b/>
                <w:bCs/>
                <w:sz w:val="20"/>
                <w:szCs w:val="20"/>
              </w:rPr>
            </w:pPr>
            <w:r w:rsidRPr="0069050E">
              <w:rPr>
                <w:rFonts w:ascii="Times New Roman" w:hAnsi="Times New Roman" w:cs="Times New Roman"/>
                <w:b/>
                <w:bCs/>
                <w:sz w:val="20"/>
                <w:szCs w:val="20"/>
              </w:rPr>
              <w:t>De facto Founder</w:t>
            </w:r>
            <w:r w:rsidRPr="0069050E">
              <w:rPr>
                <w:rFonts w:ascii="Times New Roman" w:hAnsi="Times New Roman" w:cs="Times New Roman"/>
                <w:sz w:val="20"/>
                <w:szCs w:val="20"/>
              </w:rPr>
              <w:t xml:space="preserve"> of One Eye</w:t>
            </w:r>
            <w:r>
              <w:rPr>
                <w:rStyle w:val="FootnoteReference"/>
                <w:rFonts w:cs="Times New Roman"/>
                <w:szCs w:val="20"/>
              </w:rPr>
              <w:footnoteReference w:id="58"/>
            </w:r>
            <w:r w:rsidRPr="0069050E">
              <w:rPr>
                <w:rFonts w:ascii="Times New Roman" w:hAnsi="Times New Roman" w:cs="Times New Roman"/>
                <w:sz w:val="20"/>
                <w:szCs w:val="20"/>
              </w:rPr>
              <w:t xml:space="preserve"> </w:t>
            </w:r>
          </w:p>
        </w:tc>
      </w:tr>
      <w:tr w14:paraId="67D0B470" w14:textId="77777777" w:rsidTr="0071723A">
        <w:tblPrEx>
          <w:tblW w:w="9691" w:type="dxa"/>
          <w:tblCellMar>
            <w:top w:w="43" w:type="dxa"/>
            <w:left w:w="43" w:type="dxa"/>
            <w:bottom w:w="43" w:type="dxa"/>
            <w:right w:w="43" w:type="dxa"/>
          </w:tblCellMar>
          <w:tblLook w:val="04A0"/>
        </w:tblPrEx>
        <w:trPr>
          <w:cantSplit/>
        </w:trPr>
        <w:tc>
          <w:tcPr>
            <w:tcW w:w="5485" w:type="dxa"/>
            <w:tcMar>
              <w:top w:w="0" w:type="dxa"/>
              <w:left w:w="108" w:type="dxa"/>
              <w:bottom w:w="0" w:type="dxa"/>
              <w:right w:w="108" w:type="dxa"/>
            </w:tcMar>
          </w:tcPr>
          <w:p w:rsidR="00AE39B2" w:rsidRPr="0069050E" w:rsidP="0071723A" w14:paraId="73649047" w14:textId="214F6DEC">
            <w:pPr>
              <w:pStyle w:val="xmsonormal"/>
              <w:keepLines/>
              <w:spacing w:before="0" w:beforeAutospacing="0" w:after="0" w:afterAutospacing="0"/>
              <w:rPr>
                <w:rFonts w:ascii="Times New Roman" w:hAnsi="Times New Roman" w:cs="Times New Roman"/>
                <w:b/>
                <w:bCs/>
                <w:sz w:val="20"/>
                <w:szCs w:val="20"/>
              </w:rPr>
            </w:pPr>
            <w:r w:rsidRPr="0069050E">
              <w:rPr>
                <w:rFonts w:ascii="Times New Roman" w:hAnsi="Times New Roman" w:cs="Times New Roman"/>
                <w:b/>
                <w:bCs/>
                <w:sz w:val="20"/>
                <w:szCs w:val="20"/>
              </w:rPr>
              <w:t>Kaushal Bhavsar</w:t>
            </w:r>
            <w:r w:rsidRPr="0069050E">
              <w:rPr>
                <w:rFonts w:ascii="Times New Roman" w:hAnsi="Times New Roman" w:cs="Times New Roman"/>
                <w:sz w:val="20"/>
                <w:szCs w:val="20"/>
              </w:rPr>
              <w:t xml:space="preserve">, resident of </w:t>
            </w:r>
            <w:r w:rsidRPr="0069050E">
              <w:rPr>
                <w:rFonts w:ascii="Times New Roman" w:hAnsi="Times New Roman" w:cs="Times New Roman"/>
                <w:sz w:val="20"/>
                <w:szCs w:val="20"/>
                <w:shd w:val="clear" w:color="auto" w:fill="FFFFFF"/>
              </w:rPr>
              <w:t>Ahmedabad, Gujarat, India,</w:t>
            </w:r>
            <w:r>
              <w:rPr>
                <w:rStyle w:val="FootnoteReference"/>
                <w:rFonts w:cs="Times New Roman"/>
                <w:szCs w:val="20"/>
                <w:shd w:val="clear" w:color="auto" w:fill="FFFFFF"/>
              </w:rPr>
              <w:footnoteReference w:id="59"/>
            </w:r>
            <w:r w:rsidRPr="00020410" w:rsidR="007431DE">
              <w:rPr>
                <w:rFonts w:ascii="Times New Roman" w:hAnsi="Times New Roman" w:cs="Times New Roman"/>
                <w:sz w:val="20"/>
                <w:szCs w:val="20"/>
                <w:shd w:val="clear" w:color="auto" w:fill="FFFFFF"/>
              </w:rPr>
              <w:t xml:space="preserve"> </w:t>
            </w:r>
            <w:r w:rsidRPr="0069050E">
              <w:rPr>
                <w:rFonts w:ascii="Times New Roman" w:hAnsi="Times New Roman" w:cs="Times New Roman"/>
                <w:sz w:val="20"/>
                <w:szCs w:val="20"/>
                <w:shd w:val="clear" w:color="auto" w:fill="FFFFFF"/>
              </w:rPr>
              <w:t xml:space="preserve"> with a presence in </w:t>
            </w:r>
            <w:r w:rsidRPr="0069050E">
              <w:rPr>
                <w:rFonts w:ascii="Times New Roman" w:hAnsi="Times New Roman" w:cs="Times New Roman"/>
                <w:sz w:val="20"/>
                <w:szCs w:val="20"/>
              </w:rPr>
              <w:t>Delaware</w:t>
            </w:r>
            <w:r>
              <w:rPr>
                <w:rStyle w:val="FootnoteReference"/>
                <w:rFonts w:cs="Times New Roman"/>
                <w:szCs w:val="20"/>
              </w:rPr>
              <w:footnoteReference w:id="60"/>
            </w:r>
          </w:p>
        </w:tc>
        <w:tc>
          <w:tcPr>
            <w:tcW w:w="4206" w:type="dxa"/>
          </w:tcPr>
          <w:p w:rsidR="00AE39B2" w:rsidRPr="0069050E" w:rsidP="0071723A" w14:paraId="73FFDBA4" w14:textId="450FDB5F">
            <w:pPr>
              <w:pStyle w:val="xmsonormal"/>
              <w:keepLines/>
              <w:spacing w:before="0" w:beforeAutospacing="0" w:after="0" w:afterAutospacing="0"/>
              <w:rPr>
                <w:rFonts w:ascii="Times New Roman" w:hAnsi="Times New Roman" w:cs="Times New Roman"/>
                <w:sz w:val="20"/>
                <w:szCs w:val="20"/>
              </w:rPr>
            </w:pPr>
            <w:r w:rsidRPr="0069050E">
              <w:rPr>
                <w:rFonts w:ascii="Times New Roman" w:hAnsi="Times New Roman" w:cs="Times New Roman"/>
                <w:b/>
                <w:bCs/>
                <w:sz w:val="20"/>
                <w:szCs w:val="20"/>
              </w:rPr>
              <w:t xml:space="preserve">Director </w:t>
            </w:r>
            <w:r w:rsidRPr="0069050E">
              <w:rPr>
                <w:rFonts w:ascii="Times New Roman" w:hAnsi="Times New Roman" w:cs="Times New Roman"/>
                <w:sz w:val="20"/>
                <w:szCs w:val="20"/>
              </w:rPr>
              <w:t>at Illum</w:t>
            </w:r>
            <w:r>
              <w:rPr>
                <w:rStyle w:val="FootnoteReference"/>
                <w:rFonts w:cs="Times New Roman"/>
                <w:szCs w:val="20"/>
              </w:rPr>
              <w:footnoteReference w:id="61"/>
            </w:r>
          </w:p>
          <w:p w:rsidR="00AE39B2" w:rsidRPr="0069050E" w:rsidP="0071723A" w14:paraId="399A197D" w14:textId="2740D7C3">
            <w:pPr>
              <w:pStyle w:val="xmsonormal"/>
              <w:keepLines/>
              <w:spacing w:before="0" w:beforeAutospacing="0" w:after="0" w:afterAutospacing="0"/>
              <w:rPr>
                <w:rFonts w:ascii="Times New Roman" w:hAnsi="Times New Roman" w:cs="Times New Roman"/>
                <w:b/>
                <w:bCs/>
                <w:sz w:val="20"/>
                <w:szCs w:val="20"/>
              </w:rPr>
            </w:pPr>
            <w:r w:rsidRPr="0069050E">
              <w:rPr>
                <w:rFonts w:ascii="Times New Roman" w:hAnsi="Times New Roman" w:cs="Times New Roman"/>
                <w:b/>
                <w:bCs/>
                <w:sz w:val="20"/>
                <w:szCs w:val="20"/>
              </w:rPr>
              <w:t xml:space="preserve">CEO </w:t>
            </w:r>
            <w:r w:rsidRPr="0069050E">
              <w:rPr>
                <w:rFonts w:ascii="Times New Roman" w:hAnsi="Times New Roman" w:cs="Times New Roman"/>
                <w:sz w:val="20"/>
                <w:szCs w:val="20"/>
              </w:rPr>
              <w:t>at One Eye</w:t>
            </w:r>
            <w:r>
              <w:rPr>
                <w:rStyle w:val="FootnoteReference"/>
                <w:rFonts w:cs="Times New Roman"/>
                <w:szCs w:val="20"/>
              </w:rPr>
              <w:footnoteReference w:id="62"/>
            </w:r>
            <w:r w:rsidRPr="00020410" w:rsidR="007431DE">
              <w:rPr>
                <w:rFonts w:ascii="Times New Roman" w:hAnsi="Times New Roman" w:cs="Times New Roman"/>
                <w:sz w:val="20"/>
                <w:szCs w:val="20"/>
              </w:rPr>
              <w:t xml:space="preserve"> </w:t>
            </w:r>
            <w:r w:rsidRPr="0069050E">
              <w:rPr>
                <w:rFonts w:ascii="Times New Roman" w:hAnsi="Times New Roman" w:cs="Times New Roman"/>
                <w:sz w:val="20"/>
                <w:szCs w:val="20"/>
              </w:rPr>
              <w:t xml:space="preserve"> </w:t>
            </w:r>
          </w:p>
        </w:tc>
      </w:tr>
    </w:tbl>
    <w:p w:rsidR="00E4677C" w:rsidRPr="0069050E" w:rsidP="005C6165" w14:paraId="6F5CF507" w14:textId="77777777">
      <w:pPr>
        <w:pStyle w:val="Heading1"/>
        <w:widowControl/>
        <w:spacing w:before="120"/>
      </w:pPr>
      <w:r w:rsidRPr="0069050E">
        <w:t>Discussion</w:t>
      </w:r>
    </w:p>
    <w:p w:rsidR="005D4AE2" w:rsidRPr="0069050E" w:rsidP="00776DA6" w14:paraId="48D345DD" w14:textId="09EC7AE4">
      <w:pPr>
        <w:pStyle w:val="ParaNum"/>
        <w:widowControl/>
      </w:pPr>
      <w:r w:rsidRPr="0069050E">
        <w:t xml:space="preserve">Pursuant to </w:t>
      </w:r>
      <w:r w:rsidRPr="0069050E" w:rsidR="00474CA2">
        <w:t>Section 64.1200(n)(5) of the Commission’s rules</w:t>
      </w:r>
      <w:r w:rsidRPr="0069050E">
        <w:t>,</w:t>
      </w:r>
      <w:r w:rsidRPr="0069050E" w:rsidR="00474CA2">
        <w:t xml:space="preserve"> </w:t>
      </w:r>
      <w:r w:rsidRPr="0069050E" w:rsidR="009914EA">
        <w:t>One Owl</w:t>
      </w:r>
      <w:r w:rsidRPr="0069050E" w:rsidR="00A60FF4">
        <w:t xml:space="preserve"> </w:t>
      </w:r>
      <w:r w:rsidRPr="0069050E" w:rsidR="00970085">
        <w:t xml:space="preserve">must </w:t>
      </w:r>
      <w:r w:rsidRPr="0069050E" w:rsidR="00A60FF4">
        <w:t xml:space="preserve">investigate and block traffic identified by the Bureau after receiving </w:t>
      </w:r>
      <w:r w:rsidRPr="0069050E" w:rsidR="00970085">
        <w:t>the</w:t>
      </w:r>
      <w:r w:rsidRPr="0069050E" w:rsidR="00A60FF4">
        <w:t xml:space="preserve"> </w:t>
      </w:r>
      <w:r w:rsidRPr="0069050E" w:rsidR="001770CD">
        <w:t>Notice</w:t>
      </w:r>
      <w:r w:rsidRPr="0069050E" w:rsidR="00A60FF4">
        <w:t>.</w:t>
      </w:r>
      <w:r>
        <w:rPr>
          <w:rStyle w:val="FootnoteReference"/>
        </w:rPr>
        <w:footnoteReference w:id="63"/>
      </w:r>
      <w:r w:rsidRPr="0069050E" w:rsidR="00A60FF4">
        <w:t xml:space="preserve">  </w:t>
      </w:r>
      <w:r w:rsidRPr="0069050E" w:rsidR="009914EA">
        <w:t>One Owl</w:t>
      </w:r>
      <w:r w:rsidRPr="0069050E" w:rsidR="00970085">
        <w:t xml:space="preserve"> must then </w:t>
      </w:r>
      <w:r w:rsidRPr="0069050E" w:rsidR="00A60FF4">
        <w:t xml:space="preserve">report the </w:t>
      </w:r>
      <w:r w:rsidRPr="0069050E" w:rsidR="00A60FF4">
        <w:t>results of its investigation to the Bureau.</w:t>
      </w:r>
      <w:r>
        <w:rPr>
          <w:rStyle w:val="FootnoteReference"/>
        </w:rPr>
        <w:footnoteReference w:id="64"/>
      </w:r>
      <w:r w:rsidRPr="0069050E" w:rsidR="00307980">
        <w:t xml:space="preserve">  The rules direct the Bureau to provide at least 14 days for </w:t>
      </w:r>
      <w:r w:rsidRPr="0069050E" w:rsidR="009914EA">
        <w:t>One Owl</w:t>
      </w:r>
      <w:r w:rsidRPr="0069050E" w:rsidR="00307980">
        <w:t xml:space="preserve"> to comply with </w:t>
      </w:r>
      <w:r w:rsidRPr="0069050E" w:rsidR="00C04766">
        <w:t>the</w:t>
      </w:r>
      <w:r w:rsidRPr="0069050E" w:rsidR="00970085">
        <w:t xml:space="preserve"> </w:t>
      </w:r>
      <w:r w:rsidRPr="0069050E" w:rsidR="000367A7">
        <w:t>N</w:t>
      </w:r>
      <w:r w:rsidRPr="0069050E" w:rsidR="00307980">
        <w:t>otice.</w:t>
      </w:r>
      <w:r>
        <w:rPr>
          <w:rStyle w:val="FootnoteReference"/>
        </w:rPr>
        <w:footnoteReference w:id="65"/>
      </w:r>
      <w:r w:rsidRPr="0069050E" w:rsidR="00A60FF4">
        <w:t xml:space="preserve">  </w:t>
      </w:r>
    </w:p>
    <w:p w:rsidR="008547BB" w:rsidRPr="0069050E" w:rsidP="00776DA6" w14:paraId="5C310AD2" w14:textId="2E2F5DC0">
      <w:pPr>
        <w:pStyle w:val="ParaNum"/>
        <w:widowControl/>
      </w:pPr>
      <w:r w:rsidRPr="0069050E">
        <w:t>The Bureau</w:t>
      </w:r>
      <w:r w:rsidRPr="0069050E" w:rsidR="00A60FF4">
        <w:t xml:space="preserve"> issued </w:t>
      </w:r>
      <w:r w:rsidRPr="0069050E" w:rsidR="003F4F60">
        <w:t>the Notice</w:t>
      </w:r>
      <w:r w:rsidRPr="0069050E" w:rsidR="00A60FF4">
        <w:t xml:space="preserve"> </w:t>
      </w:r>
      <w:r w:rsidRPr="0069050E" w:rsidR="00CA62B2">
        <w:t xml:space="preserve">to One Owl </w:t>
      </w:r>
      <w:r w:rsidRPr="0069050E" w:rsidR="00A60FF4">
        <w:t xml:space="preserve">on </w:t>
      </w:r>
      <w:r w:rsidRPr="0069050E" w:rsidR="00357FAA">
        <w:t>August 1</w:t>
      </w:r>
      <w:r w:rsidRPr="0069050E" w:rsidR="00A60FF4">
        <w:t>, 2023.</w:t>
      </w:r>
      <w:r>
        <w:rPr>
          <w:rStyle w:val="FootnoteReference"/>
        </w:rPr>
        <w:footnoteReference w:id="66"/>
      </w:r>
      <w:r w:rsidRPr="0069050E" w:rsidR="00497500">
        <w:t xml:space="preserve">  </w:t>
      </w:r>
      <w:r w:rsidRPr="0069050E" w:rsidR="00F00965">
        <w:t xml:space="preserve">The Notice </w:t>
      </w:r>
      <w:r w:rsidRPr="0069050E" w:rsidR="00D2174E">
        <w:t>directed</w:t>
      </w:r>
      <w:r w:rsidRPr="0069050E" w:rsidR="00F00965">
        <w:t xml:space="preserve"> </w:t>
      </w:r>
      <w:r w:rsidRPr="0069050E" w:rsidR="009914EA">
        <w:t>One Owl</w:t>
      </w:r>
      <w:r w:rsidRPr="0069050E" w:rsidR="00F00965">
        <w:t xml:space="preserve"> to take the following actions: </w:t>
      </w:r>
      <w:r w:rsidRPr="0069050E" w:rsidR="00640D7F">
        <w:t xml:space="preserve"> (</w:t>
      </w:r>
      <w:r w:rsidR="009A3E00">
        <w:t>i</w:t>
      </w:r>
      <w:r w:rsidRPr="0069050E" w:rsidR="00F00965">
        <w:t xml:space="preserve">) promptly investigate the </w:t>
      </w:r>
      <w:r w:rsidRPr="0069050E" w:rsidR="008F368F">
        <w:t xml:space="preserve">suspected unlawful </w:t>
      </w:r>
      <w:r w:rsidRPr="0069050E" w:rsidR="00F00965">
        <w:t xml:space="preserve">transmissions identified in the Notice; </w:t>
      </w:r>
      <w:r w:rsidRPr="0069050E" w:rsidR="00AD516E">
        <w:t>(</w:t>
      </w:r>
      <w:r w:rsidR="009A3E00">
        <w:t>ii</w:t>
      </w:r>
      <w:r w:rsidRPr="0069050E" w:rsidR="00F00965">
        <w:t xml:space="preserve">) </w:t>
      </w:r>
      <w:r w:rsidRPr="0069050E" w:rsidR="00307980">
        <w:t>i</w:t>
      </w:r>
      <w:r w:rsidRPr="0069050E" w:rsidR="00F00965">
        <w:t xml:space="preserve">f </w:t>
      </w:r>
      <w:r w:rsidRPr="0069050E" w:rsidR="009914EA">
        <w:t>One Owl</w:t>
      </w:r>
      <w:r w:rsidRPr="0069050E" w:rsidR="00F00965">
        <w:t xml:space="preserve">’s investigation </w:t>
      </w:r>
      <w:r w:rsidRPr="0069050E" w:rsidR="005D4AE2">
        <w:t xml:space="preserve">determined </w:t>
      </w:r>
      <w:r w:rsidRPr="0069050E" w:rsidR="00F00965">
        <w:t xml:space="preserve">that </w:t>
      </w:r>
      <w:r w:rsidRPr="0069050E" w:rsidR="009914EA">
        <w:t>One Owl</w:t>
      </w:r>
      <w:r w:rsidRPr="0069050E" w:rsidR="00F00965">
        <w:t xml:space="preserve"> served as the gateway provider for the identified transmissions, block all of the identified </w:t>
      </w:r>
      <w:r w:rsidRPr="0069050E" w:rsidR="00ED4D43">
        <w:t xml:space="preserve">unlawful </w:t>
      </w:r>
      <w:r w:rsidRPr="0069050E" w:rsidR="00F00965">
        <w:t xml:space="preserve">traffic within 14 days of the Notice </w:t>
      </w:r>
      <w:r w:rsidRPr="0069050E" w:rsidR="005D4AE2">
        <w:t>(</w:t>
      </w:r>
      <w:r w:rsidRPr="0069050E" w:rsidR="00F00965">
        <w:t>and continue to block the identified traffic as well as substantially similar traffic on an ongoing basis</w:t>
      </w:r>
      <w:r w:rsidRPr="0069050E" w:rsidR="005D4AE2">
        <w:t>)</w:t>
      </w:r>
      <w:r w:rsidRPr="0069050E" w:rsidR="00F00965">
        <w:t xml:space="preserve">; and </w:t>
      </w:r>
      <w:r w:rsidRPr="0069050E" w:rsidR="00640D7F">
        <w:t>(</w:t>
      </w:r>
      <w:r w:rsidR="009A3E00">
        <w:t>iii</w:t>
      </w:r>
      <w:r w:rsidRPr="0069050E" w:rsidR="00F00965">
        <w:t>)</w:t>
      </w:r>
      <w:r w:rsidRPr="0069050E" w:rsidR="00BE03AA">
        <w:t xml:space="preserve"> report the results of </w:t>
      </w:r>
      <w:r w:rsidRPr="0069050E" w:rsidR="009914EA">
        <w:t>One Owl</w:t>
      </w:r>
      <w:r w:rsidRPr="0069050E" w:rsidR="00BE03AA">
        <w:t>’s investigation to the Bureau</w:t>
      </w:r>
      <w:r w:rsidRPr="0069050E" w:rsidR="005D4AE2">
        <w:t xml:space="preserve"> within 14 days of the date of the Notice</w:t>
      </w:r>
      <w:r w:rsidRPr="0069050E" w:rsidR="00BE03AA">
        <w:t>.</w:t>
      </w:r>
      <w:r>
        <w:rPr>
          <w:rStyle w:val="FootnoteReference"/>
        </w:rPr>
        <w:footnoteReference w:id="67"/>
      </w:r>
      <w:r w:rsidRPr="0069050E" w:rsidR="00F00965">
        <w:t xml:space="preserve">  </w:t>
      </w:r>
      <w:r w:rsidRPr="0069050E" w:rsidR="00497500">
        <w:t xml:space="preserve">The </w:t>
      </w:r>
      <w:r w:rsidRPr="0069050E" w:rsidR="003F4F60">
        <w:t xml:space="preserve">Notice </w:t>
      </w:r>
      <w:r w:rsidRPr="0069050E" w:rsidR="00497500">
        <w:t xml:space="preserve">required </w:t>
      </w:r>
      <w:r w:rsidRPr="0069050E" w:rsidR="009914EA">
        <w:t>One Owl</w:t>
      </w:r>
      <w:r w:rsidRPr="0069050E" w:rsidR="00497500">
        <w:t xml:space="preserve"> to respond </w:t>
      </w:r>
      <w:r w:rsidRPr="0069050E" w:rsidR="00612094">
        <w:t>within 14 days</w:t>
      </w:r>
      <w:r w:rsidRPr="0069050E" w:rsidR="005D4AE2">
        <w:t xml:space="preserve"> (</w:t>
      </w:r>
      <w:r w:rsidRPr="0069050E" w:rsidR="00497500">
        <w:t xml:space="preserve">by </w:t>
      </w:r>
      <w:r w:rsidRPr="0069050E" w:rsidR="681E4A50">
        <w:t xml:space="preserve">August </w:t>
      </w:r>
      <w:r w:rsidRPr="0069050E" w:rsidR="00C844F2">
        <w:t>1</w:t>
      </w:r>
      <w:r w:rsidRPr="0069050E" w:rsidR="00D5533F">
        <w:t>5</w:t>
      </w:r>
      <w:r w:rsidRPr="0069050E" w:rsidR="00BA1D0F">
        <w:t>,</w:t>
      </w:r>
      <w:r w:rsidRPr="0069050E" w:rsidR="00497500">
        <w:t xml:space="preserve"> 2023</w:t>
      </w:r>
      <w:r w:rsidRPr="0069050E" w:rsidR="005D4AE2">
        <w:t>)</w:t>
      </w:r>
      <w:r w:rsidRPr="0069050E" w:rsidR="00497500">
        <w:t>.</w:t>
      </w:r>
      <w:r>
        <w:rPr>
          <w:rStyle w:val="FootnoteReference"/>
        </w:rPr>
        <w:footnoteReference w:id="68"/>
      </w:r>
      <w:r w:rsidRPr="0069050E" w:rsidR="00497500">
        <w:t xml:space="preserve">  </w:t>
      </w:r>
      <w:r w:rsidRPr="0069050E" w:rsidR="000428A5">
        <w:t xml:space="preserve">The Bureau has received no information to suggest One Owl has done any of these things.  </w:t>
      </w:r>
    </w:p>
    <w:p w:rsidR="00E4677C" w:rsidRPr="0069050E" w:rsidP="00776DA6" w14:paraId="60790F1A" w14:textId="4FF04C59">
      <w:pPr>
        <w:pStyle w:val="ParaNum"/>
        <w:widowControl/>
      </w:pPr>
      <w:r w:rsidRPr="0069050E">
        <w:t>W</w:t>
      </w:r>
      <w:r w:rsidRPr="0069050E">
        <w:t xml:space="preserve">e direct </w:t>
      </w:r>
      <w:r w:rsidRPr="0069050E" w:rsidR="009914EA">
        <w:t>One Owl</w:t>
      </w:r>
      <w:r w:rsidRPr="0069050E">
        <w:t xml:space="preserve"> to </w:t>
      </w:r>
      <w:r w:rsidRPr="0069050E" w:rsidR="00BA0DC3">
        <w:t xml:space="preserve">reply with a </w:t>
      </w:r>
      <w:r w:rsidRPr="0069050E" w:rsidR="00472B25">
        <w:t>final response</w:t>
      </w:r>
      <w:r w:rsidRPr="0069050E" w:rsidR="008547BB">
        <w:t xml:space="preserve"> to this Initial Determination Order</w:t>
      </w:r>
      <w:r w:rsidRPr="0069050E" w:rsidR="002C7513">
        <w:t>.  The re</w:t>
      </w:r>
      <w:r w:rsidRPr="0069050E" w:rsidR="00F319A2">
        <w:t>sponse</w:t>
      </w:r>
      <w:r w:rsidRPr="0069050E" w:rsidR="002C7513">
        <w:t xml:space="preserve"> should provide an</w:t>
      </w:r>
      <w:r w:rsidRPr="0069050E" w:rsidR="00392CF9">
        <w:t xml:space="preserve"> explan</w:t>
      </w:r>
      <w:r w:rsidRPr="0069050E" w:rsidR="002C7513">
        <w:t>ation as to</w:t>
      </w:r>
      <w:r w:rsidRPr="0069050E" w:rsidR="00392CF9">
        <w:t xml:space="preserve"> why the Bureau should not issue a Final Determination Order</w:t>
      </w:r>
      <w:r w:rsidRPr="0069050E" w:rsidR="002C7513">
        <w:t xml:space="preserve"> </w:t>
      </w:r>
      <w:r w:rsidRPr="0069050E" w:rsidR="008A76C7">
        <w:t xml:space="preserve">mandating </w:t>
      </w:r>
      <w:r w:rsidRPr="0069050E" w:rsidR="002C7513">
        <w:t xml:space="preserve">that </w:t>
      </w:r>
      <w:r w:rsidRPr="0069050E" w:rsidR="00392CF9">
        <w:t>providers</w:t>
      </w:r>
      <w:r w:rsidRPr="0069050E" w:rsidR="00C74B3C">
        <w:t xml:space="preserve"> immediately downstream from One Owl</w:t>
      </w:r>
      <w:r w:rsidRPr="0069050E" w:rsidR="00392CF9">
        <w:t xml:space="preserve"> block </w:t>
      </w:r>
      <w:r w:rsidRPr="0069050E" w:rsidR="00392CF9">
        <w:rPr>
          <w:i/>
          <w:iCs/>
        </w:rPr>
        <w:t>all</w:t>
      </w:r>
      <w:r w:rsidRPr="0069050E" w:rsidR="00392CF9">
        <w:t xml:space="preserve"> of </w:t>
      </w:r>
      <w:r w:rsidRPr="0069050E" w:rsidR="009914EA">
        <w:t>One Owl</w:t>
      </w:r>
      <w:r w:rsidRPr="0069050E" w:rsidR="00392CF9">
        <w:t xml:space="preserve">’s </w:t>
      </w:r>
      <w:r w:rsidRPr="0069050E" w:rsidR="00DA467C">
        <w:t>traffic</w:t>
      </w:r>
      <w:r w:rsidRPr="0069050E" w:rsidR="00BA0DC3">
        <w:t>.</w:t>
      </w:r>
      <w:r>
        <w:rPr>
          <w:rStyle w:val="FootnoteReference"/>
        </w:rPr>
        <w:footnoteReference w:id="69"/>
      </w:r>
      <w:r w:rsidRPr="0069050E" w:rsidR="00BA0DC3">
        <w:t xml:space="preserve">  </w:t>
      </w:r>
      <w:r w:rsidRPr="0069050E" w:rsidR="009914EA">
        <w:t>One Owl</w:t>
      </w:r>
      <w:r w:rsidRPr="0069050E">
        <w:t xml:space="preserve"> shall file its response with</w:t>
      </w:r>
      <w:r w:rsidRPr="0069050E" w:rsidR="00676680">
        <w:t xml:space="preserve"> the</w:t>
      </w:r>
      <w:r w:rsidRPr="0069050E">
        <w:t xml:space="preserve"> Bureau within 14 calendar days</w:t>
      </w:r>
      <w:r w:rsidRPr="0069050E" w:rsidR="008061DD">
        <w:t xml:space="preserve"> of the date of this </w:t>
      </w:r>
      <w:r w:rsidRPr="0069050E" w:rsidR="00BF3954">
        <w:t xml:space="preserve">Initial Determination </w:t>
      </w:r>
      <w:r w:rsidRPr="0069050E" w:rsidR="008061DD">
        <w:t>Order</w:t>
      </w:r>
      <w:r w:rsidRPr="0069050E">
        <w:t>.  Failure to respond</w:t>
      </w:r>
      <w:r w:rsidRPr="0069050E" w:rsidR="00497500">
        <w:t xml:space="preserve"> to this </w:t>
      </w:r>
      <w:r w:rsidRPr="0069050E" w:rsidR="00BF3954">
        <w:t xml:space="preserve">Initial Determination </w:t>
      </w:r>
      <w:r w:rsidRPr="0069050E" w:rsidR="00A436F2">
        <w:t>O</w:t>
      </w:r>
      <w:r w:rsidRPr="0069050E" w:rsidR="00497500">
        <w:t xml:space="preserve">rder or </w:t>
      </w:r>
      <w:r w:rsidRPr="0069050E">
        <w:t>submit a</w:t>
      </w:r>
      <w:r w:rsidRPr="0069050E" w:rsidR="008A2893">
        <w:t>n adequate</w:t>
      </w:r>
      <w:r w:rsidRPr="0069050E">
        <w:t xml:space="preserve"> response providing a reasonable basis for why </w:t>
      </w:r>
      <w:r w:rsidRPr="0069050E" w:rsidR="00600197">
        <w:t>the identified traffic</w:t>
      </w:r>
      <w:r w:rsidRPr="0069050E" w:rsidR="00357A4A">
        <w:t xml:space="preserve"> is legal</w:t>
      </w:r>
      <w:r w:rsidRPr="0069050E" w:rsidR="002C7513">
        <w:t>,</w:t>
      </w:r>
      <w:r w:rsidRPr="0069050E" w:rsidR="00600197">
        <w:t xml:space="preserve"> or continued transmission of substantially similar traffic</w:t>
      </w:r>
      <w:r w:rsidRPr="0069050E" w:rsidR="002C7513">
        <w:t xml:space="preserve">, </w:t>
      </w:r>
      <w:r w:rsidRPr="0069050E" w:rsidR="00600197">
        <w:t xml:space="preserve">will result in the Bureau issuing a Final </w:t>
      </w:r>
      <w:r w:rsidRPr="0069050E" w:rsidR="00082B83">
        <w:t xml:space="preserve">Determination </w:t>
      </w:r>
      <w:r w:rsidRPr="0069050E" w:rsidR="00600197">
        <w:t>Order</w:t>
      </w:r>
      <w:r w:rsidRPr="0069050E">
        <w:t>.</w:t>
      </w:r>
      <w:r>
        <w:rPr>
          <w:rStyle w:val="FootnoteReference"/>
          <w:szCs w:val="22"/>
        </w:rPr>
        <w:footnoteReference w:id="70"/>
      </w:r>
      <w:r w:rsidRPr="0069050E">
        <w:t xml:space="preserve">  </w:t>
      </w:r>
      <w:r w:rsidRPr="0069050E" w:rsidR="00A60FF4">
        <w:t xml:space="preserve">The Final Determination Order will be published in EB Docket No. 22-174 and </w:t>
      </w:r>
      <w:r w:rsidRPr="0069050E" w:rsidR="00990DC8">
        <w:t xml:space="preserve">serve </w:t>
      </w:r>
      <w:r w:rsidRPr="0069050E" w:rsidR="00E76230">
        <w:t>as notification to</w:t>
      </w:r>
      <w:r w:rsidRPr="0069050E" w:rsidR="00990DC8">
        <w:t xml:space="preserve"> </w:t>
      </w:r>
      <w:r w:rsidRPr="0069050E" w:rsidR="00A60FF4">
        <w:t xml:space="preserve">all </w:t>
      </w:r>
      <w:r w:rsidRPr="0069050E" w:rsidR="00AF1238">
        <w:t>immediate</w:t>
      </w:r>
      <w:r w:rsidRPr="0069050E" w:rsidR="005A5D0E">
        <w:t xml:space="preserve"> downstream </w:t>
      </w:r>
      <w:r w:rsidRPr="0069050E" w:rsidR="00A60FF4">
        <w:t>providers</w:t>
      </w:r>
      <w:r w:rsidRPr="0069050E" w:rsidR="00990DC8">
        <w:t xml:space="preserve"> that they must</w:t>
      </w:r>
      <w:r w:rsidRPr="0069050E" w:rsidR="00A60FF4">
        <w:t xml:space="preserve"> block and cease accepting all traffic received directly from </w:t>
      </w:r>
      <w:r w:rsidRPr="0069050E" w:rsidR="009914EA">
        <w:t>One Owl</w:t>
      </w:r>
      <w:r w:rsidRPr="0069050E" w:rsidR="00A60FF4">
        <w:t xml:space="preserve"> </w:t>
      </w:r>
      <w:r w:rsidRPr="0069050E" w:rsidR="00A436F2">
        <w:t>beginning</w:t>
      </w:r>
      <w:r w:rsidRPr="0069050E" w:rsidR="00A60FF4">
        <w:t xml:space="preserve"> 30 days after release of the Final Determination Order.</w:t>
      </w:r>
      <w:r>
        <w:rPr>
          <w:rStyle w:val="FootnoteReference"/>
          <w:szCs w:val="22"/>
        </w:rPr>
        <w:footnoteReference w:id="71"/>
      </w:r>
      <w:r w:rsidRPr="0069050E" w:rsidR="00A60FF4">
        <w:t xml:space="preserve"> </w:t>
      </w:r>
    </w:p>
    <w:p w:rsidR="00E4677C" w:rsidRPr="0069050E" w:rsidP="00776DA6" w14:paraId="1F45391B" w14:textId="77777777">
      <w:pPr>
        <w:pStyle w:val="Heading1"/>
        <w:widowControl/>
      </w:pPr>
      <w:r w:rsidRPr="0069050E">
        <w:t>ordering clauses</w:t>
      </w:r>
    </w:p>
    <w:p w:rsidR="00E4677C" w:rsidRPr="0069050E" w:rsidP="00776DA6" w14:paraId="3DAC806C" w14:textId="3EEB43AE">
      <w:pPr>
        <w:pStyle w:val="ParaNum"/>
        <w:widowControl/>
      </w:pPr>
      <w:r w:rsidRPr="0069050E">
        <w:t xml:space="preserve">Accordingly, </w:t>
      </w:r>
      <w:r w:rsidRPr="0069050E">
        <w:rPr>
          <w:b/>
          <w:bCs/>
        </w:rPr>
        <w:t>IT IS ORDERED</w:t>
      </w:r>
      <w:r w:rsidRPr="0069050E">
        <w:t xml:space="preserve"> that, pursuant to sections 4(</w:t>
      </w:r>
      <w:r w:rsidRPr="0069050E">
        <w:t>i</w:t>
      </w:r>
      <w:r w:rsidRPr="0069050E">
        <w:t>), 4(j), 227(b)</w:t>
      </w:r>
      <w:r w:rsidRPr="0069050E" w:rsidR="00B42618">
        <w:t>,</w:t>
      </w:r>
      <w:r w:rsidRPr="0069050E">
        <w:t xml:space="preserve"> 251(e), and 403 of the </w:t>
      </w:r>
      <w:r w:rsidRPr="0069050E" w:rsidR="00AD1921">
        <w:t xml:space="preserve">Communications </w:t>
      </w:r>
      <w:r w:rsidRPr="0069050E">
        <w:t>Act</w:t>
      </w:r>
      <w:r w:rsidRPr="0069050E" w:rsidR="00AD1921">
        <w:t xml:space="preserve"> of 1934, as amended</w:t>
      </w:r>
      <w:r w:rsidRPr="0069050E">
        <w:t>,</w:t>
      </w:r>
      <w:r w:rsidRPr="0069050E" w:rsidR="00C3584B">
        <w:t xml:space="preserve"> </w:t>
      </w:r>
      <w:r w:rsidRPr="0069050E" w:rsidR="008547BB">
        <w:t xml:space="preserve">47 U.S.C. §§ </w:t>
      </w:r>
      <w:r w:rsidRPr="0069050E" w:rsidR="00134811">
        <w:t>15</w:t>
      </w:r>
      <w:r w:rsidRPr="0069050E" w:rsidR="008547BB">
        <w:t>4(</w:t>
      </w:r>
      <w:r w:rsidRPr="0069050E" w:rsidR="008547BB">
        <w:t>i</w:t>
      </w:r>
      <w:r w:rsidRPr="0069050E" w:rsidR="008547BB">
        <w:t xml:space="preserve">), </w:t>
      </w:r>
      <w:r w:rsidRPr="0069050E" w:rsidR="00142B72">
        <w:t>15</w:t>
      </w:r>
      <w:r w:rsidRPr="0069050E" w:rsidR="008547BB">
        <w:t>4(j), 227(b), 251(e), 403</w:t>
      </w:r>
      <w:r w:rsidRPr="0069050E" w:rsidR="00035362">
        <w:t>;</w:t>
      </w:r>
      <w:r w:rsidRPr="0069050E">
        <w:t xml:space="preserve"> sections 0.111, 0.311, 1.1, 1.102(b)(1), </w:t>
      </w:r>
      <w:r w:rsidRPr="0069050E" w:rsidR="00A60FF4">
        <w:t xml:space="preserve">and </w:t>
      </w:r>
      <w:r w:rsidRPr="0069050E">
        <w:t>64.1200</w:t>
      </w:r>
      <w:r w:rsidRPr="0069050E" w:rsidR="00A60FF4">
        <w:t xml:space="preserve"> </w:t>
      </w:r>
      <w:r w:rsidRPr="0069050E">
        <w:t>of the Commission’s rules,</w:t>
      </w:r>
      <w:r w:rsidRPr="0069050E" w:rsidR="008547BB">
        <w:t xml:space="preserve"> 47 CFR §§ 0.111, 0.311, 1.1, 1.102(b)(1), 64.1200</w:t>
      </w:r>
      <w:r w:rsidRPr="0069050E" w:rsidR="00035362">
        <w:t>;</w:t>
      </w:r>
      <w:r w:rsidRPr="0069050E" w:rsidR="008061DD">
        <w:t xml:space="preserve"> and the </w:t>
      </w:r>
      <w:r w:rsidRPr="0069050E" w:rsidR="00A60FF4">
        <w:rPr>
          <w:i/>
          <w:iCs/>
        </w:rPr>
        <w:t>Gateway Provider Order</w:t>
      </w:r>
      <w:r w:rsidRPr="0069050E" w:rsidR="008061DD">
        <w:t>,</w:t>
      </w:r>
      <w:r>
        <w:rPr>
          <w:rStyle w:val="FootnoteReference"/>
        </w:rPr>
        <w:footnoteReference w:id="72"/>
      </w:r>
      <w:r w:rsidRPr="0069050E">
        <w:t xml:space="preserve"> </w:t>
      </w:r>
      <w:r w:rsidRPr="0069050E" w:rsidR="009914EA">
        <w:t>One Owl</w:t>
      </w:r>
      <w:r w:rsidRPr="0069050E">
        <w:t xml:space="preserve"> </w:t>
      </w:r>
      <w:r w:rsidRPr="0069050E">
        <w:rPr>
          <w:b/>
          <w:bCs/>
        </w:rPr>
        <w:t>SHALL FILE</w:t>
      </w:r>
      <w:r w:rsidRPr="0069050E">
        <w:t xml:space="preserve"> </w:t>
      </w:r>
      <w:r w:rsidRPr="0069050E" w:rsidR="007770D8">
        <w:t xml:space="preserve">a </w:t>
      </w:r>
      <w:r w:rsidRPr="0069050E">
        <w:t>written</w:t>
      </w:r>
      <w:r w:rsidRPr="0069050E" w:rsidR="00880D20">
        <w:t xml:space="preserve"> final</w:t>
      </w:r>
      <w:r w:rsidRPr="0069050E">
        <w:t xml:space="preserve"> response to this Order</w:t>
      </w:r>
      <w:r w:rsidRPr="0069050E" w:rsidR="00803641">
        <w:t xml:space="preserve"> </w:t>
      </w:r>
      <w:r w:rsidRPr="0069050E" w:rsidR="00803641">
        <w:rPr>
          <w:b/>
          <w:bCs/>
        </w:rPr>
        <w:t>within 14 calendar days</w:t>
      </w:r>
      <w:r w:rsidRPr="0069050E" w:rsidR="005836BD">
        <w:t xml:space="preserve"> from the release date of this </w:t>
      </w:r>
      <w:r w:rsidRPr="0069050E" w:rsidR="00BF3954">
        <w:t xml:space="preserve">Initial Determination </w:t>
      </w:r>
      <w:r w:rsidRPr="0069050E" w:rsidR="005836BD">
        <w:t>Order</w:t>
      </w:r>
      <w:r w:rsidRPr="0069050E">
        <w:t>.</w:t>
      </w:r>
      <w:r>
        <w:rPr>
          <w:rStyle w:val="FootnoteReference"/>
        </w:rPr>
        <w:footnoteReference w:id="73"/>
      </w:r>
    </w:p>
    <w:p w:rsidR="00016B0E" w:rsidRPr="0069050E" w:rsidP="00776DA6" w14:paraId="1DC7913E" w14:textId="1BFF07A8">
      <w:pPr>
        <w:pStyle w:val="ParaNum"/>
        <w:widowControl/>
      </w:pPr>
      <w:r w:rsidRPr="0069050E">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69050E">
          <w:rPr>
            <w:rStyle w:val="Hyperlink"/>
          </w:rPr>
          <w:t>kristi.thompson@fcc.gov</w:t>
        </w:r>
      </w:hyperlink>
      <w:r w:rsidRPr="0069050E">
        <w:t>,</w:t>
      </w:r>
      <w:r>
        <w:t xml:space="preserve"> </w:t>
      </w:r>
      <w:r w:rsidRPr="0069050E">
        <w:t xml:space="preserve">Daniel Stepanicich, Assistant Division Chief, Telecommunications Consumers Division, at </w:t>
      </w:r>
      <w:hyperlink r:id="rId6" w:history="1">
        <w:r w:rsidRPr="0069050E">
          <w:rPr>
            <w:rStyle w:val="Hyperlink"/>
          </w:rPr>
          <w:t>daniel.stepanicich@fcc.gov</w:t>
        </w:r>
      </w:hyperlink>
      <w:r>
        <w:t xml:space="preserve">, and Jessica Manuel, Attorney Advisor, </w:t>
      </w:r>
      <w:r w:rsidRPr="0069050E">
        <w:t>Telecommunications Consumers Division, at</w:t>
      </w:r>
      <w:r>
        <w:t xml:space="preserve"> </w:t>
      </w:r>
      <w:hyperlink r:id="rId7" w:history="1">
        <w:r w:rsidRPr="00EF0A37">
          <w:rPr>
            <w:rStyle w:val="Hyperlink"/>
          </w:rPr>
          <w:t>jessica.manuel@fcc.gov</w:t>
        </w:r>
      </w:hyperlink>
      <w:r>
        <w:t>.</w:t>
      </w:r>
      <w:r w:rsidRPr="0069050E" w:rsidR="00984B53">
        <w:t xml:space="preserve"> </w:t>
      </w:r>
    </w:p>
    <w:p w:rsidR="00E4677C" w:rsidRPr="0069050E" w:rsidP="00776DA6" w14:paraId="0C1BC17B" w14:textId="2CE90403">
      <w:pPr>
        <w:pStyle w:val="ParaNum"/>
        <w:widowControl/>
      </w:pPr>
      <w:r w:rsidRPr="0069050E">
        <w:rPr>
          <w:b/>
          <w:bCs/>
        </w:rPr>
        <w:t>IT IS FURTHER ORDERED</w:t>
      </w:r>
      <w:r w:rsidRPr="0069050E">
        <w:t xml:space="preserve"> that copies of this </w:t>
      </w:r>
      <w:r w:rsidRPr="0069050E" w:rsidR="00BF3954">
        <w:t xml:space="preserve">Initial Determination </w:t>
      </w:r>
      <w:r w:rsidRPr="0069050E">
        <w:t xml:space="preserve">Order shall be </w:t>
      </w:r>
      <w:r w:rsidRPr="0069050E" w:rsidR="00A60FF4">
        <w:t>filed in EB Docket No. 22-17</w:t>
      </w:r>
      <w:r w:rsidRPr="0069050E" w:rsidR="00B42618">
        <w:t>4</w:t>
      </w:r>
      <w:r w:rsidRPr="0069050E" w:rsidR="00A60FF4">
        <w:t xml:space="preserve"> and </w:t>
      </w:r>
      <w:r w:rsidRPr="0069050E">
        <w:t>sent by</w:t>
      </w:r>
      <w:r w:rsidRPr="0069050E" w:rsidR="00F75776">
        <w:t xml:space="preserve"> email and</w:t>
      </w:r>
      <w:r w:rsidRPr="0069050E">
        <w:t xml:space="preserve"> registered mail, return receipt requested, to:  </w:t>
      </w:r>
      <w:r w:rsidRPr="0069050E" w:rsidR="009E11E6">
        <w:t xml:space="preserve">Aashay </w:t>
      </w:r>
      <w:r w:rsidRPr="0069050E" w:rsidR="0074166B">
        <w:t>Khandelwal</w:t>
      </w:r>
      <w:r w:rsidRPr="0069050E" w:rsidR="00A60FF4">
        <w:t xml:space="preserve">, CEO, </w:t>
      </w:r>
      <w:r w:rsidRPr="0069050E" w:rsidR="009914EA">
        <w:t>One Owl</w:t>
      </w:r>
      <w:r w:rsidRPr="0069050E" w:rsidR="00A60FF4">
        <w:t xml:space="preserve"> </w:t>
      </w:r>
      <w:r w:rsidRPr="0069050E" w:rsidR="791A038A">
        <w:t>Telecom Inc.</w:t>
      </w:r>
      <w:r w:rsidRPr="0069050E" w:rsidR="00A60FF4">
        <w:t xml:space="preserve">, </w:t>
      </w:r>
      <w:r w:rsidRPr="0069050E" w:rsidR="008246A5">
        <w:t>1519 York Road</w:t>
      </w:r>
      <w:r w:rsidRPr="0069050E" w:rsidR="00A60FF4">
        <w:t xml:space="preserve">, </w:t>
      </w:r>
      <w:r w:rsidRPr="0069050E" w:rsidR="008246A5">
        <w:t>Lutherville</w:t>
      </w:r>
      <w:r w:rsidRPr="0069050E" w:rsidR="00A60FF4">
        <w:t xml:space="preserve">, </w:t>
      </w:r>
      <w:r w:rsidRPr="0069050E" w:rsidR="008246A5">
        <w:t>MD 21093</w:t>
      </w:r>
      <w:r w:rsidRPr="0069050E" w:rsidR="00A60FF4">
        <w:t>.</w:t>
      </w:r>
    </w:p>
    <w:p w:rsidR="00E4677C" w:rsidRPr="0069050E" w:rsidP="00776DA6" w14:paraId="1FDA49E0" w14:textId="77777777">
      <w:pPr>
        <w:pStyle w:val="ParaNum"/>
        <w:widowControl/>
        <w:numPr>
          <w:ilvl w:val="0"/>
          <w:numId w:val="0"/>
        </w:numPr>
        <w:ind w:left="720"/>
      </w:pPr>
    </w:p>
    <w:p w:rsidR="00E4677C" w:rsidRPr="0069050E" w:rsidP="00AA70D9" w14:paraId="1450E713" w14:textId="77777777">
      <w:pPr>
        <w:pStyle w:val="ParaNum"/>
        <w:widowControl/>
        <w:numPr>
          <w:ilvl w:val="0"/>
          <w:numId w:val="0"/>
        </w:numPr>
        <w:spacing w:after="0"/>
        <w:ind w:left="4320"/>
      </w:pPr>
      <w:r w:rsidRPr="0069050E">
        <w:t>FEDERAL COMMUNICATIONS COMMISSION</w:t>
      </w:r>
    </w:p>
    <w:p w:rsidR="00E4677C" w:rsidRPr="0069050E" w:rsidP="00AA70D9" w14:paraId="7EBD8F6D" w14:textId="77777777">
      <w:pPr>
        <w:pStyle w:val="ParaNum"/>
        <w:widowControl/>
        <w:numPr>
          <w:ilvl w:val="0"/>
          <w:numId w:val="0"/>
        </w:numPr>
        <w:spacing w:after="0"/>
        <w:ind w:left="4320"/>
      </w:pPr>
    </w:p>
    <w:p w:rsidR="00E4677C" w:rsidRPr="0069050E" w:rsidP="0005502A" w14:paraId="49344C65" w14:textId="77777777">
      <w:pPr>
        <w:pStyle w:val="ParaNum"/>
        <w:widowControl/>
        <w:numPr>
          <w:ilvl w:val="0"/>
          <w:numId w:val="0"/>
        </w:numPr>
        <w:spacing w:after="0"/>
        <w:ind w:left="4320"/>
      </w:pPr>
    </w:p>
    <w:p w:rsidR="0005502A" w:rsidRPr="0069050E" w:rsidP="00AA70D9" w14:paraId="6333FA31" w14:textId="77777777">
      <w:pPr>
        <w:pStyle w:val="ParaNum"/>
        <w:widowControl/>
        <w:numPr>
          <w:ilvl w:val="0"/>
          <w:numId w:val="0"/>
        </w:numPr>
        <w:spacing w:after="0"/>
        <w:ind w:left="4320"/>
      </w:pPr>
    </w:p>
    <w:p w:rsidR="00E4677C" w:rsidRPr="0069050E" w:rsidP="00AA70D9" w14:paraId="7663AC02" w14:textId="77777777">
      <w:pPr>
        <w:pStyle w:val="ParaNum"/>
        <w:widowControl/>
        <w:numPr>
          <w:ilvl w:val="0"/>
          <w:numId w:val="0"/>
        </w:numPr>
        <w:spacing w:after="0"/>
        <w:ind w:left="4320"/>
      </w:pPr>
    </w:p>
    <w:p w:rsidR="00E4677C" w:rsidRPr="0069050E" w:rsidP="00AA70D9" w14:paraId="68CAC974" w14:textId="77777777">
      <w:pPr>
        <w:pStyle w:val="ParaNum"/>
        <w:widowControl/>
        <w:numPr>
          <w:ilvl w:val="0"/>
          <w:numId w:val="0"/>
        </w:numPr>
        <w:spacing w:after="0"/>
        <w:ind w:left="4320"/>
      </w:pPr>
      <w:r w:rsidRPr="0069050E">
        <w:t>Loyaan A. Egal</w:t>
      </w:r>
    </w:p>
    <w:p w:rsidR="00E4677C" w:rsidRPr="0069050E" w:rsidP="00776DA6" w14:paraId="469F4361" w14:textId="77777777">
      <w:pPr>
        <w:pStyle w:val="ParaNum"/>
        <w:widowControl/>
        <w:numPr>
          <w:ilvl w:val="0"/>
          <w:numId w:val="0"/>
        </w:numPr>
        <w:ind w:left="4320"/>
        <w:contextualSpacing/>
      </w:pPr>
      <w:r w:rsidRPr="0069050E">
        <w:t>Chief</w:t>
      </w:r>
    </w:p>
    <w:p w:rsidR="00412FC5" w:rsidRPr="00EA70B7" w:rsidP="00776DA6" w14:paraId="06EA1D74" w14:textId="79781556">
      <w:pPr>
        <w:pStyle w:val="ParaNum"/>
        <w:widowControl/>
        <w:numPr>
          <w:ilvl w:val="0"/>
          <w:numId w:val="0"/>
        </w:numPr>
        <w:ind w:left="4320"/>
        <w:contextualSpacing/>
      </w:pPr>
      <w:r w:rsidRPr="0069050E">
        <w:t>Enforcement Bureau</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AECEE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4480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5502A" w14:paraId="5962A921" w14:textId="7CAFC679">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C8D0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30B8" w14:paraId="3978127F" w14:textId="77777777">
      <w:r>
        <w:separator/>
      </w:r>
    </w:p>
  </w:footnote>
  <w:footnote w:type="continuationSeparator" w:id="1">
    <w:p w:rsidR="008130B8" w:rsidP="00C721AC" w14:paraId="645580A3" w14:textId="77777777">
      <w:pPr>
        <w:spacing w:before="120"/>
        <w:rPr>
          <w:sz w:val="20"/>
        </w:rPr>
      </w:pPr>
      <w:r>
        <w:rPr>
          <w:sz w:val="20"/>
        </w:rPr>
        <w:t xml:space="preserve">(Continued from previous page)  </w:t>
      </w:r>
      <w:r>
        <w:rPr>
          <w:sz w:val="20"/>
        </w:rPr>
        <w:separator/>
      </w:r>
    </w:p>
  </w:footnote>
  <w:footnote w:type="continuationNotice" w:id="2">
    <w:p w:rsidR="008130B8" w:rsidP="00C721AC" w14:paraId="6877423A" w14:textId="77777777">
      <w:pPr>
        <w:jc w:val="right"/>
        <w:rPr>
          <w:sz w:val="20"/>
        </w:rPr>
      </w:pPr>
      <w:r>
        <w:rPr>
          <w:sz w:val="20"/>
        </w:rPr>
        <w:t>(continued….)</w:t>
      </w:r>
    </w:p>
  </w:footnote>
  <w:footnote w:id="3">
    <w:p w:rsidR="00B722C6" w14:paraId="00369FAF" w14:textId="5A846807">
      <w:pPr>
        <w:pStyle w:val="FootnoteText"/>
      </w:pPr>
      <w:r>
        <w:rPr>
          <w:rStyle w:val="FootnoteReference"/>
        </w:rPr>
        <w:footnoteRef/>
      </w:r>
      <w:r>
        <w:t xml:space="preserve"> </w:t>
      </w:r>
      <w:r w:rsidRPr="001844C3" w:rsidR="00683D21">
        <w:rPr>
          <w:i/>
          <w:iCs/>
        </w:rPr>
        <w:t xml:space="preserve">See </w:t>
      </w:r>
      <w:r w:rsidRPr="0088607E" w:rsidR="00683D21">
        <w:t>Letter from Loyaan A. Egal, Chief, FCC Enforcement Bureau, to Aashay Khandelwal, CEO, One Owl Telecom Inc.</w:t>
      </w:r>
      <w:r w:rsidR="00683D21">
        <w:t>,</w:t>
      </w:r>
      <w:r w:rsidRPr="0088607E" w:rsidR="00683D21">
        <w:t xml:space="preserve"> </w:t>
      </w:r>
      <w:r w:rsidRPr="003D7CA4" w:rsidR="00683D21">
        <w:t>2023 WL 4931051</w:t>
      </w:r>
      <w:r w:rsidRPr="0088607E" w:rsidR="00683D21">
        <w:t xml:space="preserve"> (Aug. 1, 2023)</w:t>
      </w:r>
      <w:r w:rsidR="00683D21">
        <w:t>,</w:t>
      </w:r>
      <w:r w:rsidRPr="0088607E" w:rsidR="00683D21">
        <w:t xml:space="preserve"> </w:t>
      </w:r>
      <w:hyperlink r:id="rId1" w:history="1">
        <w:r w:rsidRPr="0088607E" w:rsidR="00683D21">
          <w:rPr>
            <w:rStyle w:val="Hyperlink"/>
          </w:rPr>
          <w:t>https://docs.fcc.gov/public/attachments/DOC-395607A1.pdf</w:t>
        </w:r>
      </w:hyperlink>
      <w:r w:rsidR="00683D21">
        <w:t xml:space="preserve"> (</w:t>
      </w:r>
      <w:r w:rsidRPr="00E47FCB" w:rsidR="00683D21">
        <w:t>Notice</w:t>
      </w:r>
      <w:r w:rsidR="00683D21">
        <w:t>)</w:t>
      </w:r>
      <w:r w:rsidR="008C0962">
        <w:t>.</w:t>
      </w:r>
    </w:p>
  </w:footnote>
  <w:footnote w:id="4">
    <w:p w:rsidR="00D14227" w:rsidRPr="006A20C6" w14:paraId="238DDAF9" w14:textId="77777777">
      <w:pPr>
        <w:pStyle w:val="FootnoteText"/>
        <w:rPr>
          <w:highlight w:val="lightGray"/>
        </w:rPr>
      </w:pPr>
      <w:r w:rsidRPr="00156330">
        <w:rPr>
          <w:rStyle w:val="FootnoteReference"/>
        </w:rPr>
        <w:footnoteRef/>
      </w:r>
      <w:r w:rsidRPr="00156330">
        <w:t xml:space="preserve"> </w:t>
      </w:r>
      <w:r w:rsidRPr="00156330">
        <w:rPr>
          <w:i/>
          <w:iCs/>
        </w:rPr>
        <w:t>See</w:t>
      </w:r>
      <w:r w:rsidRPr="00156330">
        <w:t xml:space="preserve"> 47 CFR § 64.1200(n)(</w:t>
      </w:r>
      <w:r w:rsidRPr="00156330" w:rsidR="00906872">
        <w:t>5)(iii).</w:t>
      </w:r>
    </w:p>
  </w:footnote>
  <w:footnote w:id="5">
    <w:p w:rsidR="00906872" w:rsidRPr="006A20C6" w14:paraId="141657CE" w14:textId="77777777">
      <w:pPr>
        <w:pStyle w:val="FootnoteText"/>
        <w:rPr>
          <w:highlight w:val="lightGray"/>
        </w:rPr>
      </w:pPr>
      <w:r w:rsidRPr="005008B8">
        <w:rPr>
          <w:rStyle w:val="FootnoteReference"/>
        </w:rPr>
        <w:footnoteRef/>
      </w:r>
      <w:r w:rsidRPr="005008B8">
        <w:t xml:space="preserve"> </w:t>
      </w:r>
      <w:r w:rsidRPr="005008B8" w:rsidR="008672AD">
        <w:rPr>
          <w:i/>
          <w:iCs/>
        </w:rPr>
        <w:t>Id.</w:t>
      </w:r>
      <w:r w:rsidRPr="005008B8">
        <w:t xml:space="preserve"> § 64.1200(n)(6).</w:t>
      </w:r>
    </w:p>
  </w:footnote>
  <w:footnote w:id="6">
    <w:p w:rsidR="00AD1921" w:rsidRPr="006A20C6" w14:paraId="3833290B" w14:textId="4BD1C2BA">
      <w:pPr>
        <w:pStyle w:val="FootnoteText"/>
        <w:rPr>
          <w:highlight w:val="lightGray"/>
        </w:rPr>
      </w:pPr>
      <w:r w:rsidRPr="00495B1C">
        <w:rPr>
          <w:rStyle w:val="FootnoteReference"/>
        </w:rPr>
        <w:footnoteRef/>
      </w:r>
      <w:r w:rsidRPr="00495B1C">
        <w:t xml:space="preserve"> </w:t>
      </w:r>
      <w:r w:rsidRPr="006A20C6" w:rsidR="005008B8">
        <w:t xml:space="preserve">FCC, </w:t>
      </w:r>
      <w:r w:rsidRPr="006A20C6" w:rsidR="005008B8">
        <w:rPr>
          <w:i/>
          <w:iCs/>
        </w:rPr>
        <w:t>Stop Unwanted Robocalls and Texts</w:t>
      </w:r>
      <w:r w:rsidRPr="006A20C6" w:rsidR="005008B8">
        <w:t xml:space="preserve">, https://www.fcc.gov/consumers/guides/stop-unwanted-robocalls-and-texts (last visited </w:t>
      </w:r>
      <w:r w:rsidR="00731403">
        <w:t>Sept</w:t>
      </w:r>
      <w:r w:rsidRPr="006A20C6" w:rsidR="00F013BB">
        <w:t xml:space="preserve">. </w:t>
      </w:r>
      <w:r w:rsidR="00923ABC">
        <w:t>7</w:t>
      </w:r>
      <w:r w:rsidRPr="006A20C6" w:rsidR="005008B8">
        <w:t>, 2023) (</w:t>
      </w:r>
      <w:r w:rsidRPr="00495B1C" w:rsidR="00F31C9B">
        <w:t xml:space="preserve">“Unwanted calls – including illegal and spoofed robocalls </w:t>
      </w:r>
      <w:r w:rsidRPr="006A20C6" w:rsidR="00F013BB">
        <w:t xml:space="preserve">– </w:t>
      </w:r>
      <w:r w:rsidRPr="00495B1C" w:rsidR="00F31C9B">
        <w:t>are the FCC</w:t>
      </w:r>
      <w:r w:rsidRPr="00495B1C" w:rsidR="00EE61D9">
        <w:t>’</w:t>
      </w:r>
      <w:r w:rsidRPr="00495B1C" w:rsidR="00F31C9B">
        <w:t>s top consumer complaint and our top consumer protection priority</w:t>
      </w:r>
      <w:r w:rsidRPr="00495B1C">
        <w:t>.</w:t>
      </w:r>
      <w:r w:rsidRPr="00495B1C" w:rsidR="00F31C9B">
        <w:t>”</w:t>
      </w:r>
      <w:r w:rsidRPr="006A20C6" w:rsidR="005008B8">
        <w:t>)</w:t>
      </w:r>
      <w:r w:rsidRPr="00495B1C">
        <w:t>.</w:t>
      </w:r>
    </w:p>
  </w:footnote>
  <w:footnote w:id="7">
    <w:p w:rsidR="00823453" w14:paraId="4C6C6208" w14:textId="4DF7C6E6">
      <w:pPr>
        <w:pStyle w:val="FootnoteText"/>
      </w:pPr>
      <w:r>
        <w:rPr>
          <w:rStyle w:val="FootnoteReference"/>
        </w:rPr>
        <w:footnoteRef/>
      </w:r>
      <w:r>
        <w:t xml:space="preserve"> 47 CFR § 64.1200(f)(19).</w:t>
      </w:r>
    </w:p>
  </w:footnote>
  <w:footnote w:id="8">
    <w:p w:rsidR="00E167E8" w:rsidRPr="006A20C6" w:rsidP="00E167E8" w14:paraId="1DBA4F1C" w14:textId="49283FEC">
      <w:pPr>
        <w:pStyle w:val="FootnoteText"/>
        <w:rPr>
          <w:i/>
          <w:iCs/>
          <w:highlight w:val="lightGray"/>
        </w:rPr>
      </w:pPr>
      <w:r w:rsidRPr="00D0378D">
        <w:rPr>
          <w:rStyle w:val="FootnoteReference"/>
        </w:rPr>
        <w:footnoteRef/>
      </w:r>
      <w:r w:rsidRPr="00D0378D">
        <w:t xml:space="preserve"> </w:t>
      </w:r>
      <w:r w:rsidRPr="00D0378D">
        <w:rPr>
          <w:i/>
          <w:iCs/>
        </w:rPr>
        <w:t>Advanced Methods to Target and Eliminate Unlawful Robocalls, Call Authentication Trust Anchor</w:t>
      </w:r>
      <w:r w:rsidRPr="00D0378D">
        <w:t>, 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FCC 22-</w:t>
      </w:r>
      <w:r w:rsidRPr="00D850FC">
        <w:t xml:space="preserve">37, </w:t>
      </w:r>
      <w:r w:rsidRPr="00361725" w:rsidR="00902181">
        <w:rPr>
          <w:rStyle w:val="cf01"/>
          <w:rFonts w:ascii="Times New Roman" w:hAnsi="Times New Roman" w:cs="Times New Roman"/>
          <w:sz w:val="20"/>
          <w:szCs w:val="20"/>
        </w:rPr>
        <w:t xml:space="preserve">37 FCC </w:t>
      </w:r>
      <w:r w:rsidRPr="00361725" w:rsidR="00902181">
        <w:rPr>
          <w:rStyle w:val="cf01"/>
          <w:rFonts w:ascii="Times New Roman" w:hAnsi="Times New Roman" w:cs="Times New Roman"/>
          <w:sz w:val="20"/>
          <w:szCs w:val="20"/>
        </w:rPr>
        <w:t>Rcd</w:t>
      </w:r>
      <w:r w:rsidRPr="00361725" w:rsidR="00902181">
        <w:rPr>
          <w:rStyle w:val="cf01"/>
          <w:rFonts w:ascii="Times New Roman" w:hAnsi="Times New Roman" w:cs="Times New Roman"/>
          <w:sz w:val="20"/>
          <w:szCs w:val="20"/>
        </w:rPr>
        <w:t xml:space="preserve"> 6865,</w:t>
      </w:r>
      <w:r w:rsidRPr="00361725" w:rsidR="00AB4D30">
        <w:rPr>
          <w:rStyle w:val="cf01"/>
          <w:rFonts w:ascii="Times New Roman" w:hAnsi="Times New Roman" w:cs="Times New Roman"/>
          <w:sz w:val="20"/>
          <w:szCs w:val="20"/>
        </w:rPr>
        <w:t xml:space="preserve"> 6875</w:t>
      </w:r>
      <w:r w:rsidRPr="00361725" w:rsidR="00D850FC">
        <w:rPr>
          <w:rStyle w:val="cf01"/>
          <w:rFonts w:ascii="Times New Roman" w:hAnsi="Times New Roman" w:cs="Times New Roman"/>
          <w:sz w:val="20"/>
          <w:szCs w:val="20"/>
        </w:rPr>
        <w:t>,</w:t>
      </w:r>
      <w:r w:rsidRPr="00361725" w:rsidR="00902181">
        <w:rPr>
          <w:rStyle w:val="cf01"/>
          <w:rFonts w:ascii="Times New Roman" w:hAnsi="Times New Roman" w:cs="Times New Roman"/>
          <w:sz w:val="20"/>
          <w:szCs w:val="20"/>
        </w:rPr>
        <w:t xml:space="preserve"> </w:t>
      </w:r>
      <w:r w:rsidRPr="00D850FC">
        <w:t>para.</w:t>
      </w:r>
      <w:r w:rsidRPr="00D0378D">
        <w:t xml:space="preserve"> 24</w:t>
      </w:r>
      <w:r w:rsidR="003E7AA9">
        <w:t xml:space="preserve"> </w:t>
      </w:r>
      <w:r w:rsidRPr="00377613">
        <w:t>(</w:t>
      </w:r>
      <w:r w:rsidRPr="00377613">
        <w:rPr>
          <w:i/>
          <w:iCs/>
        </w:rPr>
        <w:t>Gateway Provider Order</w:t>
      </w:r>
      <w:r w:rsidRPr="00377613">
        <w:t>).</w:t>
      </w:r>
    </w:p>
  </w:footnote>
  <w:footnote w:id="9">
    <w:p w:rsidR="00A33A72" w:rsidRPr="006A20C6" w14:paraId="0F799CEC" w14:textId="77777777">
      <w:pPr>
        <w:pStyle w:val="FootnoteText"/>
        <w:rPr>
          <w:highlight w:val="lightGray"/>
        </w:rPr>
      </w:pPr>
      <w:r w:rsidRPr="00CC524E">
        <w:rPr>
          <w:rStyle w:val="FootnoteReference"/>
        </w:rPr>
        <w:footnoteRef/>
      </w:r>
      <w:r w:rsidRPr="00CC524E">
        <w:t xml:space="preserve"> </w:t>
      </w:r>
      <w:r w:rsidRPr="00CC524E">
        <w:rPr>
          <w:i/>
          <w:iCs/>
        </w:rPr>
        <w:t>Id.</w:t>
      </w:r>
      <w:r w:rsidRPr="00CC524E">
        <w:t xml:space="preserve"> at paras. 1-4.</w:t>
      </w:r>
    </w:p>
  </w:footnote>
  <w:footnote w:id="10">
    <w:p w:rsidR="00C87CE3" w:rsidRPr="006A20C6" w14:paraId="4785C29B" w14:textId="31DF66DD">
      <w:pPr>
        <w:pStyle w:val="FootnoteText"/>
        <w:rPr>
          <w:highlight w:val="lightGray"/>
        </w:rPr>
      </w:pPr>
      <w:r w:rsidRPr="00221272">
        <w:rPr>
          <w:rStyle w:val="FootnoteReference"/>
        </w:rPr>
        <w:footnoteRef/>
      </w:r>
      <w:r w:rsidRPr="00221272">
        <w:t xml:space="preserve"> </w:t>
      </w:r>
      <w:r w:rsidRPr="00221272">
        <w:rPr>
          <w:i/>
          <w:iCs/>
        </w:rPr>
        <w:t>Id.</w:t>
      </w:r>
      <w:r w:rsidRPr="00221272">
        <w:t xml:space="preserve"> at para. </w:t>
      </w:r>
      <w:r w:rsidRPr="001B21AF">
        <w:t>72; 47 CFR § 64.1200(n)(5)</w:t>
      </w:r>
      <w:r w:rsidRPr="001B21AF" w:rsidR="00B93441">
        <w:t>(</w:t>
      </w:r>
      <w:r w:rsidRPr="001B21AF" w:rsidR="00B93441">
        <w:t>i</w:t>
      </w:r>
      <w:r w:rsidRPr="001B21AF" w:rsidR="00B93441">
        <w:t>)(A)</w:t>
      </w:r>
      <w:r w:rsidRPr="001B21AF">
        <w:t>.</w:t>
      </w:r>
    </w:p>
  </w:footnote>
  <w:footnote w:id="11">
    <w:p w:rsidR="005D3997" w:rsidRPr="006A20C6" w:rsidP="005D3997" w14:paraId="718788FA" w14:textId="51CBB476">
      <w:pPr>
        <w:pStyle w:val="FootnoteText"/>
        <w:rPr>
          <w:i/>
          <w:iCs/>
          <w:highlight w:val="lightGray"/>
        </w:rPr>
      </w:pPr>
      <w:r w:rsidRPr="00D43AE8">
        <w:rPr>
          <w:rStyle w:val="FootnoteReference"/>
        </w:rPr>
        <w:footnoteRef/>
      </w:r>
      <w:r w:rsidRPr="00D43AE8">
        <w:t xml:space="preserve"> </w:t>
      </w:r>
      <w:r w:rsidRPr="006A20C6" w:rsidR="00AA6D59">
        <w:rPr>
          <w:i/>
          <w:iCs/>
        </w:rPr>
        <w:t xml:space="preserve">See </w:t>
      </w:r>
      <w:r w:rsidRPr="00D43AE8">
        <w:t>47 CFR § 64.1200(n)(5)(</w:t>
      </w:r>
      <w:r w:rsidRPr="00D43AE8">
        <w:t>i</w:t>
      </w:r>
      <w:r w:rsidRPr="00D43AE8">
        <w:t>)(A)</w:t>
      </w:r>
      <w:r w:rsidR="00AF0A2E">
        <w:t>.</w:t>
      </w:r>
    </w:p>
  </w:footnote>
  <w:footnote w:id="12">
    <w:p w:rsidR="00C87CE3" w:rsidRPr="005E0306" w14:paraId="779EC266" w14:textId="267E08A5">
      <w:pPr>
        <w:pStyle w:val="FootnoteText"/>
        <w:rPr>
          <w:highlight w:val="lightGray"/>
        </w:rPr>
      </w:pPr>
      <w:r w:rsidRPr="00394BEA">
        <w:rPr>
          <w:rStyle w:val="FootnoteReference"/>
        </w:rPr>
        <w:footnoteRef/>
      </w:r>
      <w:r w:rsidRPr="00394BEA">
        <w:t xml:space="preserve"> </w:t>
      </w:r>
      <w:r w:rsidRPr="008757CC" w:rsidR="00AA6D59">
        <w:rPr>
          <w:i/>
          <w:iCs/>
        </w:rPr>
        <w:t>See</w:t>
      </w:r>
      <w:r w:rsidR="00AA6D59">
        <w:rPr>
          <w:i/>
          <w:iCs/>
        </w:rPr>
        <w:t xml:space="preserve"> i</w:t>
      </w:r>
      <w:r w:rsidRPr="006A20C6" w:rsidR="00110891">
        <w:rPr>
          <w:i/>
          <w:iCs/>
        </w:rPr>
        <w:t>d</w:t>
      </w:r>
      <w:r w:rsidRPr="006A20C6">
        <w:rPr>
          <w:i/>
          <w:iCs/>
        </w:rPr>
        <w:t>.</w:t>
      </w:r>
      <w:r w:rsidRPr="00394BEA" w:rsidR="00E113D8">
        <w:t xml:space="preserve"> </w:t>
      </w:r>
      <w:r w:rsidRPr="00394BEA" w:rsidR="00B86248">
        <w:t xml:space="preserve"> </w:t>
      </w:r>
    </w:p>
  </w:footnote>
  <w:footnote w:id="13">
    <w:p w:rsidR="00C87CE3" w:rsidRPr="00F4151E" w14:paraId="2094AC55" w14:textId="474CBF02">
      <w:pPr>
        <w:pStyle w:val="FootnoteText"/>
        <w:rPr>
          <w:i/>
          <w:iCs/>
        </w:rPr>
      </w:pPr>
      <w:r w:rsidRPr="00F4151E">
        <w:rPr>
          <w:rStyle w:val="FootnoteReference"/>
        </w:rPr>
        <w:footnoteRef/>
      </w:r>
      <w:r w:rsidRPr="00F4151E">
        <w:t xml:space="preserve"> </w:t>
      </w:r>
      <w:r w:rsidRPr="008757CC" w:rsidR="00AA6D59">
        <w:rPr>
          <w:i/>
          <w:iCs/>
        </w:rPr>
        <w:t xml:space="preserve">See </w:t>
      </w:r>
      <w:r w:rsidR="00AA6D59">
        <w:rPr>
          <w:i/>
          <w:iCs/>
        </w:rPr>
        <w:t>i</w:t>
      </w:r>
      <w:r w:rsidRPr="00F4151E" w:rsidR="00F93C5E">
        <w:rPr>
          <w:i/>
          <w:iCs/>
        </w:rPr>
        <w:t>d.</w:t>
      </w:r>
      <w:r w:rsidRPr="00F4151E" w:rsidR="005D3997">
        <w:t xml:space="preserve"> § 64.1200(n)(5)(</w:t>
      </w:r>
      <w:r w:rsidRPr="00F4151E" w:rsidR="005D3997">
        <w:t>i</w:t>
      </w:r>
      <w:r w:rsidRPr="00F4151E" w:rsidR="005D3997">
        <w:t>)(B).</w:t>
      </w:r>
      <w:r w:rsidRPr="00F4151E">
        <w:t xml:space="preserve">  </w:t>
      </w:r>
    </w:p>
  </w:footnote>
  <w:footnote w:id="14">
    <w:p w:rsidR="00E719FB" w14:paraId="2350399A" w14:textId="6EBA33D9">
      <w:pPr>
        <w:pStyle w:val="FootnoteText"/>
      </w:pPr>
      <w:r w:rsidRPr="00F4151E">
        <w:rPr>
          <w:rStyle w:val="FootnoteReference"/>
        </w:rPr>
        <w:footnoteRef/>
      </w:r>
      <w:r w:rsidRPr="00F4151E">
        <w:t xml:space="preserve"> </w:t>
      </w:r>
      <w:r w:rsidRPr="008757CC" w:rsidR="00AA6D59">
        <w:rPr>
          <w:i/>
          <w:iCs/>
        </w:rPr>
        <w:t xml:space="preserve">See </w:t>
      </w:r>
      <w:r w:rsidR="00AA6D59">
        <w:rPr>
          <w:i/>
          <w:iCs/>
        </w:rPr>
        <w:t>i</w:t>
      </w:r>
      <w:r w:rsidRPr="006A20C6" w:rsidR="00F4151E">
        <w:rPr>
          <w:i/>
          <w:iCs/>
        </w:rPr>
        <w:t>d.</w:t>
      </w:r>
    </w:p>
  </w:footnote>
  <w:footnote w:id="15">
    <w:p w:rsidR="00510BBF" w:rsidRPr="006A20C6" w14:paraId="02A3F44D" w14:textId="664887EA">
      <w:pPr>
        <w:pStyle w:val="FootnoteText"/>
        <w:rPr>
          <w:i/>
          <w:iCs/>
          <w:highlight w:val="lightGray"/>
        </w:rPr>
      </w:pPr>
      <w:r w:rsidRPr="00286BC0">
        <w:rPr>
          <w:rStyle w:val="FootnoteReference"/>
        </w:rPr>
        <w:footnoteRef/>
      </w:r>
      <w:r w:rsidRPr="00286BC0">
        <w:t xml:space="preserve"> </w:t>
      </w:r>
      <w:r w:rsidR="00286BC0">
        <w:rPr>
          <w:i/>
          <w:iCs/>
        </w:rPr>
        <w:t>See i</w:t>
      </w:r>
      <w:r w:rsidRPr="00286BC0" w:rsidR="00F93C5E">
        <w:rPr>
          <w:i/>
          <w:iCs/>
        </w:rPr>
        <w:t>d.</w:t>
      </w:r>
      <w:r w:rsidRPr="00286BC0" w:rsidR="005D3997">
        <w:t xml:space="preserve"> § 64.1200(n)(5)(ii)</w:t>
      </w:r>
      <w:r w:rsidRPr="00286BC0" w:rsidR="00A43095">
        <w:t>-(iii)</w:t>
      </w:r>
      <w:r w:rsidRPr="00286BC0" w:rsidR="00F93C5E">
        <w:t>,</w:t>
      </w:r>
      <w:r w:rsidRPr="00286BC0" w:rsidR="00942E02">
        <w:t xml:space="preserve"> (n)(6).</w:t>
      </w:r>
    </w:p>
  </w:footnote>
  <w:footnote w:id="16">
    <w:p w:rsidR="00510BBF" w:rsidRPr="006A20C6" w:rsidP="00510BBF" w14:paraId="66DFE305" w14:textId="77777777">
      <w:pPr>
        <w:pStyle w:val="FootnoteText"/>
        <w:rPr>
          <w:highlight w:val="lightGray"/>
        </w:rPr>
      </w:pPr>
      <w:r w:rsidRPr="000A6A66">
        <w:rPr>
          <w:rStyle w:val="FootnoteReference"/>
        </w:rPr>
        <w:footnoteRef/>
      </w:r>
      <w:r w:rsidRPr="000A6A66">
        <w:t xml:space="preserve"> </w:t>
      </w:r>
      <w:r w:rsidRPr="000A6A66" w:rsidR="00F93C5E">
        <w:rPr>
          <w:i/>
          <w:iCs/>
        </w:rPr>
        <w:t>Id.</w:t>
      </w:r>
      <w:r w:rsidRPr="000A6A66" w:rsidR="00CC6EC8">
        <w:t xml:space="preserve"> § 64.1200(n)(5)(ii).</w:t>
      </w:r>
      <w:r w:rsidRPr="000A6A66">
        <w:t xml:space="preserve"> </w:t>
      </w:r>
    </w:p>
  </w:footnote>
  <w:footnote w:id="17">
    <w:p w:rsidR="00510BBF" w:rsidRPr="0088607E" w:rsidP="00510BBF" w14:paraId="64A23DDF" w14:textId="1E739684">
      <w:pPr>
        <w:pStyle w:val="FootnoteText"/>
        <w:rPr>
          <w:i/>
          <w:iCs/>
        </w:rPr>
      </w:pPr>
      <w:r w:rsidRPr="00CF5020">
        <w:rPr>
          <w:rStyle w:val="FootnoteReference"/>
        </w:rPr>
        <w:footnoteRef/>
      </w:r>
      <w:r w:rsidRPr="00CF5020">
        <w:t xml:space="preserve"> </w:t>
      </w:r>
      <w:r w:rsidRPr="00CF5020">
        <w:rPr>
          <w:i/>
          <w:iCs/>
        </w:rPr>
        <w:t>Id.</w:t>
      </w:r>
      <w:r w:rsidRPr="00CF5020">
        <w:t xml:space="preserve"> § 64.1200(n)(5)-(6)</w:t>
      </w:r>
      <w:r w:rsidRPr="006A20C6" w:rsidR="00470712">
        <w:t xml:space="preserve">; </w:t>
      </w:r>
      <w:r w:rsidRPr="006A20C6" w:rsidR="00470712">
        <w:rPr>
          <w:i/>
          <w:iCs/>
        </w:rPr>
        <w:t>see also</w:t>
      </w:r>
      <w:r w:rsidRPr="006A20C6" w:rsidR="00470712">
        <w:t xml:space="preserve"> </w:t>
      </w:r>
      <w:r w:rsidRPr="006A20C6" w:rsidR="00BF1A2E">
        <w:rPr>
          <w:i/>
          <w:iCs/>
        </w:rPr>
        <w:t>id.</w:t>
      </w:r>
      <w:r w:rsidRPr="006A20C6" w:rsidR="00BF1A2E">
        <w:t xml:space="preserve"> § 64.1200(n)(5)(iii) (permitting </w:t>
      </w:r>
      <w:r w:rsidRPr="006A20C6" w:rsidR="00AD081A">
        <w:t>issuance</w:t>
      </w:r>
      <w:r w:rsidRPr="006A20C6" w:rsidR="00BF1A2E">
        <w:t xml:space="preserve"> of a</w:t>
      </w:r>
      <w:r w:rsidRPr="00CF5020">
        <w:t xml:space="preserve"> Final Determination Order up to </w:t>
      </w:r>
      <w:r w:rsidRPr="0088607E">
        <w:t>one year after release of the Initial Determination Order</w:t>
      </w:r>
      <w:r w:rsidRPr="006A20C6" w:rsidR="00BF1A2E">
        <w:t>)</w:t>
      </w:r>
      <w:r w:rsidR="006231B4">
        <w:t xml:space="preserve">; </w:t>
      </w:r>
      <w:r w:rsidRPr="00284C9E" w:rsidR="003E5240">
        <w:rPr>
          <w:i/>
        </w:rPr>
        <w:t xml:space="preserve">One Eye LLC </w:t>
      </w:r>
      <w:r w:rsidRPr="00284C9E" w:rsidR="00DD0F1E">
        <w:rPr>
          <w:i/>
        </w:rPr>
        <w:t>Final Determination Order</w:t>
      </w:r>
      <w:r w:rsidR="00DD0F1E">
        <w:t>, EB Docket No. 22-174</w:t>
      </w:r>
      <w:r w:rsidR="005F25DD">
        <w:t xml:space="preserve">, DA 23-389 at </w:t>
      </w:r>
      <w:r w:rsidR="00E627C2">
        <w:t xml:space="preserve">4, </w:t>
      </w:r>
      <w:r w:rsidRPr="00A118AE" w:rsidR="00A118AE">
        <w:t>2023 WL 3530737</w:t>
      </w:r>
      <w:r w:rsidR="00A118AE">
        <w:t xml:space="preserve">, </w:t>
      </w:r>
      <w:r w:rsidR="00E627C2">
        <w:t xml:space="preserve">para. 8 (EB May 11, 2023) </w:t>
      </w:r>
      <w:r w:rsidR="00FE75A3">
        <w:t>(</w:t>
      </w:r>
      <w:r w:rsidRPr="00FE75A3" w:rsidR="00FE75A3">
        <w:rPr>
          <w:i/>
          <w:iCs/>
        </w:rPr>
        <w:t>One Eye Final Determination Order</w:t>
      </w:r>
      <w:r w:rsidR="00FE75A3">
        <w:t xml:space="preserve">) </w:t>
      </w:r>
      <w:r w:rsidR="00E627C2">
        <w:t>(finding</w:t>
      </w:r>
      <w:r w:rsidR="00DD0F1E">
        <w:t xml:space="preserve"> </w:t>
      </w:r>
      <w:r w:rsidR="00E627C2">
        <w:t xml:space="preserve">that One Eye’s failure to respond to the Initial Determination Order </w:t>
      </w:r>
      <w:r w:rsidR="00573B84">
        <w:t>was an inadequate response)</w:t>
      </w:r>
      <w:r w:rsidRPr="006A20C6" w:rsidR="00BF1A2E">
        <w:t>.</w:t>
      </w:r>
    </w:p>
  </w:footnote>
  <w:footnote w:id="18">
    <w:p w:rsidR="00311F52" w:rsidRPr="00191EE7" w:rsidP="00921917" w14:paraId="3ECB025D" w14:textId="285B19AA">
      <w:pPr>
        <w:pStyle w:val="FootnoteText"/>
      </w:pPr>
      <w:r>
        <w:rPr>
          <w:rStyle w:val="FootnoteReference"/>
        </w:rPr>
        <w:footnoteRef/>
      </w:r>
      <w:r>
        <w:t xml:space="preserve"> </w:t>
      </w:r>
      <w:hyperlink r:id="rId2" w:history="1">
        <w:r w:rsidRPr="00DB531E" w:rsidR="00D90005">
          <w:rPr>
            <w:i/>
            <w:iCs/>
          </w:rPr>
          <w:t>See</w:t>
        </w:r>
      </w:hyperlink>
      <w:r w:rsidR="00D90005">
        <w:rPr>
          <w:i/>
          <w:iCs/>
        </w:rPr>
        <w:t xml:space="preserve"> </w:t>
      </w:r>
      <w:r w:rsidRPr="00D76693" w:rsidR="00D90005">
        <w:t>Notice,</w:t>
      </w:r>
      <w:r w:rsidR="00D90005">
        <w:rPr>
          <w:i/>
          <w:iCs/>
        </w:rPr>
        <w:t xml:space="preserve"> supra</w:t>
      </w:r>
      <w:r w:rsidR="006125E2">
        <w:t xml:space="preserve"> </w:t>
      </w:r>
      <w:r w:rsidR="00D90005">
        <w:t>note</w:t>
      </w:r>
      <w:r w:rsidR="00B8677F">
        <w:t xml:space="preserve"> 1</w:t>
      </w:r>
      <w:r w:rsidR="00DA2D15">
        <w:t>,</w:t>
      </w:r>
      <w:r w:rsidRPr="001707C5" w:rsidR="00DA2D15">
        <w:t xml:space="preserve"> </w:t>
      </w:r>
      <w:r w:rsidRPr="001844C3" w:rsidR="00191EE7">
        <w:t>Attachment A</w:t>
      </w:r>
      <w:r w:rsidRPr="001844C3" w:rsidR="005E39E4">
        <w:t xml:space="preserve">; ITG Subpoena Response on file at </w:t>
      </w:r>
      <w:r w:rsidRPr="001707C5" w:rsidR="00CD62AF">
        <w:rPr>
          <w:spacing w:val="-2"/>
        </w:rPr>
        <w:t>EB-TCD-</w:t>
      </w:r>
      <w:r w:rsidRPr="001844C3" w:rsidR="00CD62AF">
        <w:rPr>
          <w:spacing w:val="-2"/>
        </w:rPr>
        <w:t>23-00035574</w:t>
      </w:r>
      <w:r w:rsidRPr="001707C5" w:rsidR="00CD62AF">
        <w:rPr>
          <w:spacing w:val="-2"/>
        </w:rPr>
        <w:t xml:space="preserve"> </w:t>
      </w:r>
      <w:r w:rsidRPr="001844C3" w:rsidR="005E39E4">
        <w:rPr>
          <w:bCs/>
        </w:rPr>
        <w:t xml:space="preserve">(Mar. 3, 2023) (March ITG Subpoena Response); </w:t>
      </w:r>
      <w:r w:rsidRPr="001844C3" w:rsidR="005E39E4">
        <w:t xml:space="preserve">ITG Subpoena Response on file at </w:t>
      </w:r>
      <w:r w:rsidRPr="001707C5" w:rsidR="00CD62AF">
        <w:rPr>
          <w:spacing w:val="-2"/>
        </w:rPr>
        <w:t>EB-TCD-</w:t>
      </w:r>
      <w:r w:rsidRPr="001844C3" w:rsidR="00CD62AF">
        <w:rPr>
          <w:spacing w:val="-2"/>
        </w:rPr>
        <w:t>23-00035574</w:t>
      </w:r>
      <w:r w:rsidRPr="001707C5" w:rsidR="00CD62AF">
        <w:rPr>
          <w:spacing w:val="-2"/>
        </w:rPr>
        <w:t xml:space="preserve"> </w:t>
      </w:r>
      <w:r w:rsidRPr="001844C3" w:rsidR="005E39E4">
        <w:rPr>
          <w:bCs/>
        </w:rPr>
        <w:t>(Apr. 17, 2023) (April ITG Subpoena Response)</w:t>
      </w:r>
      <w:r w:rsidRPr="001844C3" w:rsidR="005E39E4">
        <w:t xml:space="preserve">; ITG Subpoena Response on file at </w:t>
      </w:r>
      <w:r w:rsidRPr="001707C5" w:rsidR="00CD62AF">
        <w:rPr>
          <w:spacing w:val="-2"/>
        </w:rPr>
        <w:t>EB-TCD-</w:t>
      </w:r>
      <w:r w:rsidRPr="001844C3" w:rsidR="00CD62AF">
        <w:rPr>
          <w:spacing w:val="-2"/>
        </w:rPr>
        <w:t>23-00035574</w:t>
      </w:r>
      <w:r w:rsidRPr="00CD62AF" w:rsidR="005E39E4">
        <w:t xml:space="preserve"> (June 22, 2023) (June ITG Subpoena Response).</w:t>
      </w:r>
    </w:p>
  </w:footnote>
  <w:footnote w:id="19">
    <w:p w:rsidR="00474EA7" w:rsidRPr="006A20C6" w14:paraId="3F2C8767" w14:textId="728B0016">
      <w:pPr>
        <w:pStyle w:val="FootnoteText"/>
        <w:rPr>
          <w:highlight w:val="lightGray"/>
        </w:rPr>
      </w:pPr>
      <w:r w:rsidRPr="0088607E">
        <w:rPr>
          <w:rStyle w:val="FootnoteReference"/>
        </w:rPr>
        <w:footnoteRef/>
      </w:r>
      <w:r w:rsidRPr="0088607E">
        <w:t xml:space="preserve"> </w:t>
      </w:r>
      <w:r w:rsidRPr="0088607E" w:rsidR="00436854">
        <w:rPr>
          <w:i/>
          <w:iCs/>
        </w:rPr>
        <w:t xml:space="preserve">See </w:t>
      </w:r>
      <w:r w:rsidRPr="00E47FCB" w:rsidR="00DD61A1">
        <w:t>Notice</w:t>
      </w:r>
      <w:r w:rsidR="00857C43">
        <w:t xml:space="preserve">, </w:t>
      </w:r>
      <w:r w:rsidR="00857C43">
        <w:rPr>
          <w:i/>
          <w:iCs/>
        </w:rPr>
        <w:t xml:space="preserve">supra </w:t>
      </w:r>
      <w:r w:rsidR="00857C43">
        <w:t>note 1</w:t>
      </w:r>
      <w:r w:rsidRPr="0088607E">
        <w:t xml:space="preserve">.  </w:t>
      </w:r>
      <w:r w:rsidRPr="0088607E" w:rsidR="001859BA">
        <w:t xml:space="preserve">The </w:t>
      </w:r>
      <w:r w:rsidRPr="00E47FCB" w:rsidR="001859BA">
        <w:t>Notice</w:t>
      </w:r>
      <w:r w:rsidRPr="0088607E" w:rsidR="001859BA">
        <w:t xml:space="preserve"> also found that One Owl </w:t>
      </w:r>
      <w:r w:rsidR="001B7505">
        <w:t>apparently</w:t>
      </w:r>
      <w:r w:rsidR="00311F52">
        <w:t xml:space="preserve"> </w:t>
      </w:r>
      <w:r w:rsidR="001621AE">
        <w:t>originated illegal tr</w:t>
      </w:r>
      <w:r w:rsidR="000D4F39">
        <w:t>affic</w:t>
      </w:r>
      <w:r w:rsidRPr="0088607E" w:rsidR="001859BA">
        <w:t>, but this order only applies to One Owl’s conduct as a gateway provider.</w:t>
      </w:r>
    </w:p>
  </w:footnote>
  <w:footnote w:id="20">
    <w:p w:rsidR="00763F3E" w:rsidRPr="006A20C6" w:rsidP="00422BD7" w14:paraId="771D77B5" w14:textId="17E47F6E">
      <w:pPr>
        <w:pStyle w:val="FootnoteText"/>
        <w:rPr>
          <w:highlight w:val="lightGray"/>
        </w:rPr>
      </w:pPr>
      <w:r w:rsidRPr="000E7BFC">
        <w:rPr>
          <w:rStyle w:val="FootnoteReference"/>
        </w:rPr>
        <w:footnoteRef/>
      </w:r>
      <w:r w:rsidRPr="000E7BFC">
        <w:t xml:space="preserve"> </w:t>
      </w:r>
      <w:r w:rsidRPr="006A20C6" w:rsidR="00844041">
        <w:rPr>
          <w:i/>
          <w:iCs/>
        </w:rPr>
        <w:t>See</w:t>
      </w:r>
      <w:r w:rsidRPr="000E7BFC" w:rsidR="00844041">
        <w:t xml:space="preserve"> </w:t>
      </w:r>
      <w:r w:rsidRPr="006A20C6" w:rsidR="00001C9F">
        <w:rPr>
          <w:i/>
          <w:iCs/>
        </w:rPr>
        <w:t>id.</w:t>
      </w:r>
      <w:r w:rsidRPr="000E7BFC" w:rsidR="00844041">
        <w:t xml:space="preserve">, Attachment A (identifying calls); </w:t>
      </w:r>
      <w:r w:rsidRPr="000E7BFC" w:rsidR="00422BD7">
        <w:t>47 U.S.C. § 227(b) (requiring callers obtain consent before placing certain types of pre-recorded calls); 47 CFR § 64.1200(a) (same).</w:t>
      </w:r>
    </w:p>
  </w:footnote>
  <w:footnote w:id="21">
    <w:p w:rsidR="009914EA" w:rsidRPr="006A20C6" w:rsidP="009914EA" w14:paraId="18962B72" w14:textId="15776F31">
      <w:pPr>
        <w:pStyle w:val="FootnoteText"/>
        <w:rPr>
          <w:highlight w:val="lightGray"/>
        </w:rPr>
      </w:pPr>
      <w:r w:rsidRPr="0048624F">
        <w:rPr>
          <w:rStyle w:val="FootnoteReference"/>
        </w:rPr>
        <w:footnoteRef/>
      </w:r>
      <w:r w:rsidRPr="0048624F">
        <w:t xml:space="preserve"> </w:t>
      </w:r>
      <w:r w:rsidRPr="0048624F" w:rsidR="00060E7B">
        <w:rPr>
          <w:i/>
          <w:iCs/>
        </w:rPr>
        <w:t xml:space="preserve">See </w:t>
      </w:r>
      <w:r w:rsidRPr="0048624F" w:rsidR="00060E7B">
        <w:rPr>
          <w:bCs/>
        </w:rPr>
        <w:t>March ITG Subpoena Response; April ITG Subpoena Response</w:t>
      </w:r>
      <w:r w:rsidRPr="0048624F" w:rsidR="00060E7B">
        <w:t>; June ITG Subpoena Response</w:t>
      </w:r>
      <w:r w:rsidRPr="0048624F" w:rsidR="000D1114">
        <w:t>.</w:t>
      </w:r>
    </w:p>
  </w:footnote>
  <w:footnote w:id="22">
    <w:p w:rsidR="009914EA" w:rsidRPr="006A20C6" w:rsidP="009914EA" w14:paraId="540D6F32" w14:textId="19EC14CB">
      <w:pPr>
        <w:pStyle w:val="FootnoteText"/>
        <w:rPr>
          <w:highlight w:val="lightGray"/>
        </w:rPr>
      </w:pPr>
      <w:r w:rsidRPr="0048624F">
        <w:rPr>
          <w:rStyle w:val="FootnoteReference"/>
        </w:rPr>
        <w:footnoteRef/>
      </w:r>
      <w:r w:rsidRPr="0048624F">
        <w:t xml:space="preserve"> </w:t>
      </w:r>
      <w:r w:rsidRPr="0048624F">
        <w:rPr>
          <w:i/>
          <w:iCs/>
        </w:rPr>
        <w:t xml:space="preserve">See </w:t>
      </w:r>
      <w:r w:rsidRPr="0048624F">
        <w:t>March ITG Subpoena Response.</w:t>
      </w:r>
      <w:r w:rsidRPr="0048624F">
        <w:t xml:space="preserve"> </w:t>
      </w:r>
    </w:p>
  </w:footnote>
  <w:footnote w:id="23">
    <w:p w:rsidR="009914EA" w:rsidRPr="006A20C6" w:rsidP="009914EA" w14:paraId="226FAAE5" w14:textId="58B04CFE">
      <w:pPr>
        <w:pStyle w:val="FootnoteText"/>
        <w:rPr>
          <w:highlight w:val="lightGray"/>
        </w:rPr>
      </w:pPr>
      <w:r w:rsidRPr="00551007">
        <w:rPr>
          <w:rStyle w:val="FootnoteReference"/>
        </w:rPr>
        <w:footnoteRef/>
      </w:r>
      <w:r w:rsidRPr="00551007">
        <w:rPr>
          <w:rStyle w:val="FootnoteReference"/>
        </w:rPr>
        <w:t xml:space="preserve"> </w:t>
      </w:r>
      <w:r w:rsidRPr="00551007">
        <w:rPr>
          <w:i/>
          <w:iCs/>
        </w:rPr>
        <w:t>See id.</w:t>
      </w:r>
      <w:r w:rsidRPr="00551007">
        <w:rPr>
          <w:bCs/>
        </w:rPr>
        <w:t xml:space="preserve">; April </w:t>
      </w:r>
      <w:r w:rsidRPr="00551007">
        <w:t>ITG Subpoena Response</w:t>
      </w:r>
      <w:r w:rsidR="00664519">
        <w:t>,</w:t>
      </w:r>
      <w:r w:rsidRPr="00551007">
        <w:t xml:space="preserve"> June ITG Subpoena Response. </w:t>
      </w:r>
    </w:p>
  </w:footnote>
  <w:footnote w:id="24">
    <w:p w:rsidR="009914EA" w:rsidRPr="006A20C6" w:rsidP="009914EA" w14:paraId="30FBC731" w14:textId="63D5BB40">
      <w:pPr>
        <w:pStyle w:val="FootnoteText"/>
        <w:rPr>
          <w:highlight w:val="lightGray"/>
        </w:rPr>
      </w:pPr>
      <w:r w:rsidRPr="00895985">
        <w:rPr>
          <w:rStyle w:val="FootnoteReference"/>
        </w:rPr>
        <w:footnoteRef/>
      </w:r>
      <w:r w:rsidRPr="00895985">
        <w:rPr>
          <w:rStyle w:val="FootnoteReference"/>
        </w:rPr>
        <w:t xml:space="preserve"> </w:t>
      </w:r>
      <w:r w:rsidRPr="00895985">
        <w:rPr>
          <w:i/>
          <w:iCs/>
        </w:rPr>
        <w:t xml:space="preserve">See </w:t>
      </w:r>
      <w:r w:rsidRPr="00895985">
        <w:t>March ITG Subpoena Response</w:t>
      </w:r>
      <w:r w:rsidR="00664519">
        <w:t xml:space="preserve">, </w:t>
      </w:r>
      <w:r w:rsidRPr="005368C3" w:rsidR="00664519">
        <w:rPr>
          <w:i/>
          <w:iCs/>
        </w:rPr>
        <w:t xml:space="preserve">supra </w:t>
      </w:r>
      <w:r w:rsidRPr="005368C3" w:rsidR="00664519">
        <w:t xml:space="preserve">note </w:t>
      </w:r>
      <w:r w:rsidRPr="005368C3" w:rsidR="008A4756">
        <w:t>1</w:t>
      </w:r>
      <w:r w:rsidR="008A4756">
        <w:t>6</w:t>
      </w:r>
      <w:r w:rsidRPr="00895985">
        <w:rPr>
          <w:bCs/>
        </w:rPr>
        <w:t xml:space="preserve">; April </w:t>
      </w:r>
      <w:r w:rsidRPr="00895985">
        <w:t>ITG Subpoena Response</w:t>
      </w:r>
      <w:r w:rsidR="00664519">
        <w:t xml:space="preserve">, </w:t>
      </w:r>
      <w:r w:rsidRPr="005368C3" w:rsidR="00664519">
        <w:rPr>
          <w:i/>
          <w:iCs/>
        </w:rPr>
        <w:t xml:space="preserve">supra </w:t>
      </w:r>
      <w:r w:rsidRPr="005368C3" w:rsidR="00664519">
        <w:t xml:space="preserve">note </w:t>
      </w:r>
      <w:r w:rsidRPr="005368C3" w:rsidR="008A4756">
        <w:t>1</w:t>
      </w:r>
      <w:r w:rsidR="008A4756">
        <w:t>6</w:t>
      </w:r>
      <w:r w:rsidRPr="00895985">
        <w:t>; June ITG Subpoena Response</w:t>
      </w:r>
      <w:r w:rsidR="00664519">
        <w:t xml:space="preserve">, </w:t>
      </w:r>
      <w:r w:rsidRPr="005368C3" w:rsidR="00664519">
        <w:rPr>
          <w:i/>
          <w:iCs/>
        </w:rPr>
        <w:t xml:space="preserve">supra </w:t>
      </w:r>
      <w:r w:rsidRPr="005368C3" w:rsidR="00664519">
        <w:t xml:space="preserve">note </w:t>
      </w:r>
      <w:r w:rsidRPr="005368C3" w:rsidR="00057760">
        <w:t>1</w:t>
      </w:r>
      <w:r w:rsidR="00057760">
        <w:t>6</w:t>
      </w:r>
      <w:r w:rsidRPr="00895985">
        <w:t>.</w:t>
      </w:r>
    </w:p>
  </w:footnote>
  <w:footnote w:id="25">
    <w:p w:rsidR="00736397" w:rsidRPr="00895985" w:rsidP="00736397" w14:paraId="5ED83F1D" w14:textId="27F243CD">
      <w:pPr>
        <w:pStyle w:val="FootnoteText"/>
      </w:pPr>
      <w:r w:rsidRPr="00895985">
        <w:rPr>
          <w:rStyle w:val="FootnoteReference"/>
        </w:rPr>
        <w:footnoteRef/>
      </w:r>
      <w:r w:rsidRPr="00895985">
        <w:t xml:space="preserve"> </w:t>
      </w:r>
      <w:r w:rsidRPr="00895985">
        <w:rPr>
          <w:i/>
          <w:iCs/>
        </w:rPr>
        <w:t xml:space="preserve">See </w:t>
      </w:r>
      <w:r w:rsidRPr="00895985">
        <w:t>March ITG Subpoena Response</w:t>
      </w:r>
      <w:r w:rsidR="00664519">
        <w:t xml:space="preserve">, </w:t>
      </w:r>
      <w:r w:rsidRPr="005368C3" w:rsidR="00664519">
        <w:rPr>
          <w:i/>
          <w:iCs/>
        </w:rPr>
        <w:t xml:space="preserve">supra </w:t>
      </w:r>
      <w:r w:rsidRPr="005368C3" w:rsidR="00664519">
        <w:t xml:space="preserve">note </w:t>
      </w:r>
      <w:r w:rsidRPr="005368C3" w:rsidR="008A4756">
        <w:t>1</w:t>
      </w:r>
      <w:r w:rsidR="008A4756">
        <w:t>6</w:t>
      </w:r>
      <w:r w:rsidRPr="00895985">
        <w:rPr>
          <w:bCs/>
        </w:rPr>
        <w:t xml:space="preserve">; April </w:t>
      </w:r>
      <w:r w:rsidRPr="00895985">
        <w:t>ITG Subpoena Response</w:t>
      </w:r>
      <w:r w:rsidR="00664519">
        <w:t xml:space="preserve">, </w:t>
      </w:r>
      <w:r w:rsidRPr="005368C3" w:rsidR="00664519">
        <w:rPr>
          <w:i/>
          <w:iCs/>
        </w:rPr>
        <w:t xml:space="preserve">supra </w:t>
      </w:r>
      <w:r w:rsidRPr="005368C3" w:rsidR="00664519">
        <w:t xml:space="preserve">note </w:t>
      </w:r>
      <w:r w:rsidRPr="005368C3" w:rsidR="008A4756">
        <w:t>1</w:t>
      </w:r>
      <w:r w:rsidR="008A4756">
        <w:t>6</w:t>
      </w:r>
      <w:r w:rsidRPr="00895985">
        <w:t>; June ITG Subpoena Response</w:t>
      </w:r>
      <w:r w:rsidR="00664519">
        <w:t xml:space="preserve">, </w:t>
      </w:r>
      <w:r w:rsidRPr="005368C3" w:rsidR="00664519">
        <w:rPr>
          <w:i/>
          <w:iCs/>
        </w:rPr>
        <w:t xml:space="preserve">supra </w:t>
      </w:r>
      <w:r w:rsidRPr="005368C3" w:rsidR="00664519">
        <w:t xml:space="preserve">note </w:t>
      </w:r>
      <w:r w:rsidRPr="005368C3" w:rsidR="008A4756">
        <w:t>1</w:t>
      </w:r>
      <w:r w:rsidR="008A4756">
        <w:t>6</w:t>
      </w:r>
      <w:r w:rsidRPr="00895985">
        <w:t>.</w:t>
      </w:r>
    </w:p>
  </w:footnote>
  <w:footnote w:id="26">
    <w:p w:rsidR="0003570F" w:rsidRPr="006A20C6" w:rsidP="0003570F" w14:paraId="5841CBC1" w14:textId="7E869EE9">
      <w:pPr>
        <w:pStyle w:val="FootnoteText"/>
        <w:spacing w:before="120"/>
        <w:rPr>
          <w:highlight w:val="lightGray"/>
        </w:rPr>
      </w:pPr>
      <w:r w:rsidRPr="00A0106D">
        <w:rPr>
          <w:rStyle w:val="FootnoteReference"/>
        </w:rPr>
        <w:footnoteRef/>
      </w:r>
      <w:r w:rsidRPr="00A0106D">
        <w:t xml:space="preserve"> </w:t>
      </w:r>
      <w:r w:rsidRPr="00A0106D" w:rsidR="00390852">
        <w:t>The ITG</w:t>
      </w:r>
      <w:r w:rsidRPr="00A0106D" w:rsidR="0042191B">
        <w:t xml:space="preserve"> </w:t>
      </w:r>
      <w:r w:rsidRPr="00A0106D" w:rsidR="0042191B">
        <w:rPr>
          <w:szCs w:val="22"/>
        </w:rPr>
        <w:t xml:space="preserve">is the registered industry consortium selected pursuant to the TRACED Act to conduct tracebacks. </w:t>
      </w:r>
      <w:r w:rsidRPr="00A0106D" w:rsidR="0042191B">
        <w:rPr>
          <w:i/>
          <w:iCs/>
        </w:rPr>
        <w:t xml:space="preserve"> See </w:t>
      </w:r>
      <w:r w:rsidRPr="00A0106D">
        <w:rPr>
          <w:i/>
          <w:iCs/>
        </w:rPr>
        <w:t>Implementing Section 13(d) of the Pallone-Thune Telephone Robocall Abuse Criminal Enforcement and Deterrence Act (TRACED Act)</w:t>
      </w:r>
      <w:r w:rsidRPr="00A0106D">
        <w:t xml:space="preserve">, EB Docket No. 20-22, Report and Order, DA 22-870, para. 40 (EB 2022); </w:t>
      </w:r>
      <w:r w:rsidRPr="00A0106D">
        <w:rPr>
          <w:i/>
          <w:iCs/>
        </w:rPr>
        <w:t xml:space="preserve">see also </w:t>
      </w:r>
      <w:r w:rsidRPr="00A0106D">
        <w:t>Pallone-Thune Telephone Robocall Abuse Criminal Enforcement and Deterrence Act, Pub. L. No. 116-105, 133 Stat. 3274, Sec. 13(d) (2019).</w:t>
      </w:r>
    </w:p>
  </w:footnote>
  <w:footnote w:id="27">
    <w:p w:rsidR="00474EA7" w:rsidRPr="006A20C6" w:rsidP="00474EA7" w14:paraId="6F328600" w14:textId="5037C2EF">
      <w:pPr>
        <w:pStyle w:val="FootnoteText"/>
        <w:rPr>
          <w:highlight w:val="lightGray"/>
        </w:rPr>
      </w:pPr>
      <w:r w:rsidRPr="005368C3">
        <w:rPr>
          <w:rStyle w:val="FootnoteReference"/>
        </w:rPr>
        <w:footnoteRef/>
      </w:r>
      <w:r w:rsidRPr="005368C3">
        <w:t xml:space="preserve"> </w:t>
      </w:r>
      <w:r w:rsidRPr="005368C3" w:rsidR="002F4B9B">
        <w:rPr>
          <w:i/>
          <w:iCs/>
        </w:rPr>
        <w:t xml:space="preserve">See </w:t>
      </w:r>
      <w:r w:rsidRPr="005368C3" w:rsidR="002F4B9B">
        <w:t xml:space="preserve">March ITG Subpoena Response, </w:t>
      </w:r>
      <w:r w:rsidRPr="005368C3" w:rsidR="002F4B9B">
        <w:rPr>
          <w:i/>
          <w:iCs/>
        </w:rPr>
        <w:t xml:space="preserve">supra </w:t>
      </w:r>
      <w:r w:rsidRPr="005368C3" w:rsidR="002F4B9B">
        <w:t xml:space="preserve">note </w:t>
      </w:r>
      <w:r w:rsidRPr="005368C3" w:rsidR="008A4756">
        <w:t>1</w:t>
      </w:r>
      <w:r w:rsidR="008A4756">
        <w:t>6</w:t>
      </w:r>
      <w:r w:rsidRPr="005368C3" w:rsidR="002F4B9B">
        <w:rPr>
          <w:bCs/>
        </w:rPr>
        <w:t xml:space="preserve">; April </w:t>
      </w:r>
      <w:r w:rsidRPr="005368C3" w:rsidR="002F4B9B">
        <w:t xml:space="preserve">ITG Subpoena Response, </w:t>
      </w:r>
      <w:r w:rsidRPr="005368C3" w:rsidR="002F4B9B">
        <w:rPr>
          <w:i/>
          <w:iCs/>
        </w:rPr>
        <w:t xml:space="preserve">supra </w:t>
      </w:r>
      <w:r w:rsidRPr="005368C3" w:rsidR="002F4B9B">
        <w:t xml:space="preserve">note </w:t>
      </w:r>
      <w:r w:rsidRPr="005368C3" w:rsidR="008A4756">
        <w:t>1</w:t>
      </w:r>
      <w:r w:rsidR="008A4756">
        <w:t>6</w:t>
      </w:r>
      <w:r w:rsidRPr="005368C3" w:rsidR="002F4B9B">
        <w:t xml:space="preserve">; June ITG Subpoena Response, </w:t>
      </w:r>
      <w:r w:rsidRPr="005368C3" w:rsidR="002F4B9B">
        <w:rPr>
          <w:i/>
          <w:iCs/>
        </w:rPr>
        <w:t xml:space="preserve">supra </w:t>
      </w:r>
      <w:r w:rsidRPr="005368C3" w:rsidR="002F4B9B">
        <w:t xml:space="preserve">note </w:t>
      </w:r>
      <w:r w:rsidRPr="005368C3" w:rsidR="008A4756">
        <w:t>1</w:t>
      </w:r>
      <w:r w:rsidR="008A4756">
        <w:t>6</w:t>
      </w:r>
      <w:r w:rsidRPr="005368C3" w:rsidR="002F4B9B">
        <w:t>.</w:t>
      </w:r>
    </w:p>
  </w:footnote>
  <w:footnote w:id="28">
    <w:p w:rsidR="00A70807" w:rsidRPr="005368C3" w14:paraId="004B9482" w14:textId="06EC25D5">
      <w:pPr>
        <w:pStyle w:val="FootnoteText"/>
      </w:pPr>
      <w:r w:rsidRPr="005368C3">
        <w:rPr>
          <w:rStyle w:val="FootnoteReference"/>
        </w:rPr>
        <w:footnoteRef/>
      </w:r>
      <w:r w:rsidRPr="005368C3">
        <w:t xml:space="preserve"> </w:t>
      </w:r>
      <w:r w:rsidRPr="005368C3" w:rsidR="000D1114">
        <w:rPr>
          <w:i/>
          <w:iCs/>
        </w:rPr>
        <w:t xml:space="preserve">See </w:t>
      </w:r>
      <w:r w:rsidRPr="005368C3" w:rsidR="000D1114">
        <w:t xml:space="preserve">March ITG Subpoena Response, </w:t>
      </w:r>
      <w:r w:rsidRPr="005368C3" w:rsidR="000D1114">
        <w:rPr>
          <w:i/>
          <w:iCs/>
        </w:rPr>
        <w:t xml:space="preserve">supra </w:t>
      </w:r>
      <w:r w:rsidRPr="005368C3" w:rsidR="000D1114">
        <w:t xml:space="preserve">note </w:t>
      </w:r>
      <w:r w:rsidRPr="005368C3" w:rsidR="008A4756">
        <w:t>1</w:t>
      </w:r>
      <w:r w:rsidR="008A4756">
        <w:t>6</w:t>
      </w:r>
      <w:r w:rsidRPr="005368C3" w:rsidR="000D1114">
        <w:rPr>
          <w:bCs/>
        </w:rPr>
        <w:t xml:space="preserve">; April </w:t>
      </w:r>
      <w:r w:rsidRPr="005368C3" w:rsidR="000D1114">
        <w:t xml:space="preserve">ITG Subpoena Response, </w:t>
      </w:r>
      <w:r w:rsidRPr="005368C3" w:rsidR="000D1114">
        <w:rPr>
          <w:i/>
          <w:iCs/>
        </w:rPr>
        <w:t xml:space="preserve">supra </w:t>
      </w:r>
      <w:r w:rsidRPr="005368C3" w:rsidR="000D1114">
        <w:t xml:space="preserve">note </w:t>
      </w:r>
      <w:r w:rsidRPr="005368C3" w:rsidR="008A4756">
        <w:t>1</w:t>
      </w:r>
      <w:r w:rsidR="008A4756">
        <w:t>6</w:t>
      </w:r>
      <w:r w:rsidRPr="005368C3" w:rsidR="000D1114">
        <w:t xml:space="preserve">; June ITG Subpoena Response, </w:t>
      </w:r>
      <w:r w:rsidRPr="005368C3" w:rsidR="000D1114">
        <w:rPr>
          <w:i/>
          <w:iCs/>
        </w:rPr>
        <w:t xml:space="preserve">supra </w:t>
      </w:r>
      <w:r w:rsidRPr="005368C3" w:rsidR="000D1114">
        <w:t xml:space="preserve">note </w:t>
      </w:r>
      <w:r w:rsidRPr="005368C3" w:rsidR="008A4756">
        <w:t>1</w:t>
      </w:r>
      <w:r w:rsidR="008A4756">
        <w:t>6</w:t>
      </w:r>
      <w:r w:rsidR="00F56AC5">
        <w:t xml:space="preserve">; Notice, </w:t>
      </w:r>
      <w:r w:rsidRPr="00A6728A" w:rsidR="00A6728A">
        <w:rPr>
          <w:i/>
          <w:iCs/>
        </w:rPr>
        <w:t>supra</w:t>
      </w:r>
      <w:r w:rsidR="00A6728A">
        <w:rPr>
          <w:i/>
          <w:iCs/>
        </w:rPr>
        <w:t xml:space="preserve"> </w:t>
      </w:r>
      <w:r w:rsidR="00A6728A">
        <w:t xml:space="preserve">note 1, </w:t>
      </w:r>
      <w:r w:rsidRPr="00A6728A" w:rsidR="00F56AC5">
        <w:t xml:space="preserve">Attachment </w:t>
      </w:r>
      <w:r w:rsidR="00F56AC5">
        <w:t>A (</w:t>
      </w:r>
      <w:r w:rsidR="00D05589">
        <w:t>noting One Owl’s role as the</w:t>
      </w:r>
      <w:r w:rsidR="00914DF8">
        <w:t xml:space="preserve"> originator or the gateway provider for each identified call)</w:t>
      </w:r>
      <w:r w:rsidRPr="005368C3" w:rsidR="000D1114">
        <w:t>.</w:t>
      </w:r>
    </w:p>
  </w:footnote>
  <w:footnote w:id="29">
    <w:p w:rsidR="00A70807" w:rsidRPr="006A20C6" w14:paraId="6E8CDEEB" w14:textId="12B1B5D2">
      <w:pPr>
        <w:pStyle w:val="FootnoteText"/>
        <w:rPr>
          <w:highlight w:val="lightGray"/>
        </w:rPr>
      </w:pPr>
      <w:r w:rsidRPr="005368C3">
        <w:rPr>
          <w:rStyle w:val="FootnoteReference"/>
        </w:rPr>
        <w:footnoteRef/>
      </w:r>
      <w:r w:rsidRPr="005368C3">
        <w:t xml:space="preserve"> </w:t>
      </w:r>
      <w:r w:rsidRPr="005368C3" w:rsidR="00CA5410">
        <w:rPr>
          <w:i/>
          <w:iCs/>
        </w:rPr>
        <w:t xml:space="preserve">See </w:t>
      </w:r>
      <w:r w:rsidRPr="005368C3" w:rsidR="00CA5410">
        <w:t xml:space="preserve">March ITG Subpoena Response, </w:t>
      </w:r>
      <w:r w:rsidRPr="005368C3" w:rsidR="00CA5410">
        <w:rPr>
          <w:i/>
          <w:iCs/>
        </w:rPr>
        <w:t xml:space="preserve">supra </w:t>
      </w:r>
      <w:r w:rsidRPr="005368C3" w:rsidR="00CA5410">
        <w:t xml:space="preserve">note </w:t>
      </w:r>
      <w:r w:rsidRPr="005368C3" w:rsidR="008A4756">
        <w:t>1</w:t>
      </w:r>
      <w:r w:rsidR="008A4756">
        <w:t>6</w:t>
      </w:r>
      <w:r w:rsidRPr="005368C3" w:rsidR="00CA5410">
        <w:rPr>
          <w:bCs/>
        </w:rPr>
        <w:t xml:space="preserve">; April </w:t>
      </w:r>
      <w:r w:rsidRPr="005368C3" w:rsidR="00CA5410">
        <w:t xml:space="preserve">ITG Subpoena Response, </w:t>
      </w:r>
      <w:r w:rsidRPr="005368C3" w:rsidR="00CA5410">
        <w:rPr>
          <w:i/>
          <w:iCs/>
        </w:rPr>
        <w:t xml:space="preserve">supra </w:t>
      </w:r>
      <w:r w:rsidRPr="005368C3" w:rsidR="00CA5410">
        <w:t xml:space="preserve">note </w:t>
      </w:r>
      <w:r w:rsidRPr="005368C3" w:rsidR="008A4756">
        <w:t>1</w:t>
      </w:r>
      <w:r w:rsidR="008A4756">
        <w:t>6</w:t>
      </w:r>
      <w:r w:rsidRPr="005368C3" w:rsidR="00CA5410">
        <w:t xml:space="preserve">; June ITG Subpoena Response, </w:t>
      </w:r>
      <w:r w:rsidRPr="005368C3" w:rsidR="00CA5410">
        <w:rPr>
          <w:i/>
          <w:iCs/>
        </w:rPr>
        <w:t xml:space="preserve">supra </w:t>
      </w:r>
      <w:r w:rsidRPr="005368C3" w:rsidR="00CA5410">
        <w:t xml:space="preserve">note </w:t>
      </w:r>
      <w:r w:rsidRPr="005368C3" w:rsidR="008A4756">
        <w:t>1</w:t>
      </w:r>
      <w:r w:rsidR="008A4756">
        <w:t>6</w:t>
      </w:r>
      <w:r w:rsidRPr="005368C3" w:rsidR="00CA5410">
        <w:t>.</w:t>
      </w:r>
    </w:p>
  </w:footnote>
  <w:footnote w:id="30">
    <w:p w:rsidR="0012263F" w:rsidRPr="006A20C6" w14:paraId="2D50D735" w14:textId="15EB8CE4">
      <w:pPr>
        <w:pStyle w:val="FootnoteText"/>
        <w:rPr>
          <w:highlight w:val="lightGray"/>
        </w:rPr>
      </w:pPr>
      <w:r w:rsidRPr="005368C3">
        <w:rPr>
          <w:rStyle w:val="FootnoteReference"/>
        </w:rPr>
        <w:footnoteRef/>
      </w:r>
      <w:r w:rsidRPr="005368C3">
        <w:t xml:space="preserve"> </w:t>
      </w:r>
      <w:r w:rsidRPr="005368C3">
        <w:rPr>
          <w:i/>
          <w:iCs/>
        </w:rPr>
        <w:t>See</w:t>
      </w:r>
      <w:r w:rsidRPr="005368C3" w:rsidR="0082278B">
        <w:rPr>
          <w:i/>
          <w:iCs/>
        </w:rPr>
        <w:t xml:space="preserve"> </w:t>
      </w:r>
      <w:r w:rsidRPr="005368C3" w:rsidR="00CA5410">
        <w:t xml:space="preserve">March ITG Subpoena Response, </w:t>
      </w:r>
      <w:r w:rsidRPr="005368C3" w:rsidR="00CA5410">
        <w:rPr>
          <w:i/>
          <w:iCs/>
        </w:rPr>
        <w:t xml:space="preserve">supra </w:t>
      </w:r>
      <w:r w:rsidRPr="005368C3" w:rsidR="00CA5410">
        <w:t xml:space="preserve">note </w:t>
      </w:r>
      <w:r w:rsidRPr="005368C3" w:rsidR="008A4756">
        <w:t>1</w:t>
      </w:r>
      <w:r w:rsidR="008A4756">
        <w:t>6</w:t>
      </w:r>
      <w:r w:rsidRPr="005368C3" w:rsidR="00CA5410">
        <w:rPr>
          <w:bCs/>
        </w:rPr>
        <w:t xml:space="preserve">; April </w:t>
      </w:r>
      <w:r w:rsidRPr="005368C3" w:rsidR="00CA5410">
        <w:t xml:space="preserve">ITG Subpoena Response, </w:t>
      </w:r>
      <w:r w:rsidRPr="005368C3" w:rsidR="00CA5410">
        <w:rPr>
          <w:i/>
          <w:iCs/>
        </w:rPr>
        <w:t xml:space="preserve">supra </w:t>
      </w:r>
      <w:r w:rsidRPr="005368C3" w:rsidR="00CA5410">
        <w:t xml:space="preserve">note </w:t>
      </w:r>
      <w:r w:rsidRPr="005368C3" w:rsidR="008A4756">
        <w:t>1</w:t>
      </w:r>
      <w:r w:rsidR="008A4756">
        <w:t>6</w:t>
      </w:r>
      <w:r w:rsidRPr="005368C3" w:rsidR="00CA5410">
        <w:t xml:space="preserve">; June ITG Subpoena Response, </w:t>
      </w:r>
      <w:r w:rsidRPr="005368C3" w:rsidR="00CA5410">
        <w:rPr>
          <w:i/>
          <w:iCs/>
        </w:rPr>
        <w:t xml:space="preserve">supra </w:t>
      </w:r>
      <w:r w:rsidRPr="005368C3" w:rsidR="00CA5410">
        <w:t xml:space="preserve">note </w:t>
      </w:r>
      <w:r w:rsidRPr="005368C3" w:rsidR="008A4756">
        <w:t>1</w:t>
      </w:r>
      <w:r w:rsidR="008A4756">
        <w:t>6</w:t>
      </w:r>
      <w:r w:rsidRPr="005368C3" w:rsidR="00CA5410">
        <w:t>.</w:t>
      </w:r>
      <w:r w:rsidR="00C609D6">
        <w:t xml:space="preserve">  One Owl claimed to have warned its clients about transmitting illegal traffic and terminated some originators.</w:t>
      </w:r>
      <w:r w:rsidR="0019771D">
        <w:t xml:space="preserve">  </w:t>
      </w:r>
      <w:r w:rsidR="005E4267">
        <w:t xml:space="preserve">Notice, </w:t>
      </w:r>
      <w:r w:rsidRPr="005E4267" w:rsidR="005E4267">
        <w:rPr>
          <w:i/>
          <w:iCs/>
        </w:rPr>
        <w:t>supra</w:t>
      </w:r>
      <w:r w:rsidR="005E4267">
        <w:t xml:space="preserve"> note 1</w:t>
      </w:r>
      <w:r w:rsidR="00BE6989">
        <w:t>,</w:t>
      </w:r>
      <w:r w:rsidR="005E4267">
        <w:t xml:space="preserve"> at 2.</w:t>
      </w:r>
    </w:p>
  </w:footnote>
  <w:footnote w:id="31">
    <w:p w:rsidR="00600197" w:rsidRPr="006A20C6" w14:paraId="115CDB75" w14:textId="0888CD90">
      <w:pPr>
        <w:pStyle w:val="FootnoteText"/>
        <w:rPr>
          <w:highlight w:val="lightGray"/>
        </w:rPr>
      </w:pPr>
      <w:r w:rsidRPr="00C75804">
        <w:rPr>
          <w:rStyle w:val="FootnoteReference"/>
        </w:rPr>
        <w:footnoteRef/>
      </w:r>
      <w:r w:rsidRPr="00C75804">
        <w:t xml:space="preserve"> </w:t>
      </w:r>
      <w:r w:rsidRPr="00C75804" w:rsidR="008D3A33">
        <w:t>Notice</w:t>
      </w:r>
      <w:r w:rsidRPr="00C75804" w:rsidR="0082278B">
        <w:t xml:space="preserve">, </w:t>
      </w:r>
      <w:r w:rsidRPr="00C75804" w:rsidR="0082278B">
        <w:rPr>
          <w:i/>
          <w:iCs/>
        </w:rPr>
        <w:t>supra</w:t>
      </w:r>
      <w:r w:rsidRPr="00C75804" w:rsidR="0082278B">
        <w:t xml:space="preserve"> note </w:t>
      </w:r>
      <w:r w:rsidRPr="006A20C6" w:rsidR="00263816">
        <w:t>1</w:t>
      </w:r>
      <w:r w:rsidRPr="00C75804" w:rsidR="0082278B">
        <w:t>,</w:t>
      </w:r>
      <w:r w:rsidRPr="00C75804">
        <w:t xml:space="preserve"> at </w:t>
      </w:r>
      <w:r w:rsidRPr="00C75804" w:rsidR="003E23E9">
        <w:t>5</w:t>
      </w:r>
      <w:r w:rsidRPr="00C75804">
        <w:t xml:space="preserve">.  </w:t>
      </w:r>
    </w:p>
  </w:footnote>
  <w:footnote w:id="32">
    <w:p w:rsidR="00600197" w:rsidRPr="00874EB5" w14:paraId="325BCAC2" w14:textId="505F1F8A">
      <w:pPr>
        <w:pStyle w:val="FootnoteText"/>
      </w:pPr>
      <w:r w:rsidRPr="00874EB5">
        <w:rPr>
          <w:rStyle w:val="FootnoteReference"/>
        </w:rPr>
        <w:footnoteRef/>
      </w:r>
      <w:r w:rsidRPr="00874EB5">
        <w:t xml:space="preserve"> </w:t>
      </w:r>
      <w:r w:rsidRPr="00874EB5" w:rsidR="0082278B">
        <w:rPr>
          <w:i/>
          <w:iCs/>
        </w:rPr>
        <w:t>Id.</w:t>
      </w:r>
      <w:r w:rsidRPr="00874EB5">
        <w:t xml:space="preserve"> at </w:t>
      </w:r>
      <w:r w:rsidRPr="00EB75C0" w:rsidR="00FE39A4">
        <w:t>6</w:t>
      </w:r>
      <w:r w:rsidRPr="00874EB5">
        <w:t>.</w:t>
      </w:r>
    </w:p>
  </w:footnote>
  <w:footnote w:id="33">
    <w:p w:rsidR="00600197" w:rsidRPr="00EB75C0" w14:paraId="067E313F" w14:textId="71FA08B8">
      <w:pPr>
        <w:pStyle w:val="FootnoteText"/>
        <w:rPr>
          <w:highlight w:val="lightGray"/>
        </w:rPr>
      </w:pPr>
      <w:r w:rsidRPr="00874EB5">
        <w:rPr>
          <w:rStyle w:val="FootnoteReference"/>
        </w:rPr>
        <w:footnoteRef/>
      </w:r>
      <w:r w:rsidRPr="00874EB5">
        <w:t xml:space="preserve"> The </w:t>
      </w:r>
      <w:r w:rsidRPr="00874EB5" w:rsidR="008D3A33">
        <w:t>Notice</w:t>
      </w:r>
      <w:r w:rsidRPr="00874EB5">
        <w:t xml:space="preserve"> also </w:t>
      </w:r>
      <w:r w:rsidRPr="00874EB5" w:rsidR="004F4E02">
        <w:t xml:space="preserve">directed </w:t>
      </w:r>
      <w:r w:rsidRPr="00874EB5" w:rsidR="009914EA">
        <w:t>One Owl</w:t>
      </w:r>
      <w:r w:rsidRPr="00874EB5" w:rsidR="004F4E02">
        <w:t xml:space="preserve"> to investigate and mitigate the identified traffic within 48 hours, consistent </w:t>
      </w:r>
      <w:r w:rsidRPr="00874EB5">
        <w:t xml:space="preserve">with section 64.1200(k)(4).  </w:t>
      </w:r>
      <w:r w:rsidRPr="00874EB5">
        <w:rPr>
          <w:i/>
          <w:iCs/>
        </w:rPr>
        <w:t>Id.</w:t>
      </w:r>
      <w:r w:rsidRPr="00874EB5">
        <w:t xml:space="preserve">; </w:t>
      </w:r>
      <w:r w:rsidRPr="00874EB5" w:rsidR="002C7513">
        <w:rPr>
          <w:i/>
          <w:iCs/>
        </w:rPr>
        <w:t xml:space="preserve">see </w:t>
      </w:r>
      <w:r w:rsidRPr="00874EB5">
        <w:t>47 CFR § 6</w:t>
      </w:r>
      <w:r w:rsidRPr="00874EB5" w:rsidR="0082278B">
        <w:t>4</w:t>
      </w:r>
      <w:r w:rsidRPr="00874EB5">
        <w:t xml:space="preserve">.1200(k)(4).  </w:t>
      </w:r>
      <w:r w:rsidRPr="00874EB5" w:rsidR="009914EA">
        <w:t>One Owl</w:t>
      </w:r>
      <w:r w:rsidRPr="00874EB5">
        <w:t xml:space="preserve"> did not meet that deadline</w:t>
      </w:r>
      <w:r w:rsidR="006C2DBA">
        <w:t>,</w:t>
      </w:r>
      <w:r w:rsidRPr="00874EB5">
        <w:t xml:space="preserve"> either.</w:t>
      </w:r>
    </w:p>
  </w:footnote>
  <w:footnote w:id="34">
    <w:p w:rsidR="0003570F" w:rsidRPr="005E0306" w14:paraId="3233FD47" w14:textId="72684E96">
      <w:pPr>
        <w:pStyle w:val="FootnoteText"/>
        <w:rPr>
          <w:highlight w:val="lightGray"/>
        </w:rPr>
      </w:pPr>
      <w:r w:rsidRPr="00BA29CB">
        <w:rPr>
          <w:rStyle w:val="FootnoteReference"/>
        </w:rPr>
        <w:footnoteRef/>
      </w:r>
      <w:r w:rsidRPr="00BA29CB">
        <w:t xml:space="preserve"> </w:t>
      </w:r>
      <w:r w:rsidRPr="00BA29CB" w:rsidR="00946534">
        <w:t>Letter from Rosemary C. Harold, Chief, Enforcement Bureau, to Prince Anand, CEO, Illum Telecommunication (Oct. 21, 2021)</w:t>
      </w:r>
      <w:r w:rsidRPr="00EB75C0" w:rsidR="00260D75">
        <w:t xml:space="preserve">, </w:t>
      </w:r>
      <w:hyperlink r:id="rId3" w:history="1">
        <w:r w:rsidRPr="00BA29CB" w:rsidR="00A5553C">
          <w:rPr>
            <w:rStyle w:val="Hyperlink"/>
          </w:rPr>
          <w:t>https://docs.fcc.gov/public/attachments/DOC-376749A1.pdf</w:t>
        </w:r>
      </w:hyperlink>
      <w:r w:rsidRPr="00BA29CB" w:rsidR="00946534">
        <w:t>;</w:t>
      </w:r>
      <w:r w:rsidRPr="00BA29CB">
        <w:t xml:space="preserve"> Letter from Loyaan A. </w:t>
      </w:r>
      <w:r w:rsidRPr="00BA29CB" w:rsidR="00946534">
        <w:t>Egal, Chief, Enforcement Bureau, to Kaushal Bhavsar, CEO, One Eye LLC (Feb. 15, 2023)</w:t>
      </w:r>
      <w:r w:rsidRPr="00EB75C0" w:rsidR="00BA29CB">
        <w:t xml:space="preserve">, </w:t>
      </w:r>
      <w:hyperlink r:id="rId4" w:history="1">
        <w:r w:rsidRPr="00BA29CB" w:rsidR="00BA29CB">
          <w:rPr>
            <w:rStyle w:val="Hyperlink"/>
          </w:rPr>
          <w:t>https://docs.fcc.gov/public/attachments/DOC-391103A1.pdf</w:t>
        </w:r>
      </w:hyperlink>
      <w:r w:rsidR="000215B2">
        <w:t>.</w:t>
      </w:r>
      <w:r w:rsidRPr="00BA29CB" w:rsidR="00946534">
        <w:t xml:space="preserve"> </w:t>
      </w:r>
    </w:p>
  </w:footnote>
  <w:footnote w:id="35">
    <w:p w:rsidR="000C4532" w:rsidRPr="001707C5" w14:paraId="09C31D4B" w14:textId="0342D2C6">
      <w:pPr>
        <w:pStyle w:val="FootnoteText"/>
        <w:rPr>
          <w:i/>
        </w:rPr>
      </w:pPr>
      <w:r w:rsidRPr="001D21BA">
        <w:rPr>
          <w:rStyle w:val="FootnoteReference"/>
        </w:rPr>
        <w:footnoteRef/>
      </w:r>
      <w:r w:rsidRPr="001D21BA">
        <w:t xml:space="preserve"> </w:t>
      </w:r>
      <w:r w:rsidRPr="00A20B5F" w:rsidR="00B111BF">
        <w:rPr>
          <w:i/>
          <w:iCs/>
          <w:shd w:val="clear" w:color="auto" w:fill="FFFFFF"/>
        </w:rPr>
        <w:t xml:space="preserve">One Eye </w:t>
      </w:r>
      <w:r w:rsidRPr="001707C5" w:rsidR="00B111BF">
        <w:rPr>
          <w:i/>
          <w:shd w:val="clear" w:color="auto" w:fill="FFFFFF"/>
        </w:rPr>
        <w:t>Final Determination Order</w:t>
      </w:r>
      <w:r w:rsidRPr="00A20B5F" w:rsidR="00B111BF">
        <w:rPr>
          <w:shd w:val="clear" w:color="auto" w:fill="FFFFFF"/>
        </w:rPr>
        <w:t xml:space="preserve">, </w:t>
      </w:r>
      <w:r w:rsidRPr="00A20B5F" w:rsidR="00B111BF">
        <w:rPr>
          <w:i/>
          <w:iCs/>
          <w:shd w:val="clear" w:color="auto" w:fill="FFFFFF"/>
        </w:rPr>
        <w:t>supra</w:t>
      </w:r>
      <w:r w:rsidRPr="00A20B5F" w:rsidR="00B111BF">
        <w:rPr>
          <w:shd w:val="clear" w:color="auto" w:fill="FFFFFF"/>
        </w:rPr>
        <w:t xml:space="preserve"> note </w:t>
      </w:r>
      <w:r w:rsidRPr="00A20B5F" w:rsidR="00FE60CE">
        <w:rPr>
          <w:shd w:val="clear" w:color="auto" w:fill="FFFFFF"/>
        </w:rPr>
        <w:t>1</w:t>
      </w:r>
      <w:r w:rsidR="00FE60CE">
        <w:rPr>
          <w:shd w:val="clear" w:color="auto" w:fill="FFFFFF"/>
        </w:rPr>
        <w:t>5</w:t>
      </w:r>
      <w:r w:rsidRPr="00A20B5F" w:rsidR="00B111BF">
        <w:rPr>
          <w:shd w:val="clear" w:color="auto" w:fill="FFFFFF"/>
        </w:rPr>
        <w:t>.</w:t>
      </w:r>
    </w:p>
  </w:footnote>
  <w:footnote w:id="36">
    <w:p w:rsidR="00AE39B2" w:rsidP="00AE39B2" w14:paraId="758D2A6C" w14:textId="4BEF3019">
      <w:pPr>
        <w:pStyle w:val="FootnoteText"/>
      </w:pPr>
      <w:r>
        <w:rPr>
          <w:rStyle w:val="FootnoteReference"/>
        </w:rPr>
        <w:footnoteRef/>
      </w:r>
      <w:r>
        <w:t xml:space="preserve"> </w:t>
      </w:r>
      <w:r w:rsidR="00E62031">
        <w:t xml:space="preserve">Notice, </w:t>
      </w:r>
      <w:r w:rsidRPr="00A20B5F" w:rsidR="00E62031">
        <w:rPr>
          <w:i/>
          <w:iCs/>
        </w:rPr>
        <w:t>supra</w:t>
      </w:r>
      <w:r w:rsidR="00E62031">
        <w:t xml:space="preserve"> note 1,</w:t>
      </w:r>
      <w:r w:rsidRPr="00E7465B" w:rsidR="00E62031">
        <w:t xml:space="preserve"> at 2.</w:t>
      </w:r>
    </w:p>
  </w:footnote>
  <w:footnote w:id="37">
    <w:p w:rsidR="00AE39B2" w:rsidRPr="00DE4996" w:rsidP="00AE39B2" w14:paraId="43A17722" w14:textId="009C6B77">
      <w:pPr>
        <w:spacing w:after="120"/>
        <w:rPr>
          <w:vertAlign w:val="superscript"/>
        </w:rPr>
      </w:pPr>
      <w:r w:rsidRPr="00DE4996">
        <w:rPr>
          <w:vertAlign w:val="superscript"/>
        </w:rPr>
        <w:footnoteRef/>
      </w:r>
      <w:r>
        <w:t xml:space="preserve"> </w:t>
      </w:r>
      <w:r w:rsidRPr="00E62031" w:rsidR="00E62031">
        <w:rPr>
          <w:i/>
          <w:iCs/>
          <w:sz w:val="20"/>
        </w:rPr>
        <w:t>Id</w:t>
      </w:r>
      <w:r w:rsidRPr="00E62031" w:rsidR="00E7465B">
        <w:rPr>
          <w:i/>
          <w:iCs/>
          <w:sz w:val="20"/>
        </w:rPr>
        <w:t>.</w:t>
      </w:r>
    </w:p>
  </w:footnote>
  <w:footnote w:id="38">
    <w:p w:rsidR="00AE39B2" w:rsidP="00AE39B2" w14:paraId="24641D9C" w14:textId="5352CD6C">
      <w:pPr>
        <w:pStyle w:val="FootnoteText"/>
      </w:pPr>
      <w:r>
        <w:rPr>
          <w:rStyle w:val="FootnoteReference"/>
        </w:rPr>
        <w:footnoteRef/>
      </w:r>
      <w:r>
        <w:t xml:space="preserve"> </w:t>
      </w:r>
      <w:r w:rsidRPr="00091F2B" w:rsidR="00091F2B">
        <w:rPr>
          <w:i/>
          <w:iCs/>
        </w:rPr>
        <w:t>Id.</w:t>
      </w:r>
    </w:p>
  </w:footnote>
  <w:footnote w:id="39">
    <w:p w:rsidR="00AE39B2" w:rsidRPr="00CA3DF6" w:rsidP="00AE39B2" w14:paraId="2FD09D60" w14:textId="11541DD1">
      <w:pPr>
        <w:pStyle w:val="FootnoteText"/>
      </w:pPr>
      <w:r>
        <w:rPr>
          <w:rStyle w:val="FootnoteReference"/>
        </w:rPr>
        <w:footnoteRef/>
      </w:r>
      <w:r>
        <w:t xml:space="preserve"> </w:t>
      </w:r>
      <w:r w:rsidR="006A67CB">
        <w:rPr>
          <w:i/>
          <w:iCs/>
        </w:rPr>
        <w:t xml:space="preserve">Id. </w:t>
      </w:r>
      <w:r w:rsidRPr="006A67CB" w:rsidR="006A67CB">
        <w:t>at 2-3.</w:t>
      </w:r>
    </w:p>
  </w:footnote>
  <w:footnote w:id="40">
    <w:p w:rsidR="00AE39B2" w:rsidP="00AE39B2" w14:paraId="71322C16" w14:textId="4C1D7548">
      <w:pPr>
        <w:pStyle w:val="FootnoteText"/>
      </w:pPr>
      <w:r>
        <w:rPr>
          <w:rStyle w:val="FootnoteReference"/>
        </w:rPr>
        <w:footnoteRef/>
      </w:r>
      <w:r w:rsidRPr="1DDB50B5">
        <w:rPr>
          <w:rStyle w:val="FootnoteReference"/>
        </w:rPr>
        <w:t xml:space="preserve"> </w:t>
      </w:r>
      <w:r w:rsidR="006A67CB">
        <w:t xml:space="preserve"> </w:t>
      </w:r>
      <w:r w:rsidR="006A67CB">
        <w:rPr>
          <w:rStyle w:val="FootnoteReference"/>
          <w:i/>
          <w:vertAlign w:val="baseline"/>
        </w:rPr>
        <w:t>I</w:t>
      </w:r>
      <w:r w:rsidR="006A67CB">
        <w:rPr>
          <w:i/>
        </w:rPr>
        <w:t>d</w:t>
      </w:r>
      <w:r w:rsidRPr="006A67CB" w:rsidR="006A67CB">
        <w:rPr>
          <w:iCs/>
        </w:rPr>
        <w:t>. at 3.</w:t>
      </w:r>
    </w:p>
  </w:footnote>
  <w:footnote w:id="41">
    <w:p w:rsidR="00AE39B2" w:rsidP="00AE39B2" w14:paraId="2CD23B62" w14:textId="58ACA05B">
      <w:pPr>
        <w:pStyle w:val="FootnoteText"/>
      </w:pPr>
      <w:r>
        <w:rPr>
          <w:rStyle w:val="FootnoteReference"/>
        </w:rPr>
        <w:footnoteRef/>
      </w:r>
      <w:r>
        <w:t xml:space="preserve"> </w:t>
      </w:r>
      <w:r w:rsidR="001A3A9D">
        <w:rPr>
          <w:i/>
          <w:iCs/>
        </w:rPr>
        <w:t>Id.</w:t>
      </w:r>
    </w:p>
  </w:footnote>
  <w:footnote w:id="42">
    <w:p w:rsidR="00AE39B2" w:rsidRPr="0092217E" w:rsidP="00AE39B2" w14:paraId="183CEDF4" w14:textId="6421FFE3">
      <w:pPr>
        <w:pStyle w:val="FootnoteText"/>
        <w:rPr>
          <w:i/>
          <w:iCs/>
        </w:rPr>
      </w:pPr>
      <w:r>
        <w:rPr>
          <w:rStyle w:val="FootnoteReference"/>
        </w:rPr>
        <w:footnoteRef/>
      </w:r>
      <w:r>
        <w:t xml:space="preserve"> </w:t>
      </w:r>
      <w:r w:rsidR="001A3A9D">
        <w:rPr>
          <w:i/>
          <w:iCs/>
        </w:rPr>
        <w:t>Id.</w:t>
      </w:r>
    </w:p>
  </w:footnote>
  <w:footnote w:id="43">
    <w:p w:rsidR="00AE39B2" w:rsidRPr="00FC42CA" w:rsidP="00AE39B2" w14:paraId="74816AD3" w14:textId="6C65B835">
      <w:pPr>
        <w:pStyle w:val="FootnoteText"/>
      </w:pPr>
      <w:r w:rsidRPr="00FC42CA">
        <w:rPr>
          <w:rStyle w:val="FootnoteReference"/>
        </w:rPr>
        <w:footnoteRef/>
      </w:r>
      <w:r w:rsidRPr="00FC42CA">
        <w:t xml:space="preserve"> </w:t>
      </w:r>
      <w:r w:rsidR="001A3A9D">
        <w:rPr>
          <w:i/>
          <w:iCs/>
        </w:rPr>
        <w:t>Id.</w:t>
      </w:r>
    </w:p>
  </w:footnote>
  <w:footnote w:id="44">
    <w:p w:rsidR="00AE39B2" w:rsidP="00AE39B2" w14:paraId="23EC21E8" w14:textId="6731E290">
      <w:pPr>
        <w:pStyle w:val="FootnoteText"/>
      </w:pPr>
      <w:r>
        <w:rPr>
          <w:rStyle w:val="FootnoteReference"/>
        </w:rPr>
        <w:footnoteRef/>
      </w:r>
      <w:r>
        <w:t xml:space="preserve"> </w:t>
      </w:r>
      <w:r w:rsidR="00F46365">
        <w:rPr>
          <w:i/>
          <w:iCs/>
        </w:rPr>
        <w:t>Id.</w:t>
      </w:r>
      <w:r>
        <w:t xml:space="preserve">  </w:t>
      </w:r>
    </w:p>
  </w:footnote>
  <w:footnote w:id="45">
    <w:p w:rsidR="00606EF0" w:rsidRPr="00606EF0" w14:paraId="2521CEC8" w14:textId="32151BA8">
      <w:pPr>
        <w:pStyle w:val="FootnoteText"/>
      </w:pPr>
      <w:r>
        <w:rPr>
          <w:rStyle w:val="FootnoteReference"/>
        </w:rPr>
        <w:footnoteRef/>
      </w:r>
      <w:r>
        <w:t xml:space="preserve"> </w:t>
      </w:r>
      <w:r w:rsidRPr="00C56185">
        <w:rPr>
          <w:i/>
          <w:iCs/>
        </w:rPr>
        <w:t>Compare</w:t>
      </w:r>
      <w:r>
        <w:t xml:space="preserve"> </w:t>
      </w:r>
      <w:r w:rsidRPr="00A51B6D" w:rsidR="00A51B6D">
        <w:rPr>
          <w:i/>
          <w:iCs/>
        </w:rPr>
        <w:t>id.</w:t>
      </w:r>
      <w:r w:rsidR="00A51B6D">
        <w:t xml:space="preserve"> at 2,</w:t>
      </w:r>
      <w:r w:rsidR="00AD4878">
        <w:t xml:space="preserve"> </w:t>
      </w:r>
      <w:r w:rsidRPr="00C56185" w:rsidR="00AD4878">
        <w:rPr>
          <w:i/>
          <w:iCs/>
        </w:rPr>
        <w:t>with</w:t>
      </w:r>
      <w:r w:rsidR="00AD4878">
        <w:t xml:space="preserve"> </w:t>
      </w:r>
      <w:r w:rsidRPr="00A20B5F" w:rsidR="0026267C">
        <w:rPr>
          <w:i/>
          <w:iCs/>
          <w:shd w:val="clear" w:color="auto" w:fill="FFFFFF"/>
        </w:rPr>
        <w:t>One Eye Final Determination Order</w:t>
      </w:r>
      <w:r w:rsidRPr="00A20B5F" w:rsidR="0026267C">
        <w:rPr>
          <w:shd w:val="clear" w:color="auto" w:fill="FFFFFF"/>
        </w:rPr>
        <w:t xml:space="preserve">, </w:t>
      </w:r>
      <w:r w:rsidRPr="00A20B5F" w:rsidR="0026267C">
        <w:rPr>
          <w:i/>
          <w:iCs/>
          <w:shd w:val="clear" w:color="auto" w:fill="FFFFFF"/>
        </w:rPr>
        <w:t>supra</w:t>
      </w:r>
      <w:r w:rsidRPr="00A20B5F" w:rsidR="0026267C">
        <w:rPr>
          <w:shd w:val="clear" w:color="auto" w:fill="FFFFFF"/>
        </w:rPr>
        <w:t xml:space="preserve"> note </w:t>
      </w:r>
      <w:r w:rsidRPr="00A20B5F" w:rsidR="00FE60CE">
        <w:rPr>
          <w:shd w:val="clear" w:color="auto" w:fill="FFFFFF"/>
        </w:rPr>
        <w:t>1</w:t>
      </w:r>
      <w:r w:rsidR="00FE60CE">
        <w:rPr>
          <w:shd w:val="clear" w:color="auto" w:fill="FFFFFF"/>
        </w:rPr>
        <w:t>5</w:t>
      </w:r>
      <w:r w:rsidR="00AD4878">
        <w:t xml:space="preserve">, para. 5. </w:t>
      </w:r>
    </w:p>
  </w:footnote>
  <w:footnote w:id="46">
    <w:p w:rsidR="00415048" w:rsidRPr="00C72EA9" w:rsidP="00415048" w14:paraId="5246C5FD" w14:textId="3AAABBC4">
      <w:pPr>
        <w:pStyle w:val="FootnoteText"/>
      </w:pPr>
      <w:r>
        <w:rPr>
          <w:rStyle w:val="FootnoteReference"/>
        </w:rPr>
        <w:footnoteRef/>
      </w:r>
      <w:r>
        <w:t xml:space="preserve"> </w:t>
      </w:r>
      <w:r>
        <w:rPr>
          <w:i/>
          <w:iCs/>
        </w:rPr>
        <w:t xml:space="preserve">See </w:t>
      </w:r>
      <w:r>
        <w:rPr>
          <w:szCs w:val="22"/>
        </w:rPr>
        <w:t xml:space="preserve">Aashay Khandelwal, LinkedIn, </w:t>
      </w:r>
      <w:hyperlink r:id="rId5" w:history="1">
        <w:r w:rsidRPr="00C72EA9">
          <w:rPr>
            <w:rStyle w:val="Hyperlink"/>
            <w:szCs w:val="22"/>
          </w:rPr>
          <w:t>https://www.linkedin.com/in/aashay-khandelwal-ab6179238</w:t>
        </w:r>
      </w:hyperlink>
      <w:r w:rsidRPr="00C72EA9">
        <w:rPr>
          <w:szCs w:val="22"/>
        </w:rPr>
        <w:t xml:space="preserve"> (last visited </w:t>
      </w:r>
      <w:r w:rsidRPr="00C72EA9" w:rsidR="004407BA">
        <w:rPr>
          <w:szCs w:val="22"/>
        </w:rPr>
        <w:t>July</w:t>
      </w:r>
      <w:r w:rsidRPr="00C72EA9" w:rsidR="00517ADA">
        <w:rPr>
          <w:szCs w:val="22"/>
        </w:rPr>
        <w:t xml:space="preserve"> 1</w:t>
      </w:r>
      <w:r w:rsidRPr="00C72EA9" w:rsidR="004407BA">
        <w:rPr>
          <w:szCs w:val="22"/>
        </w:rPr>
        <w:t>4</w:t>
      </w:r>
      <w:r w:rsidRPr="00C72EA9">
        <w:rPr>
          <w:szCs w:val="22"/>
        </w:rPr>
        <w:t xml:space="preserve">, 2023) </w:t>
      </w:r>
      <w:r w:rsidRPr="00C72EA9">
        <w:t>(screenshots on file at EB-TCD-20-00030805)</w:t>
      </w:r>
      <w:r w:rsidRPr="00C72EA9">
        <w:rPr>
          <w:szCs w:val="22"/>
        </w:rPr>
        <w:t>.</w:t>
      </w:r>
      <w:r w:rsidRPr="00C72EA9">
        <w:t xml:space="preserve"> </w:t>
      </w:r>
    </w:p>
  </w:footnote>
  <w:footnote w:id="47">
    <w:p w:rsidR="00415048" w:rsidRPr="00C72EA9" w:rsidP="00415048" w14:paraId="783CC272" w14:textId="77777777">
      <w:pPr>
        <w:pStyle w:val="FootnoteText"/>
      </w:pPr>
      <w:r w:rsidRPr="00C72EA9">
        <w:rPr>
          <w:rStyle w:val="FootnoteReference"/>
        </w:rPr>
        <w:footnoteRef/>
      </w:r>
      <w:r w:rsidRPr="00C72EA9">
        <w:t xml:space="preserve"> </w:t>
      </w:r>
      <w:r w:rsidRPr="00C72EA9">
        <w:rPr>
          <w:i/>
          <w:iCs/>
        </w:rPr>
        <w:t>See id</w:t>
      </w:r>
      <w:r w:rsidRPr="00C72EA9">
        <w:t>.</w:t>
      </w:r>
    </w:p>
  </w:footnote>
  <w:footnote w:id="48">
    <w:p w:rsidR="00415048" w:rsidRPr="00C72EA9" w:rsidP="00415048" w14:paraId="00B0DEC3" w14:textId="10DFF8EF">
      <w:pPr>
        <w:pStyle w:val="FootnoteText"/>
      </w:pPr>
      <w:r w:rsidRPr="00C72EA9">
        <w:rPr>
          <w:rStyle w:val="FootnoteReference"/>
        </w:rPr>
        <w:footnoteRef/>
      </w:r>
      <w:r w:rsidRPr="00C72EA9">
        <w:t xml:space="preserve"> </w:t>
      </w:r>
      <w:r w:rsidRPr="00C72EA9">
        <w:rPr>
          <w:i/>
          <w:iCs/>
        </w:rPr>
        <w:t xml:space="preserve">See </w:t>
      </w:r>
      <w:r w:rsidRPr="00C72EA9" w:rsidR="00463DB4">
        <w:rPr>
          <w:rStyle w:val="ui-provider"/>
        </w:rPr>
        <w:t>Incorp Services Interrogatories Response at para. 3 (on file at EB-TCD-20-00030805).</w:t>
      </w:r>
      <w:r w:rsidRPr="00C72EA9" w:rsidR="005A31A4">
        <w:t xml:space="preserve"> </w:t>
      </w:r>
    </w:p>
  </w:footnote>
  <w:footnote w:id="49">
    <w:p w:rsidR="007431DE" w:rsidRPr="00C72EA9" w:rsidP="007431DE" w14:paraId="49FB7FC3" w14:textId="77777777">
      <w:pPr>
        <w:pStyle w:val="FootnoteText"/>
      </w:pPr>
      <w:r w:rsidRPr="00C72EA9">
        <w:rPr>
          <w:rStyle w:val="FootnoteReference"/>
        </w:rPr>
        <w:footnoteRef/>
      </w:r>
      <w:r w:rsidRPr="00C72EA9">
        <w:t xml:space="preserve"> One Owl Telecom Inc. Listing, Fed. Commc’ns Comm’n, Robocall Mitigation Database (Apr. 25, 2022), </w:t>
      </w:r>
      <w:hyperlink r:id="rId6" w:history="1">
        <w:r w:rsidRPr="00C72EA9">
          <w:rPr>
            <w:rStyle w:val="Hyperlink"/>
          </w:rPr>
          <w:t>https://fccprod.servicenowservices.com/rmd?id=rmd_form&amp;table=x_g_fmc_rmd_robocall_mitigation_database&amp;sys_id=b1ab8b061bcb4110823a419ae54bcb64&amp;view=sp</w:t>
        </w:r>
      </w:hyperlink>
      <w:r w:rsidRPr="00C72EA9">
        <w:t xml:space="preserve"> (showing </w:t>
      </w:r>
      <w:r w:rsidRPr="00C72EA9">
        <w:rPr>
          <w:szCs w:val="22"/>
        </w:rPr>
        <w:t>Khandelwal as the CEO of One Owl</w:t>
      </w:r>
      <w:r w:rsidRPr="00C72EA9">
        <w:t>).</w:t>
      </w:r>
    </w:p>
  </w:footnote>
  <w:footnote w:id="50">
    <w:p w:rsidR="007431DE" w:rsidP="007431DE" w14:paraId="4A4A1BF0" w14:textId="3AA66183">
      <w:pPr>
        <w:pStyle w:val="FootnoteText"/>
      </w:pPr>
      <w:r w:rsidRPr="00C72EA9">
        <w:rPr>
          <w:rStyle w:val="FootnoteReference"/>
        </w:rPr>
        <w:footnoteRef/>
      </w:r>
      <w:r w:rsidRPr="00C72EA9">
        <w:t xml:space="preserve"> Illum Telecommunication, </w:t>
      </w:r>
      <w:hyperlink r:id="rId7" w:history="1">
        <w:r w:rsidRPr="00C72EA9">
          <w:rPr>
            <w:rStyle w:val="Hyperlink"/>
          </w:rPr>
          <w:t>https://www.illumtelecommunication.com/</w:t>
        </w:r>
      </w:hyperlink>
      <w:r w:rsidRPr="00C72EA9">
        <w:t xml:space="preserve"> (last visited </w:t>
      </w:r>
      <w:r w:rsidRPr="00C72EA9" w:rsidR="00314857">
        <w:t>Sep</w:t>
      </w:r>
      <w:r w:rsidRPr="00C72EA9" w:rsidR="004407BA">
        <w:t>t.</w:t>
      </w:r>
      <w:r w:rsidRPr="00C72EA9" w:rsidR="00314857">
        <w:t xml:space="preserve"> 12</w:t>
      </w:r>
      <w:r w:rsidRPr="00C72EA9">
        <w:t>, 2023</w:t>
      </w:r>
      <w:r>
        <w:t>).</w:t>
      </w:r>
    </w:p>
  </w:footnote>
  <w:footnote w:id="51">
    <w:p w:rsidR="007431DE" w:rsidP="007431DE" w14:paraId="2ACCE650" w14:textId="77777777">
      <w:pPr>
        <w:pStyle w:val="FootnoteText"/>
      </w:pPr>
      <w:r>
        <w:rPr>
          <w:rStyle w:val="FootnoteReference"/>
        </w:rPr>
        <w:footnoteRef/>
      </w:r>
      <w:r>
        <w:t xml:space="preserve"> </w:t>
      </w:r>
      <w:r w:rsidRPr="006F27F4">
        <w:rPr>
          <w:i/>
        </w:rPr>
        <w:t>See</w:t>
      </w:r>
      <w:r>
        <w:t xml:space="preserve"> Julya Barros </w:t>
      </w:r>
      <w:r w:rsidRPr="00376DB8">
        <w:t>(@julyabarross),</w:t>
      </w:r>
      <w:r>
        <w:t xml:space="preserve"> Instagram, </w:t>
      </w:r>
      <w:hyperlink r:id="rId8" w:history="1">
        <w:r w:rsidRPr="5050C4AD">
          <w:rPr>
            <w:rStyle w:val="Hyperlink"/>
          </w:rPr>
          <w:t>http://www.instagram.com/julyabarross_/</w:t>
        </w:r>
      </w:hyperlink>
      <w:r>
        <w:t xml:space="preserve"> (last visited July 14, 2023) (screenshots on file at EB-TCD-20-00030805</w:t>
      </w:r>
      <w:r w:rsidRPr="0F20C21D">
        <w:t>)</w:t>
      </w:r>
      <w:r>
        <w:t>.</w:t>
      </w:r>
    </w:p>
  </w:footnote>
  <w:footnote w:id="52">
    <w:p w:rsidR="007431DE" w:rsidP="007431DE" w14:paraId="0A748840" w14:textId="77777777">
      <w:pPr>
        <w:pStyle w:val="FootnoteText"/>
      </w:pPr>
      <w:r>
        <w:rPr>
          <w:rStyle w:val="FootnoteReference"/>
        </w:rPr>
        <w:footnoteRef/>
      </w:r>
      <w:r>
        <w:t xml:space="preserve"> </w:t>
      </w:r>
      <w:r>
        <w:rPr>
          <w:i/>
          <w:iCs/>
        </w:rPr>
        <w:t xml:space="preserve">See </w:t>
      </w:r>
      <w:r w:rsidRPr="00A14BCE">
        <w:t xml:space="preserve">Julya </w:t>
      </w:r>
      <w:r>
        <w:t xml:space="preserve">Barros, LinkedIn, </w:t>
      </w:r>
      <w:hyperlink r:id="rId9" w:history="1">
        <w:r w:rsidRPr="00FD0772">
          <w:rPr>
            <w:rStyle w:val="Hyperlink"/>
          </w:rPr>
          <w:t>https://ae.linkedin.com/in/julya-barros-928008245</w:t>
        </w:r>
      </w:hyperlink>
      <w:r>
        <w:t xml:space="preserve"> (last visited July 13, 2023) (screenshots on file at EB-TCD-20-00030805</w:t>
      </w:r>
      <w:r w:rsidRPr="0F20C21D">
        <w:t>)</w:t>
      </w:r>
      <w:r>
        <w:t>.</w:t>
      </w:r>
    </w:p>
  </w:footnote>
  <w:footnote w:id="53">
    <w:p w:rsidR="007431DE" w:rsidP="007431DE" w14:paraId="638BD858" w14:textId="77777777">
      <w:pPr>
        <w:pStyle w:val="FootnoteText"/>
      </w:pPr>
      <w:r>
        <w:rPr>
          <w:rStyle w:val="FootnoteReference"/>
        </w:rPr>
        <w:footnoteRef/>
      </w:r>
      <w:r>
        <w:t xml:space="preserve"> </w:t>
      </w:r>
      <w:r>
        <w:rPr>
          <w:i/>
          <w:iCs/>
        </w:rPr>
        <w:t xml:space="preserve">See </w:t>
      </w:r>
      <w:r w:rsidRPr="00284537">
        <w:rPr>
          <w:i/>
          <w:iCs/>
        </w:rPr>
        <w:t>id.</w:t>
      </w:r>
    </w:p>
  </w:footnote>
  <w:footnote w:id="54">
    <w:p w:rsidR="007431DE" w:rsidP="007431DE" w14:paraId="33CE698B" w14:textId="1EABB899">
      <w:pPr>
        <w:pStyle w:val="FootnoteText"/>
      </w:pPr>
      <w:r>
        <w:rPr>
          <w:rStyle w:val="FootnoteReference"/>
        </w:rPr>
        <w:footnoteRef/>
      </w:r>
      <w:r>
        <w:t xml:space="preserve"> </w:t>
      </w:r>
      <w:r w:rsidR="00A5376C">
        <w:t>Prince Anand Skype Chat</w:t>
      </w:r>
      <w:r>
        <w:t>, June 10, 2021 at 8:18:53 PM</w:t>
      </w:r>
      <w:r w:rsidR="00A5376C">
        <w:t xml:space="preserve"> (</w:t>
      </w:r>
      <w:r w:rsidRPr="00626AD7" w:rsidR="00A5376C">
        <w:t xml:space="preserve">on file at </w:t>
      </w:r>
      <w:r w:rsidRPr="00BC4E28" w:rsidR="00A5376C">
        <w:rPr>
          <w:bCs/>
        </w:rPr>
        <w:t>EB-TCD-20-00030805</w:t>
      </w:r>
      <w:r w:rsidR="00A5376C">
        <w:rPr>
          <w:bCs/>
        </w:rPr>
        <w:t>)</w:t>
      </w:r>
      <w:r w:rsidR="00A5376C">
        <w:t xml:space="preserve"> </w:t>
      </w:r>
      <w:r w:rsidR="00A5376C">
        <w:t>(</w:t>
      </w:r>
      <w:r w:rsidRPr="00284537" w:rsidR="00A5376C">
        <w:t>Anand Skype Chat</w:t>
      </w:r>
      <w:r w:rsidR="00A5376C">
        <w:t>)</w:t>
      </w:r>
      <w:r>
        <w:t>.</w:t>
      </w:r>
    </w:p>
  </w:footnote>
  <w:footnote w:id="55">
    <w:p w:rsidR="007431DE" w:rsidP="007431DE" w14:paraId="52855545" w14:textId="77777777">
      <w:pPr>
        <w:pStyle w:val="FootnoteText"/>
      </w:pPr>
      <w:r>
        <w:rPr>
          <w:rStyle w:val="FootnoteReference"/>
        </w:rPr>
        <w:footnoteRef/>
      </w:r>
      <w:r>
        <w:t xml:space="preserve"> </w:t>
      </w:r>
      <w:r w:rsidRPr="00B606E0">
        <w:rPr>
          <w:i/>
          <w:iCs/>
        </w:rPr>
        <w:t>Id.</w:t>
      </w:r>
      <w:r>
        <w:t xml:space="preserve"> at June 17, 2021 at 3:26:34 PM.</w:t>
      </w:r>
    </w:p>
  </w:footnote>
  <w:footnote w:id="56">
    <w:p w:rsidR="007431DE" w:rsidRPr="0072260A" w:rsidP="007431DE" w14:paraId="221A2FE6" w14:textId="77777777">
      <w:pPr>
        <w:pStyle w:val="FootnoteText"/>
      </w:pPr>
      <w:r>
        <w:rPr>
          <w:rStyle w:val="FootnoteReference"/>
        </w:rPr>
        <w:footnoteRef/>
      </w:r>
      <w:r>
        <w:t xml:space="preserve"> </w:t>
      </w:r>
      <w:r w:rsidRPr="00B606E0">
        <w:rPr>
          <w:i/>
          <w:iCs/>
        </w:rPr>
        <w:t>Id.</w:t>
      </w:r>
      <w:r>
        <w:t xml:space="preserve"> at November 30, 2021 at 3:53:35 AM.</w:t>
      </w:r>
    </w:p>
  </w:footnote>
  <w:footnote w:id="57">
    <w:p w:rsidR="007431DE" w:rsidP="007431DE" w14:paraId="4ED89102" w14:textId="0079D192">
      <w:pPr>
        <w:pStyle w:val="FootnoteText"/>
      </w:pPr>
      <w:r>
        <w:rPr>
          <w:rStyle w:val="FootnoteReference"/>
        </w:rPr>
        <w:footnoteRef/>
      </w:r>
      <w:r>
        <w:t xml:space="preserve"> </w:t>
      </w:r>
      <w:r>
        <w:rPr>
          <w:i/>
          <w:iCs/>
        </w:rPr>
        <w:t xml:space="preserve">See </w:t>
      </w:r>
      <w:r>
        <w:t xml:space="preserve">Illum Telecommunication, </w:t>
      </w:r>
      <w:hyperlink r:id="rId7" w:history="1">
        <w:r w:rsidRPr="00EE1546">
          <w:rPr>
            <w:rStyle w:val="Hyperlink"/>
          </w:rPr>
          <w:t>https://www.illumtelecommunication.com/</w:t>
        </w:r>
      </w:hyperlink>
      <w:r>
        <w:t xml:space="preserve"> (last visited </w:t>
      </w:r>
      <w:r w:rsidR="004F4AE0">
        <w:t>Sept</w:t>
      </w:r>
      <w:r w:rsidR="00C74349">
        <w:t>.</w:t>
      </w:r>
      <w:r w:rsidR="004F4AE0">
        <w:t xml:space="preserve"> 12</w:t>
      </w:r>
      <w:r>
        <w:t>, 2023)</w:t>
      </w:r>
      <w:r w:rsidR="004F4AE0">
        <w:t>; Illum Telecommunication Limited Listing</w:t>
      </w:r>
      <w:r w:rsidRPr="00656F3E" w:rsidR="004F4AE0">
        <w:t xml:space="preserve">, </w:t>
      </w:r>
      <w:r w:rsidRPr="003E0B92" w:rsidR="004F4AE0">
        <w:t>Fed. Commc’ns Comm’n, Robocall Mitigation Database</w:t>
      </w:r>
      <w:r w:rsidR="004F4AE0">
        <w:t xml:space="preserve"> (Sept. 15, 2021)</w:t>
      </w:r>
      <w:r w:rsidRPr="003E0B92" w:rsidR="004F4AE0">
        <w:t xml:space="preserve">, </w:t>
      </w:r>
      <w:hyperlink r:id="rId10" w:history="1">
        <w:r w:rsidRPr="00EF0A37" w:rsidR="00C72EA9">
          <w:rPr>
            <w:rStyle w:val="Hyperlink"/>
          </w:rPr>
          <w:t>https://fccprod.servicenowservices.com/rmd?id=rmd_form&amp;table=x_g_fmc_rmd_robocall_mitigation_database&amp;sys_id=1e1084661ba6bc107ccf20ecac4bcb93&amp;view=sp</w:t>
        </w:r>
      </w:hyperlink>
      <w:r w:rsidR="00C72EA9">
        <w:t xml:space="preserve"> </w:t>
      </w:r>
      <w:r w:rsidR="004F4AE0">
        <w:t xml:space="preserve">(showing </w:t>
      </w:r>
      <w:r w:rsidR="004F4AE0">
        <w:rPr>
          <w:szCs w:val="22"/>
        </w:rPr>
        <w:t>Anand as the CEO of Illum</w:t>
      </w:r>
      <w:r w:rsidR="004F4AE0">
        <w:t>)</w:t>
      </w:r>
      <w:r>
        <w:t>.</w:t>
      </w:r>
    </w:p>
  </w:footnote>
  <w:footnote w:id="58">
    <w:p w:rsidR="007431DE" w:rsidP="007431DE" w14:paraId="4146C734" w14:textId="7BF5461B">
      <w:pPr>
        <w:pStyle w:val="FootnoteText"/>
      </w:pPr>
      <w:r>
        <w:rPr>
          <w:rStyle w:val="FootnoteReference"/>
        </w:rPr>
        <w:footnoteRef/>
      </w:r>
      <w:r>
        <w:t xml:space="preserve"> </w:t>
      </w:r>
      <w:r w:rsidRPr="00070745">
        <w:t>Anand Skype Chat</w:t>
      </w:r>
      <w:r w:rsidRPr="00DA7D48">
        <w:t>,</w:t>
      </w:r>
      <w:r>
        <w:t xml:space="preserve"> at October 24, 2021 at 9:02:21 AM.</w:t>
      </w:r>
    </w:p>
  </w:footnote>
  <w:footnote w:id="59">
    <w:p w:rsidR="007431DE" w:rsidP="007431DE" w14:paraId="527DD519" w14:textId="640ED9A7">
      <w:pPr>
        <w:pStyle w:val="FootnoteText"/>
      </w:pPr>
      <w:r>
        <w:rPr>
          <w:rStyle w:val="FootnoteReference"/>
        </w:rPr>
        <w:footnoteRef/>
      </w:r>
      <w:r>
        <w:t xml:space="preserve"> </w:t>
      </w:r>
      <w:r>
        <w:rPr>
          <w:i/>
          <w:iCs/>
        </w:rPr>
        <w:t xml:space="preserve">See </w:t>
      </w:r>
      <w:r>
        <w:t xml:space="preserve">Kaushal Bhavsar, LinkedIn, </w:t>
      </w:r>
      <w:hyperlink r:id="rId11" w:history="1">
        <w:r w:rsidRPr="008C18BB">
          <w:rPr>
            <w:rStyle w:val="Hyperlink"/>
          </w:rPr>
          <w:t>https://in.linkedin.com/in/kaushal-bhavsar-a69a3a255</w:t>
        </w:r>
      </w:hyperlink>
      <w:r>
        <w:t xml:space="preserve"> (last visited </w:t>
      </w:r>
      <w:r w:rsidR="00635BD8">
        <w:t>Sept. 12</w:t>
      </w:r>
      <w:r>
        <w:t>, 2023) (screenshots on file at EB-TCD-20-00030805</w:t>
      </w:r>
      <w:r w:rsidRPr="0F20C21D">
        <w:t>)</w:t>
      </w:r>
      <w:r>
        <w:t>.</w:t>
      </w:r>
    </w:p>
  </w:footnote>
  <w:footnote w:id="60">
    <w:p w:rsidR="007431DE" w:rsidP="007431DE" w14:paraId="6108BA44" w14:textId="77777777">
      <w:pPr>
        <w:pStyle w:val="FootnoteText"/>
      </w:pPr>
      <w:r>
        <w:rPr>
          <w:rStyle w:val="FootnoteReference"/>
        </w:rPr>
        <w:footnoteRef/>
      </w:r>
      <w:r>
        <w:t xml:space="preserve"> </w:t>
      </w:r>
      <w:r w:rsidRPr="009B351B">
        <w:rPr>
          <w:i/>
          <w:iCs/>
        </w:rPr>
        <w:t xml:space="preserve">See </w:t>
      </w:r>
      <w:r>
        <w:t>One Eye</w:t>
      </w:r>
      <w:r w:rsidRPr="009B351B">
        <w:t xml:space="preserve"> </w:t>
      </w:r>
      <w:r>
        <w:t>LLC</w:t>
      </w:r>
      <w:r w:rsidRPr="009B351B">
        <w:t xml:space="preserve">, </w:t>
      </w:r>
      <w:r w:rsidRPr="003E0B92">
        <w:t>Fed. Commc’ns Comm’n</w:t>
      </w:r>
      <w:r>
        <w:t>,</w:t>
      </w:r>
      <w:r w:rsidRPr="009B351B">
        <w:t xml:space="preserve"> Form 499 Filer Database, Detailed Information</w:t>
      </w:r>
      <w:r>
        <w:t xml:space="preserve">, </w:t>
      </w:r>
      <w:hyperlink r:id="rId12" w:history="1">
        <w:r w:rsidRPr="006F684A">
          <w:rPr>
            <w:rStyle w:val="Hyperlink"/>
          </w:rPr>
          <w:t>https://apps.fcc.gov/cgb/form499/499detail.cfm?FilerNum=834729</w:t>
        </w:r>
      </w:hyperlink>
      <w:r>
        <w:t xml:space="preserve"> (last visited July 14, 2023).</w:t>
      </w:r>
    </w:p>
  </w:footnote>
  <w:footnote w:id="61">
    <w:p w:rsidR="007431DE" w:rsidP="007431DE" w14:paraId="0C5FAD85" w14:textId="672005B4">
      <w:pPr>
        <w:pStyle w:val="FootnoteText"/>
      </w:pPr>
      <w:r>
        <w:rPr>
          <w:rStyle w:val="FootnoteReference"/>
        </w:rPr>
        <w:footnoteRef/>
      </w:r>
      <w:r>
        <w:t xml:space="preserve"> Illum Telecommunication, </w:t>
      </w:r>
      <w:hyperlink r:id="rId7" w:history="1">
        <w:r w:rsidRPr="00EE1546">
          <w:rPr>
            <w:rStyle w:val="Hyperlink"/>
          </w:rPr>
          <w:t>https://www.illumtelecommunication.com/</w:t>
        </w:r>
      </w:hyperlink>
      <w:r>
        <w:t xml:space="preserve"> (last visited </w:t>
      </w:r>
      <w:r w:rsidR="00F46C2E">
        <w:t>Sept. 12</w:t>
      </w:r>
      <w:r>
        <w:t>, 2023).</w:t>
      </w:r>
    </w:p>
  </w:footnote>
  <w:footnote w:id="62">
    <w:p w:rsidR="007431DE" w:rsidP="007431DE" w14:paraId="7DA22A27" w14:textId="77777777">
      <w:pPr>
        <w:pStyle w:val="FootnoteText"/>
      </w:pPr>
      <w:r>
        <w:rPr>
          <w:rStyle w:val="FootnoteReference"/>
        </w:rPr>
        <w:footnoteRef/>
      </w:r>
      <w:r>
        <w:t xml:space="preserve"> One Eye LLC Listing, </w:t>
      </w:r>
      <w:r w:rsidRPr="003E0B92">
        <w:t>Fed. Commc’ns Comm’n</w:t>
      </w:r>
      <w:r>
        <w:t xml:space="preserve">, Robocall Mitigation Database (Oct. 26, 2021), </w:t>
      </w:r>
      <w:hyperlink r:id="rId13" w:history="1">
        <w:r w:rsidRPr="00A4407B">
          <w:rPr>
            <w:rStyle w:val="Hyperlink"/>
          </w:rPr>
          <w:t>https://fccprod.servicenowservices.com/rmd?id=rmd_form&amp;table=x_g_fmc_rmd_robocall_mitigation_database&amp;sys_id=9e1373b31b53b0107ccf20ecac4bcb3b&amp;view=sp</w:t>
        </w:r>
      </w:hyperlink>
      <w:r>
        <w:t>.</w:t>
      </w:r>
    </w:p>
  </w:footnote>
  <w:footnote w:id="63">
    <w:p w:rsidR="00497500" w:rsidRPr="00E3165B" w14:paraId="7CED7C81" w14:textId="508BAF76">
      <w:pPr>
        <w:pStyle w:val="FootnoteText"/>
      </w:pPr>
      <w:r w:rsidRPr="00E3165B">
        <w:rPr>
          <w:rStyle w:val="FootnoteReference"/>
        </w:rPr>
        <w:footnoteRef/>
      </w:r>
      <w:r w:rsidRPr="00E3165B">
        <w:t xml:space="preserve"> 47 CFR § 64.1200(n)(5)</w:t>
      </w:r>
      <w:r w:rsidRPr="00EB75C0" w:rsidR="00026D0D">
        <w:t>(</w:t>
      </w:r>
      <w:r w:rsidRPr="00EB75C0" w:rsidR="00026D0D">
        <w:t>i</w:t>
      </w:r>
      <w:r w:rsidRPr="00EB75C0" w:rsidR="00026D0D">
        <w:t>)(A)</w:t>
      </w:r>
      <w:r w:rsidRPr="00E3165B">
        <w:t>.</w:t>
      </w:r>
    </w:p>
  </w:footnote>
  <w:footnote w:id="64">
    <w:p w:rsidR="00497500" w:rsidRPr="00EB75C0" w14:paraId="3DCE6AA8" w14:textId="77777777">
      <w:pPr>
        <w:pStyle w:val="FootnoteText"/>
        <w:rPr>
          <w:highlight w:val="lightGray"/>
        </w:rPr>
      </w:pPr>
      <w:r w:rsidRPr="00E3165B">
        <w:rPr>
          <w:rStyle w:val="FootnoteReference"/>
        </w:rPr>
        <w:footnoteRef/>
      </w:r>
      <w:r w:rsidRPr="00E3165B">
        <w:t xml:space="preserve"> </w:t>
      </w:r>
      <w:r w:rsidRPr="00E3165B">
        <w:rPr>
          <w:i/>
          <w:iCs/>
        </w:rPr>
        <w:t>Id.</w:t>
      </w:r>
    </w:p>
  </w:footnote>
  <w:footnote w:id="65">
    <w:p w:rsidR="00307980" w:rsidRPr="00EB75C0" w14:paraId="32DE8A5F" w14:textId="77777777">
      <w:pPr>
        <w:pStyle w:val="FootnoteText"/>
        <w:rPr>
          <w:i/>
          <w:iCs/>
          <w:highlight w:val="lightGray"/>
        </w:rPr>
      </w:pPr>
      <w:r w:rsidRPr="00E3165B">
        <w:rPr>
          <w:rStyle w:val="FootnoteReference"/>
        </w:rPr>
        <w:footnoteRef/>
      </w:r>
      <w:r w:rsidRPr="00E3165B">
        <w:t xml:space="preserve"> </w:t>
      </w:r>
      <w:r w:rsidRPr="00E3165B">
        <w:rPr>
          <w:i/>
          <w:iCs/>
        </w:rPr>
        <w:t>Id.</w:t>
      </w:r>
    </w:p>
  </w:footnote>
  <w:footnote w:id="66">
    <w:p w:rsidR="00497500" w:rsidRPr="00EB75C0" w14:paraId="1E6F2219" w14:textId="095A72EA">
      <w:pPr>
        <w:pStyle w:val="FootnoteText"/>
        <w:rPr>
          <w:highlight w:val="lightGray"/>
        </w:rPr>
      </w:pPr>
      <w:r w:rsidRPr="00F47C3D">
        <w:rPr>
          <w:rStyle w:val="FootnoteReference"/>
        </w:rPr>
        <w:footnoteRef/>
      </w:r>
      <w:r w:rsidRPr="00F47C3D">
        <w:t xml:space="preserve"> </w:t>
      </w:r>
      <w:r w:rsidRPr="00F47C3D" w:rsidR="008D3A33">
        <w:t>Notice</w:t>
      </w:r>
      <w:r w:rsidRPr="00F47C3D" w:rsidR="00DA32E1">
        <w:t xml:space="preserve">, </w:t>
      </w:r>
      <w:r w:rsidRPr="00F47C3D" w:rsidR="00DA32E1">
        <w:rPr>
          <w:i/>
          <w:iCs/>
        </w:rPr>
        <w:t>supra</w:t>
      </w:r>
      <w:r w:rsidRPr="00F47C3D" w:rsidR="00DA32E1">
        <w:t xml:space="preserve"> note </w:t>
      </w:r>
      <w:r w:rsidRPr="00F47C3D" w:rsidR="00612094">
        <w:t>1</w:t>
      </w:r>
      <w:r w:rsidRPr="00F47C3D" w:rsidR="00DA32E1">
        <w:t>,</w:t>
      </w:r>
      <w:r w:rsidRPr="00F47C3D" w:rsidR="008D3A33">
        <w:t xml:space="preserve"> at 1.</w:t>
      </w:r>
    </w:p>
  </w:footnote>
  <w:footnote w:id="67">
    <w:p w:rsidR="00BE03AA" w:rsidRPr="005E0306" w14:paraId="287BECC7" w14:textId="541F4E52">
      <w:pPr>
        <w:pStyle w:val="FootnoteText"/>
        <w:rPr>
          <w:highlight w:val="lightGray"/>
        </w:rPr>
      </w:pPr>
      <w:r w:rsidRPr="003A0104">
        <w:rPr>
          <w:rStyle w:val="FootnoteReference"/>
        </w:rPr>
        <w:footnoteRef/>
      </w:r>
      <w:r w:rsidRPr="003A0104">
        <w:t xml:space="preserve"> </w:t>
      </w:r>
      <w:r w:rsidRPr="003A0104" w:rsidR="00307980">
        <w:rPr>
          <w:i/>
          <w:iCs/>
        </w:rPr>
        <w:t>Id.</w:t>
      </w:r>
      <w:r w:rsidRPr="003A0104" w:rsidR="00307980">
        <w:t xml:space="preserve"> at </w:t>
      </w:r>
      <w:r w:rsidRPr="00EB75C0" w:rsidR="00612094">
        <w:t>5</w:t>
      </w:r>
      <w:r w:rsidRPr="003A0104" w:rsidR="00392CF9">
        <w:t>.</w:t>
      </w:r>
      <w:r w:rsidRPr="003A0104" w:rsidR="00307980">
        <w:t xml:space="preserve"> </w:t>
      </w:r>
      <w:r w:rsidRPr="003A0104" w:rsidR="00F15497">
        <w:t xml:space="preserve"> </w:t>
      </w:r>
    </w:p>
  </w:footnote>
  <w:footnote w:id="68">
    <w:p w:rsidR="00497500" w:rsidRPr="00EB75C0" w14:paraId="35376403" w14:textId="0BD838AE">
      <w:pPr>
        <w:pStyle w:val="FootnoteText"/>
        <w:rPr>
          <w:highlight w:val="lightGray"/>
        </w:rPr>
      </w:pPr>
      <w:r w:rsidRPr="004B360F">
        <w:rPr>
          <w:rStyle w:val="FootnoteReference"/>
        </w:rPr>
        <w:footnoteRef/>
      </w:r>
      <w:r w:rsidRPr="004B360F">
        <w:t xml:space="preserve"> </w:t>
      </w:r>
      <w:r w:rsidRPr="005E0306" w:rsidR="004C43D2">
        <w:rPr>
          <w:i/>
          <w:iCs/>
        </w:rPr>
        <w:t>Id.</w:t>
      </w:r>
      <w:r w:rsidRPr="004B360F">
        <w:t xml:space="preserve"> </w:t>
      </w:r>
    </w:p>
  </w:footnote>
  <w:footnote w:id="69">
    <w:p w:rsidR="00DA467C" w:rsidRPr="00EB75C0" w:rsidP="00DA5832" w14:paraId="29049923" w14:textId="77777777">
      <w:pPr>
        <w:pStyle w:val="FootnoteText"/>
        <w:keepLines/>
        <w:rPr>
          <w:highlight w:val="lightGray"/>
        </w:rPr>
      </w:pPr>
      <w:r w:rsidRPr="00676680">
        <w:rPr>
          <w:rStyle w:val="FootnoteReference"/>
        </w:rPr>
        <w:footnoteRef/>
      </w:r>
      <w:r w:rsidRPr="00676680">
        <w:t xml:space="preserve"> </w:t>
      </w:r>
      <w:r w:rsidRPr="00676680">
        <w:rPr>
          <w:i/>
          <w:iCs/>
        </w:rPr>
        <w:t>See</w:t>
      </w:r>
      <w:r w:rsidRPr="00676680">
        <w:t xml:space="preserve"> 47 CFR § 64.1200(n)(5)(ii)-(iii)</w:t>
      </w:r>
      <w:r w:rsidRPr="00676680" w:rsidR="00F15497">
        <w:t>,</w:t>
      </w:r>
      <w:r w:rsidRPr="00676680">
        <w:t xml:space="preserve"> (n)(6).</w:t>
      </w:r>
    </w:p>
  </w:footnote>
  <w:footnote w:id="70">
    <w:p w:rsidR="005A5D0E" w:rsidRPr="00317599" w:rsidP="00DA5832" w14:paraId="3073A995" w14:textId="77777777">
      <w:pPr>
        <w:pStyle w:val="FootnoteText"/>
      </w:pPr>
      <w:r w:rsidRPr="00317599">
        <w:rPr>
          <w:rStyle w:val="FootnoteReference"/>
        </w:rPr>
        <w:footnoteRef/>
      </w:r>
      <w:r w:rsidRPr="00317599">
        <w:t xml:space="preserve"> </w:t>
      </w:r>
      <w:r w:rsidRPr="00317599" w:rsidR="00F15497">
        <w:rPr>
          <w:i/>
          <w:iCs/>
        </w:rPr>
        <w:t>Id.</w:t>
      </w:r>
      <w:r w:rsidRPr="00317599">
        <w:t xml:space="preserve"> § 64.1200(n)(5)(iii).</w:t>
      </w:r>
    </w:p>
  </w:footnote>
  <w:footnote w:id="71">
    <w:p w:rsidR="005A5D0E" w:rsidRPr="001707C5" w:rsidP="005A5D0E" w14:paraId="603D991C" w14:textId="77777777">
      <w:pPr>
        <w:pStyle w:val="FootnoteText"/>
      </w:pPr>
      <w:r w:rsidRPr="00317599">
        <w:rPr>
          <w:rStyle w:val="FootnoteReference"/>
        </w:rPr>
        <w:footnoteRef/>
      </w:r>
      <w:r w:rsidRPr="00317599">
        <w:t xml:space="preserve"> </w:t>
      </w:r>
      <w:r w:rsidRPr="00317599" w:rsidR="00F15497">
        <w:rPr>
          <w:i/>
          <w:iCs/>
        </w:rPr>
        <w:t>Id.</w:t>
      </w:r>
      <w:r w:rsidRPr="00317599">
        <w:t xml:space="preserve"> § 64.1200(n</w:t>
      </w:r>
      <w:r w:rsidRPr="00F47C3D">
        <w:t>)(6).</w:t>
      </w:r>
    </w:p>
  </w:footnote>
  <w:footnote w:id="72">
    <w:p w:rsidR="008061DD" w:rsidRPr="002F20E2" w14:paraId="3627BB29" w14:textId="6DF72D35">
      <w:pPr>
        <w:pStyle w:val="FootnoteText"/>
      </w:pPr>
      <w:r w:rsidRPr="00F47C3D">
        <w:rPr>
          <w:rStyle w:val="FootnoteReference"/>
        </w:rPr>
        <w:footnoteRef/>
      </w:r>
      <w:r w:rsidRPr="00F47C3D">
        <w:t xml:space="preserve"> </w:t>
      </w:r>
      <w:r w:rsidRPr="00F47C3D" w:rsidR="00A60FF4">
        <w:rPr>
          <w:i/>
          <w:iCs/>
        </w:rPr>
        <w:t>Gateway Provider Order</w:t>
      </w:r>
      <w:r w:rsidRPr="00F47C3D" w:rsidR="00A60FF4">
        <w:t xml:space="preserve">, </w:t>
      </w:r>
      <w:r w:rsidRPr="00F47C3D" w:rsidR="00F15497">
        <w:rPr>
          <w:i/>
          <w:iCs/>
        </w:rPr>
        <w:t>supra</w:t>
      </w:r>
      <w:r w:rsidRPr="00F47C3D" w:rsidR="00F15497">
        <w:t xml:space="preserve"> note </w:t>
      </w:r>
      <w:r w:rsidR="00DA7B2F">
        <w:t>6</w:t>
      </w:r>
      <w:r w:rsidRPr="00F47C3D" w:rsidR="00F15497">
        <w:t xml:space="preserve">, at </w:t>
      </w:r>
      <w:r w:rsidRPr="00F47C3D" w:rsidR="00F47581">
        <w:t>6897</w:t>
      </w:r>
      <w:r w:rsidR="00E055A3">
        <w:t>-6898</w:t>
      </w:r>
      <w:r w:rsidRPr="002F20E2" w:rsidR="00A60FF4">
        <w:t>, para. 7</w:t>
      </w:r>
      <w:r w:rsidR="00F47581">
        <w:t>4</w:t>
      </w:r>
      <w:r w:rsidRPr="002F20E2" w:rsidR="00A60FF4">
        <w:t>.</w:t>
      </w:r>
      <w:r w:rsidRPr="002F20E2">
        <w:t xml:space="preserve">  </w:t>
      </w:r>
    </w:p>
  </w:footnote>
  <w:footnote w:id="73">
    <w:p w:rsidR="00880D20" w14:paraId="2D43F4A1" w14:textId="77777777">
      <w:pPr>
        <w:pStyle w:val="FootnoteText"/>
      </w:pPr>
      <w:r w:rsidRPr="002F20E2">
        <w:rPr>
          <w:rStyle w:val="FootnoteReference"/>
        </w:rPr>
        <w:footnoteRef/>
      </w:r>
      <w:r w:rsidRPr="002F20E2">
        <w:t xml:space="preserve"> 47 CFR § 64.1200(n)</w:t>
      </w:r>
      <w:r w:rsidRPr="002F20E2" w:rsidR="00A53C9E">
        <w:t>(5)</w:t>
      </w:r>
      <w:r w:rsidRPr="002F20E2">
        <w:t>(i</w:t>
      </w:r>
      <w:r w:rsidRPr="002F20E2" w:rsidR="005A5D0E">
        <w:t>i</w:t>
      </w:r>
      <w:r w:rsidRPr="002F20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077CA" w14:paraId="2B329055" w14:textId="2485B2A7">
    <w:pPr>
      <w:pStyle w:val="Header"/>
    </w:pPr>
    <w:r>
      <w:tab/>
      <w:t>Federal Communications Commission</w:t>
    </w:r>
    <w:r>
      <w:tab/>
    </w:r>
    <w:r w:rsidR="00E4677C">
      <w:t xml:space="preserve">DA </w:t>
    </w:r>
    <w:r w:rsidR="005348D3">
      <w:t>23-866</w:t>
    </w:r>
  </w:p>
  <w:p w:rsidR="00D25FB5" w14:paraId="4DD7C3E0" w14:textId="2E175F0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09524164" name="Rectangle 6095241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0952416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69824E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077CA" w14:paraId="31EF9BF4" w14:textId="0E90B316">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085740193" name="Rectangle 10857401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8574019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5348D3">
      <w:rPr>
        <w:spacing w:val="-2"/>
      </w:rPr>
      <w:t>23-866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1C9F"/>
    <w:rsid w:val="00004810"/>
    <w:rsid w:val="00005735"/>
    <w:rsid w:val="000060FF"/>
    <w:rsid w:val="00014169"/>
    <w:rsid w:val="000149B5"/>
    <w:rsid w:val="00016B0E"/>
    <w:rsid w:val="00020410"/>
    <w:rsid w:val="000215B2"/>
    <w:rsid w:val="00023533"/>
    <w:rsid w:val="00026D0D"/>
    <w:rsid w:val="0002732C"/>
    <w:rsid w:val="000276B7"/>
    <w:rsid w:val="00035362"/>
    <w:rsid w:val="0003570F"/>
    <w:rsid w:val="00036039"/>
    <w:rsid w:val="000367A7"/>
    <w:rsid w:val="00037F90"/>
    <w:rsid w:val="000428A5"/>
    <w:rsid w:val="00044866"/>
    <w:rsid w:val="00050108"/>
    <w:rsid w:val="000523FF"/>
    <w:rsid w:val="000528FB"/>
    <w:rsid w:val="000534B8"/>
    <w:rsid w:val="00053DAB"/>
    <w:rsid w:val="0005502A"/>
    <w:rsid w:val="00057537"/>
    <w:rsid w:val="00057760"/>
    <w:rsid w:val="00060D1B"/>
    <w:rsid w:val="00060E7B"/>
    <w:rsid w:val="000628C9"/>
    <w:rsid w:val="00062F9D"/>
    <w:rsid w:val="00070264"/>
    <w:rsid w:val="00070745"/>
    <w:rsid w:val="00070CC0"/>
    <w:rsid w:val="00071A2E"/>
    <w:rsid w:val="00073082"/>
    <w:rsid w:val="00075378"/>
    <w:rsid w:val="00075631"/>
    <w:rsid w:val="00075F86"/>
    <w:rsid w:val="00080A2C"/>
    <w:rsid w:val="00082B83"/>
    <w:rsid w:val="0008479D"/>
    <w:rsid w:val="0008540D"/>
    <w:rsid w:val="000875BF"/>
    <w:rsid w:val="00091F2B"/>
    <w:rsid w:val="00096D8C"/>
    <w:rsid w:val="000A066A"/>
    <w:rsid w:val="000A5501"/>
    <w:rsid w:val="000A6A66"/>
    <w:rsid w:val="000B2998"/>
    <w:rsid w:val="000B4ED1"/>
    <w:rsid w:val="000B5668"/>
    <w:rsid w:val="000C0B65"/>
    <w:rsid w:val="000C4532"/>
    <w:rsid w:val="000D01C6"/>
    <w:rsid w:val="000D1114"/>
    <w:rsid w:val="000D21E0"/>
    <w:rsid w:val="000D4F39"/>
    <w:rsid w:val="000D7E8E"/>
    <w:rsid w:val="000E05FE"/>
    <w:rsid w:val="000E0C75"/>
    <w:rsid w:val="000E29DE"/>
    <w:rsid w:val="000E3D42"/>
    <w:rsid w:val="000E75F0"/>
    <w:rsid w:val="000E7BFC"/>
    <w:rsid w:val="000F3FF6"/>
    <w:rsid w:val="00102440"/>
    <w:rsid w:val="00102D11"/>
    <w:rsid w:val="00103286"/>
    <w:rsid w:val="001035E8"/>
    <w:rsid w:val="00105427"/>
    <w:rsid w:val="001056EA"/>
    <w:rsid w:val="00106EC6"/>
    <w:rsid w:val="00107E8C"/>
    <w:rsid w:val="00110891"/>
    <w:rsid w:val="00114462"/>
    <w:rsid w:val="0011601A"/>
    <w:rsid w:val="00117ECA"/>
    <w:rsid w:val="00121B0C"/>
    <w:rsid w:val="00121FED"/>
    <w:rsid w:val="0012263F"/>
    <w:rsid w:val="0012272C"/>
    <w:rsid w:val="00122BD5"/>
    <w:rsid w:val="0012387A"/>
    <w:rsid w:val="00125128"/>
    <w:rsid w:val="0012797E"/>
    <w:rsid w:val="0013200A"/>
    <w:rsid w:val="00133F79"/>
    <w:rsid w:val="0013412E"/>
    <w:rsid w:val="00134811"/>
    <w:rsid w:val="00134BBD"/>
    <w:rsid w:val="00137BF6"/>
    <w:rsid w:val="00142B72"/>
    <w:rsid w:val="0014376F"/>
    <w:rsid w:val="001447CC"/>
    <w:rsid w:val="0014510D"/>
    <w:rsid w:val="001459CF"/>
    <w:rsid w:val="001462AD"/>
    <w:rsid w:val="00150751"/>
    <w:rsid w:val="0015296F"/>
    <w:rsid w:val="00152CD1"/>
    <w:rsid w:val="001551DC"/>
    <w:rsid w:val="00156330"/>
    <w:rsid w:val="001570D7"/>
    <w:rsid w:val="001621AE"/>
    <w:rsid w:val="001633FB"/>
    <w:rsid w:val="00163CA5"/>
    <w:rsid w:val="001707C5"/>
    <w:rsid w:val="001756E5"/>
    <w:rsid w:val="00176635"/>
    <w:rsid w:val="001770CD"/>
    <w:rsid w:val="00177ADC"/>
    <w:rsid w:val="001804C8"/>
    <w:rsid w:val="0018227B"/>
    <w:rsid w:val="00183263"/>
    <w:rsid w:val="001844C3"/>
    <w:rsid w:val="0018539F"/>
    <w:rsid w:val="001859BA"/>
    <w:rsid w:val="001871E2"/>
    <w:rsid w:val="001917D8"/>
    <w:rsid w:val="00191EE7"/>
    <w:rsid w:val="00193D4F"/>
    <w:rsid w:val="001946ED"/>
    <w:rsid w:val="00194A66"/>
    <w:rsid w:val="0019771D"/>
    <w:rsid w:val="00197C32"/>
    <w:rsid w:val="001A3A9D"/>
    <w:rsid w:val="001A6E0E"/>
    <w:rsid w:val="001A7BF4"/>
    <w:rsid w:val="001B21AF"/>
    <w:rsid w:val="001B2A3B"/>
    <w:rsid w:val="001B431E"/>
    <w:rsid w:val="001B7505"/>
    <w:rsid w:val="001C3ABD"/>
    <w:rsid w:val="001C3C8F"/>
    <w:rsid w:val="001D1C80"/>
    <w:rsid w:val="001D21BA"/>
    <w:rsid w:val="001D3E6F"/>
    <w:rsid w:val="001D4607"/>
    <w:rsid w:val="001D6BCF"/>
    <w:rsid w:val="001E01CA"/>
    <w:rsid w:val="001E1788"/>
    <w:rsid w:val="001F14A8"/>
    <w:rsid w:val="001F184D"/>
    <w:rsid w:val="001F4EAC"/>
    <w:rsid w:val="001F67E4"/>
    <w:rsid w:val="00207A56"/>
    <w:rsid w:val="00211114"/>
    <w:rsid w:val="002111B9"/>
    <w:rsid w:val="00212EF5"/>
    <w:rsid w:val="002137F5"/>
    <w:rsid w:val="00216418"/>
    <w:rsid w:val="00221272"/>
    <w:rsid w:val="0022387C"/>
    <w:rsid w:val="00224C07"/>
    <w:rsid w:val="00224D57"/>
    <w:rsid w:val="00227B90"/>
    <w:rsid w:val="0023063D"/>
    <w:rsid w:val="00230B6A"/>
    <w:rsid w:val="00230E73"/>
    <w:rsid w:val="002325BD"/>
    <w:rsid w:val="0023271C"/>
    <w:rsid w:val="002348C5"/>
    <w:rsid w:val="00237945"/>
    <w:rsid w:val="00240F15"/>
    <w:rsid w:val="00242BF0"/>
    <w:rsid w:val="0024493D"/>
    <w:rsid w:val="002551E2"/>
    <w:rsid w:val="00260D75"/>
    <w:rsid w:val="002616FE"/>
    <w:rsid w:val="002618FB"/>
    <w:rsid w:val="0026267C"/>
    <w:rsid w:val="00262DDE"/>
    <w:rsid w:val="00262F8C"/>
    <w:rsid w:val="00263816"/>
    <w:rsid w:val="00266D73"/>
    <w:rsid w:val="00271616"/>
    <w:rsid w:val="00275CF5"/>
    <w:rsid w:val="002778C7"/>
    <w:rsid w:val="002816AA"/>
    <w:rsid w:val="0028301F"/>
    <w:rsid w:val="00283D01"/>
    <w:rsid w:val="00284537"/>
    <w:rsid w:val="00284C9E"/>
    <w:rsid w:val="00285017"/>
    <w:rsid w:val="00285078"/>
    <w:rsid w:val="002860EF"/>
    <w:rsid w:val="0028699D"/>
    <w:rsid w:val="00286BC0"/>
    <w:rsid w:val="00287EBF"/>
    <w:rsid w:val="00292695"/>
    <w:rsid w:val="00292B7E"/>
    <w:rsid w:val="0029527E"/>
    <w:rsid w:val="00295868"/>
    <w:rsid w:val="002976FE"/>
    <w:rsid w:val="002A1F75"/>
    <w:rsid w:val="002A2D2E"/>
    <w:rsid w:val="002A5C0B"/>
    <w:rsid w:val="002A6894"/>
    <w:rsid w:val="002A78AB"/>
    <w:rsid w:val="002B4CAA"/>
    <w:rsid w:val="002B5D8B"/>
    <w:rsid w:val="002C00E8"/>
    <w:rsid w:val="002C1098"/>
    <w:rsid w:val="002C161D"/>
    <w:rsid w:val="002C1B89"/>
    <w:rsid w:val="002C302C"/>
    <w:rsid w:val="002C62AE"/>
    <w:rsid w:val="002C7513"/>
    <w:rsid w:val="002C7BC6"/>
    <w:rsid w:val="002D127D"/>
    <w:rsid w:val="002D502B"/>
    <w:rsid w:val="002D761D"/>
    <w:rsid w:val="002E3832"/>
    <w:rsid w:val="002F20E2"/>
    <w:rsid w:val="002F4B9B"/>
    <w:rsid w:val="002F5D45"/>
    <w:rsid w:val="002F788F"/>
    <w:rsid w:val="00301353"/>
    <w:rsid w:val="00302822"/>
    <w:rsid w:val="00302B9E"/>
    <w:rsid w:val="003033F6"/>
    <w:rsid w:val="00304AA7"/>
    <w:rsid w:val="00304D78"/>
    <w:rsid w:val="00307589"/>
    <w:rsid w:val="00307980"/>
    <w:rsid w:val="00311F52"/>
    <w:rsid w:val="00314857"/>
    <w:rsid w:val="00317599"/>
    <w:rsid w:val="00320439"/>
    <w:rsid w:val="00323AC5"/>
    <w:rsid w:val="00325F1F"/>
    <w:rsid w:val="00332E0C"/>
    <w:rsid w:val="003353D2"/>
    <w:rsid w:val="00335B0F"/>
    <w:rsid w:val="00343749"/>
    <w:rsid w:val="00345ECE"/>
    <w:rsid w:val="00353AAD"/>
    <w:rsid w:val="00354794"/>
    <w:rsid w:val="00355A80"/>
    <w:rsid w:val="00357A4A"/>
    <w:rsid w:val="00357FAA"/>
    <w:rsid w:val="00361725"/>
    <w:rsid w:val="0036342C"/>
    <w:rsid w:val="00365443"/>
    <w:rsid w:val="003660ED"/>
    <w:rsid w:val="0036777F"/>
    <w:rsid w:val="00373B88"/>
    <w:rsid w:val="00376DB8"/>
    <w:rsid w:val="00377039"/>
    <w:rsid w:val="00377364"/>
    <w:rsid w:val="00377613"/>
    <w:rsid w:val="003812DA"/>
    <w:rsid w:val="0038282A"/>
    <w:rsid w:val="00382AEB"/>
    <w:rsid w:val="00383691"/>
    <w:rsid w:val="003848D5"/>
    <w:rsid w:val="00385C85"/>
    <w:rsid w:val="003867D1"/>
    <w:rsid w:val="003902D7"/>
    <w:rsid w:val="00390852"/>
    <w:rsid w:val="00392CF9"/>
    <w:rsid w:val="00394BEA"/>
    <w:rsid w:val="00395091"/>
    <w:rsid w:val="003A00B7"/>
    <w:rsid w:val="003A0104"/>
    <w:rsid w:val="003B0550"/>
    <w:rsid w:val="003B2A2D"/>
    <w:rsid w:val="003B44DC"/>
    <w:rsid w:val="003B5D95"/>
    <w:rsid w:val="003B694F"/>
    <w:rsid w:val="003B6BEF"/>
    <w:rsid w:val="003C0FCB"/>
    <w:rsid w:val="003C4BDB"/>
    <w:rsid w:val="003C56A9"/>
    <w:rsid w:val="003D475B"/>
    <w:rsid w:val="003D47CA"/>
    <w:rsid w:val="003D7B5A"/>
    <w:rsid w:val="003D7CA4"/>
    <w:rsid w:val="003E0165"/>
    <w:rsid w:val="003E0B92"/>
    <w:rsid w:val="003E23E9"/>
    <w:rsid w:val="003E5240"/>
    <w:rsid w:val="003E52A6"/>
    <w:rsid w:val="003E6066"/>
    <w:rsid w:val="003E7AA9"/>
    <w:rsid w:val="003F07EF"/>
    <w:rsid w:val="003F0CB8"/>
    <w:rsid w:val="003F0CBB"/>
    <w:rsid w:val="003F11DE"/>
    <w:rsid w:val="003F171C"/>
    <w:rsid w:val="003F36FC"/>
    <w:rsid w:val="003F37E8"/>
    <w:rsid w:val="003F44EE"/>
    <w:rsid w:val="003F4F60"/>
    <w:rsid w:val="004026A5"/>
    <w:rsid w:val="00403512"/>
    <w:rsid w:val="00407CE8"/>
    <w:rsid w:val="00412FC5"/>
    <w:rsid w:val="0041343B"/>
    <w:rsid w:val="00414206"/>
    <w:rsid w:val="00415048"/>
    <w:rsid w:val="00416584"/>
    <w:rsid w:val="00416FCF"/>
    <w:rsid w:val="00417364"/>
    <w:rsid w:val="0042191B"/>
    <w:rsid w:val="00422276"/>
    <w:rsid w:val="00422BD7"/>
    <w:rsid w:val="00422C7C"/>
    <w:rsid w:val="004242F1"/>
    <w:rsid w:val="00427BAC"/>
    <w:rsid w:val="00430D03"/>
    <w:rsid w:val="00431EB1"/>
    <w:rsid w:val="00436854"/>
    <w:rsid w:val="004407BA"/>
    <w:rsid w:val="00445A00"/>
    <w:rsid w:val="00447200"/>
    <w:rsid w:val="00451B0F"/>
    <w:rsid w:val="004540A8"/>
    <w:rsid w:val="00457A54"/>
    <w:rsid w:val="00460B44"/>
    <w:rsid w:val="00463DB4"/>
    <w:rsid w:val="00465C6C"/>
    <w:rsid w:val="004669F3"/>
    <w:rsid w:val="004671E1"/>
    <w:rsid w:val="004674CC"/>
    <w:rsid w:val="00467EA4"/>
    <w:rsid w:val="00470712"/>
    <w:rsid w:val="00471ED5"/>
    <w:rsid w:val="00472B25"/>
    <w:rsid w:val="00473B6B"/>
    <w:rsid w:val="00474CA2"/>
    <w:rsid w:val="00474EA7"/>
    <w:rsid w:val="004759AD"/>
    <w:rsid w:val="00477861"/>
    <w:rsid w:val="00477897"/>
    <w:rsid w:val="004801E9"/>
    <w:rsid w:val="00481894"/>
    <w:rsid w:val="00482465"/>
    <w:rsid w:val="004851C1"/>
    <w:rsid w:val="0048624F"/>
    <w:rsid w:val="00491CA7"/>
    <w:rsid w:val="00495B1C"/>
    <w:rsid w:val="00497500"/>
    <w:rsid w:val="00497766"/>
    <w:rsid w:val="004A31C5"/>
    <w:rsid w:val="004A6489"/>
    <w:rsid w:val="004A70DB"/>
    <w:rsid w:val="004B1D83"/>
    <w:rsid w:val="004B2273"/>
    <w:rsid w:val="004B2B30"/>
    <w:rsid w:val="004B2BD2"/>
    <w:rsid w:val="004B360F"/>
    <w:rsid w:val="004B3904"/>
    <w:rsid w:val="004B4142"/>
    <w:rsid w:val="004C0A42"/>
    <w:rsid w:val="004C2316"/>
    <w:rsid w:val="004C2579"/>
    <w:rsid w:val="004C2EE3"/>
    <w:rsid w:val="004C43D2"/>
    <w:rsid w:val="004C5ED2"/>
    <w:rsid w:val="004C766A"/>
    <w:rsid w:val="004D4424"/>
    <w:rsid w:val="004D5068"/>
    <w:rsid w:val="004D537F"/>
    <w:rsid w:val="004D5F71"/>
    <w:rsid w:val="004D680F"/>
    <w:rsid w:val="004D6F67"/>
    <w:rsid w:val="004E4A22"/>
    <w:rsid w:val="004F159E"/>
    <w:rsid w:val="004F2AF3"/>
    <w:rsid w:val="004F4AE0"/>
    <w:rsid w:val="004F4E02"/>
    <w:rsid w:val="005008B8"/>
    <w:rsid w:val="005047B7"/>
    <w:rsid w:val="00504D1D"/>
    <w:rsid w:val="005058EA"/>
    <w:rsid w:val="00506032"/>
    <w:rsid w:val="0050660F"/>
    <w:rsid w:val="00510BBF"/>
    <w:rsid w:val="00511968"/>
    <w:rsid w:val="00512AF4"/>
    <w:rsid w:val="0051307C"/>
    <w:rsid w:val="0051497F"/>
    <w:rsid w:val="00517ADA"/>
    <w:rsid w:val="00526014"/>
    <w:rsid w:val="005269C6"/>
    <w:rsid w:val="00526DB7"/>
    <w:rsid w:val="005270E3"/>
    <w:rsid w:val="00531A72"/>
    <w:rsid w:val="00533F03"/>
    <w:rsid w:val="005348D3"/>
    <w:rsid w:val="00534903"/>
    <w:rsid w:val="005357B9"/>
    <w:rsid w:val="005368C3"/>
    <w:rsid w:val="00537260"/>
    <w:rsid w:val="005375B7"/>
    <w:rsid w:val="005429A7"/>
    <w:rsid w:val="00546B0B"/>
    <w:rsid w:val="00546EFC"/>
    <w:rsid w:val="00547201"/>
    <w:rsid w:val="00547EB2"/>
    <w:rsid w:val="00551007"/>
    <w:rsid w:val="0055614C"/>
    <w:rsid w:val="005654A3"/>
    <w:rsid w:val="00566D06"/>
    <w:rsid w:val="00573B84"/>
    <w:rsid w:val="0057636B"/>
    <w:rsid w:val="00577481"/>
    <w:rsid w:val="00581BA9"/>
    <w:rsid w:val="005836BD"/>
    <w:rsid w:val="0058471D"/>
    <w:rsid w:val="00584B07"/>
    <w:rsid w:val="00593312"/>
    <w:rsid w:val="005A1214"/>
    <w:rsid w:val="005A2F8F"/>
    <w:rsid w:val="005A30C4"/>
    <w:rsid w:val="005A31A4"/>
    <w:rsid w:val="005A5D0E"/>
    <w:rsid w:val="005B4F4F"/>
    <w:rsid w:val="005B6B73"/>
    <w:rsid w:val="005C2147"/>
    <w:rsid w:val="005C24D8"/>
    <w:rsid w:val="005C6165"/>
    <w:rsid w:val="005D3997"/>
    <w:rsid w:val="005D4AE2"/>
    <w:rsid w:val="005D61E5"/>
    <w:rsid w:val="005D6490"/>
    <w:rsid w:val="005D7A08"/>
    <w:rsid w:val="005E0306"/>
    <w:rsid w:val="005E11BC"/>
    <w:rsid w:val="005E1370"/>
    <w:rsid w:val="005E14C2"/>
    <w:rsid w:val="005E20DB"/>
    <w:rsid w:val="005E39E4"/>
    <w:rsid w:val="005E3E24"/>
    <w:rsid w:val="005E4267"/>
    <w:rsid w:val="005F25DD"/>
    <w:rsid w:val="005F30D2"/>
    <w:rsid w:val="005F3257"/>
    <w:rsid w:val="005F3B60"/>
    <w:rsid w:val="005F4920"/>
    <w:rsid w:val="00600197"/>
    <w:rsid w:val="00605872"/>
    <w:rsid w:val="00606E8A"/>
    <w:rsid w:val="00606EF0"/>
    <w:rsid w:val="00606F00"/>
    <w:rsid w:val="00607BA5"/>
    <w:rsid w:val="00610400"/>
    <w:rsid w:val="00611619"/>
    <w:rsid w:val="0061180A"/>
    <w:rsid w:val="00612084"/>
    <w:rsid w:val="00612094"/>
    <w:rsid w:val="006125E2"/>
    <w:rsid w:val="00620223"/>
    <w:rsid w:val="00620C30"/>
    <w:rsid w:val="006231B4"/>
    <w:rsid w:val="00625405"/>
    <w:rsid w:val="00626492"/>
    <w:rsid w:val="006266B4"/>
    <w:rsid w:val="00626AD7"/>
    <w:rsid w:val="00626EB6"/>
    <w:rsid w:val="0063023B"/>
    <w:rsid w:val="00630C36"/>
    <w:rsid w:val="00630C47"/>
    <w:rsid w:val="00630F84"/>
    <w:rsid w:val="00633E2E"/>
    <w:rsid w:val="0063552A"/>
    <w:rsid w:val="00635BD8"/>
    <w:rsid w:val="00640743"/>
    <w:rsid w:val="00640BB7"/>
    <w:rsid w:val="00640D7F"/>
    <w:rsid w:val="00641301"/>
    <w:rsid w:val="00641D8C"/>
    <w:rsid w:val="006420D2"/>
    <w:rsid w:val="00650D87"/>
    <w:rsid w:val="0065215E"/>
    <w:rsid w:val="006523E7"/>
    <w:rsid w:val="00653234"/>
    <w:rsid w:val="00655589"/>
    <w:rsid w:val="00655D03"/>
    <w:rsid w:val="00655E1C"/>
    <w:rsid w:val="00656F3E"/>
    <w:rsid w:val="00657B36"/>
    <w:rsid w:val="00663E10"/>
    <w:rsid w:val="00664519"/>
    <w:rsid w:val="00673F77"/>
    <w:rsid w:val="00676680"/>
    <w:rsid w:val="00676836"/>
    <w:rsid w:val="00683388"/>
    <w:rsid w:val="00683D21"/>
    <w:rsid w:val="00683F84"/>
    <w:rsid w:val="0069050E"/>
    <w:rsid w:val="00690AF1"/>
    <w:rsid w:val="006914B1"/>
    <w:rsid w:val="00696E95"/>
    <w:rsid w:val="006A12E1"/>
    <w:rsid w:val="006A20C6"/>
    <w:rsid w:val="006A4CAE"/>
    <w:rsid w:val="006A67CB"/>
    <w:rsid w:val="006A6A81"/>
    <w:rsid w:val="006B1FFB"/>
    <w:rsid w:val="006B2EDA"/>
    <w:rsid w:val="006B7028"/>
    <w:rsid w:val="006C0298"/>
    <w:rsid w:val="006C1B3A"/>
    <w:rsid w:val="006C2DBA"/>
    <w:rsid w:val="006C4EB4"/>
    <w:rsid w:val="006C6C7C"/>
    <w:rsid w:val="006D064F"/>
    <w:rsid w:val="006D75B3"/>
    <w:rsid w:val="006E251F"/>
    <w:rsid w:val="006E4A7A"/>
    <w:rsid w:val="006E60F8"/>
    <w:rsid w:val="006F154C"/>
    <w:rsid w:val="006F27F4"/>
    <w:rsid w:val="006F4D70"/>
    <w:rsid w:val="006F684A"/>
    <w:rsid w:val="006F7393"/>
    <w:rsid w:val="006F7CD4"/>
    <w:rsid w:val="007012DF"/>
    <w:rsid w:val="0070224F"/>
    <w:rsid w:val="007035B1"/>
    <w:rsid w:val="00703F69"/>
    <w:rsid w:val="007047B6"/>
    <w:rsid w:val="00705CC4"/>
    <w:rsid w:val="00707E9E"/>
    <w:rsid w:val="007115F7"/>
    <w:rsid w:val="007133CC"/>
    <w:rsid w:val="007136B8"/>
    <w:rsid w:val="00714830"/>
    <w:rsid w:val="007156F2"/>
    <w:rsid w:val="0071723A"/>
    <w:rsid w:val="0072260A"/>
    <w:rsid w:val="00723CE2"/>
    <w:rsid w:val="00727D7B"/>
    <w:rsid w:val="00731403"/>
    <w:rsid w:val="00736397"/>
    <w:rsid w:val="00736D8B"/>
    <w:rsid w:val="00737B1D"/>
    <w:rsid w:val="0074166B"/>
    <w:rsid w:val="00741985"/>
    <w:rsid w:val="007431DE"/>
    <w:rsid w:val="007435BC"/>
    <w:rsid w:val="00745B26"/>
    <w:rsid w:val="00750CE3"/>
    <w:rsid w:val="0075305D"/>
    <w:rsid w:val="00753F26"/>
    <w:rsid w:val="00754B65"/>
    <w:rsid w:val="00760B93"/>
    <w:rsid w:val="00761666"/>
    <w:rsid w:val="00763F3E"/>
    <w:rsid w:val="00763FE7"/>
    <w:rsid w:val="007657C6"/>
    <w:rsid w:val="00766865"/>
    <w:rsid w:val="00773BA6"/>
    <w:rsid w:val="00776DA6"/>
    <w:rsid w:val="0077705B"/>
    <w:rsid w:val="007770D8"/>
    <w:rsid w:val="00785689"/>
    <w:rsid w:val="00785FE2"/>
    <w:rsid w:val="00787966"/>
    <w:rsid w:val="0079191E"/>
    <w:rsid w:val="00797411"/>
    <w:rsid w:val="0079754B"/>
    <w:rsid w:val="0079783D"/>
    <w:rsid w:val="007A1813"/>
    <w:rsid w:val="007A1E6D"/>
    <w:rsid w:val="007A63E5"/>
    <w:rsid w:val="007A643B"/>
    <w:rsid w:val="007B0EB2"/>
    <w:rsid w:val="007B2AA4"/>
    <w:rsid w:val="007C04A2"/>
    <w:rsid w:val="007C258B"/>
    <w:rsid w:val="007C2A12"/>
    <w:rsid w:val="007C6367"/>
    <w:rsid w:val="007C670F"/>
    <w:rsid w:val="007C7DE2"/>
    <w:rsid w:val="007D016D"/>
    <w:rsid w:val="007D082F"/>
    <w:rsid w:val="007D2F84"/>
    <w:rsid w:val="007D4283"/>
    <w:rsid w:val="007F0371"/>
    <w:rsid w:val="007F7008"/>
    <w:rsid w:val="00801AFE"/>
    <w:rsid w:val="00803641"/>
    <w:rsid w:val="00803781"/>
    <w:rsid w:val="00806088"/>
    <w:rsid w:val="008061DD"/>
    <w:rsid w:val="00806EC4"/>
    <w:rsid w:val="00807712"/>
    <w:rsid w:val="00807D90"/>
    <w:rsid w:val="00807F45"/>
    <w:rsid w:val="00810B6F"/>
    <w:rsid w:val="008130B8"/>
    <w:rsid w:val="00813772"/>
    <w:rsid w:val="00813BC4"/>
    <w:rsid w:val="0081602E"/>
    <w:rsid w:val="0082278B"/>
    <w:rsid w:val="00822CE0"/>
    <w:rsid w:val="00823453"/>
    <w:rsid w:val="008246A5"/>
    <w:rsid w:val="00824C58"/>
    <w:rsid w:val="00825AF0"/>
    <w:rsid w:val="00826A39"/>
    <w:rsid w:val="00826F9C"/>
    <w:rsid w:val="008311D9"/>
    <w:rsid w:val="00832D8C"/>
    <w:rsid w:val="00833DC3"/>
    <w:rsid w:val="00837AC8"/>
    <w:rsid w:val="00840A26"/>
    <w:rsid w:val="00841AB1"/>
    <w:rsid w:val="00844041"/>
    <w:rsid w:val="00845A04"/>
    <w:rsid w:val="0085457B"/>
    <w:rsid w:val="008546C1"/>
    <w:rsid w:val="008547BB"/>
    <w:rsid w:val="00855598"/>
    <w:rsid w:val="0085686E"/>
    <w:rsid w:val="00857318"/>
    <w:rsid w:val="00857C43"/>
    <w:rsid w:val="008672AD"/>
    <w:rsid w:val="00867E5D"/>
    <w:rsid w:val="008705E0"/>
    <w:rsid w:val="008710B9"/>
    <w:rsid w:val="00874EB5"/>
    <w:rsid w:val="008756AC"/>
    <w:rsid w:val="008757CC"/>
    <w:rsid w:val="00877118"/>
    <w:rsid w:val="00880D20"/>
    <w:rsid w:val="00880DA2"/>
    <w:rsid w:val="00882E74"/>
    <w:rsid w:val="0088341B"/>
    <w:rsid w:val="00884255"/>
    <w:rsid w:val="00884AAD"/>
    <w:rsid w:val="0088607E"/>
    <w:rsid w:val="00890C1A"/>
    <w:rsid w:val="00892587"/>
    <w:rsid w:val="00893FEC"/>
    <w:rsid w:val="00895985"/>
    <w:rsid w:val="008A2893"/>
    <w:rsid w:val="008A4756"/>
    <w:rsid w:val="008A6344"/>
    <w:rsid w:val="008A76C7"/>
    <w:rsid w:val="008B2E1D"/>
    <w:rsid w:val="008B674C"/>
    <w:rsid w:val="008C0962"/>
    <w:rsid w:val="008C0D8D"/>
    <w:rsid w:val="008C18BB"/>
    <w:rsid w:val="008C1D56"/>
    <w:rsid w:val="008C21B1"/>
    <w:rsid w:val="008C421D"/>
    <w:rsid w:val="008C68F1"/>
    <w:rsid w:val="008D25FB"/>
    <w:rsid w:val="008D2BD0"/>
    <w:rsid w:val="008D3A33"/>
    <w:rsid w:val="008E2DC2"/>
    <w:rsid w:val="008E314B"/>
    <w:rsid w:val="008E729C"/>
    <w:rsid w:val="008F1088"/>
    <w:rsid w:val="008F368F"/>
    <w:rsid w:val="00901672"/>
    <w:rsid w:val="00901C79"/>
    <w:rsid w:val="00902181"/>
    <w:rsid w:val="00905840"/>
    <w:rsid w:val="0090634F"/>
    <w:rsid w:val="00906872"/>
    <w:rsid w:val="009068DC"/>
    <w:rsid w:val="009102D2"/>
    <w:rsid w:val="009143B3"/>
    <w:rsid w:val="00914DF8"/>
    <w:rsid w:val="00921803"/>
    <w:rsid w:val="00921917"/>
    <w:rsid w:val="0092217E"/>
    <w:rsid w:val="00923ABC"/>
    <w:rsid w:val="00923D2F"/>
    <w:rsid w:val="00924172"/>
    <w:rsid w:val="00925428"/>
    <w:rsid w:val="00925F1F"/>
    <w:rsid w:val="00926503"/>
    <w:rsid w:val="00927098"/>
    <w:rsid w:val="009313E4"/>
    <w:rsid w:val="00932B59"/>
    <w:rsid w:val="00934138"/>
    <w:rsid w:val="00941E35"/>
    <w:rsid w:val="0094295C"/>
    <w:rsid w:val="00942E02"/>
    <w:rsid w:val="00943855"/>
    <w:rsid w:val="00945503"/>
    <w:rsid w:val="00946534"/>
    <w:rsid w:val="00950530"/>
    <w:rsid w:val="0095295B"/>
    <w:rsid w:val="00952AE2"/>
    <w:rsid w:val="0095361D"/>
    <w:rsid w:val="00956892"/>
    <w:rsid w:val="00962B44"/>
    <w:rsid w:val="00962F3D"/>
    <w:rsid w:val="009640B7"/>
    <w:rsid w:val="0096616D"/>
    <w:rsid w:val="009663CC"/>
    <w:rsid w:val="00970085"/>
    <w:rsid w:val="00971D3E"/>
    <w:rsid w:val="0097244F"/>
    <w:rsid w:val="009726D8"/>
    <w:rsid w:val="009733D6"/>
    <w:rsid w:val="00975023"/>
    <w:rsid w:val="00975E6C"/>
    <w:rsid w:val="00976162"/>
    <w:rsid w:val="00976E27"/>
    <w:rsid w:val="00984B53"/>
    <w:rsid w:val="00990DC8"/>
    <w:rsid w:val="009914EA"/>
    <w:rsid w:val="00996C7F"/>
    <w:rsid w:val="009A29A9"/>
    <w:rsid w:val="009A3E00"/>
    <w:rsid w:val="009A7F3C"/>
    <w:rsid w:val="009B2F9A"/>
    <w:rsid w:val="009B351B"/>
    <w:rsid w:val="009B62FF"/>
    <w:rsid w:val="009C0EFC"/>
    <w:rsid w:val="009C25A4"/>
    <w:rsid w:val="009C2D8E"/>
    <w:rsid w:val="009C4B41"/>
    <w:rsid w:val="009D56F4"/>
    <w:rsid w:val="009D6F85"/>
    <w:rsid w:val="009D7308"/>
    <w:rsid w:val="009E11E6"/>
    <w:rsid w:val="009E1ED8"/>
    <w:rsid w:val="009E2EBD"/>
    <w:rsid w:val="009E3F32"/>
    <w:rsid w:val="009F0421"/>
    <w:rsid w:val="009F13F0"/>
    <w:rsid w:val="009F4475"/>
    <w:rsid w:val="009F51B3"/>
    <w:rsid w:val="009F5825"/>
    <w:rsid w:val="009F6E3A"/>
    <w:rsid w:val="009F76DB"/>
    <w:rsid w:val="00A000C8"/>
    <w:rsid w:val="00A0106D"/>
    <w:rsid w:val="00A01DBF"/>
    <w:rsid w:val="00A0309C"/>
    <w:rsid w:val="00A047D8"/>
    <w:rsid w:val="00A070DD"/>
    <w:rsid w:val="00A10F31"/>
    <w:rsid w:val="00A118AE"/>
    <w:rsid w:val="00A12B0C"/>
    <w:rsid w:val="00A14BCE"/>
    <w:rsid w:val="00A151B7"/>
    <w:rsid w:val="00A17761"/>
    <w:rsid w:val="00A20B5F"/>
    <w:rsid w:val="00A32250"/>
    <w:rsid w:val="00A32C3B"/>
    <w:rsid w:val="00A32E9E"/>
    <w:rsid w:val="00A33A72"/>
    <w:rsid w:val="00A40597"/>
    <w:rsid w:val="00A43095"/>
    <w:rsid w:val="00A436F2"/>
    <w:rsid w:val="00A43909"/>
    <w:rsid w:val="00A4407B"/>
    <w:rsid w:val="00A45923"/>
    <w:rsid w:val="00A45F4F"/>
    <w:rsid w:val="00A46A89"/>
    <w:rsid w:val="00A51B6D"/>
    <w:rsid w:val="00A5376C"/>
    <w:rsid w:val="00A53C9E"/>
    <w:rsid w:val="00A54B24"/>
    <w:rsid w:val="00A5553C"/>
    <w:rsid w:val="00A56634"/>
    <w:rsid w:val="00A57757"/>
    <w:rsid w:val="00A600A9"/>
    <w:rsid w:val="00A60FF4"/>
    <w:rsid w:val="00A61279"/>
    <w:rsid w:val="00A61A89"/>
    <w:rsid w:val="00A63D4B"/>
    <w:rsid w:val="00A6728A"/>
    <w:rsid w:val="00A70807"/>
    <w:rsid w:val="00A729A5"/>
    <w:rsid w:val="00A83C5A"/>
    <w:rsid w:val="00A91F64"/>
    <w:rsid w:val="00A921E9"/>
    <w:rsid w:val="00A9770A"/>
    <w:rsid w:val="00A977E3"/>
    <w:rsid w:val="00AA0201"/>
    <w:rsid w:val="00AA323F"/>
    <w:rsid w:val="00AA55B7"/>
    <w:rsid w:val="00AA5B9E"/>
    <w:rsid w:val="00AA6D59"/>
    <w:rsid w:val="00AA70D9"/>
    <w:rsid w:val="00AA7493"/>
    <w:rsid w:val="00AA79E4"/>
    <w:rsid w:val="00AB0474"/>
    <w:rsid w:val="00AB2407"/>
    <w:rsid w:val="00AB488A"/>
    <w:rsid w:val="00AB4D30"/>
    <w:rsid w:val="00AB53DF"/>
    <w:rsid w:val="00AB54E0"/>
    <w:rsid w:val="00AB6496"/>
    <w:rsid w:val="00AC06E6"/>
    <w:rsid w:val="00AC1E1E"/>
    <w:rsid w:val="00AC5135"/>
    <w:rsid w:val="00AC540F"/>
    <w:rsid w:val="00AC67CA"/>
    <w:rsid w:val="00AD081A"/>
    <w:rsid w:val="00AD1921"/>
    <w:rsid w:val="00AD27F3"/>
    <w:rsid w:val="00AD4878"/>
    <w:rsid w:val="00AD516E"/>
    <w:rsid w:val="00AD5841"/>
    <w:rsid w:val="00AE39B2"/>
    <w:rsid w:val="00AE3DEF"/>
    <w:rsid w:val="00AE4EAC"/>
    <w:rsid w:val="00AE7233"/>
    <w:rsid w:val="00AF0A2E"/>
    <w:rsid w:val="00AF0EFB"/>
    <w:rsid w:val="00AF1238"/>
    <w:rsid w:val="00AF5C53"/>
    <w:rsid w:val="00AF600B"/>
    <w:rsid w:val="00AF674D"/>
    <w:rsid w:val="00AF77B3"/>
    <w:rsid w:val="00B018DD"/>
    <w:rsid w:val="00B07CB7"/>
    <w:rsid w:val="00B07E5C"/>
    <w:rsid w:val="00B10AA8"/>
    <w:rsid w:val="00B111BF"/>
    <w:rsid w:val="00B11C15"/>
    <w:rsid w:val="00B133A3"/>
    <w:rsid w:val="00B23FD9"/>
    <w:rsid w:val="00B240A2"/>
    <w:rsid w:val="00B2591D"/>
    <w:rsid w:val="00B264FF"/>
    <w:rsid w:val="00B303B1"/>
    <w:rsid w:val="00B41622"/>
    <w:rsid w:val="00B42618"/>
    <w:rsid w:val="00B45193"/>
    <w:rsid w:val="00B51AA5"/>
    <w:rsid w:val="00B52920"/>
    <w:rsid w:val="00B52CB9"/>
    <w:rsid w:val="00B52E2A"/>
    <w:rsid w:val="00B569D0"/>
    <w:rsid w:val="00B606E0"/>
    <w:rsid w:val="00B654D0"/>
    <w:rsid w:val="00B65523"/>
    <w:rsid w:val="00B70ABA"/>
    <w:rsid w:val="00B722C6"/>
    <w:rsid w:val="00B7237F"/>
    <w:rsid w:val="00B76281"/>
    <w:rsid w:val="00B811F7"/>
    <w:rsid w:val="00B86248"/>
    <w:rsid w:val="00B8677F"/>
    <w:rsid w:val="00B9182C"/>
    <w:rsid w:val="00B9204A"/>
    <w:rsid w:val="00B93441"/>
    <w:rsid w:val="00B95229"/>
    <w:rsid w:val="00B958C5"/>
    <w:rsid w:val="00B959A0"/>
    <w:rsid w:val="00B95E00"/>
    <w:rsid w:val="00B96E94"/>
    <w:rsid w:val="00BA0DC3"/>
    <w:rsid w:val="00BA0F66"/>
    <w:rsid w:val="00BA1D0F"/>
    <w:rsid w:val="00BA29CB"/>
    <w:rsid w:val="00BA4049"/>
    <w:rsid w:val="00BA5DC6"/>
    <w:rsid w:val="00BA6196"/>
    <w:rsid w:val="00BB0D10"/>
    <w:rsid w:val="00BB52BD"/>
    <w:rsid w:val="00BB7AFB"/>
    <w:rsid w:val="00BC05FC"/>
    <w:rsid w:val="00BC116E"/>
    <w:rsid w:val="00BC11CC"/>
    <w:rsid w:val="00BC28F2"/>
    <w:rsid w:val="00BC3E40"/>
    <w:rsid w:val="00BC4E28"/>
    <w:rsid w:val="00BC6D8C"/>
    <w:rsid w:val="00BD3A28"/>
    <w:rsid w:val="00BD4DB3"/>
    <w:rsid w:val="00BE03AA"/>
    <w:rsid w:val="00BE115F"/>
    <w:rsid w:val="00BE1D9D"/>
    <w:rsid w:val="00BE671F"/>
    <w:rsid w:val="00BE6989"/>
    <w:rsid w:val="00BE6AE5"/>
    <w:rsid w:val="00BF1A2E"/>
    <w:rsid w:val="00BF3954"/>
    <w:rsid w:val="00C01846"/>
    <w:rsid w:val="00C04766"/>
    <w:rsid w:val="00C051DB"/>
    <w:rsid w:val="00C05E8B"/>
    <w:rsid w:val="00C063CE"/>
    <w:rsid w:val="00C077CA"/>
    <w:rsid w:val="00C11BA9"/>
    <w:rsid w:val="00C12AAF"/>
    <w:rsid w:val="00C13855"/>
    <w:rsid w:val="00C17B9F"/>
    <w:rsid w:val="00C32907"/>
    <w:rsid w:val="00C33280"/>
    <w:rsid w:val="00C34006"/>
    <w:rsid w:val="00C34653"/>
    <w:rsid w:val="00C3584B"/>
    <w:rsid w:val="00C36B4C"/>
    <w:rsid w:val="00C41F38"/>
    <w:rsid w:val="00C426B1"/>
    <w:rsid w:val="00C4438E"/>
    <w:rsid w:val="00C45840"/>
    <w:rsid w:val="00C45D65"/>
    <w:rsid w:val="00C45F27"/>
    <w:rsid w:val="00C51C7E"/>
    <w:rsid w:val="00C52BC8"/>
    <w:rsid w:val="00C53A3D"/>
    <w:rsid w:val="00C559E3"/>
    <w:rsid w:val="00C56185"/>
    <w:rsid w:val="00C609D6"/>
    <w:rsid w:val="00C61E35"/>
    <w:rsid w:val="00C6201F"/>
    <w:rsid w:val="00C64623"/>
    <w:rsid w:val="00C65CE2"/>
    <w:rsid w:val="00C66160"/>
    <w:rsid w:val="00C67357"/>
    <w:rsid w:val="00C721AC"/>
    <w:rsid w:val="00C72B57"/>
    <w:rsid w:val="00C72EA9"/>
    <w:rsid w:val="00C74349"/>
    <w:rsid w:val="00C74A62"/>
    <w:rsid w:val="00C74B3C"/>
    <w:rsid w:val="00C75804"/>
    <w:rsid w:val="00C75AF8"/>
    <w:rsid w:val="00C81EDA"/>
    <w:rsid w:val="00C8229A"/>
    <w:rsid w:val="00C83BBE"/>
    <w:rsid w:val="00C844F2"/>
    <w:rsid w:val="00C87CE3"/>
    <w:rsid w:val="00C90269"/>
    <w:rsid w:val="00C90D6A"/>
    <w:rsid w:val="00C9598F"/>
    <w:rsid w:val="00CA247E"/>
    <w:rsid w:val="00CA3DF6"/>
    <w:rsid w:val="00CA5410"/>
    <w:rsid w:val="00CA62B2"/>
    <w:rsid w:val="00CA6D21"/>
    <w:rsid w:val="00CB034B"/>
    <w:rsid w:val="00CB2D01"/>
    <w:rsid w:val="00CB3176"/>
    <w:rsid w:val="00CB5EF9"/>
    <w:rsid w:val="00CC0130"/>
    <w:rsid w:val="00CC524E"/>
    <w:rsid w:val="00CC6974"/>
    <w:rsid w:val="00CC6EC8"/>
    <w:rsid w:val="00CC72B6"/>
    <w:rsid w:val="00CD16A0"/>
    <w:rsid w:val="00CD25D8"/>
    <w:rsid w:val="00CD5069"/>
    <w:rsid w:val="00CD62AF"/>
    <w:rsid w:val="00CD6EA2"/>
    <w:rsid w:val="00CD71DD"/>
    <w:rsid w:val="00CE0441"/>
    <w:rsid w:val="00CE10A2"/>
    <w:rsid w:val="00CE1A3B"/>
    <w:rsid w:val="00CE2203"/>
    <w:rsid w:val="00CE548A"/>
    <w:rsid w:val="00CE634C"/>
    <w:rsid w:val="00CE687D"/>
    <w:rsid w:val="00CF174E"/>
    <w:rsid w:val="00CF5020"/>
    <w:rsid w:val="00CF531A"/>
    <w:rsid w:val="00D019AA"/>
    <w:rsid w:val="00D0218D"/>
    <w:rsid w:val="00D0378D"/>
    <w:rsid w:val="00D05589"/>
    <w:rsid w:val="00D072C0"/>
    <w:rsid w:val="00D0781F"/>
    <w:rsid w:val="00D12280"/>
    <w:rsid w:val="00D14227"/>
    <w:rsid w:val="00D169E0"/>
    <w:rsid w:val="00D20977"/>
    <w:rsid w:val="00D2174E"/>
    <w:rsid w:val="00D25FB5"/>
    <w:rsid w:val="00D26029"/>
    <w:rsid w:val="00D30AFE"/>
    <w:rsid w:val="00D36F9E"/>
    <w:rsid w:val="00D402CF"/>
    <w:rsid w:val="00D41691"/>
    <w:rsid w:val="00D43AE8"/>
    <w:rsid w:val="00D44223"/>
    <w:rsid w:val="00D46F3C"/>
    <w:rsid w:val="00D50E71"/>
    <w:rsid w:val="00D53940"/>
    <w:rsid w:val="00D54421"/>
    <w:rsid w:val="00D5450C"/>
    <w:rsid w:val="00D5533F"/>
    <w:rsid w:val="00D579FC"/>
    <w:rsid w:val="00D6200F"/>
    <w:rsid w:val="00D666CF"/>
    <w:rsid w:val="00D70AE7"/>
    <w:rsid w:val="00D7127A"/>
    <w:rsid w:val="00D726E8"/>
    <w:rsid w:val="00D74B2D"/>
    <w:rsid w:val="00D751CC"/>
    <w:rsid w:val="00D76693"/>
    <w:rsid w:val="00D7688D"/>
    <w:rsid w:val="00D770EA"/>
    <w:rsid w:val="00D84A3F"/>
    <w:rsid w:val="00D850FC"/>
    <w:rsid w:val="00D878C0"/>
    <w:rsid w:val="00D90005"/>
    <w:rsid w:val="00D91575"/>
    <w:rsid w:val="00DA00B7"/>
    <w:rsid w:val="00DA2529"/>
    <w:rsid w:val="00DA29CC"/>
    <w:rsid w:val="00DA2D15"/>
    <w:rsid w:val="00DA32E1"/>
    <w:rsid w:val="00DA3E5A"/>
    <w:rsid w:val="00DA467C"/>
    <w:rsid w:val="00DA5832"/>
    <w:rsid w:val="00DA7B2F"/>
    <w:rsid w:val="00DA7D48"/>
    <w:rsid w:val="00DB130A"/>
    <w:rsid w:val="00DB2EBB"/>
    <w:rsid w:val="00DB531E"/>
    <w:rsid w:val="00DC10A1"/>
    <w:rsid w:val="00DC655F"/>
    <w:rsid w:val="00DC7462"/>
    <w:rsid w:val="00DD0B59"/>
    <w:rsid w:val="00DD0F1E"/>
    <w:rsid w:val="00DD61A1"/>
    <w:rsid w:val="00DD7158"/>
    <w:rsid w:val="00DD7EBD"/>
    <w:rsid w:val="00DE2A96"/>
    <w:rsid w:val="00DE4996"/>
    <w:rsid w:val="00DE77DF"/>
    <w:rsid w:val="00DF62B6"/>
    <w:rsid w:val="00DF6548"/>
    <w:rsid w:val="00DF6D8E"/>
    <w:rsid w:val="00DF7E46"/>
    <w:rsid w:val="00E027DB"/>
    <w:rsid w:val="00E055A3"/>
    <w:rsid w:val="00E06930"/>
    <w:rsid w:val="00E07225"/>
    <w:rsid w:val="00E07698"/>
    <w:rsid w:val="00E113D8"/>
    <w:rsid w:val="00E15D12"/>
    <w:rsid w:val="00E167E8"/>
    <w:rsid w:val="00E17627"/>
    <w:rsid w:val="00E22CB7"/>
    <w:rsid w:val="00E26D72"/>
    <w:rsid w:val="00E3165B"/>
    <w:rsid w:val="00E31FA3"/>
    <w:rsid w:val="00E348CF"/>
    <w:rsid w:val="00E3688E"/>
    <w:rsid w:val="00E430FB"/>
    <w:rsid w:val="00E4677C"/>
    <w:rsid w:val="00E47FCB"/>
    <w:rsid w:val="00E51BA9"/>
    <w:rsid w:val="00E5409F"/>
    <w:rsid w:val="00E55E3A"/>
    <w:rsid w:val="00E6064D"/>
    <w:rsid w:val="00E61376"/>
    <w:rsid w:val="00E62031"/>
    <w:rsid w:val="00E627C2"/>
    <w:rsid w:val="00E66672"/>
    <w:rsid w:val="00E70FF2"/>
    <w:rsid w:val="00E71152"/>
    <w:rsid w:val="00E719FB"/>
    <w:rsid w:val="00E727C8"/>
    <w:rsid w:val="00E734AF"/>
    <w:rsid w:val="00E73EFD"/>
    <w:rsid w:val="00E7465B"/>
    <w:rsid w:val="00E76230"/>
    <w:rsid w:val="00E76E84"/>
    <w:rsid w:val="00E8074D"/>
    <w:rsid w:val="00E81834"/>
    <w:rsid w:val="00E81AFF"/>
    <w:rsid w:val="00E87020"/>
    <w:rsid w:val="00E92576"/>
    <w:rsid w:val="00E95218"/>
    <w:rsid w:val="00EA1542"/>
    <w:rsid w:val="00EA425E"/>
    <w:rsid w:val="00EA4E76"/>
    <w:rsid w:val="00EA6469"/>
    <w:rsid w:val="00EA70B7"/>
    <w:rsid w:val="00EB2772"/>
    <w:rsid w:val="00EB36F9"/>
    <w:rsid w:val="00EB75C0"/>
    <w:rsid w:val="00EB7B69"/>
    <w:rsid w:val="00EC417A"/>
    <w:rsid w:val="00EC5159"/>
    <w:rsid w:val="00ED36D5"/>
    <w:rsid w:val="00ED4D43"/>
    <w:rsid w:val="00EE1546"/>
    <w:rsid w:val="00EE17D5"/>
    <w:rsid w:val="00EE240F"/>
    <w:rsid w:val="00EE2984"/>
    <w:rsid w:val="00EE50B9"/>
    <w:rsid w:val="00EE513E"/>
    <w:rsid w:val="00EE61D9"/>
    <w:rsid w:val="00EE641B"/>
    <w:rsid w:val="00EE6488"/>
    <w:rsid w:val="00EF0721"/>
    <w:rsid w:val="00EF0A37"/>
    <w:rsid w:val="00EF1869"/>
    <w:rsid w:val="00EF499C"/>
    <w:rsid w:val="00EF5B40"/>
    <w:rsid w:val="00EF636E"/>
    <w:rsid w:val="00F00965"/>
    <w:rsid w:val="00F013BB"/>
    <w:rsid w:val="00F021FA"/>
    <w:rsid w:val="00F04DFF"/>
    <w:rsid w:val="00F10034"/>
    <w:rsid w:val="00F11251"/>
    <w:rsid w:val="00F14BEC"/>
    <w:rsid w:val="00F15497"/>
    <w:rsid w:val="00F155BB"/>
    <w:rsid w:val="00F17E1A"/>
    <w:rsid w:val="00F2622F"/>
    <w:rsid w:val="00F319A2"/>
    <w:rsid w:val="00F31C9B"/>
    <w:rsid w:val="00F367D9"/>
    <w:rsid w:val="00F37959"/>
    <w:rsid w:val="00F4151E"/>
    <w:rsid w:val="00F4168E"/>
    <w:rsid w:val="00F46365"/>
    <w:rsid w:val="00F46509"/>
    <w:rsid w:val="00F46C2E"/>
    <w:rsid w:val="00F47581"/>
    <w:rsid w:val="00F47C3D"/>
    <w:rsid w:val="00F47E5D"/>
    <w:rsid w:val="00F52079"/>
    <w:rsid w:val="00F528BA"/>
    <w:rsid w:val="00F56547"/>
    <w:rsid w:val="00F56AC5"/>
    <w:rsid w:val="00F578D1"/>
    <w:rsid w:val="00F57B70"/>
    <w:rsid w:val="00F61B2C"/>
    <w:rsid w:val="00F62E97"/>
    <w:rsid w:val="00F6321D"/>
    <w:rsid w:val="00F64209"/>
    <w:rsid w:val="00F65505"/>
    <w:rsid w:val="00F65795"/>
    <w:rsid w:val="00F664A5"/>
    <w:rsid w:val="00F67FDB"/>
    <w:rsid w:val="00F71CB1"/>
    <w:rsid w:val="00F743BD"/>
    <w:rsid w:val="00F75776"/>
    <w:rsid w:val="00F77AB7"/>
    <w:rsid w:val="00F81CF9"/>
    <w:rsid w:val="00F81E2E"/>
    <w:rsid w:val="00F85A64"/>
    <w:rsid w:val="00F87C65"/>
    <w:rsid w:val="00F92960"/>
    <w:rsid w:val="00F93BF5"/>
    <w:rsid w:val="00F93C5E"/>
    <w:rsid w:val="00F97A03"/>
    <w:rsid w:val="00FA4DC6"/>
    <w:rsid w:val="00FB063A"/>
    <w:rsid w:val="00FB494D"/>
    <w:rsid w:val="00FC098F"/>
    <w:rsid w:val="00FC3D7B"/>
    <w:rsid w:val="00FC42CA"/>
    <w:rsid w:val="00FC7232"/>
    <w:rsid w:val="00FC7965"/>
    <w:rsid w:val="00FD0772"/>
    <w:rsid w:val="00FD3B3B"/>
    <w:rsid w:val="00FD4BA5"/>
    <w:rsid w:val="00FD5E3D"/>
    <w:rsid w:val="00FE39A4"/>
    <w:rsid w:val="00FE4E3E"/>
    <w:rsid w:val="00FE5ABF"/>
    <w:rsid w:val="00FE60CE"/>
    <w:rsid w:val="00FE75A3"/>
    <w:rsid w:val="00FF2E61"/>
    <w:rsid w:val="00FF68B3"/>
    <w:rsid w:val="00FF6FAC"/>
    <w:rsid w:val="0F20C21D"/>
    <w:rsid w:val="0F86DA64"/>
    <w:rsid w:val="1DDB50B5"/>
    <w:rsid w:val="1DF6B091"/>
    <w:rsid w:val="2323FA7F"/>
    <w:rsid w:val="282AC0C3"/>
    <w:rsid w:val="29867983"/>
    <w:rsid w:val="2CDC6CA6"/>
    <w:rsid w:val="30A52541"/>
    <w:rsid w:val="39B0A543"/>
    <w:rsid w:val="3F5B7DC8"/>
    <w:rsid w:val="4148C698"/>
    <w:rsid w:val="4330E2FB"/>
    <w:rsid w:val="48474254"/>
    <w:rsid w:val="4BD4C0B0"/>
    <w:rsid w:val="50342F3C"/>
    <w:rsid w:val="5050C4AD"/>
    <w:rsid w:val="6682F902"/>
    <w:rsid w:val="681E4A50"/>
    <w:rsid w:val="78CDB8FD"/>
    <w:rsid w:val="791A03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9C92ED"/>
  <w15:chartTrackingRefBased/>
  <w15:docId w15:val="{24DA545C-6C60-4693-B4E2-C5F89A3F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36E"/>
    <w:pPr>
      <w:widowControl w:val="0"/>
    </w:pPr>
    <w:rPr>
      <w:snapToGrid w:val="0"/>
      <w:kern w:val="28"/>
      <w:sz w:val="22"/>
    </w:rPr>
  </w:style>
  <w:style w:type="paragraph" w:styleId="Heading1">
    <w:name w:val="heading 1"/>
    <w:basedOn w:val="Normal"/>
    <w:next w:val="ParaNum"/>
    <w:qFormat/>
    <w:rsid w:val="00EF63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636E"/>
    <w:pPr>
      <w:keepNext/>
      <w:numPr>
        <w:ilvl w:val="1"/>
        <w:numId w:val="3"/>
      </w:numPr>
      <w:spacing w:after="120"/>
      <w:outlineLvl w:val="1"/>
    </w:pPr>
    <w:rPr>
      <w:b/>
    </w:rPr>
  </w:style>
  <w:style w:type="paragraph" w:styleId="Heading3">
    <w:name w:val="heading 3"/>
    <w:basedOn w:val="Normal"/>
    <w:next w:val="ParaNum"/>
    <w:qFormat/>
    <w:rsid w:val="00EF636E"/>
    <w:pPr>
      <w:keepNext/>
      <w:numPr>
        <w:ilvl w:val="2"/>
        <w:numId w:val="3"/>
      </w:numPr>
      <w:tabs>
        <w:tab w:val="left" w:pos="2160"/>
      </w:tabs>
      <w:spacing w:after="120"/>
      <w:outlineLvl w:val="2"/>
    </w:pPr>
    <w:rPr>
      <w:b/>
    </w:rPr>
  </w:style>
  <w:style w:type="paragraph" w:styleId="Heading4">
    <w:name w:val="heading 4"/>
    <w:basedOn w:val="Normal"/>
    <w:next w:val="ParaNum"/>
    <w:qFormat/>
    <w:rsid w:val="00EF636E"/>
    <w:pPr>
      <w:keepNext/>
      <w:numPr>
        <w:ilvl w:val="3"/>
        <w:numId w:val="3"/>
      </w:numPr>
      <w:tabs>
        <w:tab w:val="left" w:pos="2880"/>
      </w:tabs>
      <w:spacing w:after="120"/>
      <w:outlineLvl w:val="3"/>
    </w:pPr>
    <w:rPr>
      <w:b/>
    </w:rPr>
  </w:style>
  <w:style w:type="paragraph" w:styleId="Heading5">
    <w:name w:val="heading 5"/>
    <w:basedOn w:val="Normal"/>
    <w:next w:val="ParaNum"/>
    <w:qFormat/>
    <w:rsid w:val="00EF63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636E"/>
    <w:pPr>
      <w:numPr>
        <w:ilvl w:val="5"/>
        <w:numId w:val="3"/>
      </w:numPr>
      <w:tabs>
        <w:tab w:val="left" w:pos="4320"/>
      </w:tabs>
      <w:spacing w:after="120"/>
      <w:outlineLvl w:val="5"/>
    </w:pPr>
    <w:rPr>
      <w:b/>
    </w:rPr>
  </w:style>
  <w:style w:type="paragraph" w:styleId="Heading7">
    <w:name w:val="heading 7"/>
    <w:basedOn w:val="Normal"/>
    <w:next w:val="ParaNum"/>
    <w:qFormat/>
    <w:rsid w:val="00EF63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63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63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63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636E"/>
  </w:style>
  <w:style w:type="paragraph" w:customStyle="1" w:styleId="ParaNum">
    <w:name w:val="ParaNum"/>
    <w:basedOn w:val="Normal"/>
    <w:rsid w:val="00EF636E"/>
    <w:pPr>
      <w:numPr>
        <w:numId w:val="2"/>
      </w:numPr>
      <w:tabs>
        <w:tab w:val="clear" w:pos="1080"/>
        <w:tab w:val="num" w:pos="1440"/>
      </w:tabs>
      <w:spacing w:after="120"/>
    </w:pPr>
  </w:style>
  <w:style w:type="paragraph" w:styleId="EndnoteText">
    <w:name w:val="endnote text"/>
    <w:basedOn w:val="Normal"/>
    <w:semiHidden/>
    <w:rsid w:val="00EF636E"/>
    <w:rPr>
      <w:sz w:val="20"/>
    </w:rPr>
  </w:style>
  <w:style w:type="character" w:styleId="EndnoteReference">
    <w:name w:val="endnote reference"/>
    <w:semiHidden/>
    <w:rsid w:val="00EF636E"/>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EF636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F636E"/>
    <w:rPr>
      <w:rFonts w:ascii="Times New Roman" w:hAnsi="Times New Roman"/>
      <w:dstrike w:val="0"/>
      <w:color w:val="auto"/>
      <w:sz w:val="20"/>
      <w:vertAlign w:val="superscript"/>
    </w:rPr>
  </w:style>
  <w:style w:type="paragraph" w:styleId="TOC1">
    <w:name w:val="toc 1"/>
    <w:basedOn w:val="Normal"/>
    <w:next w:val="Normal"/>
    <w:semiHidden/>
    <w:rsid w:val="00EF63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636E"/>
    <w:pPr>
      <w:tabs>
        <w:tab w:val="left" w:pos="720"/>
        <w:tab w:val="right" w:leader="dot" w:pos="9360"/>
      </w:tabs>
      <w:suppressAutoHyphens/>
      <w:ind w:left="720" w:right="720" w:hanging="360"/>
    </w:pPr>
    <w:rPr>
      <w:noProof/>
    </w:rPr>
  </w:style>
  <w:style w:type="paragraph" w:styleId="TOC3">
    <w:name w:val="toc 3"/>
    <w:basedOn w:val="Normal"/>
    <w:next w:val="Normal"/>
    <w:semiHidden/>
    <w:rsid w:val="00EF63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63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63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63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63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63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63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636E"/>
    <w:pPr>
      <w:tabs>
        <w:tab w:val="right" w:pos="9360"/>
      </w:tabs>
      <w:suppressAutoHyphens/>
    </w:pPr>
  </w:style>
  <w:style w:type="character" w:customStyle="1" w:styleId="EquationCaption">
    <w:name w:val="_Equation Caption"/>
    <w:rsid w:val="00EF636E"/>
  </w:style>
  <w:style w:type="paragraph" w:styleId="Header">
    <w:name w:val="header"/>
    <w:basedOn w:val="Normal"/>
    <w:autoRedefine/>
    <w:rsid w:val="00EF636E"/>
    <w:pPr>
      <w:tabs>
        <w:tab w:val="center" w:pos="4680"/>
        <w:tab w:val="right" w:pos="9360"/>
      </w:tabs>
    </w:pPr>
    <w:rPr>
      <w:b/>
    </w:rPr>
  </w:style>
  <w:style w:type="paragraph" w:styleId="Footer">
    <w:name w:val="footer"/>
    <w:basedOn w:val="Normal"/>
    <w:link w:val="FooterChar"/>
    <w:uiPriority w:val="99"/>
    <w:rsid w:val="00EF636E"/>
    <w:pPr>
      <w:tabs>
        <w:tab w:val="center" w:pos="4320"/>
        <w:tab w:val="right" w:pos="8640"/>
      </w:tabs>
    </w:pPr>
  </w:style>
  <w:style w:type="character" w:styleId="PageNumber">
    <w:name w:val="page number"/>
    <w:basedOn w:val="DefaultParagraphFont"/>
    <w:rsid w:val="00EF636E"/>
  </w:style>
  <w:style w:type="paragraph" w:styleId="BlockText">
    <w:name w:val="Block Text"/>
    <w:basedOn w:val="Normal"/>
    <w:rsid w:val="00EF636E"/>
    <w:pPr>
      <w:spacing w:after="240"/>
      <w:ind w:left="1440" w:right="1440"/>
    </w:pPr>
  </w:style>
  <w:style w:type="paragraph" w:customStyle="1" w:styleId="Paratitle">
    <w:name w:val="Para title"/>
    <w:basedOn w:val="Normal"/>
    <w:rsid w:val="00EF636E"/>
    <w:pPr>
      <w:tabs>
        <w:tab w:val="center" w:pos="9270"/>
      </w:tabs>
      <w:spacing w:after="240"/>
    </w:pPr>
    <w:rPr>
      <w:spacing w:val="-2"/>
    </w:rPr>
  </w:style>
  <w:style w:type="paragraph" w:customStyle="1" w:styleId="Bullet">
    <w:name w:val="Bullet"/>
    <w:basedOn w:val="Normal"/>
    <w:rsid w:val="00EF636E"/>
    <w:pPr>
      <w:tabs>
        <w:tab w:val="left" w:pos="2160"/>
      </w:tabs>
      <w:spacing w:after="220"/>
      <w:ind w:left="2160" w:hanging="720"/>
    </w:pPr>
  </w:style>
  <w:style w:type="paragraph" w:customStyle="1" w:styleId="TableFormat">
    <w:name w:val="TableFormat"/>
    <w:basedOn w:val="Bullet"/>
    <w:rsid w:val="00EF636E"/>
    <w:pPr>
      <w:tabs>
        <w:tab w:val="clear" w:pos="2160"/>
        <w:tab w:val="left" w:pos="5040"/>
      </w:tabs>
      <w:ind w:left="5040" w:hanging="3600"/>
    </w:pPr>
  </w:style>
  <w:style w:type="paragraph" w:customStyle="1" w:styleId="TOCTitle">
    <w:name w:val="TOC Title"/>
    <w:basedOn w:val="Normal"/>
    <w:rsid w:val="00EF63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636E"/>
    <w:pPr>
      <w:jc w:val="center"/>
    </w:pPr>
    <w:rPr>
      <w:rFonts w:ascii="Times New Roman Bold" w:hAnsi="Times New Roman Bold"/>
      <w:b/>
      <w:bCs/>
      <w:caps/>
      <w:szCs w:val="22"/>
    </w:rPr>
  </w:style>
  <w:style w:type="character" w:styleId="Hyperlink">
    <w:name w:val="Hyperlink"/>
    <w:rsid w:val="00EF636E"/>
    <w:rPr>
      <w:color w:val="0000FF"/>
      <w:u w:val="single"/>
    </w:rPr>
  </w:style>
  <w:style w:type="character" w:customStyle="1" w:styleId="FooterChar">
    <w:name w:val="Footer Char"/>
    <w:link w:val="Footer"/>
    <w:uiPriority w:val="99"/>
    <w:rsid w:val="00EF636E"/>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Strong">
    <w:name w:val="Strong"/>
    <w:qFormat/>
    <w:rsid w:val="007035B1"/>
    <w:rPr>
      <w:b/>
      <w:bCs/>
    </w:rPr>
  </w:style>
  <w:style w:type="character" w:customStyle="1" w:styleId="enumxml">
    <w:name w:val="enumxml"/>
    <w:basedOn w:val="DefaultParagraphFont"/>
    <w:rsid w:val="00BC28F2"/>
  </w:style>
  <w:style w:type="character" w:customStyle="1" w:styleId="cf01">
    <w:name w:val="cf01"/>
    <w:rsid w:val="00F17E1A"/>
    <w:rPr>
      <w:rFonts w:ascii="Segoe UI" w:hAnsi="Segoe UI" w:cs="Segoe UI" w:hint="default"/>
      <w:sz w:val="18"/>
      <w:szCs w:val="18"/>
    </w:rPr>
  </w:style>
  <w:style w:type="character" w:styleId="FollowedHyperlink">
    <w:name w:val="FollowedHyperlink"/>
    <w:rsid w:val="00C41F38"/>
    <w:rPr>
      <w:color w:val="954F72"/>
      <w:u w:val="single"/>
    </w:rPr>
  </w:style>
  <w:style w:type="paragraph" w:customStyle="1" w:styleId="xmsonormal">
    <w:name w:val="x_msonormal"/>
    <w:basedOn w:val="Normal"/>
    <w:rsid w:val="000C4532"/>
    <w:pPr>
      <w:widowControl/>
      <w:spacing w:before="100" w:beforeAutospacing="1" w:after="100" w:afterAutospacing="1"/>
    </w:pPr>
    <w:rPr>
      <w:rFonts w:ascii="Calibri" w:eastAsia="Calibri" w:hAnsi="Calibri" w:cs="Calibri"/>
      <w:snapToGrid/>
      <w:kern w:val="0"/>
      <w:szCs w:val="22"/>
    </w:rPr>
  </w:style>
  <w:style w:type="character" w:styleId="Mention">
    <w:name w:val="Mention"/>
    <w:basedOn w:val="DefaultParagraphFont"/>
    <w:uiPriority w:val="99"/>
    <w:unhideWhenUsed/>
    <w:rsid w:val="001707C5"/>
    <w:rPr>
      <w:color w:val="2B579A"/>
      <w:shd w:val="clear" w:color="auto" w:fill="E1DFDD"/>
    </w:rPr>
  </w:style>
  <w:style w:type="character" w:customStyle="1" w:styleId="ui-provider">
    <w:name w:val="ui-provider"/>
    <w:basedOn w:val="DefaultParagraphFont"/>
    <w:rsid w:val="0046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daniel.stepanicich@fcc.gov" TargetMode="External" /><Relationship Id="rId7" Type="http://schemas.openxmlformats.org/officeDocument/2006/relationships/hyperlink" Target="mailto:jessica.manue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95607A1.pdf" TargetMode="External" /><Relationship Id="rId10" Type="http://schemas.openxmlformats.org/officeDocument/2006/relationships/hyperlink" Target="https://fccprod.servicenowservices.com/rmd?id=rmd_form&amp;table=x_g_fmc_rmd_robocall_mitigation_database&amp;sys_id=1e1084661ba6bc107ccf20ecac4bcb93&amp;view=sp" TargetMode="External" /><Relationship Id="rId11" Type="http://schemas.openxmlformats.org/officeDocument/2006/relationships/hyperlink" Target="https://in.linkedin.com/in/kaushal-bhavsar-a69a3a255" TargetMode="External" /><Relationship Id="rId12" Type="http://schemas.openxmlformats.org/officeDocument/2006/relationships/hyperlink" Target="https://apps.fcc.gov/cgb/form499/499detail.cfm?FilerNum=834729" TargetMode="External" /><Relationship Id="rId13" Type="http://schemas.openxmlformats.org/officeDocument/2006/relationships/hyperlink" Target="https://fccprod.servicenowservices.com/rmd?id=rmd_form&amp;table=x_g_fmc_rmd_robocall_mitigation_database&amp;sys_id=9e1373b31b53b0107ccf20ecac4bcb3b&amp;view=sp" TargetMode="External" /><Relationship Id="rId2" Type="http://schemas.openxmlformats.org/officeDocument/2006/relationships/hyperlink" Target="file:///C:\Users\Loyaan.Egal\AppData\Local\Microsoft\Windows\INetCache\Content.Outlook\80BS4G72\See" TargetMode="External" /><Relationship Id="rId3" Type="http://schemas.openxmlformats.org/officeDocument/2006/relationships/hyperlink" Target="https://docs.fcc.gov/public/attachments/DOC-376749A1.pdf" TargetMode="External" /><Relationship Id="rId4" Type="http://schemas.openxmlformats.org/officeDocument/2006/relationships/hyperlink" Target="https://docs.fcc.gov/public/attachments/DOC-391103A1.pdf" TargetMode="External" /><Relationship Id="rId5" Type="http://schemas.openxmlformats.org/officeDocument/2006/relationships/hyperlink" Target="https://www.linkedin.com/in/aashay-khandelwal-ab6179238" TargetMode="External" /><Relationship Id="rId6" Type="http://schemas.openxmlformats.org/officeDocument/2006/relationships/hyperlink" Target="https://fccprod.servicenowservices.com/rmd?id=rmd_form&amp;table=x_g_fmc_rmd_robocall_mitigation_database&amp;sys_id=b1ab8b061bcb4110823a419ae54bcb64&amp;view=sp" TargetMode="External" /><Relationship Id="rId7" Type="http://schemas.openxmlformats.org/officeDocument/2006/relationships/hyperlink" Target="https://www.illumtelecommunication.com/" TargetMode="External" /><Relationship Id="rId8" Type="http://schemas.openxmlformats.org/officeDocument/2006/relationships/hyperlink" Target="http://www.instagram.com/julyabarross_/" TargetMode="External" /><Relationship Id="rId9" Type="http://schemas.openxmlformats.org/officeDocument/2006/relationships/hyperlink" Target="https://ae.linkedin.com/in/julya-barros-928008245"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