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FAE124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400CF3E" w14:textId="77777777">
      <w:pPr>
        <w:pStyle w:val="StyleBoldCentered"/>
      </w:pPr>
      <w:r>
        <w:t>F</w:t>
      </w:r>
      <w:r>
        <w:rPr>
          <w:caps w:val="0"/>
        </w:rPr>
        <w:t>ederal Communications Commission</w:t>
      </w:r>
    </w:p>
    <w:p w:rsidR="004C2EE3" w:rsidP="00096D8C" w14:paraId="4E1B4B00" w14:textId="77777777">
      <w:pPr>
        <w:pStyle w:val="StyleBoldCentered"/>
      </w:pPr>
      <w:r>
        <w:rPr>
          <w:caps w:val="0"/>
        </w:rPr>
        <w:t>Washington, D.C. 20554</w:t>
      </w:r>
    </w:p>
    <w:p w:rsidR="004C2EE3" w:rsidP="0070224F" w14:paraId="081911CD" w14:textId="77777777"/>
    <w:p w:rsidR="004C2EE3" w:rsidP="0070224F" w14:paraId="44CC8DEF" w14:textId="77777777"/>
    <w:tbl>
      <w:tblPr>
        <w:tblW w:w="0" w:type="auto"/>
        <w:tblLayout w:type="fixed"/>
        <w:tblLook w:val="0000"/>
      </w:tblPr>
      <w:tblGrid>
        <w:gridCol w:w="4698"/>
        <w:gridCol w:w="630"/>
        <w:gridCol w:w="4248"/>
      </w:tblGrid>
      <w:tr w14:paraId="70FE5E07" w14:textId="77777777">
        <w:tblPrEx>
          <w:tblW w:w="0" w:type="auto"/>
          <w:tblLayout w:type="fixed"/>
          <w:tblLook w:val="0000"/>
        </w:tblPrEx>
        <w:tc>
          <w:tcPr>
            <w:tcW w:w="4698" w:type="dxa"/>
          </w:tcPr>
          <w:p w:rsidR="004C2EE3" w14:paraId="766DE6F5" w14:textId="77777777">
            <w:pPr>
              <w:tabs>
                <w:tab w:val="center" w:pos="4680"/>
              </w:tabs>
              <w:suppressAutoHyphens/>
              <w:rPr>
                <w:spacing w:val="-2"/>
              </w:rPr>
            </w:pPr>
            <w:r>
              <w:rPr>
                <w:spacing w:val="-2"/>
              </w:rPr>
              <w:t>In the Matter of</w:t>
            </w:r>
          </w:p>
          <w:p w:rsidR="004C2EE3" w14:paraId="71423CBD" w14:textId="77777777">
            <w:pPr>
              <w:tabs>
                <w:tab w:val="center" w:pos="4680"/>
              </w:tabs>
              <w:suppressAutoHyphens/>
              <w:rPr>
                <w:spacing w:val="-2"/>
              </w:rPr>
            </w:pPr>
          </w:p>
          <w:p w:rsidR="002117B2" w:rsidRPr="002117B2" w:rsidP="002117B2" w14:paraId="3E81CE83" w14:textId="77777777">
            <w:pPr>
              <w:widowControl/>
              <w:tabs>
                <w:tab w:val="center" w:pos="4680"/>
              </w:tabs>
              <w:suppressAutoHyphens/>
              <w:spacing w:after="160" w:line="259" w:lineRule="auto"/>
              <w:rPr>
                <w:rFonts w:eastAsia="Calibri"/>
                <w:snapToGrid/>
                <w:spacing w:val="-2"/>
                <w:kern w:val="2"/>
                <w:szCs w:val="22"/>
              </w:rPr>
            </w:pPr>
            <w:r w:rsidRPr="002117B2">
              <w:rPr>
                <w:rFonts w:eastAsia="Calibri"/>
                <w:snapToGrid/>
                <w:kern w:val="2"/>
                <w:szCs w:val="22"/>
              </w:rPr>
              <w:t xml:space="preserve">Assurance Wireless USA, LP, f/k/a Virgin Mobile USA, L.P., </w:t>
            </w:r>
            <w:r w:rsidRPr="002117B2">
              <w:rPr>
                <w:rFonts w:eastAsia="Calibri"/>
                <w:snapToGrid/>
                <w:spacing w:val="-2"/>
                <w:kern w:val="2"/>
                <w:szCs w:val="22"/>
              </w:rPr>
              <w:t>Sprint Corporation, and T-Mobile US, Inc.</w:t>
            </w:r>
          </w:p>
          <w:p w:rsidR="004C2EE3" w:rsidRPr="007115F7" w:rsidP="007115F7" w14:paraId="152102B1" w14:textId="0F5B5969">
            <w:pPr>
              <w:tabs>
                <w:tab w:val="center" w:pos="4680"/>
              </w:tabs>
              <w:suppressAutoHyphens/>
              <w:rPr>
                <w:spacing w:val="-2"/>
              </w:rPr>
            </w:pPr>
          </w:p>
        </w:tc>
        <w:tc>
          <w:tcPr>
            <w:tcW w:w="630" w:type="dxa"/>
          </w:tcPr>
          <w:p w:rsidR="004C2EE3" w14:paraId="2E7106A9" w14:textId="77777777">
            <w:pPr>
              <w:tabs>
                <w:tab w:val="center" w:pos="4680"/>
              </w:tabs>
              <w:suppressAutoHyphens/>
              <w:rPr>
                <w:b/>
                <w:spacing w:val="-2"/>
              </w:rPr>
            </w:pPr>
            <w:r>
              <w:rPr>
                <w:b/>
                <w:spacing w:val="-2"/>
              </w:rPr>
              <w:t>)</w:t>
            </w:r>
          </w:p>
          <w:p w:rsidR="004C2EE3" w14:paraId="41194A60" w14:textId="77777777">
            <w:pPr>
              <w:tabs>
                <w:tab w:val="center" w:pos="4680"/>
              </w:tabs>
              <w:suppressAutoHyphens/>
              <w:rPr>
                <w:b/>
                <w:spacing w:val="-2"/>
              </w:rPr>
            </w:pPr>
            <w:r>
              <w:rPr>
                <w:b/>
                <w:spacing w:val="-2"/>
              </w:rPr>
              <w:t>)</w:t>
            </w:r>
          </w:p>
          <w:p w:rsidR="004C2EE3" w14:paraId="02471B92" w14:textId="77777777">
            <w:pPr>
              <w:tabs>
                <w:tab w:val="center" w:pos="4680"/>
              </w:tabs>
              <w:suppressAutoHyphens/>
              <w:rPr>
                <w:b/>
                <w:spacing w:val="-2"/>
              </w:rPr>
            </w:pPr>
            <w:r>
              <w:rPr>
                <w:b/>
                <w:spacing w:val="-2"/>
              </w:rPr>
              <w:t>)</w:t>
            </w:r>
          </w:p>
          <w:p w:rsidR="004C2EE3" w14:paraId="7CF96995" w14:textId="77777777">
            <w:pPr>
              <w:tabs>
                <w:tab w:val="center" w:pos="4680"/>
              </w:tabs>
              <w:suppressAutoHyphens/>
              <w:rPr>
                <w:b/>
                <w:spacing w:val="-2"/>
              </w:rPr>
            </w:pPr>
            <w:r>
              <w:rPr>
                <w:b/>
                <w:spacing w:val="-2"/>
              </w:rPr>
              <w:t>)</w:t>
            </w:r>
          </w:p>
          <w:p w:rsidR="004C2EE3" w14:paraId="07546628" w14:textId="77777777">
            <w:pPr>
              <w:tabs>
                <w:tab w:val="center" w:pos="4680"/>
              </w:tabs>
              <w:suppressAutoHyphens/>
              <w:rPr>
                <w:b/>
                <w:spacing w:val="-2"/>
              </w:rPr>
            </w:pPr>
            <w:r>
              <w:rPr>
                <w:b/>
                <w:spacing w:val="-2"/>
              </w:rPr>
              <w:t>)</w:t>
            </w:r>
          </w:p>
          <w:p w:rsidR="004C2EE3" w14:paraId="4BDFBBA9" w14:textId="77777777">
            <w:pPr>
              <w:tabs>
                <w:tab w:val="center" w:pos="4680"/>
              </w:tabs>
              <w:suppressAutoHyphens/>
              <w:rPr>
                <w:b/>
                <w:spacing w:val="-2"/>
              </w:rPr>
            </w:pPr>
            <w:r>
              <w:rPr>
                <w:b/>
                <w:spacing w:val="-2"/>
              </w:rPr>
              <w:t>)</w:t>
            </w:r>
          </w:p>
          <w:p w:rsidR="004C2EE3" w14:paraId="612F25E6" w14:textId="77777777">
            <w:pPr>
              <w:tabs>
                <w:tab w:val="center" w:pos="4680"/>
              </w:tabs>
              <w:suppressAutoHyphens/>
              <w:rPr>
                <w:b/>
                <w:spacing w:val="-2"/>
              </w:rPr>
            </w:pPr>
            <w:r>
              <w:rPr>
                <w:b/>
                <w:spacing w:val="-2"/>
              </w:rPr>
              <w:t>)</w:t>
            </w:r>
          </w:p>
          <w:p w:rsidR="004C2EE3" w14:paraId="68CDCAC9" w14:textId="77777777">
            <w:pPr>
              <w:tabs>
                <w:tab w:val="center" w:pos="4680"/>
              </w:tabs>
              <w:suppressAutoHyphens/>
              <w:rPr>
                <w:b/>
                <w:spacing w:val="-2"/>
              </w:rPr>
            </w:pPr>
            <w:r>
              <w:rPr>
                <w:b/>
                <w:spacing w:val="-2"/>
              </w:rPr>
              <w:t>)</w:t>
            </w:r>
          </w:p>
          <w:p w:rsidR="004C2EE3" w14:paraId="39E95FE1" w14:textId="77777777">
            <w:pPr>
              <w:tabs>
                <w:tab w:val="center" w:pos="4680"/>
              </w:tabs>
              <w:suppressAutoHyphens/>
              <w:rPr>
                <w:spacing w:val="-2"/>
              </w:rPr>
            </w:pPr>
            <w:r>
              <w:rPr>
                <w:b/>
                <w:spacing w:val="-2"/>
              </w:rPr>
              <w:t>)</w:t>
            </w:r>
          </w:p>
        </w:tc>
        <w:tc>
          <w:tcPr>
            <w:tcW w:w="4248" w:type="dxa"/>
          </w:tcPr>
          <w:p w:rsidR="004C2EE3" w14:paraId="491012EE" w14:textId="77777777">
            <w:pPr>
              <w:tabs>
                <w:tab w:val="center" w:pos="4680"/>
              </w:tabs>
              <w:suppressAutoHyphens/>
              <w:rPr>
                <w:spacing w:val="-2"/>
              </w:rPr>
            </w:pPr>
          </w:p>
          <w:p w:rsidR="004C2EE3" w14:paraId="08B30649" w14:textId="77777777">
            <w:pPr>
              <w:pStyle w:val="TOAHeading"/>
              <w:tabs>
                <w:tab w:val="center" w:pos="4680"/>
                <w:tab w:val="clear" w:pos="9360"/>
              </w:tabs>
              <w:rPr>
                <w:spacing w:val="-2"/>
              </w:rPr>
            </w:pPr>
          </w:p>
          <w:p w:rsidR="002117B2" w:rsidRPr="002117B2" w:rsidP="002117B2" w14:paraId="10171AE8" w14:textId="77777777">
            <w:pPr>
              <w:widowControl/>
              <w:tabs>
                <w:tab w:val="center" w:pos="4680"/>
              </w:tabs>
              <w:suppressAutoHyphens/>
              <w:spacing w:after="160" w:line="259" w:lineRule="auto"/>
              <w:rPr>
                <w:rFonts w:eastAsia="Calibri"/>
                <w:snapToGrid/>
                <w:spacing w:val="-2"/>
                <w:kern w:val="2"/>
                <w:szCs w:val="22"/>
              </w:rPr>
            </w:pPr>
            <w:r w:rsidRPr="002117B2">
              <w:rPr>
                <w:rFonts w:eastAsia="Calibri"/>
                <w:snapToGrid/>
                <w:spacing w:val="-2"/>
                <w:kern w:val="2"/>
                <w:szCs w:val="22"/>
              </w:rPr>
              <w:t>File No.:  EB-IHD-19-00028966</w:t>
            </w:r>
          </w:p>
          <w:p w:rsidR="002117B2" w:rsidRPr="002117B2" w:rsidP="002117B2" w14:paraId="616FE0C4" w14:textId="77777777">
            <w:pPr>
              <w:widowControl/>
              <w:spacing w:after="160" w:line="259" w:lineRule="auto"/>
              <w:rPr>
                <w:rFonts w:eastAsia="Calibri"/>
                <w:snapToGrid/>
                <w:spacing w:val="-2"/>
                <w:kern w:val="2"/>
                <w:szCs w:val="22"/>
              </w:rPr>
            </w:pPr>
            <w:r w:rsidRPr="002117B2">
              <w:rPr>
                <w:rFonts w:eastAsia="Calibri"/>
                <w:snapToGrid/>
                <w:spacing w:val="-2"/>
                <w:kern w:val="2"/>
                <w:szCs w:val="22"/>
              </w:rPr>
              <w:t>Acct. No.:  202132080011</w:t>
            </w:r>
          </w:p>
          <w:p w:rsidR="004C2EE3" w:rsidP="002117B2" w14:paraId="5704DF7B" w14:textId="1C0E98AC">
            <w:pPr>
              <w:tabs>
                <w:tab w:val="center" w:pos="4680"/>
              </w:tabs>
              <w:suppressAutoHyphens/>
              <w:rPr>
                <w:spacing w:val="-2"/>
              </w:rPr>
            </w:pPr>
            <w:r w:rsidRPr="002117B2">
              <w:rPr>
                <w:rFonts w:eastAsia="Calibri"/>
                <w:snapToGrid/>
                <w:kern w:val="2"/>
                <w:szCs w:val="22"/>
              </w:rPr>
              <w:t>FRN:  0014194476</w:t>
            </w:r>
          </w:p>
        </w:tc>
      </w:tr>
    </w:tbl>
    <w:p w:rsidR="004C2EE3" w:rsidP="0070224F" w14:paraId="696A2568" w14:textId="77777777"/>
    <w:p w:rsidR="00841AB1" w:rsidP="00F021FA" w14:paraId="2829F228" w14:textId="0EDE578E">
      <w:pPr>
        <w:pStyle w:val="StyleBoldCentered"/>
      </w:pPr>
      <w:r>
        <w:t>Order</w:t>
      </w:r>
    </w:p>
    <w:p w:rsidR="004C2EE3" w14:paraId="6C3BA72B" w14:textId="77777777">
      <w:pPr>
        <w:tabs>
          <w:tab w:val="left" w:pos="-720"/>
        </w:tabs>
        <w:suppressAutoHyphens/>
        <w:spacing w:line="227" w:lineRule="auto"/>
        <w:rPr>
          <w:spacing w:val="-2"/>
        </w:rPr>
      </w:pPr>
    </w:p>
    <w:p w:rsidR="004C2EE3" w:rsidP="00133F79" w14:paraId="47891721" w14:textId="6C4C1E2C">
      <w:pPr>
        <w:tabs>
          <w:tab w:val="left" w:pos="720"/>
          <w:tab w:val="right" w:pos="9360"/>
        </w:tabs>
        <w:suppressAutoHyphens/>
        <w:spacing w:line="227" w:lineRule="auto"/>
        <w:rPr>
          <w:spacing w:val="-2"/>
        </w:rPr>
      </w:pPr>
      <w:r>
        <w:rPr>
          <w:b/>
          <w:spacing w:val="-2"/>
        </w:rPr>
        <w:t xml:space="preserve">Adopted:  </w:t>
      </w:r>
      <w:r w:rsidR="002117B2">
        <w:rPr>
          <w:b/>
          <w:spacing w:val="-2"/>
        </w:rPr>
        <w:t xml:space="preserve">September 22, 2023 </w:t>
      </w:r>
      <w:r w:rsidR="002117B2">
        <w:rPr>
          <w:b/>
          <w:spacing w:val="-2"/>
        </w:rPr>
        <w:tab/>
        <w:t>Released:  September 22, 2023</w:t>
      </w:r>
    </w:p>
    <w:p w:rsidR="00822CE0" w14:paraId="7149263A" w14:textId="77777777"/>
    <w:p w:rsidR="004C2EE3" w14:paraId="1E4C65B9" w14:textId="7AD194B4">
      <w:pPr>
        <w:rPr>
          <w:spacing w:val="-2"/>
        </w:rPr>
      </w:pPr>
      <w:r>
        <w:t xml:space="preserve">By </w:t>
      </w:r>
      <w:r w:rsidR="004E4A22">
        <w:t>the</w:t>
      </w:r>
      <w:r w:rsidR="002A2D2E">
        <w:t xml:space="preserve"> </w:t>
      </w:r>
      <w:r w:rsidR="002117B2">
        <w:rPr>
          <w:spacing w:val="-2"/>
        </w:rPr>
        <w:t>Chief, Enforcement Bureau</w:t>
      </w:r>
      <w:r w:rsidR="00441F7C">
        <w:rPr>
          <w:spacing w:val="-2"/>
        </w:rPr>
        <w:t>:</w:t>
      </w:r>
    </w:p>
    <w:p w:rsidR="00822CE0" w14:paraId="73E73E59" w14:textId="77777777">
      <w:pPr>
        <w:rPr>
          <w:spacing w:val="-2"/>
        </w:rPr>
      </w:pPr>
    </w:p>
    <w:p w:rsidR="002117B2" w:rsidRPr="00A453F0" w:rsidP="002117B2" w14:paraId="776D6BD7" w14:textId="6AF7D492">
      <w:pPr>
        <w:pStyle w:val="ParaNum"/>
        <w:widowControl/>
        <w:numPr>
          <w:ilvl w:val="0"/>
          <w:numId w:val="7"/>
        </w:numPr>
        <w:tabs>
          <w:tab w:val="clear" w:pos="1080"/>
          <w:tab w:val="left" w:pos="1440"/>
        </w:tabs>
        <w:rPr>
          <w:color w:val="000000"/>
        </w:rPr>
      </w:pPr>
      <w:r w:rsidRPr="00A453F0">
        <w:t xml:space="preserve">The Enforcement Bureau (Bureau) of the Federal Communications Commission has </w:t>
      </w:r>
      <w:r>
        <w:t xml:space="preserve">agreed to amend the terms of its 2020 Consent Decree with </w:t>
      </w:r>
      <w:r w:rsidRPr="00A453F0">
        <w:rPr>
          <w:spacing w:val="-2"/>
        </w:rPr>
        <w:t>T-Mobile US, Inc., doing business as Assurance Wireless USA, L.P. (T-Mobile</w:t>
      </w:r>
      <w:r w:rsidRPr="00A453F0">
        <w:t xml:space="preserve"> or the C</w:t>
      </w:r>
      <w:r w:rsidRPr="00A453F0">
        <w:rPr>
          <w:spacing w:val="-2"/>
        </w:rPr>
        <w:t>ompany)</w:t>
      </w:r>
      <w:r>
        <w:rPr>
          <w:spacing w:val="-2"/>
        </w:rPr>
        <w:t xml:space="preserve"> to resolve </w:t>
      </w:r>
      <w:r>
        <w:t xml:space="preserve">the Bureau’s </w:t>
      </w:r>
      <w:r w:rsidRPr="00A453F0">
        <w:t xml:space="preserve">investigation into whether </w:t>
      </w:r>
      <w:r w:rsidRPr="00A453F0">
        <w:rPr>
          <w:spacing w:val="-2"/>
        </w:rPr>
        <w:t xml:space="preserve">T-Mobile </w:t>
      </w:r>
      <w:r w:rsidRPr="00A453F0">
        <w:t>had violated the Commission’s Lifeline rules regarding the submission of claims for ineligible subscribers due to non-usage</w:t>
      </w:r>
      <w:r>
        <w:t xml:space="preserve"> after the effective date of the</w:t>
      </w:r>
      <w:r w:rsidR="002911FD">
        <w:t xml:space="preserve"> </w:t>
      </w:r>
      <w:r w:rsidR="009121BD">
        <w:t>2</w:t>
      </w:r>
      <w:r w:rsidRPr="00A453F0">
        <w:t>020 Consent Decree.</w:t>
      </w:r>
      <w:r w:rsidRPr="00A453F0">
        <w:rPr>
          <w:color w:val="000000"/>
        </w:rPr>
        <w:t xml:space="preserve">  </w:t>
      </w:r>
      <w:r w:rsidRPr="00A453F0">
        <w:t>To settle this matter, T-Mobile, or any party acting on its behalf</w:t>
      </w:r>
      <w:r>
        <w:t>,</w:t>
      </w:r>
      <w:r w:rsidRPr="00A453F0">
        <w:t xml:space="preserve"> shall pay a</w:t>
      </w:r>
      <w:r>
        <w:t>n additional</w:t>
      </w:r>
      <w:r w:rsidRPr="00A453F0">
        <w:t xml:space="preserve"> </w:t>
      </w:r>
      <w:r w:rsidRPr="00A453F0">
        <w:rPr>
          <w:rFonts w:eastAsia="MS Mincho"/>
        </w:rPr>
        <w:t xml:space="preserve">seven million five hundred thousand dollars ($7,500,000) </w:t>
      </w:r>
      <w:r>
        <w:rPr>
          <w:rFonts w:eastAsia="MS Mincho"/>
        </w:rPr>
        <w:t>civil penalty</w:t>
      </w:r>
      <w:r w:rsidRPr="00A453F0">
        <w:rPr>
          <w:rFonts w:eastAsia="MS Mincho"/>
        </w:rPr>
        <w:t>.</w:t>
      </w:r>
    </w:p>
    <w:p w:rsidR="002117B2" w:rsidRPr="00D84548" w:rsidP="002117B2" w14:paraId="3BCF143C" w14:textId="77777777">
      <w:pPr>
        <w:pStyle w:val="ParaNum"/>
        <w:widowControl/>
        <w:numPr>
          <w:ilvl w:val="0"/>
          <w:numId w:val="7"/>
        </w:numPr>
        <w:tabs>
          <w:tab w:val="clear" w:pos="1080"/>
          <w:tab w:val="left" w:pos="1440"/>
        </w:tabs>
      </w:pPr>
      <w:r w:rsidRPr="00A453F0">
        <w:t>After reviewing the terms of the Consent Decree Amendment and evaluating the facts before us, we find that the public interest</w:t>
      </w:r>
      <w:r w:rsidRPr="00692CF2">
        <w:t xml:space="preserve"> would be served by adopting the Consent Decree </w:t>
      </w:r>
      <w:r>
        <w:t xml:space="preserve">Amendment </w:t>
      </w:r>
      <w:r w:rsidRPr="00692CF2">
        <w:t>and terminating the referenced investigation regarding T-Mobile’s compliance with the Commission’s lifeline rules regarding the receipt of Lifeline support for ineligible subscribers, including sections 54.405(e)(3), 54.407(a), 54.410(a), 54.410(b), or 54.410(c) of the Commission’s rules.</w:t>
      </w:r>
      <w:r>
        <w:rPr>
          <w:rStyle w:val="FootnoteReference"/>
          <w:sz w:val="22"/>
        </w:rPr>
        <w:footnoteReference w:id="3"/>
      </w:r>
    </w:p>
    <w:p w:rsidR="002117B2" w:rsidRPr="00692CF2" w:rsidP="002117B2" w14:paraId="124828D4" w14:textId="77777777">
      <w:pPr>
        <w:pStyle w:val="ParaNum"/>
        <w:widowControl/>
        <w:numPr>
          <w:ilvl w:val="0"/>
          <w:numId w:val="7"/>
        </w:numPr>
        <w:tabs>
          <w:tab w:val="clear" w:pos="1080"/>
          <w:tab w:val="left" w:pos="1440"/>
        </w:tabs>
        <w:spacing w:line="259" w:lineRule="auto"/>
      </w:pPr>
      <w:r w:rsidRPr="00692CF2">
        <w:t xml:space="preserve">In the absence of material new evidence relating to this matter, we do not set for hearing the question of </w:t>
      </w:r>
      <w:r>
        <w:t>T-Mobile</w:t>
      </w:r>
      <w:r w:rsidRPr="00692CF2">
        <w:t>’s basic qualifications to hold or obtain any Commission license or authorization.</w:t>
      </w:r>
      <w:r>
        <w:rPr>
          <w:rStyle w:val="FootnoteReference"/>
          <w:sz w:val="22"/>
        </w:rPr>
        <w:footnoteReference w:id="4"/>
      </w:r>
    </w:p>
    <w:p w:rsidR="002117B2" w:rsidRPr="00212BC1" w:rsidP="002117B2" w14:paraId="7552F71F" w14:textId="77777777">
      <w:pPr>
        <w:pStyle w:val="ParaNum"/>
        <w:widowControl/>
        <w:numPr>
          <w:ilvl w:val="0"/>
          <w:numId w:val="7"/>
        </w:numPr>
        <w:tabs>
          <w:tab w:val="clear" w:pos="1080"/>
          <w:tab w:val="left" w:pos="1440"/>
        </w:tabs>
        <w:spacing w:line="259" w:lineRule="auto"/>
      </w:pPr>
      <w:r w:rsidRPr="00212BC1">
        <w:t xml:space="preserve">Accordingly, </w:t>
      </w:r>
      <w:r w:rsidRPr="00212BC1">
        <w:rPr>
          <w:b/>
        </w:rPr>
        <w:t xml:space="preserve">IT IS ORDERED </w:t>
      </w:r>
      <w:r w:rsidRPr="00212BC1">
        <w:t>that, pursuant to section 4(i)</w:t>
      </w:r>
      <w:r>
        <w:t xml:space="preserve"> </w:t>
      </w:r>
      <w:r w:rsidRPr="00212BC1">
        <w:t>of the Act</w:t>
      </w:r>
      <w:r>
        <w:t xml:space="preserve">, 47 U.S.C. </w:t>
      </w:r>
      <w:r w:rsidRPr="00D84548">
        <w:t>§</w:t>
      </w:r>
      <w:r>
        <w:t xml:space="preserve"> 154(i),</w:t>
      </w:r>
      <w:r w:rsidRPr="00212BC1">
        <w:t xml:space="preserve"> and the authority delegated by sections 0.111 and 0.311 of the Commission’s rules,</w:t>
      </w:r>
      <w:r>
        <w:t xml:space="preserve"> </w:t>
      </w:r>
      <w:r w:rsidRPr="00E771DA">
        <w:t>47 CFR §§ 0.111</w:t>
      </w:r>
      <w:r>
        <w:t>, 0.311,</w:t>
      </w:r>
      <w:r w:rsidRPr="00212BC1">
        <w:t xml:space="preserve"> the attached Consent Decr</w:t>
      </w:r>
      <w:r>
        <w:t>e</w:t>
      </w:r>
      <w:r w:rsidRPr="00212BC1">
        <w:t>e</w:t>
      </w:r>
      <w:r>
        <w:t xml:space="preserve"> Amendment</w:t>
      </w:r>
      <w:r w:rsidRPr="00212BC1">
        <w:t xml:space="preserve"> </w:t>
      </w:r>
      <w:r w:rsidRPr="00212BC1">
        <w:rPr>
          <w:b/>
        </w:rPr>
        <w:t xml:space="preserve">IS ADOPTED </w:t>
      </w:r>
      <w:r w:rsidRPr="00212BC1">
        <w:t>and its terms incorporated by reference.</w:t>
      </w:r>
    </w:p>
    <w:p w:rsidR="002117B2" w:rsidRPr="00692CF2" w:rsidP="002117B2" w14:paraId="0ADF639D" w14:textId="77777777">
      <w:pPr>
        <w:pStyle w:val="ParaNum"/>
        <w:widowControl/>
        <w:numPr>
          <w:ilvl w:val="0"/>
          <w:numId w:val="7"/>
        </w:numPr>
        <w:tabs>
          <w:tab w:val="clear" w:pos="1080"/>
          <w:tab w:val="left" w:pos="1440"/>
        </w:tabs>
        <w:spacing w:line="259" w:lineRule="auto"/>
        <w:rPr>
          <w:b/>
        </w:rPr>
      </w:pPr>
      <w:r w:rsidRPr="00212BC1">
        <w:rPr>
          <w:b/>
        </w:rPr>
        <w:t>IT IS FURTHER ORDERED</w:t>
      </w:r>
      <w:r w:rsidRPr="00212BC1">
        <w:t xml:space="preserve"> that the above-captioned matter </w:t>
      </w:r>
      <w:r w:rsidRPr="00212BC1">
        <w:rPr>
          <w:b/>
        </w:rPr>
        <w:t xml:space="preserve">IS TERMINATED </w:t>
      </w:r>
      <w:r w:rsidRPr="00212BC1">
        <w:t xml:space="preserve">in accordance </w:t>
      </w:r>
      <w:r w:rsidRPr="00692CF2">
        <w:t>with the terms of the attached Consent Decree</w:t>
      </w:r>
      <w:r>
        <w:t xml:space="preserve"> Amendment</w:t>
      </w:r>
      <w:r w:rsidRPr="00692CF2">
        <w:t>.</w:t>
      </w:r>
    </w:p>
    <w:p w:rsidR="002117B2" w:rsidRPr="00692CF2" w:rsidP="002117B2" w14:paraId="36FD418C" w14:textId="77777777">
      <w:pPr>
        <w:pStyle w:val="ParaNum"/>
        <w:widowControl/>
        <w:numPr>
          <w:ilvl w:val="0"/>
          <w:numId w:val="7"/>
        </w:numPr>
        <w:tabs>
          <w:tab w:val="clear" w:pos="1080"/>
          <w:tab w:val="left" w:pos="1440"/>
        </w:tabs>
        <w:spacing w:line="259" w:lineRule="auto"/>
      </w:pPr>
      <w:r w:rsidRPr="00692CF2">
        <w:rPr>
          <w:b/>
        </w:rPr>
        <w:t>IT IS FURTHER ORDERED</w:t>
      </w:r>
      <w:r w:rsidRPr="00692CF2">
        <w:t xml:space="preserve"> that a copy of this Order and Consent Decree </w:t>
      </w:r>
      <w:r>
        <w:t xml:space="preserve">Amendment </w:t>
      </w:r>
      <w:r w:rsidRPr="002117B2">
        <w:rPr>
          <w:color w:val="000000"/>
        </w:rPr>
        <w:t xml:space="preserve">shall be sent by first class mail and certified mail, return receipt requested, </w:t>
      </w:r>
      <w:r w:rsidRPr="00692CF2">
        <w:t xml:space="preserve">to Michele K. </w:t>
      </w:r>
      <w:r w:rsidRPr="00692CF2">
        <w:t xml:space="preserve">Thomas, Esq., VP Regulatory – Government Affairs, </w:t>
      </w:r>
      <w:r w:rsidRPr="00692CF2">
        <w:rPr>
          <w:shd w:val="clear" w:color="auto" w:fill="FFFFFF"/>
        </w:rPr>
        <w:t xml:space="preserve">T-Mobile US, Inc., 601 Pennsylvania Avenue, NW, Suite 800, Washington, DC 20004 and to </w:t>
      </w:r>
      <w:r w:rsidRPr="00692CF2">
        <w:t>Patrick O’Donnell, Esq., Counsel to T-Mobile, Harris, Wiltshire &amp; Grannis LLP</w:t>
      </w:r>
      <w:r w:rsidRPr="00692CF2">
        <w:rPr>
          <w:bCs/>
        </w:rPr>
        <w:t xml:space="preserve">, </w:t>
      </w:r>
      <w:r w:rsidRPr="00692CF2">
        <w:t>1919 M Street NW, Suite 800, Washington, DC  20036</w:t>
      </w:r>
      <w:r w:rsidRPr="00692CF2">
        <w:rPr>
          <w:bCs/>
        </w:rPr>
        <w:t>.</w:t>
      </w:r>
    </w:p>
    <w:p w:rsidR="002117B2" w:rsidRPr="00212BC1" w:rsidP="002117B2" w14:paraId="2CC86496" w14:textId="77777777">
      <w:pPr>
        <w:pStyle w:val="ParaNum"/>
        <w:numPr>
          <w:ilvl w:val="0"/>
          <w:numId w:val="0"/>
        </w:numPr>
        <w:tabs>
          <w:tab w:val="left" w:pos="1440"/>
        </w:tabs>
        <w:spacing w:after="240"/>
        <w:ind w:left="720"/>
        <w:rPr>
          <w:b/>
        </w:rPr>
      </w:pPr>
    </w:p>
    <w:p w:rsidR="002117B2" w:rsidRPr="00212BC1" w:rsidP="002117B2" w14:paraId="1EC7A855" w14:textId="77777777">
      <w:pPr>
        <w:outlineLvl w:val="0"/>
        <w:rPr>
          <w:lang w:val="fr-FR"/>
        </w:rPr>
      </w:pPr>
      <w:r w:rsidRPr="00212BC1">
        <w:rPr>
          <w:lang w:val="fr-FR"/>
        </w:rPr>
        <w:tab/>
      </w:r>
      <w:r w:rsidRPr="00212BC1">
        <w:rPr>
          <w:lang w:val="fr-FR"/>
        </w:rPr>
        <w:tab/>
      </w:r>
      <w:r w:rsidRPr="00212BC1">
        <w:rPr>
          <w:lang w:val="fr-FR"/>
        </w:rPr>
        <w:tab/>
      </w:r>
      <w:r w:rsidRPr="00212BC1">
        <w:rPr>
          <w:lang w:val="fr-FR"/>
        </w:rPr>
        <w:tab/>
      </w:r>
      <w:r w:rsidRPr="00212BC1">
        <w:rPr>
          <w:lang w:val="fr-FR"/>
        </w:rPr>
        <w:tab/>
      </w:r>
      <w:r w:rsidRPr="00212BC1">
        <w:rPr>
          <w:lang w:val="fr-FR"/>
        </w:rPr>
        <w:tab/>
        <w:t>FEDERAL COMMUNICATIONS COMMISSION</w:t>
      </w:r>
    </w:p>
    <w:p w:rsidR="002117B2" w:rsidRPr="00212BC1" w:rsidP="002117B2" w14:paraId="6C91968C" w14:textId="77777777">
      <w:pPr>
        <w:rPr>
          <w:lang w:val="fr-FR"/>
        </w:rPr>
      </w:pPr>
    </w:p>
    <w:p w:rsidR="002117B2" w:rsidRPr="00212BC1" w:rsidP="002117B2" w14:paraId="2849789D" w14:textId="77777777">
      <w:pPr>
        <w:rPr>
          <w:lang w:val="fr-FR"/>
        </w:rPr>
      </w:pPr>
    </w:p>
    <w:p w:rsidR="002117B2" w:rsidRPr="00212BC1" w:rsidP="002117B2" w14:paraId="25A4ED56" w14:textId="77777777">
      <w:pPr>
        <w:rPr>
          <w:lang w:val="fr-FR"/>
        </w:rPr>
      </w:pPr>
    </w:p>
    <w:p w:rsidR="002117B2" w:rsidRPr="00212BC1" w:rsidP="002117B2" w14:paraId="4331CEF7" w14:textId="77777777">
      <w:pPr>
        <w:outlineLvl w:val="0"/>
        <w:rPr>
          <w:lang w:val="fr-FR"/>
        </w:rPr>
      </w:pPr>
    </w:p>
    <w:p w:rsidR="002117B2" w:rsidRPr="00212BC1" w:rsidP="002117B2" w14:paraId="68DDA196" w14:textId="77777777">
      <w:pPr>
        <w:outlineLvl w:val="0"/>
        <w:rPr>
          <w:lang w:val="fr-FR"/>
        </w:rPr>
      </w:pPr>
      <w:r w:rsidRPr="00212BC1">
        <w:rPr>
          <w:lang w:val="fr-FR"/>
        </w:rPr>
        <w:tab/>
      </w:r>
      <w:r w:rsidRPr="00212BC1">
        <w:rPr>
          <w:lang w:val="fr-FR"/>
        </w:rPr>
        <w:tab/>
      </w:r>
      <w:r w:rsidRPr="00212BC1">
        <w:rPr>
          <w:lang w:val="fr-FR"/>
        </w:rPr>
        <w:tab/>
      </w:r>
      <w:r w:rsidRPr="00212BC1">
        <w:rPr>
          <w:lang w:val="fr-FR"/>
        </w:rPr>
        <w:tab/>
      </w:r>
      <w:r w:rsidRPr="00212BC1">
        <w:rPr>
          <w:lang w:val="fr-FR"/>
        </w:rPr>
        <w:tab/>
      </w:r>
      <w:r w:rsidRPr="00212BC1">
        <w:rPr>
          <w:lang w:val="fr-FR"/>
        </w:rPr>
        <w:tab/>
        <w:t xml:space="preserve">Loyaan A. Egal </w:t>
      </w:r>
    </w:p>
    <w:p w:rsidR="002117B2" w:rsidRPr="00212BC1" w:rsidP="002117B2" w14:paraId="198CD8C0" w14:textId="77777777">
      <w:pPr>
        <w:outlineLvl w:val="0"/>
      </w:pPr>
      <w:r w:rsidRPr="00212BC1">
        <w:rPr>
          <w:lang w:val="fr-FR"/>
        </w:rPr>
        <w:tab/>
      </w:r>
      <w:r w:rsidRPr="00212BC1">
        <w:rPr>
          <w:lang w:val="fr-FR"/>
        </w:rPr>
        <w:tab/>
      </w:r>
      <w:r w:rsidRPr="00212BC1">
        <w:rPr>
          <w:lang w:val="fr-FR"/>
        </w:rPr>
        <w:tab/>
      </w:r>
      <w:r w:rsidRPr="00212BC1">
        <w:rPr>
          <w:lang w:val="fr-FR"/>
        </w:rPr>
        <w:tab/>
      </w:r>
      <w:r w:rsidRPr="00212BC1">
        <w:rPr>
          <w:lang w:val="fr-FR"/>
        </w:rPr>
        <w:tab/>
      </w:r>
      <w:r w:rsidRPr="00212BC1">
        <w:rPr>
          <w:lang w:val="fr-FR"/>
        </w:rPr>
        <w:tab/>
      </w:r>
      <w:r w:rsidRPr="00212BC1">
        <w:t xml:space="preserve">Chief </w:t>
      </w:r>
    </w:p>
    <w:p w:rsidR="00A85383" w:rsidP="002117B2" w14:paraId="00525A24" w14:textId="77777777">
      <w:pPr>
        <w:ind w:left="3600" w:firstLine="720"/>
        <w:outlineLvl w:val="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212BC1">
        <w:t>Enforcement Bureau</w:t>
      </w:r>
    </w:p>
    <w:p w:rsidR="00430292" w:rsidP="002117B2" w14:paraId="4B640EBF" w14:textId="68BC4A09">
      <w:pPr>
        <w:ind w:left="3600" w:firstLine="720"/>
        <w:outlineLvl w:val="0"/>
      </w:pPr>
    </w:p>
    <w:p w:rsidR="005E2C2D" w:rsidP="005E2C2D" w14:paraId="44C3A5C5" w14:textId="77777777">
      <w:pPr>
        <w:jc w:val="center"/>
        <w:rPr>
          <w:b/>
        </w:rPr>
      </w:pPr>
      <w:r w:rsidRPr="0070224F">
        <w:rPr>
          <w:rFonts w:ascii="Times New Roman Bold" w:hAnsi="Times New Roman Bold"/>
          <w:b/>
          <w:kern w:val="0"/>
          <w:szCs w:val="22"/>
        </w:rPr>
        <w:t>Before</w:t>
      </w:r>
      <w:r>
        <w:rPr>
          <w:b/>
        </w:rPr>
        <w:t xml:space="preserve"> the</w:t>
      </w:r>
    </w:p>
    <w:p w:rsidR="005E2C2D" w:rsidP="005E2C2D" w14:paraId="20BB4B03" w14:textId="77777777">
      <w:pPr>
        <w:pStyle w:val="StyleBoldCentered"/>
      </w:pPr>
      <w:r>
        <w:t>F</w:t>
      </w:r>
      <w:r>
        <w:rPr>
          <w:caps w:val="0"/>
        </w:rPr>
        <w:t>ederal Communications Commission</w:t>
      </w:r>
    </w:p>
    <w:p w:rsidR="005E2C2D" w:rsidP="005E2C2D" w14:paraId="4C3980C4" w14:textId="77777777">
      <w:pPr>
        <w:pStyle w:val="StyleBoldCentered"/>
      </w:pPr>
      <w:r>
        <w:rPr>
          <w:caps w:val="0"/>
        </w:rPr>
        <w:t>Washington, D.C. 20554</w:t>
      </w:r>
    </w:p>
    <w:p w:rsidR="005E2C2D" w:rsidP="005E2C2D" w14:paraId="550DAE67" w14:textId="77777777"/>
    <w:p w:rsidR="005E2C2D" w:rsidP="005E2C2D" w14:paraId="08E87F09" w14:textId="77777777"/>
    <w:tbl>
      <w:tblPr>
        <w:tblW w:w="0" w:type="auto"/>
        <w:tblLayout w:type="fixed"/>
        <w:tblLook w:val="0000"/>
      </w:tblPr>
      <w:tblGrid>
        <w:gridCol w:w="4698"/>
        <w:gridCol w:w="630"/>
        <w:gridCol w:w="4248"/>
      </w:tblGrid>
      <w:tr w14:paraId="72B2A0A3" w14:textId="77777777" w:rsidTr="00DB280F">
        <w:tblPrEx>
          <w:tblW w:w="0" w:type="auto"/>
          <w:tblLayout w:type="fixed"/>
          <w:tblLook w:val="0000"/>
        </w:tblPrEx>
        <w:tc>
          <w:tcPr>
            <w:tcW w:w="4698" w:type="dxa"/>
          </w:tcPr>
          <w:p w:rsidR="005E2C2D" w:rsidP="00DB280F" w14:paraId="5A5E3909" w14:textId="77777777">
            <w:pPr>
              <w:tabs>
                <w:tab w:val="center" w:pos="4680"/>
              </w:tabs>
              <w:suppressAutoHyphens/>
              <w:rPr>
                <w:spacing w:val="-2"/>
              </w:rPr>
            </w:pPr>
            <w:r>
              <w:rPr>
                <w:spacing w:val="-2"/>
              </w:rPr>
              <w:t>In the Matter of</w:t>
            </w:r>
          </w:p>
          <w:p w:rsidR="005E2C2D" w:rsidP="00DB280F" w14:paraId="6BBEF405" w14:textId="77777777">
            <w:pPr>
              <w:tabs>
                <w:tab w:val="center" w:pos="4680"/>
              </w:tabs>
              <w:suppressAutoHyphens/>
              <w:rPr>
                <w:spacing w:val="-2"/>
              </w:rPr>
            </w:pPr>
          </w:p>
          <w:p w:rsidR="005E2C2D" w:rsidRPr="002117B2" w:rsidP="00DB280F" w14:paraId="17A45749" w14:textId="77777777">
            <w:pPr>
              <w:widowControl/>
              <w:tabs>
                <w:tab w:val="center" w:pos="4680"/>
              </w:tabs>
              <w:suppressAutoHyphens/>
              <w:spacing w:after="160" w:line="259" w:lineRule="auto"/>
              <w:rPr>
                <w:rFonts w:eastAsia="Calibri"/>
                <w:snapToGrid/>
                <w:spacing w:val="-2"/>
                <w:kern w:val="2"/>
                <w:szCs w:val="22"/>
              </w:rPr>
            </w:pPr>
            <w:r w:rsidRPr="002117B2">
              <w:rPr>
                <w:rFonts w:eastAsia="Calibri"/>
                <w:snapToGrid/>
                <w:kern w:val="2"/>
                <w:szCs w:val="22"/>
              </w:rPr>
              <w:t xml:space="preserve">Assurance Wireless USA, LP, f/k/a Virgin Mobile USA, L.P., </w:t>
            </w:r>
            <w:r w:rsidRPr="002117B2">
              <w:rPr>
                <w:rFonts w:eastAsia="Calibri"/>
                <w:snapToGrid/>
                <w:spacing w:val="-2"/>
                <w:kern w:val="2"/>
                <w:szCs w:val="22"/>
              </w:rPr>
              <w:t>Sprint Corporation, and T-Mobile US, Inc.</w:t>
            </w:r>
          </w:p>
          <w:p w:rsidR="005E2C2D" w:rsidRPr="007115F7" w:rsidP="00DB280F" w14:paraId="16B53B8D" w14:textId="77777777">
            <w:pPr>
              <w:tabs>
                <w:tab w:val="center" w:pos="4680"/>
              </w:tabs>
              <w:suppressAutoHyphens/>
              <w:rPr>
                <w:spacing w:val="-2"/>
              </w:rPr>
            </w:pPr>
          </w:p>
        </w:tc>
        <w:tc>
          <w:tcPr>
            <w:tcW w:w="630" w:type="dxa"/>
          </w:tcPr>
          <w:p w:rsidR="005E2C2D" w:rsidP="00DB280F" w14:paraId="41BA5442" w14:textId="77777777">
            <w:pPr>
              <w:tabs>
                <w:tab w:val="center" w:pos="4680"/>
              </w:tabs>
              <w:suppressAutoHyphens/>
              <w:rPr>
                <w:b/>
                <w:spacing w:val="-2"/>
              </w:rPr>
            </w:pPr>
            <w:r>
              <w:rPr>
                <w:b/>
                <w:spacing w:val="-2"/>
              </w:rPr>
              <w:t>)</w:t>
            </w:r>
          </w:p>
          <w:p w:rsidR="005E2C2D" w:rsidP="00DB280F" w14:paraId="243F3F1F" w14:textId="77777777">
            <w:pPr>
              <w:tabs>
                <w:tab w:val="center" w:pos="4680"/>
              </w:tabs>
              <w:suppressAutoHyphens/>
              <w:rPr>
                <w:b/>
                <w:spacing w:val="-2"/>
              </w:rPr>
            </w:pPr>
            <w:r>
              <w:rPr>
                <w:b/>
                <w:spacing w:val="-2"/>
              </w:rPr>
              <w:t>)</w:t>
            </w:r>
          </w:p>
          <w:p w:rsidR="005E2C2D" w:rsidP="00DB280F" w14:paraId="29654541" w14:textId="77777777">
            <w:pPr>
              <w:tabs>
                <w:tab w:val="center" w:pos="4680"/>
              </w:tabs>
              <w:suppressAutoHyphens/>
              <w:rPr>
                <w:b/>
                <w:spacing w:val="-2"/>
              </w:rPr>
            </w:pPr>
            <w:r>
              <w:rPr>
                <w:b/>
                <w:spacing w:val="-2"/>
              </w:rPr>
              <w:t>)</w:t>
            </w:r>
          </w:p>
          <w:p w:rsidR="005E2C2D" w:rsidP="00DB280F" w14:paraId="2D1EA2E9" w14:textId="77777777">
            <w:pPr>
              <w:tabs>
                <w:tab w:val="center" w:pos="4680"/>
              </w:tabs>
              <w:suppressAutoHyphens/>
              <w:rPr>
                <w:b/>
                <w:spacing w:val="-2"/>
              </w:rPr>
            </w:pPr>
            <w:r>
              <w:rPr>
                <w:b/>
                <w:spacing w:val="-2"/>
              </w:rPr>
              <w:t>)</w:t>
            </w:r>
          </w:p>
          <w:p w:rsidR="005E2C2D" w:rsidP="00DB280F" w14:paraId="0B5C8563" w14:textId="77777777">
            <w:pPr>
              <w:tabs>
                <w:tab w:val="center" w:pos="4680"/>
              </w:tabs>
              <w:suppressAutoHyphens/>
              <w:rPr>
                <w:b/>
                <w:spacing w:val="-2"/>
              </w:rPr>
            </w:pPr>
            <w:r>
              <w:rPr>
                <w:b/>
                <w:spacing w:val="-2"/>
              </w:rPr>
              <w:t>)</w:t>
            </w:r>
          </w:p>
          <w:p w:rsidR="005E2C2D" w:rsidP="00DB280F" w14:paraId="7775D80A" w14:textId="77777777">
            <w:pPr>
              <w:tabs>
                <w:tab w:val="center" w:pos="4680"/>
              </w:tabs>
              <w:suppressAutoHyphens/>
              <w:rPr>
                <w:b/>
                <w:spacing w:val="-2"/>
              </w:rPr>
            </w:pPr>
            <w:r>
              <w:rPr>
                <w:b/>
                <w:spacing w:val="-2"/>
              </w:rPr>
              <w:t>)</w:t>
            </w:r>
          </w:p>
          <w:p w:rsidR="005E2C2D" w:rsidP="00DB280F" w14:paraId="7EEDF6DC" w14:textId="77777777">
            <w:pPr>
              <w:tabs>
                <w:tab w:val="center" w:pos="4680"/>
              </w:tabs>
              <w:suppressAutoHyphens/>
              <w:rPr>
                <w:b/>
                <w:spacing w:val="-2"/>
              </w:rPr>
            </w:pPr>
            <w:r>
              <w:rPr>
                <w:b/>
                <w:spacing w:val="-2"/>
              </w:rPr>
              <w:t>)</w:t>
            </w:r>
          </w:p>
          <w:p w:rsidR="005E2C2D" w:rsidP="00DB280F" w14:paraId="0A244040" w14:textId="77777777">
            <w:pPr>
              <w:tabs>
                <w:tab w:val="center" w:pos="4680"/>
              </w:tabs>
              <w:suppressAutoHyphens/>
              <w:rPr>
                <w:b/>
                <w:spacing w:val="-2"/>
              </w:rPr>
            </w:pPr>
            <w:r>
              <w:rPr>
                <w:b/>
                <w:spacing w:val="-2"/>
              </w:rPr>
              <w:t>)</w:t>
            </w:r>
          </w:p>
          <w:p w:rsidR="005E2C2D" w:rsidP="00DB280F" w14:paraId="2BC18123" w14:textId="77777777">
            <w:pPr>
              <w:tabs>
                <w:tab w:val="center" w:pos="4680"/>
              </w:tabs>
              <w:suppressAutoHyphens/>
              <w:rPr>
                <w:spacing w:val="-2"/>
              </w:rPr>
            </w:pPr>
            <w:r>
              <w:rPr>
                <w:b/>
                <w:spacing w:val="-2"/>
              </w:rPr>
              <w:t>)</w:t>
            </w:r>
          </w:p>
        </w:tc>
        <w:tc>
          <w:tcPr>
            <w:tcW w:w="4248" w:type="dxa"/>
          </w:tcPr>
          <w:p w:rsidR="005E2C2D" w:rsidP="00DB280F" w14:paraId="3983E3CC" w14:textId="77777777">
            <w:pPr>
              <w:tabs>
                <w:tab w:val="center" w:pos="4680"/>
              </w:tabs>
              <w:suppressAutoHyphens/>
              <w:rPr>
                <w:spacing w:val="-2"/>
              </w:rPr>
            </w:pPr>
          </w:p>
          <w:p w:rsidR="005E2C2D" w:rsidP="00DB280F" w14:paraId="13C6D8E9" w14:textId="77777777">
            <w:pPr>
              <w:pStyle w:val="TOAHeading"/>
              <w:tabs>
                <w:tab w:val="center" w:pos="4680"/>
                <w:tab w:val="clear" w:pos="9360"/>
              </w:tabs>
              <w:rPr>
                <w:spacing w:val="-2"/>
              </w:rPr>
            </w:pPr>
          </w:p>
          <w:p w:rsidR="005E2C2D" w:rsidRPr="002117B2" w:rsidP="00DB280F" w14:paraId="4E7C2747" w14:textId="77777777">
            <w:pPr>
              <w:widowControl/>
              <w:tabs>
                <w:tab w:val="center" w:pos="4680"/>
              </w:tabs>
              <w:suppressAutoHyphens/>
              <w:spacing w:after="160" w:line="259" w:lineRule="auto"/>
              <w:rPr>
                <w:rFonts w:eastAsia="Calibri"/>
                <w:snapToGrid/>
                <w:spacing w:val="-2"/>
                <w:kern w:val="2"/>
                <w:szCs w:val="22"/>
              </w:rPr>
            </w:pPr>
            <w:r w:rsidRPr="002117B2">
              <w:rPr>
                <w:rFonts w:eastAsia="Calibri"/>
                <w:snapToGrid/>
                <w:spacing w:val="-2"/>
                <w:kern w:val="2"/>
                <w:szCs w:val="22"/>
              </w:rPr>
              <w:t>File No.:  EB-IHD-19-00028966</w:t>
            </w:r>
          </w:p>
          <w:p w:rsidR="005E2C2D" w:rsidRPr="002117B2" w:rsidP="00DB280F" w14:paraId="0BFBB752" w14:textId="77777777">
            <w:pPr>
              <w:widowControl/>
              <w:spacing w:after="160" w:line="259" w:lineRule="auto"/>
              <w:rPr>
                <w:rFonts w:eastAsia="Calibri"/>
                <w:snapToGrid/>
                <w:spacing w:val="-2"/>
                <w:kern w:val="2"/>
                <w:szCs w:val="22"/>
              </w:rPr>
            </w:pPr>
            <w:r w:rsidRPr="002117B2">
              <w:rPr>
                <w:rFonts w:eastAsia="Calibri"/>
                <w:snapToGrid/>
                <w:spacing w:val="-2"/>
                <w:kern w:val="2"/>
                <w:szCs w:val="22"/>
              </w:rPr>
              <w:t>Acct. No.:  202132080011</w:t>
            </w:r>
          </w:p>
          <w:p w:rsidR="005E2C2D" w:rsidP="00DB280F" w14:paraId="52B4872D" w14:textId="77777777">
            <w:pPr>
              <w:tabs>
                <w:tab w:val="center" w:pos="4680"/>
              </w:tabs>
              <w:suppressAutoHyphens/>
              <w:rPr>
                <w:spacing w:val="-2"/>
              </w:rPr>
            </w:pPr>
            <w:r w:rsidRPr="002117B2">
              <w:rPr>
                <w:rFonts w:eastAsia="Calibri"/>
                <w:snapToGrid/>
                <w:kern w:val="2"/>
                <w:szCs w:val="22"/>
              </w:rPr>
              <w:t>FRN:  0014194476</w:t>
            </w:r>
          </w:p>
        </w:tc>
      </w:tr>
    </w:tbl>
    <w:p w:rsidR="005E2C2D" w:rsidP="005E2C2D" w14:paraId="6EE79172" w14:textId="77777777">
      <w:pPr>
        <w:widowControl/>
        <w:spacing w:after="160" w:line="259" w:lineRule="auto"/>
        <w:rPr>
          <w:rFonts w:eastAsiaTheme="minorHAnsi"/>
          <w:b/>
          <w:caps/>
          <w:snapToGrid/>
          <w:kern w:val="2"/>
          <w:szCs w:val="22"/>
          <w14:ligatures w14:val="standardContextual"/>
        </w:rPr>
      </w:pPr>
    </w:p>
    <w:p w:rsidR="00430292" w:rsidRPr="00430292" w:rsidP="00430292" w14:paraId="68E2D12A" w14:textId="1BB7A2A7">
      <w:pPr>
        <w:widowControl/>
        <w:spacing w:after="160" w:line="259" w:lineRule="auto"/>
        <w:jc w:val="center"/>
        <w:rPr>
          <w:rFonts w:eastAsiaTheme="minorHAnsi"/>
          <w:b/>
          <w:caps/>
          <w:snapToGrid/>
          <w:kern w:val="2"/>
          <w:szCs w:val="22"/>
          <w14:ligatures w14:val="standardContextual"/>
        </w:rPr>
      </w:pPr>
      <w:r w:rsidRPr="00430292">
        <w:rPr>
          <w:rFonts w:eastAsiaTheme="minorHAnsi"/>
          <w:b/>
          <w:caps/>
          <w:snapToGrid/>
          <w:kern w:val="2"/>
          <w:szCs w:val="22"/>
          <w14:ligatures w14:val="standardContextual"/>
        </w:rPr>
        <w:t>CONSENT DECREE AMENDMENT</w:t>
      </w:r>
    </w:p>
    <w:p w:rsidR="00430292" w:rsidRPr="00430292" w:rsidP="00430292" w14:paraId="607F3A42" w14:textId="77777777">
      <w:pPr>
        <w:widowControl/>
        <w:spacing w:after="160" w:line="259" w:lineRule="auto"/>
        <w:jc w:val="center"/>
        <w:rPr>
          <w:rFonts w:eastAsiaTheme="minorHAnsi"/>
          <w:b/>
          <w:caps/>
          <w:snapToGrid/>
          <w:kern w:val="2"/>
          <w:szCs w:val="22"/>
          <w14:ligatures w14:val="standardContextual"/>
        </w:rPr>
      </w:pPr>
    </w:p>
    <w:p w:rsidR="00430292" w:rsidRPr="00430292" w:rsidP="00430292" w14:paraId="0BEAD570" w14:textId="77777777">
      <w:pPr>
        <w:widowControl/>
        <w:numPr>
          <w:ilvl w:val="0"/>
          <w:numId w:val="8"/>
        </w:numPr>
        <w:tabs>
          <w:tab w:val="clear" w:pos="1080"/>
          <w:tab w:val="num" w:pos="1440"/>
        </w:tabs>
        <w:spacing w:after="120" w:line="259" w:lineRule="auto"/>
        <w:rPr>
          <w:rFonts w:eastAsiaTheme="minorHAnsi"/>
          <w:snapToGrid/>
          <w:kern w:val="2"/>
          <w:szCs w:val="22"/>
          <w14:ligatures w14:val="standardContextual"/>
        </w:rPr>
      </w:pPr>
      <w:r w:rsidRPr="00430292">
        <w:rPr>
          <w:snapToGrid/>
          <w:color w:val="272727"/>
          <w:kern w:val="0"/>
          <w:szCs w:val="22"/>
        </w:rPr>
        <w:t xml:space="preserve">This amendment (Amendment) is made by T-Mobile USA, Inc., and the Enforcement Bureau, parties to the Consent Decree adopted and released on November 4, 2020 (Consent Decree), in case number, EB-IHD-19-00028966.  The terms and definitions of the Consent Decree are incorporated herein except as modified in this Amendment. </w:t>
      </w:r>
    </w:p>
    <w:p w:rsidR="00430292" w:rsidRPr="00430292" w:rsidP="00C64865" w14:paraId="4B0AECE6" w14:textId="77777777">
      <w:pPr>
        <w:widowControl/>
        <w:numPr>
          <w:ilvl w:val="0"/>
          <w:numId w:val="8"/>
        </w:numPr>
        <w:tabs>
          <w:tab w:val="clear" w:pos="1080"/>
          <w:tab w:val="num" w:pos="1440"/>
        </w:tabs>
        <w:spacing w:after="120"/>
        <w:rPr>
          <w:rFonts w:eastAsiaTheme="minorHAnsi"/>
          <w:snapToGrid/>
          <w:kern w:val="2"/>
          <w:szCs w:val="22"/>
          <w14:ligatures w14:val="standardContextual"/>
        </w:rPr>
      </w:pPr>
      <w:r w:rsidRPr="00430292">
        <w:rPr>
          <w:snapToGrid/>
          <w:color w:val="272727"/>
          <w:kern w:val="0"/>
          <w:szCs w:val="22"/>
        </w:rPr>
        <w:t>The Consent Decree is amended as follows:</w:t>
      </w:r>
    </w:p>
    <w:p w:rsidR="00430292" w:rsidRPr="00430292" w:rsidP="00C64865" w14:paraId="7D2F0AC5" w14:textId="77777777">
      <w:pPr>
        <w:widowControl/>
        <w:tabs>
          <w:tab w:val="left" w:pos="1440"/>
        </w:tabs>
        <w:spacing w:after="120"/>
        <w:jc w:val="both"/>
        <w:rPr>
          <w:snapToGrid/>
          <w:kern w:val="0"/>
          <w:szCs w:val="22"/>
        </w:rPr>
      </w:pPr>
      <w:r w:rsidRPr="00430292">
        <w:rPr>
          <w:snapToGrid/>
          <w:kern w:val="0"/>
          <w:szCs w:val="22"/>
        </w:rPr>
        <w:t>Paragraph 2(b) of the Consent Decree is deleted and replaced with the following:</w:t>
      </w:r>
    </w:p>
    <w:p w:rsidR="00430292" w:rsidRPr="00430292" w:rsidP="00C64865" w14:paraId="40642814" w14:textId="3343CDFC">
      <w:pPr>
        <w:widowControl/>
        <w:autoSpaceDE w:val="0"/>
        <w:autoSpaceDN w:val="0"/>
        <w:adjustRightInd w:val="0"/>
        <w:spacing w:after="120"/>
        <w:ind w:left="720"/>
        <w:rPr>
          <w:snapToGrid/>
          <w:color w:val="000000"/>
          <w:kern w:val="0"/>
          <w:szCs w:val="22"/>
        </w:rPr>
      </w:pPr>
      <w:r w:rsidRPr="00430292">
        <w:rPr>
          <w:snapToGrid/>
          <w:color w:val="000000"/>
          <w:kern w:val="0"/>
          <w:szCs w:val="22"/>
        </w:rPr>
        <w:t xml:space="preserve">“Adopting Order” means an order of the Commission adopting the terms of the Consent Decree dated November 4, 2020, and subsequent Amendments to the Consent Decree that are agreed upon by the Parties.   </w:t>
      </w:r>
    </w:p>
    <w:p w:rsidR="00430292" w:rsidRPr="00430292" w:rsidP="00C64865" w14:paraId="5D624F58" w14:textId="77777777">
      <w:pPr>
        <w:widowControl/>
        <w:shd w:val="clear" w:color="auto" w:fill="FFFFFF"/>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Paragraph 2(k) of the Consent Decree is deleted and replaced with the following:</w:t>
      </w:r>
    </w:p>
    <w:p w:rsidR="00430292" w:rsidRPr="00430292" w:rsidP="00C64865" w14:paraId="1F8AD922" w14:textId="77777777">
      <w:pPr>
        <w:widowControl/>
        <w:spacing w:after="120"/>
        <w:ind w:left="720"/>
        <w:rPr>
          <w:rFonts w:eastAsiaTheme="minorHAnsi"/>
          <w:snapToGrid/>
          <w:kern w:val="2"/>
          <w:szCs w:val="22"/>
          <w14:ligatures w14:val="standardContextual"/>
        </w:rPr>
      </w:pPr>
      <w:r w:rsidRPr="00430292">
        <w:rPr>
          <w:rFonts w:eastAsiaTheme="minorHAnsi"/>
          <w:snapToGrid/>
          <w:kern w:val="2"/>
          <w:szCs w:val="22"/>
          <w14:ligatures w14:val="standardContextual"/>
        </w:rPr>
        <w:t>“Effective Date” means November 4, 2020.</w:t>
      </w:r>
    </w:p>
    <w:p w:rsidR="00430292" w:rsidRPr="00430292" w:rsidP="00C64865" w14:paraId="2CB8B1FD" w14:textId="77777777">
      <w:pPr>
        <w:widowControl/>
        <w:shd w:val="clear" w:color="auto" w:fill="FFFFFF"/>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Paragraph 17 of the Consent Decree is deleted and replaced with the following:</w:t>
      </w:r>
    </w:p>
    <w:p w:rsidR="00430292" w:rsidRPr="00430292" w:rsidP="00C64865" w14:paraId="4490F912" w14:textId="77777777">
      <w:pPr>
        <w:widowControl/>
        <w:spacing w:after="120"/>
        <w:ind w:left="720"/>
        <w:rPr>
          <w:rFonts w:eastAsiaTheme="minorHAnsi"/>
          <w:snapToGrid/>
          <w:kern w:val="2"/>
          <w:szCs w:val="22"/>
          <w14:ligatures w14:val="standardContextual"/>
        </w:rPr>
      </w:pPr>
      <w:r w:rsidRPr="00430292">
        <w:rPr>
          <w:rFonts w:eastAsiaTheme="minorHAnsi"/>
          <w:snapToGrid/>
          <w:kern w:val="2"/>
          <w:szCs w:val="22"/>
          <w14:ligatures w14:val="standardContextual"/>
        </w:rPr>
        <w:t xml:space="preserve">In express reliance on the covenants and representations in this Consent Decree and to avoid further expenditure of public resources, the Commission agrees to terminate the Investigation.  In consideration for the termination of the Investigation, the Company agrees to the terms, conditions, and procedures contained herein.  The Commission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  The Commission further agrees that it will not seek any further monetary forfeitures under section 503 of the Act in connection with any violations of the Lifeline rules by the Company arising prior to the Amendment Effective Date.  The Commission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hold </w:t>
      </w:r>
      <w:r w:rsidRPr="00430292">
        <w:rPr>
          <w:rFonts w:eastAsiaTheme="minorHAnsi"/>
          <w:snapToGrid/>
          <w:kern w:val="2"/>
          <w:szCs w:val="22"/>
          <w14:ligatures w14:val="standardContextual"/>
        </w:rPr>
        <w:t>Commission licenses or authorizations.</w:t>
      </w:r>
      <w:r>
        <w:rPr>
          <w:rFonts w:eastAsiaTheme="minorHAnsi"/>
          <w:snapToGrid/>
          <w:kern w:val="2"/>
          <w:szCs w:val="22"/>
          <w:vertAlign w:val="superscript"/>
          <w14:ligatures w14:val="standardContextual"/>
        </w:rPr>
        <w:footnoteReference w:id="5"/>
      </w:r>
      <w:r w:rsidRPr="00430292">
        <w:rPr>
          <w:rFonts w:eastAsiaTheme="minorHAnsi"/>
          <w:snapToGrid/>
          <w:kern w:val="2"/>
          <w:szCs w:val="22"/>
          <w:vertAlign w:val="superscript"/>
          <w14:ligatures w14:val="standardContextual"/>
        </w:rPr>
        <w:t xml:space="preserve"> </w:t>
      </w:r>
      <w:r w:rsidRPr="00430292">
        <w:rPr>
          <w:rFonts w:eastAsiaTheme="minorHAnsi"/>
          <w:snapToGrid/>
          <w:kern w:val="2"/>
          <w:szCs w:val="22"/>
          <w14:ligatures w14:val="standardContextual"/>
        </w:rPr>
        <w:t xml:space="preserve"> The Parties agree this Consent Decree is for settlement purposes only and does not constitute an adjudication on the merits or a factual or legal determination regarding compliance or non-compliance, nor does it constitute a settlement or compromise of the Demand for Repayment of Lifeline Funds and Notice of Intent to Withhold, Recoup and/or Offset Funds made by the Office of Managing Director on December 19, 2019, nor the pending Petition for Reconsideration of December 19, 2019, Demand Letter, filed on January 21, 2020.  This Consent Decree shall not be used as evidence or precedent in any action or proceeding, except an action to enforce this Consent Decree or subsequent Amendments.</w:t>
      </w:r>
    </w:p>
    <w:p w:rsidR="00430292" w:rsidRPr="00430292" w:rsidP="00C64865" w14:paraId="08B0104B" w14:textId="77777777">
      <w:pPr>
        <w:widowControl/>
        <w:shd w:val="clear" w:color="auto" w:fill="FFFFFF"/>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Paragraph 24 of Consent Decree is deleted and replaced with the following:</w:t>
      </w:r>
    </w:p>
    <w:p w:rsidR="00430292" w:rsidRPr="00430292" w:rsidP="00430292" w14:paraId="656DBE2C" w14:textId="77777777">
      <w:pPr>
        <w:widowControl/>
        <w:shd w:val="clear" w:color="auto" w:fill="FFFFFF"/>
        <w:spacing w:after="100" w:afterAutospacing="1" w:line="259" w:lineRule="auto"/>
        <w:ind w:left="720"/>
        <w:rPr>
          <w:snapToGrid/>
          <w:color w:val="272727"/>
          <w:kern w:val="0"/>
          <w:szCs w:val="22"/>
        </w:rPr>
      </w:pPr>
      <w:r w:rsidRPr="00430292">
        <w:rPr>
          <w:rFonts w:eastAsiaTheme="minorHAnsi"/>
          <w:snapToGrid/>
          <w:kern w:val="2"/>
          <w:szCs w:val="22"/>
          <w14:ligatures w14:val="standardContextual"/>
        </w:rPr>
        <w:t>The Company, or any party acting on its behalf, shall pay</w:t>
      </w:r>
      <w:r w:rsidRPr="00430292">
        <w:rPr>
          <w:rFonts w:eastAsia="MS Mincho"/>
          <w:snapToGrid/>
          <w:kern w:val="2"/>
          <w:szCs w:val="22"/>
          <w14:ligatures w14:val="standardContextual"/>
        </w:rPr>
        <w:t xml:space="preserve"> a total civil penalty to the United States Treasury in the amount of two hundred seven million five hundred thousand dollars ($207,500,000).  Two hundred million dollars ($200,000,000) of the civil penalty was paid on November 30, 2020.  </w:t>
      </w:r>
      <w:r w:rsidRPr="00430292">
        <w:rPr>
          <w:rFonts w:eastAsiaTheme="minorHAnsi"/>
          <w:snapToGrid/>
          <w:kern w:val="2"/>
          <w:szCs w:val="22"/>
          <w14:ligatures w14:val="standardContextual"/>
        </w:rPr>
        <w:t>The Company, or any party acting on its behalf, shall pay</w:t>
      </w:r>
      <w:r w:rsidRPr="00430292">
        <w:rPr>
          <w:rFonts w:eastAsia="MS Mincho"/>
          <w:snapToGrid/>
          <w:kern w:val="2"/>
          <w:szCs w:val="22"/>
          <w14:ligatures w14:val="standardContextual"/>
        </w:rPr>
        <w:t xml:space="preserve"> the remaining balance of seven million five hundred thousand dollars ($7,500,000) within thirty (30) calendar days after the date the Amendment is fully-executed (Amendment Effective Date).  The Company </w:t>
      </w:r>
      <w:r w:rsidRPr="00430292">
        <w:rPr>
          <w:rFonts w:eastAsiaTheme="minorHAnsi"/>
          <w:snapToGrid/>
          <w:kern w:val="2"/>
          <w:szCs w:val="22"/>
          <w14:ligatures w14:val="standardContextual"/>
        </w:rPr>
        <w:t>acknowledges and agrees that upon execution of the Amendment, the remaining balance of seven million five hundred thousand dollars ($7,500,000) shall become a “Claim” or “Debt” as defined in 31 U.S.C. § 3701(b)(1).</w:t>
      </w:r>
      <w:r>
        <w:rPr>
          <w:rFonts w:eastAsiaTheme="minorHAnsi"/>
          <w:snapToGrid/>
          <w:kern w:val="2"/>
          <w:szCs w:val="22"/>
          <w:vertAlign w:val="superscript"/>
          <w14:ligatures w14:val="standardContextual"/>
        </w:rPr>
        <w:footnoteReference w:id="6"/>
      </w:r>
      <w:r w:rsidRPr="00430292">
        <w:rPr>
          <w:rFonts w:eastAsiaTheme="minorHAnsi"/>
          <w:snapToGrid/>
          <w:kern w:val="2"/>
          <w:szCs w:val="22"/>
          <w14:ligatures w14:val="standardContextual"/>
        </w:rPr>
        <w:t xml:space="preserve">  Upon an Event of Default, all procedures for collection as permitted by law may, at the Commission’s discretion, be initiated.  </w:t>
      </w:r>
      <w:r w:rsidRPr="00430292">
        <w:rPr>
          <w:rFonts w:eastAsia="MS Mincho"/>
          <w:snapToGrid/>
          <w:kern w:val="2"/>
          <w:szCs w:val="22"/>
          <w14:ligatures w14:val="standardContextual"/>
        </w:rPr>
        <w:t xml:space="preserve">The Company shall send electronic notification of payment to </w:t>
      </w:r>
      <w:r w:rsidRPr="00430292">
        <w:rPr>
          <w:rFonts w:eastAsiaTheme="minorHAnsi"/>
          <w:snapToGrid/>
          <w:kern w:val="2"/>
          <w:szCs w:val="22"/>
          <w14:ligatures w14:val="standardContextual"/>
        </w:rPr>
        <w:t xml:space="preserve">Patrick M. McGrath at </w:t>
      </w:r>
      <w:hyperlink r:id="rId10" w:history="1">
        <w:r w:rsidRPr="00430292">
          <w:rPr>
            <w:rFonts w:eastAsia="MS Mincho"/>
            <w:snapToGrid/>
            <w:color w:val="0000FF"/>
            <w:kern w:val="2"/>
            <w:szCs w:val="22"/>
            <w:u w:val="single"/>
            <w14:ligatures w14:val="standardContextual"/>
          </w:rPr>
          <w:t>Patrick.McGrath@fcc.gov</w:t>
        </w:r>
      </w:hyperlink>
      <w:r w:rsidRPr="00430292">
        <w:rPr>
          <w:rFonts w:eastAsiaTheme="minorHAnsi"/>
          <w:snapToGrid/>
          <w:kern w:val="2"/>
          <w:szCs w:val="22"/>
          <w14:ligatures w14:val="standardContextual"/>
        </w:rPr>
        <w:t xml:space="preserve">, </w:t>
      </w:r>
      <w:bookmarkStart w:id="0" w:name="_Hlk38560680"/>
      <w:r w:rsidRPr="00430292">
        <w:rPr>
          <w:rFonts w:eastAsiaTheme="minorHAnsi"/>
          <w:snapToGrid/>
          <w:kern w:val="2"/>
          <w:szCs w:val="22"/>
          <w14:ligatures w14:val="standardContextual"/>
        </w:rPr>
        <w:t xml:space="preserve">Kalun Lee at </w:t>
      </w:r>
      <w:hyperlink r:id="rId11" w:history="1">
        <w:r w:rsidRPr="00430292">
          <w:rPr>
            <w:rFonts w:eastAsiaTheme="minorHAnsi"/>
            <w:snapToGrid/>
            <w:color w:val="0000FF"/>
            <w:kern w:val="2"/>
            <w:szCs w:val="22"/>
            <w:u w:val="single"/>
            <w14:ligatures w14:val="standardContextual"/>
          </w:rPr>
          <w:t>Kalun.Lee@fcc.gov</w:t>
        </w:r>
      </w:hyperlink>
      <w:bookmarkEnd w:id="0"/>
      <w:r w:rsidRPr="00430292">
        <w:rPr>
          <w:rFonts w:eastAsiaTheme="minorHAnsi"/>
          <w:snapToGrid/>
          <w:kern w:val="2"/>
          <w:szCs w:val="22"/>
          <w14:ligatures w14:val="standardContextual"/>
        </w:rPr>
        <w:t xml:space="preserve">, Georgina Feigen at </w:t>
      </w:r>
      <w:hyperlink r:id="rId12" w:history="1">
        <w:r w:rsidRPr="00430292">
          <w:rPr>
            <w:rFonts w:eastAsiaTheme="minorHAnsi"/>
            <w:snapToGrid/>
            <w:color w:val="0000FF"/>
            <w:kern w:val="2"/>
            <w:szCs w:val="22"/>
            <w:u w:val="single"/>
            <w14:ligatures w14:val="standardContextual"/>
          </w:rPr>
          <w:t>Georgina.Feigen@fcc.gov</w:t>
        </w:r>
      </w:hyperlink>
      <w:r w:rsidRPr="00430292">
        <w:rPr>
          <w:rFonts w:eastAsiaTheme="minorHAnsi"/>
          <w:snapToGrid/>
          <w:kern w:val="2"/>
          <w:szCs w:val="22"/>
          <w14:ligatures w14:val="standardContextual"/>
        </w:rPr>
        <w:t xml:space="preserve">, and Pam Slipakoff at </w:t>
      </w:r>
      <w:hyperlink r:id="rId13" w:history="1">
        <w:r w:rsidRPr="00430292">
          <w:rPr>
            <w:rFonts w:eastAsiaTheme="minorHAnsi"/>
            <w:snapToGrid/>
            <w:color w:val="0000FF"/>
            <w:kern w:val="2"/>
            <w:szCs w:val="22"/>
            <w:u w:val="single"/>
            <w14:ligatures w14:val="standardContextual"/>
          </w:rPr>
          <w:t>Pam.Slipakoff@fcc.gov</w:t>
        </w:r>
      </w:hyperlink>
      <w:r w:rsidRPr="00430292">
        <w:rPr>
          <w:rFonts w:eastAsiaTheme="minorHAnsi"/>
          <w:snapToGrid/>
          <w:kern w:val="2"/>
          <w:szCs w:val="22"/>
          <w14:ligatures w14:val="standardContextual"/>
        </w:rPr>
        <w:t xml:space="preserve"> </w:t>
      </w:r>
      <w:r w:rsidRPr="00430292">
        <w:rPr>
          <w:rFonts w:eastAsia="MS Mincho"/>
          <w:snapToGrid/>
          <w:kern w:val="2"/>
          <w:szCs w:val="22"/>
          <w14:ligatures w14:val="standardContextual"/>
        </w:rPr>
        <w:t xml:space="preserve">on the date said remaining balance is made.  The </w:t>
      </w:r>
      <w:r w:rsidRPr="00430292">
        <w:rPr>
          <w:rFonts w:eastAsiaTheme="minorHAnsi"/>
          <w:snapToGrid/>
          <w:kern w:val="2"/>
          <w:szCs w:val="22"/>
          <w14:ligatures w14:val="standardContextual"/>
        </w:rPr>
        <w:t>payment must be made by credit card, ACH (Automated Clearing House) debit from a bank account using the Commission’s Fee Filer (the Commission’s online payment system),</w:t>
      </w:r>
      <w:r>
        <w:rPr>
          <w:rFonts w:eastAsiaTheme="minorHAnsi"/>
          <w:snapToGrid/>
          <w:kern w:val="2"/>
          <w:szCs w:val="22"/>
          <w:vertAlign w:val="superscript"/>
          <w14:ligatures w14:val="standardContextual"/>
        </w:rPr>
        <w:footnoteReference w:id="7"/>
      </w:r>
      <w:r w:rsidRPr="00430292">
        <w:rPr>
          <w:rFonts w:eastAsiaTheme="minorHAnsi"/>
          <w:snapToGrid/>
          <w:kern w:val="2"/>
          <w:szCs w:val="22"/>
          <w14:ligatures w14:val="standardContextual"/>
        </w:rPr>
        <w:t xml:space="preserve"> or by wire transfer.  The Commission no longer accepts civil penalty payments by check or money order.  Below are instructions that payors should follow based on the form of payment selected.</w:t>
      </w:r>
      <w:r>
        <w:rPr>
          <w:rFonts w:eastAsiaTheme="minorHAnsi"/>
          <w:snapToGrid/>
          <w:kern w:val="2"/>
          <w:szCs w:val="22"/>
          <w:vertAlign w:val="superscript"/>
          <w14:ligatures w14:val="standardContextual"/>
        </w:rPr>
        <w:footnoteReference w:id="8"/>
      </w:r>
      <w:r w:rsidRPr="00430292">
        <w:rPr>
          <w:snapToGrid/>
          <w:color w:val="272727"/>
          <w:kern w:val="0"/>
          <w:szCs w:val="22"/>
        </w:rPr>
        <w:t xml:space="preserve">  Except as set forth in the Amendment, the Consent Decree is unaffected and shall continue in full force and effect in accordance with its terms.  If there is conflict between the Amendment and the Consent Decree, the terms of the Amendment will prevail.</w:t>
      </w:r>
    </w:p>
    <w:p w:rsidR="00430292" w:rsidRPr="00430292" w:rsidP="00C64865" w14:paraId="41F662D8" w14:textId="77777777">
      <w:pPr>
        <w:widowControl/>
        <w:shd w:val="clear" w:color="auto" w:fill="FFFFFF"/>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Paragraph 25 of the Consent Decree is deleted and replaced with the following:</w:t>
      </w:r>
    </w:p>
    <w:p w:rsidR="00430292" w:rsidRPr="00430292" w:rsidP="00C64865" w14:paraId="243AE052" w14:textId="77777777">
      <w:pPr>
        <w:widowControl/>
        <w:shd w:val="clear" w:color="auto" w:fill="FFFFFF"/>
        <w:spacing w:after="120"/>
        <w:ind w:left="720"/>
        <w:rPr>
          <w:rFonts w:eastAsia="MS Mincho"/>
          <w:snapToGrid/>
          <w:kern w:val="2"/>
          <w:szCs w:val="22"/>
          <w14:ligatures w14:val="standardContextual"/>
        </w:rPr>
      </w:pPr>
      <w:r w:rsidRPr="00430292">
        <w:rPr>
          <w:rFonts w:eastAsiaTheme="minorHAnsi"/>
          <w:snapToGrid/>
          <w:kern w:val="2"/>
          <w:szCs w:val="22"/>
          <w14:ligatures w14:val="standardContextual"/>
        </w:rPr>
        <w:t>The</w:t>
      </w:r>
      <w:r w:rsidRPr="00430292">
        <w:rPr>
          <w:rFonts w:eastAsia="MS Mincho"/>
          <w:snapToGrid/>
          <w:kern w:val="2"/>
          <w:szCs w:val="22"/>
          <w14:ligatures w14:val="standardContextual"/>
        </w:rPr>
        <w:t xml:space="preserve"> Company agrees that an Event of Default shall occur upon its failure to pay the full amount as described in Paragraph 24 by the due date specified in this Consent Decree and modified by the Amendment.</w:t>
      </w:r>
    </w:p>
    <w:p w:rsidR="00430292" w:rsidRPr="00430292" w:rsidP="00C64865" w14:paraId="01BC7A31" w14:textId="77777777">
      <w:pPr>
        <w:widowControl/>
        <w:shd w:val="clear" w:color="auto" w:fill="FFFFFF"/>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Paragraph 32 of the Consent Decree is deleted and replaced with the following:</w:t>
      </w:r>
    </w:p>
    <w:p w:rsidR="00430292" w:rsidRPr="00430292" w:rsidP="00C64865" w14:paraId="36A85975" w14:textId="77777777">
      <w:pPr>
        <w:widowControl/>
        <w:spacing w:after="120"/>
        <w:ind w:left="720"/>
        <w:rPr>
          <w:rFonts w:eastAsiaTheme="minorHAnsi"/>
          <w:snapToGrid/>
          <w:kern w:val="2"/>
          <w:szCs w:val="22"/>
          <w14:ligatures w14:val="standardContextual"/>
        </w:rPr>
      </w:pPr>
      <w:r w:rsidRPr="00430292">
        <w:rPr>
          <w:rFonts w:eastAsiaTheme="minorHAnsi"/>
          <w:snapToGrid/>
          <w:kern w:val="2"/>
          <w:szCs w:val="22"/>
          <w14:ligatures w14:val="standardContextual"/>
        </w:rPr>
        <w:t xml:space="preserve">The Parties agree and acknowledge that this Consent Decree and Amendment shall constitute a final settlement between the Parties with respect to the Investigation.  The Parties further agree that this Consent Decree does not constitute either an adjudication on the merits or a factual or </w:t>
      </w:r>
      <w:r w:rsidRPr="00430292">
        <w:rPr>
          <w:rFonts w:eastAsiaTheme="minorHAnsi"/>
          <w:snapToGrid/>
          <w:kern w:val="2"/>
          <w:szCs w:val="22"/>
          <w14:ligatures w14:val="standardContextual"/>
        </w:rPr>
        <w:t>legal finding regarding any compliance or noncompliance with the requirements of the Communications Laws.</w:t>
      </w:r>
    </w:p>
    <w:p w:rsidR="00430292" w:rsidRPr="00430292" w:rsidP="00C64865" w14:paraId="737CA50F" w14:textId="77777777">
      <w:pPr>
        <w:widowControl/>
        <w:numPr>
          <w:ilvl w:val="0"/>
          <w:numId w:val="8"/>
        </w:numPr>
        <w:tabs>
          <w:tab w:val="clear" w:pos="1080"/>
          <w:tab w:val="num" w:pos="1440"/>
        </w:tabs>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 xml:space="preserve">The provisions of this Amendment shall be incorporated by the Commission in an Adopting Order. </w:t>
      </w:r>
    </w:p>
    <w:p w:rsidR="00430292" w:rsidRPr="00430292" w:rsidP="00C64865" w14:paraId="0FD53334" w14:textId="77777777">
      <w:pPr>
        <w:widowControl/>
        <w:numPr>
          <w:ilvl w:val="0"/>
          <w:numId w:val="8"/>
        </w:numPr>
        <w:tabs>
          <w:tab w:val="clear" w:pos="1080"/>
          <w:tab w:val="num" w:pos="1440"/>
        </w:tabs>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 xml:space="preserve">The Company agrees that the Commission has jurisdiction over it and the matters contained in the Consent Decree and this Amendment and has the authority to enter into and adopt this Amendment. </w:t>
      </w:r>
    </w:p>
    <w:p w:rsidR="00430292" w:rsidRPr="00430292" w:rsidP="00C64865" w14:paraId="011A0406" w14:textId="77777777">
      <w:pPr>
        <w:widowControl/>
        <w:numPr>
          <w:ilvl w:val="0"/>
          <w:numId w:val="8"/>
        </w:numPr>
        <w:tabs>
          <w:tab w:val="clear" w:pos="1080"/>
          <w:tab w:val="num" w:pos="1440"/>
        </w:tabs>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Each Party represents and warrants to the other that it has full power and authority to enter into this Amendment.  Each person signing this Amendment on behalf of a Party hereby represents that he or she is fully authorized by the Party to execute this Amendment to bind the Party to its terms and conditions.</w:t>
      </w:r>
    </w:p>
    <w:p w:rsidR="00430292" w:rsidRPr="00430292" w:rsidP="00C64865" w14:paraId="5E18FB26" w14:textId="77777777">
      <w:pPr>
        <w:keepNext/>
        <w:keepLines/>
        <w:widowControl/>
        <w:numPr>
          <w:ilvl w:val="0"/>
          <w:numId w:val="8"/>
        </w:numPr>
        <w:tabs>
          <w:tab w:val="clear" w:pos="1080"/>
          <w:tab w:val="num" w:pos="1440"/>
        </w:tabs>
        <w:spacing w:after="120"/>
        <w:rPr>
          <w:rFonts w:eastAsiaTheme="minorHAnsi"/>
          <w:snapToGrid/>
          <w:kern w:val="2"/>
          <w:szCs w:val="22"/>
          <w14:ligatures w14:val="standardContextual"/>
        </w:rPr>
      </w:pPr>
      <w:r w:rsidRPr="00430292">
        <w:rPr>
          <w:rFonts w:eastAsiaTheme="minorHAnsi"/>
          <w:snapToGrid/>
          <w:kern w:val="2"/>
          <w:szCs w:val="22"/>
          <w14:ligatures w14:val="standardContextual"/>
        </w:rPr>
        <w:t>This Amendment may be signed in counterpart (including electronically or by facsimile).  Each counterpart, when executed and delivered, shall be an original, and all of the counterparts together shall constitute one and the same fully executed instrument.</w:t>
      </w:r>
    </w:p>
    <w:p w:rsidR="00430292" w:rsidP="00430292" w14:paraId="7F67B7A5" w14:textId="77777777">
      <w:pPr>
        <w:widowControl/>
        <w:shd w:val="clear" w:color="auto" w:fill="FFFFFF"/>
        <w:spacing w:after="100" w:afterAutospacing="1" w:line="259" w:lineRule="auto"/>
        <w:ind w:left="720"/>
        <w:rPr>
          <w:snapToGrid/>
          <w:color w:val="272727"/>
          <w:kern w:val="0"/>
          <w:szCs w:val="22"/>
        </w:rPr>
      </w:pPr>
    </w:p>
    <w:p w:rsidR="00C64865" w:rsidRPr="00430292" w:rsidP="00430292" w14:paraId="3BF63973" w14:textId="77777777">
      <w:pPr>
        <w:widowControl/>
        <w:shd w:val="clear" w:color="auto" w:fill="FFFFFF"/>
        <w:spacing w:after="100" w:afterAutospacing="1" w:line="259" w:lineRule="auto"/>
        <w:ind w:left="720"/>
        <w:rPr>
          <w:snapToGrid/>
          <w:color w:val="272727"/>
          <w:kern w:val="0"/>
          <w:szCs w:val="22"/>
        </w:rPr>
      </w:pPr>
    </w:p>
    <w:p w:rsidR="00430292" w:rsidRPr="00430292" w:rsidP="00C64865" w14:paraId="48FD2E40" w14:textId="77777777">
      <w:pPr>
        <w:widowControl/>
        <w:shd w:val="clear" w:color="auto" w:fill="FFFFFF"/>
        <w:rPr>
          <w:snapToGrid/>
          <w:color w:val="272727"/>
          <w:kern w:val="0"/>
          <w:szCs w:val="22"/>
        </w:rPr>
      </w:pPr>
      <w:r w:rsidRPr="00430292">
        <w:rPr>
          <w:snapToGrid/>
          <w:color w:val="272727"/>
          <w:kern w:val="0"/>
          <w:szCs w:val="22"/>
        </w:rPr>
        <w:t>By: __________________________</w:t>
      </w:r>
    </w:p>
    <w:p w:rsidR="00C64865" w:rsidP="00C64865" w14:paraId="107E66B4" w14:textId="77777777">
      <w:pPr>
        <w:widowControl/>
        <w:shd w:val="clear" w:color="auto" w:fill="FFFFFF"/>
        <w:ind w:firstLine="720"/>
        <w:rPr>
          <w:snapToGrid/>
          <w:color w:val="272727"/>
          <w:kern w:val="0"/>
          <w:szCs w:val="22"/>
        </w:rPr>
      </w:pPr>
      <w:r w:rsidRPr="00430292">
        <w:rPr>
          <w:snapToGrid/>
          <w:color w:val="272727"/>
          <w:kern w:val="0"/>
          <w:szCs w:val="22"/>
        </w:rPr>
        <w:t>Loyaan A. Egal</w:t>
      </w:r>
      <w:r w:rsidRPr="00430292">
        <w:rPr>
          <w:snapToGrid/>
          <w:color w:val="272727"/>
          <w:kern w:val="0"/>
          <w:szCs w:val="22"/>
        </w:rPr>
        <w:br/>
      </w:r>
      <w:r w:rsidRPr="00430292">
        <w:rPr>
          <w:snapToGrid/>
          <w:color w:val="272727"/>
          <w:kern w:val="0"/>
          <w:szCs w:val="22"/>
        </w:rPr>
        <w:tab/>
        <w:t>Chief</w:t>
      </w:r>
      <w:r w:rsidRPr="00430292">
        <w:rPr>
          <w:snapToGrid/>
          <w:color w:val="272727"/>
          <w:kern w:val="0"/>
          <w:szCs w:val="22"/>
        </w:rPr>
        <w:br/>
      </w:r>
      <w:r w:rsidRPr="00430292">
        <w:rPr>
          <w:snapToGrid/>
          <w:color w:val="272727"/>
          <w:kern w:val="0"/>
          <w:szCs w:val="22"/>
        </w:rPr>
        <w:tab/>
        <w:t>Enforcement Bureau</w:t>
      </w:r>
    </w:p>
    <w:p w:rsidR="00430292" w:rsidRPr="00430292" w:rsidP="00C64865" w14:paraId="33E42A16" w14:textId="52548BA7">
      <w:pPr>
        <w:widowControl/>
        <w:shd w:val="clear" w:color="auto" w:fill="FFFFFF"/>
        <w:ind w:firstLine="720"/>
        <w:rPr>
          <w:snapToGrid/>
          <w:color w:val="272727"/>
          <w:kern w:val="0"/>
          <w:szCs w:val="22"/>
        </w:rPr>
      </w:pPr>
      <w:r w:rsidRPr="00430292">
        <w:rPr>
          <w:snapToGrid/>
          <w:color w:val="272727"/>
          <w:kern w:val="0"/>
          <w:szCs w:val="22"/>
        </w:rPr>
        <w:br/>
      </w:r>
    </w:p>
    <w:p w:rsidR="00430292" w:rsidRPr="00430292" w:rsidP="00430292" w14:paraId="532F69DA" w14:textId="77777777">
      <w:pPr>
        <w:widowControl/>
        <w:shd w:val="clear" w:color="auto" w:fill="FFFFFF"/>
        <w:spacing w:after="100" w:afterAutospacing="1" w:line="259" w:lineRule="auto"/>
        <w:rPr>
          <w:snapToGrid/>
          <w:color w:val="272727"/>
          <w:kern w:val="0"/>
          <w:szCs w:val="22"/>
        </w:rPr>
      </w:pPr>
      <w:r w:rsidRPr="00430292">
        <w:rPr>
          <w:snapToGrid/>
          <w:color w:val="272727"/>
          <w:kern w:val="0"/>
          <w:szCs w:val="22"/>
        </w:rPr>
        <w:t>Dated: _________________</w:t>
      </w:r>
    </w:p>
    <w:p w:rsidR="00430292" w:rsidRPr="00430292" w:rsidP="00430292" w14:paraId="5CFCC48F" w14:textId="77777777">
      <w:pPr>
        <w:widowControl/>
        <w:shd w:val="clear" w:color="auto" w:fill="FFFFFF"/>
        <w:spacing w:after="100" w:afterAutospacing="1" w:line="259" w:lineRule="auto"/>
        <w:rPr>
          <w:snapToGrid/>
          <w:color w:val="272727"/>
          <w:kern w:val="0"/>
          <w:szCs w:val="22"/>
        </w:rPr>
      </w:pPr>
    </w:p>
    <w:p w:rsidR="00430292" w:rsidRPr="00430292" w:rsidP="00C64865" w14:paraId="680D7F28" w14:textId="0332EF74">
      <w:pPr>
        <w:widowControl/>
        <w:shd w:val="clear" w:color="auto" w:fill="FFFFFF"/>
        <w:rPr>
          <w:snapToGrid/>
          <w:color w:val="272727"/>
          <w:kern w:val="0"/>
          <w:szCs w:val="22"/>
        </w:rPr>
      </w:pPr>
      <w:r w:rsidRPr="00430292">
        <w:rPr>
          <w:snapToGrid/>
          <w:color w:val="272727"/>
          <w:kern w:val="0"/>
          <w:szCs w:val="22"/>
        </w:rPr>
        <w:t>By:  __________________________</w:t>
      </w:r>
      <w:r w:rsidR="00C64865">
        <w:rPr>
          <w:snapToGrid/>
          <w:color w:val="272727"/>
          <w:kern w:val="0"/>
          <w:szCs w:val="22"/>
        </w:rPr>
        <w:t>_</w:t>
      </w:r>
    </w:p>
    <w:p w:rsidR="00430292" w:rsidP="00C64865" w14:paraId="68D4203C" w14:textId="77777777">
      <w:pPr>
        <w:widowControl/>
        <w:shd w:val="clear" w:color="auto" w:fill="FFFFFF"/>
        <w:ind w:left="720"/>
        <w:rPr>
          <w:snapToGrid/>
          <w:color w:val="272727"/>
          <w:kern w:val="0"/>
          <w:szCs w:val="22"/>
        </w:rPr>
      </w:pPr>
      <w:r w:rsidRPr="00430292">
        <w:rPr>
          <w:snapToGrid/>
          <w:color w:val="272727"/>
          <w:kern w:val="0"/>
          <w:szCs w:val="22"/>
        </w:rPr>
        <w:t xml:space="preserve">Kathleen O’Brien Ham </w:t>
      </w:r>
      <w:r w:rsidRPr="00430292">
        <w:rPr>
          <w:snapToGrid/>
          <w:color w:val="272727"/>
          <w:kern w:val="0"/>
          <w:szCs w:val="22"/>
        </w:rPr>
        <w:br/>
      </w:r>
      <w:r w:rsidRPr="00430292">
        <w:rPr>
          <w:rFonts w:eastAsiaTheme="minorHAnsi"/>
          <w:snapToGrid/>
          <w:kern w:val="2"/>
          <w:szCs w:val="22"/>
          <w:shd w:val="clear" w:color="auto" w:fill="FFFFFF"/>
          <w14:ligatures w14:val="standardContextual"/>
        </w:rPr>
        <w:t>Senior Vice President, Government Affairs</w:t>
      </w:r>
      <w:r w:rsidRPr="00430292">
        <w:rPr>
          <w:snapToGrid/>
          <w:color w:val="272727"/>
          <w:kern w:val="0"/>
          <w:szCs w:val="22"/>
        </w:rPr>
        <w:br/>
        <w:t>T- Mobile US, Inc.</w:t>
      </w:r>
    </w:p>
    <w:p w:rsidR="00C64865" w:rsidP="00C64865" w14:paraId="0EA5F18E" w14:textId="77777777">
      <w:pPr>
        <w:widowControl/>
        <w:shd w:val="clear" w:color="auto" w:fill="FFFFFF"/>
        <w:ind w:left="720"/>
        <w:rPr>
          <w:snapToGrid/>
          <w:color w:val="272727"/>
          <w:kern w:val="0"/>
          <w:szCs w:val="22"/>
        </w:rPr>
      </w:pPr>
    </w:p>
    <w:p w:rsidR="00C64865" w:rsidRPr="00430292" w:rsidP="00C64865" w14:paraId="529EADF8" w14:textId="77777777">
      <w:pPr>
        <w:widowControl/>
        <w:shd w:val="clear" w:color="auto" w:fill="FFFFFF"/>
        <w:ind w:left="720"/>
        <w:rPr>
          <w:snapToGrid/>
          <w:color w:val="272727"/>
          <w:kern w:val="0"/>
          <w:szCs w:val="22"/>
        </w:rPr>
      </w:pPr>
    </w:p>
    <w:p w:rsidR="00412FC5" w:rsidRPr="005E2C2D" w:rsidP="005E2C2D" w14:paraId="094FDBDD" w14:textId="739544A4">
      <w:pPr>
        <w:widowControl/>
        <w:shd w:val="clear" w:color="auto" w:fill="FFFFFF"/>
        <w:spacing w:after="100" w:afterAutospacing="1" w:line="259" w:lineRule="auto"/>
        <w:rPr>
          <w:snapToGrid/>
          <w:color w:val="272727"/>
          <w:kern w:val="0"/>
          <w:szCs w:val="22"/>
        </w:rPr>
      </w:pPr>
      <w:r w:rsidRPr="00430292">
        <w:rPr>
          <w:snapToGrid/>
          <w:color w:val="272727"/>
          <w:kern w:val="0"/>
          <w:szCs w:val="22"/>
        </w:rPr>
        <w:t>Dated: __________________</w:t>
      </w: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C892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96B0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B9538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6B790C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54A1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17B2" w14:paraId="57B266C1" w14:textId="77777777">
      <w:r>
        <w:separator/>
      </w:r>
    </w:p>
  </w:footnote>
  <w:footnote w:type="continuationSeparator" w:id="1">
    <w:p w:rsidR="002117B2" w:rsidP="00C721AC" w14:paraId="58D0943B" w14:textId="77777777">
      <w:pPr>
        <w:spacing w:before="120"/>
        <w:rPr>
          <w:sz w:val="20"/>
        </w:rPr>
      </w:pPr>
      <w:r>
        <w:rPr>
          <w:sz w:val="20"/>
        </w:rPr>
        <w:t xml:space="preserve">(Continued from previous page)  </w:t>
      </w:r>
      <w:r>
        <w:rPr>
          <w:sz w:val="20"/>
        </w:rPr>
        <w:separator/>
      </w:r>
    </w:p>
  </w:footnote>
  <w:footnote w:type="continuationNotice" w:id="2">
    <w:p w:rsidR="002117B2" w:rsidP="00C721AC" w14:paraId="5209F049" w14:textId="77777777">
      <w:pPr>
        <w:jc w:val="right"/>
        <w:rPr>
          <w:sz w:val="20"/>
        </w:rPr>
      </w:pPr>
      <w:r>
        <w:rPr>
          <w:sz w:val="20"/>
        </w:rPr>
        <w:t>(continued….)</w:t>
      </w:r>
    </w:p>
  </w:footnote>
  <w:footnote w:id="3">
    <w:p w:rsidR="002117B2" w:rsidRPr="00D84548" w:rsidP="002117B2" w14:paraId="2509BE56" w14:textId="77777777">
      <w:pPr>
        <w:pStyle w:val="FootnoteText"/>
      </w:pPr>
      <w:r w:rsidRPr="009231F4">
        <w:rPr>
          <w:rStyle w:val="FootnoteReference"/>
        </w:rPr>
        <w:footnoteRef/>
      </w:r>
      <w:r w:rsidRPr="009231F4">
        <w:t xml:space="preserve"> </w:t>
      </w:r>
      <w:r w:rsidRPr="009231F4">
        <w:rPr>
          <w:szCs w:val="22"/>
        </w:rPr>
        <w:t>47 CFR §§ 54.405(e)(3), 54.407(a), 54.410(a), 54.410(b), 54.410(c).</w:t>
      </w:r>
      <w:r>
        <w:rPr>
          <w:szCs w:val="22"/>
        </w:rPr>
        <w:t xml:space="preserve">  This Consent Decree Amendment does not terminate any other investigations into the Company’s Lifeline compliance that have been or might be conducted by other law enforcement agencies or offices.</w:t>
      </w:r>
    </w:p>
  </w:footnote>
  <w:footnote w:id="4">
    <w:p w:rsidR="002117B2" w:rsidRPr="00F74D07" w:rsidP="002117B2" w14:paraId="01D7B1A1" w14:textId="77777777">
      <w:pPr>
        <w:pStyle w:val="FootnoteText"/>
      </w:pPr>
      <w:r>
        <w:rPr>
          <w:rStyle w:val="FootnoteReference"/>
        </w:rPr>
        <w:footnoteRef/>
      </w:r>
      <w:r>
        <w:t xml:space="preserve"> </w:t>
      </w:r>
      <w:r>
        <w:rPr>
          <w:i/>
        </w:rPr>
        <w:t xml:space="preserve">See </w:t>
      </w:r>
      <w:r>
        <w:t>47 CFR § 1.93(b).</w:t>
      </w:r>
    </w:p>
  </w:footnote>
  <w:footnote w:id="5">
    <w:p w:rsidR="00430292" w:rsidP="00430292" w14:paraId="7B0E8FAB" w14:textId="77777777">
      <w:pPr>
        <w:pStyle w:val="FootnoteText"/>
      </w:pPr>
      <w:r>
        <w:rPr>
          <w:rStyle w:val="FootnoteReference"/>
        </w:rPr>
        <w:footnoteRef/>
      </w:r>
      <w:r>
        <w:t xml:space="preserve"> </w:t>
      </w:r>
      <w:r w:rsidRPr="00305A25">
        <w:rPr>
          <w:i/>
        </w:rPr>
        <w:t>See</w:t>
      </w:r>
      <w:r w:rsidRPr="00305A25">
        <w:t xml:space="preserve"> 47 CFR § 1.93(b).</w:t>
      </w:r>
      <w:r>
        <w:t xml:space="preserve"> </w:t>
      </w:r>
    </w:p>
  </w:footnote>
  <w:footnote w:id="6">
    <w:p w:rsidR="00430292" w:rsidP="00430292" w14:paraId="78AA8037" w14:textId="77777777">
      <w:pPr>
        <w:pStyle w:val="FootnoteText"/>
      </w:pPr>
      <w:r>
        <w:rPr>
          <w:rStyle w:val="FootnoteReference"/>
        </w:rPr>
        <w:footnoteRef/>
      </w:r>
      <w:r>
        <w:t xml:space="preserve"> Debt Collection Improvement Act of 1996, Pub. L. No. 104-134, 110 Stat. 1321, 1358 (Apr. 26, 1996).</w:t>
      </w:r>
    </w:p>
  </w:footnote>
  <w:footnote w:id="7">
    <w:p w:rsidR="00430292" w:rsidRPr="005476AB" w:rsidP="00430292" w14:paraId="4005A9CD"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8">
    <w:p w:rsidR="00430292" w:rsidRPr="005476AB" w:rsidP="00430292" w14:paraId="34500600"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B8A4CF" w14:textId="01DDAFB7">
    <w:pPr>
      <w:pStyle w:val="Header"/>
      <w:rPr>
        <w:b w:val="0"/>
      </w:rPr>
    </w:pPr>
    <w:r>
      <w:tab/>
      <w:t>Federal Communications Commission</w:t>
    </w:r>
    <w:r>
      <w:tab/>
    </w:r>
    <w:r w:rsidR="002117B2">
      <w:t>DA 23-878</w:t>
    </w:r>
  </w:p>
  <w:p w:rsidR="00D25FB5" w14:paraId="36975E0F" w14:textId="5616F75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8003C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E5CB71" w14:textId="2F34825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23-878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2B48D2"/>
    <w:multiLevelType w:val="singleLevel"/>
    <w:tmpl w:val="6DB65454"/>
    <w:lvl w:ilvl="0">
      <w:start w:val="1"/>
      <w:numFmt w:val="decimal"/>
      <w:pStyle w:val="Paranum0"/>
      <w:lvlText w:val="%1."/>
      <w:lvlJc w:val="left"/>
      <w:pPr>
        <w:tabs>
          <w:tab w:val="num" w:pos="1080"/>
        </w:tabs>
        <w:ind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B2"/>
    <w:rsid w:val="00036039"/>
    <w:rsid w:val="00037F90"/>
    <w:rsid w:val="000875BF"/>
    <w:rsid w:val="00096D8C"/>
    <w:rsid w:val="000C0B65"/>
    <w:rsid w:val="000E05FE"/>
    <w:rsid w:val="000E3D42"/>
    <w:rsid w:val="00122BD5"/>
    <w:rsid w:val="00133F79"/>
    <w:rsid w:val="00194A66"/>
    <w:rsid w:val="001D6BCF"/>
    <w:rsid w:val="001E01CA"/>
    <w:rsid w:val="002117B2"/>
    <w:rsid w:val="00212BC1"/>
    <w:rsid w:val="00236C2C"/>
    <w:rsid w:val="00275CF5"/>
    <w:rsid w:val="0028301F"/>
    <w:rsid w:val="00285017"/>
    <w:rsid w:val="002911FD"/>
    <w:rsid w:val="002A2D2E"/>
    <w:rsid w:val="002C00E8"/>
    <w:rsid w:val="00305A25"/>
    <w:rsid w:val="00343749"/>
    <w:rsid w:val="003660ED"/>
    <w:rsid w:val="003B0550"/>
    <w:rsid w:val="003B694F"/>
    <w:rsid w:val="003F171C"/>
    <w:rsid w:val="00412FC5"/>
    <w:rsid w:val="00422276"/>
    <w:rsid w:val="004242F1"/>
    <w:rsid w:val="00430292"/>
    <w:rsid w:val="00441F7C"/>
    <w:rsid w:val="00445A00"/>
    <w:rsid w:val="00451B0F"/>
    <w:rsid w:val="004C2EE3"/>
    <w:rsid w:val="004E4A22"/>
    <w:rsid w:val="00511968"/>
    <w:rsid w:val="005476AB"/>
    <w:rsid w:val="0055614C"/>
    <w:rsid w:val="00566D06"/>
    <w:rsid w:val="005E14C2"/>
    <w:rsid w:val="005E2C2D"/>
    <w:rsid w:val="00607BA5"/>
    <w:rsid w:val="0061180A"/>
    <w:rsid w:val="00626EB6"/>
    <w:rsid w:val="00655D03"/>
    <w:rsid w:val="00683388"/>
    <w:rsid w:val="00683F84"/>
    <w:rsid w:val="00692CF2"/>
    <w:rsid w:val="006A6A81"/>
    <w:rsid w:val="006F7393"/>
    <w:rsid w:val="0070224F"/>
    <w:rsid w:val="007115F7"/>
    <w:rsid w:val="00785689"/>
    <w:rsid w:val="0079754B"/>
    <w:rsid w:val="007A1E6D"/>
    <w:rsid w:val="007B0EB2"/>
    <w:rsid w:val="00810B6F"/>
    <w:rsid w:val="00822CE0"/>
    <w:rsid w:val="00841AB1"/>
    <w:rsid w:val="008C68F1"/>
    <w:rsid w:val="009121BD"/>
    <w:rsid w:val="00921803"/>
    <w:rsid w:val="009231F4"/>
    <w:rsid w:val="00926503"/>
    <w:rsid w:val="009726D8"/>
    <w:rsid w:val="009D7308"/>
    <w:rsid w:val="009F76DB"/>
    <w:rsid w:val="00A32C3B"/>
    <w:rsid w:val="00A453F0"/>
    <w:rsid w:val="00A45F4F"/>
    <w:rsid w:val="00A600A9"/>
    <w:rsid w:val="00A85383"/>
    <w:rsid w:val="00AA55B7"/>
    <w:rsid w:val="00AA5B9E"/>
    <w:rsid w:val="00AB2407"/>
    <w:rsid w:val="00AB53DF"/>
    <w:rsid w:val="00B07E5C"/>
    <w:rsid w:val="00B811F7"/>
    <w:rsid w:val="00BA5DC6"/>
    <w:rsid w:val="00BA6196"/>
    <w:rsid w:val="00BC6D8C"/>
    <w:rsid w:val="00C34006"/>
    <w:rsid w:val="00C36B4C"/>
    <w:rsid w:val="00C426B1"/>
    <w:rsid w:val="00C64865"/>
    <w:rsid w:val="00C66160"/>
    <w:rsid w:val="00C721AC"/>
    <w:rsid w:val="00C90D6A"/>
    <w:rsid w:val="00CA247E"/>
    <w:rsid w:val="00CA6D21"/>
    <w:rsid w:val="00CC72B6"/>
    <w:rsid w:val="00D0218D"/>
    <w:rsid w:val="00D25FB5"/>
    <w:rsid w:val="00D44223"/>
    <w:rsid w:val="00D84548"/>
    <w:rsid w:val="00DA2529"/>
    <w:rsid w:val="00DB130A"/>
    <w:rsid w:val="00DB280F"/>
    <w:rsid w:val="00DB2EBB"/>
    <w:rsid w:val="00DC10A1"/>
    <w:rsid w:val="00DC655F"/>
    <w:rsid w:val="00DD0B59"/>
    <w:rsid w:val="00DD7EBD"/>
    <w:rsid w:val="00DF62B6"/>
    <w:rsid w:val="00E07225"/>
    <w:rsid w:val="00E5409F"/>
    <w:rsid w:val="00E771DA"/>
    <w:rsid w:val="00EE6488"/>
    <w:rsid w:val="00F021FA"/>
    <w:rsid w:val="00F62E97"/>
    <w:rsid w:val="00F64209"/>
    <w:rsid w:val="00F74D07"/>
    <w:rsid w:val="00F93BF5"/>
    <w:rsid w:val="00FD21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D8E47"/>
  <w15:chartTrackingRefBased/>
  <w15:docId w15:val="{5FB1B3AB-5390-44C3-ACDE-4839727B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1BD"/>
    <w:pPr>
      <w:widowControl w:val="0"/>
    </w:pPr>
    <w:rPr>
      <w:snapToGrid w:val="0"/>
      <w:kern w:val="28"/>
      <w:sz w:val="22"/>
    </w:rPr>
  </w:style>
  <w:style w:type="paragraph" w:styleId="Heading1">
    <w:name w:val="heading 1"/>
    <w:basedOn w:val="Normal"/>
    <w:next w:val="ParaNum"/>
    <w:qFormat/>
    <w:rsid w:val="009121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21BD"/>
    <w:pPr>
      <w:keepNext/>
      <w:numPr>
        <w:ilvl w:val="1"/>
        <w:numId w:val="3"/>
      </w:numPr>
      <w:spacing w:after="120"/>
      <w:outlineLvl w:val="1"/>
    </w:pPr>
    <w:rPr>
      <w:b/>
    </w:rPr>
  </w:style>
  <w:style w:type="paragraph" w:styleId="Heading3">
    <w:name w:val="heading 3"/>
    <w:basedOn w:val="Normal"/>
    <w:next w:val="ParaNum"/>
    <w:qFormat/>
    <w:rsid w:val="009121BD"/>
    <w:pPr>
      <w:keepNext/>
      <w:numPr>
        <w:ilvl w:val="2"/>
        <w:numId w:val="3"/>
      </w:numPr>
      <w:tabs>
        <w:tab w:val="left" w:pos="2160"/>
      </w:tabs>
      <w:spacing w:after="120"/>
      <w:outlineLvl w:val="2"/>
    </w:pPr>
    <w:rPr>
      <w:b/>
    </w:rPr>
  </w:style>
  <w:style w:type="paragraph" w:styleId="Heading4">
    <w:name w:val="heading 4"/>
    <w:basedOn w:val="Normal"/>
    <w:next w:val="ParaNum"/>
    <w:qFormat/>
    <w:rsid w:val="009121BD"/>
    <w:pPr>
      <w:keepNext/>
      <w:numPr>
        <w:ilvl w:val="3"/>
        <w:numId w:val="3"/>
      </w:numPr>
      <w:tabs>
        <w:tab w:val="left" w:pos="2880"/>
      </w:tabs>
      <w:spacing w:after="120"/>
      <w:outlineLvl w:val="3"/>
    </w:pPr>
    <w:rPr>
      <w:b/>
    </w:rPr>
  </w:style>
  <w:style w:type="paragraph" w:styleId="Heading5">
    <w:name w:val="heading 5"/>
    <w:basedOn w:val="Normal"/>
    <w:next w:val="ParaNum"/>
    <w:qFormat/>
    <w:rsid w:val="009121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21BD"/>
    <w:pPr>
      <w:numPr>
        <w:ilvl w:val="5"/>
        <w:numId w:val="3"/>
      </w:numPr>
      <w:tabs>
        <w:tab w:val="left" w:pos="4320"/>
      </w:tabs>
      <w:spacing w:after="120"/>
      <w:outlineLvl w:val="5"/>
    </w:pPr>
    <w:rPr>
      <w:b/>
    </w:rPr>
  </w:style>
  <w:style w:type="paragraph" w:styleId="Heading7">
    <w:name w:val="heading 7"/>
    <w:basedOn w:val="Normal"/>
    <w:next w:val="ParaNum"/>
    <w:qFormat/>
    <w:rsid w:val="009121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21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21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2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1BD"/>
  </w:style>
  <w:style w:type="paragraph" w:customStyle="1" w:styleId="ParaNum">
    <w:name w:val="ParaNum"/>
    <w:basedOn w:val="Normal"/>
    <w:link w:val="ParaNumChar"/>
    <w:rsid w:val="009121BD"/>
    <w:pPr>
      <w:numPr>
        <w:numId w:val="2"/>
      </w:numPr>
      <w:tabs>
        <w:tab w:val="clear" w:pos="1080"/>
        <w:tab w:val="num" w:pos="1440"/>
      </w:tabs>
      <w:spacing w:after="120"/>
    </w:pPr>
  </w:style>
  <w:style w:type="paragraph" w:styleId="EndnoteText">
    <w:name w:val="endnote text"/>
    <w:basedOn w:val="Normal"/>
    <w:semiHidden/>
    <w:rsid w:val="009121BD"/>
    <w:rPr>
      <w:sz w:val="20"/>
    </w:rPr>
  </w:style>
  <w:style w:type="character" w:styleId="EndnoteReference">
    <w:name w:val="endnote reference"/>
    <w:semiHidden/>
    <w:rsid w:val="009121B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121BD"/>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121BD"/>
    <w:rPr>
      <w:rFonts w:ascii="Times New Roman" w:hAnsi="Times New Roman"/>
      <w:dstrike w:val="0"/>
      <w:color w:val="auto"/>
      <w:sz w:val="20"/>
      <w:vertAlign w:val="superscript"/>
    </w:rPr>
  </w:style>
  <w:style w:type="paragraph" w:styleId="TOC1">
    <w:name w:val="toc 1"/>
    <w:basedOn w:val="Normal"/>
    <w:next w:val="Normal"/>
    <w:semiHidden/>
    <w:rsid w:val="009121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21BD"/>
    <w:pPr>
      <w:tabs>
        <w:tab w:val="left" w:pos="720"/>
        <w:tab w:val="right" w:leader="dot" w:pos="9360"/>
      </w:tabs>
      <w:suppressAutoHyphens/>
      <w:ind w:left="720" w:right="720" w:hanging="360"/>
    </w:pPr>
    <w:rPr>
      <w:noProof/>
    </w:rPr>
  </w:style>
  <w:style w:type="paragraph" w:styleId="TOC3">
    <w:name w:val="toc 3"/>
    <w:basedOn w:val="Normal"/>
    <w:next w:val="Normal"/>
    <w:semiHidden/>
    <w:rsid w:val="009121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21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21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21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21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21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21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21BD"/>
    <w:pPr>
      <w:tabs>
        <w:tab w:val="right" w:pos="9360"/>
      </w:tabs>
      <w:suppressAutoHyphens/>
    </w:pPr>
  </w:style>
  <w:style w:type="character" w:customStyle="1" w:styleId="EquationCaption">
    <w:name w:val="_Equation Caption"/>
    <w:rsid w:val="009121BD"/>
  </w:style>
  <w:style w:type="paragraph" w:styleId="Header">
    <w:name w:val="header"/>
    <w:basedOn w:val="Normal"/>
    <w:autoRedefine/>
    <w:rsid w:val="009121BD"/>
    <w:pPr>
      <w:tabs>
        <w:tab w:val="center" w:pos="4680"/>
        <w:tab w:val="right" w:pos="9360"/>
      </w:tabs>
    </w:pPr>
    <w:rPr>
      <w:b/>
    </w:rPr>
  </w:style>
  <w:style w:type="paragraph" w:styleId="Footer">
    <w:name w:val="footer"/>
    <w:basedOn w:val="Normal"/>
    <w:link w:val="FooterChar"/>
    <w:uiPriority w:val="99"/>
    <w:rsid w:val="009121BD"/>
    <w:pPr>
      <w:tabs>
        <w:tab w:val="center" w:pos="4320"/>
        <w:tab w:val="right" w:pos="8640"/>
      </w:tabs>
    </w:pPr>
  </w:style>
  <w:style w:type="character" w:styleId="PageNumber">
    <w:name w:val="page number"/>
    <w:basedOn w:val="DefaultParagraphFont"/>
    <w:rsid w:val="009121BD"/>
  </w:style>
  <w:style w:type="paragraph" w:styleId="BlockText">
    <w:name w:val="Block Text"/>
    <w:basedOn w:val="Normal"/>
    <w:rsid w:val="009121BD"/>
    <w:pPr>
      <w:spacing w:after="240"/>
      <w:ind w:left="1440" w:right="1440"/>
    </w:pPr>
  </w:style>
  <w:style w:type="paragraph" w:customStyle="1" w:styleId="Paratitle">
    <w:name w:val="Para title"/>
    <w:basedOn w:val="Normal"/>
    <w:rsid w:val="009121BD"/>
    <w:pPr>
      <w:tabs>
        <w:tab w:val="center" w:pos="9270"/>
      </w:tabs>
      <w:spacing w:after="240"/>
    </w:pPr>
    <w:rPr>
      <w:spacing w:val="-2"/>
    </w:rPr>
  </w:style>
  <w:style w:type="paragraph" w:customStyle="1" w:styleId="Bullet">
    <w:name w:val="Bullet"/>
    <w:basedOn w:val="Normal"/>
    <w:rsid w:val="009121BD"/>
    <w:pPr>
      <w:tabs>
        <w:tab w:val="left" w:pos="2160"/>
      </w:tabs>
      <w:spacing w:after="220"/>
      <w:ind w:left="2160" w:hanging="720"/>
    </w:pPr>
  </w:style>
  <w:style w:type="paragraph" w:customStyle="1" w:styleId="TableFormat">
    <w:name w:val="TableFormat"/>
    <w:basedOn w:val="Bullet"/>
    <w:rsid w:val="009121BD"/>
    <w:pPr>
      <w:tabs>
        <w:tab w:val="clear" w:pos="2160"/>
        <w:tab w:val="left" w:pos="5040"/>
      </w:tabs>
      <w:ind w:left="5040" w:hanging="3600"/>
    </w:pPr>
  </w:style>
  <w:style w:type="paragraph" w:customStyle="1" w:styleId="TOCTitle">
    <w:name w:val="TOC Title"/>
    <w:basedOn w:val="Normal"/>
    <w:rsid w:val="009121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21BD"/>
    <w:pPr>
      <w:jc w:val="center"/>
    </w:pPr>
    <w:rPr>
      <w:rFonts w:ascii="Times New Roman Bold" w:hAnsi="Times New Roman Bold"/>
      <w:b/>
      <w:bCs/>
      <w:caps/>
      <w:szCs w:val="22"/>
    </w:rPr>
  </w:style>
  <w:style w:type="character" w:styleId="Hyperlink">
    <w:name w:val="Hyperlink"/>
    <w:rsid w:val="009121BD"/>
    <w:rPr>
      <w:color w:val="0000FF"/>
      <w:u w:val="single"/>
    </w:rPr>
  </w:style>
  <w:style w:type="character" w:customStyle="1" w:styleId="FooterChar">
    <w:name w:val="Footer Char"/>
    <w:link w:val="Footer"/>
    <w:uiPriority w:val="99"/>
    <w:rsid w:val="009121BD"/>
    <w:rPr>
      <w:snapToGrid w:val="0"/>
      <w:kern w:val="28"/>
      <w:sz w:val="22"/>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2117B2"/>
  </w:style>
  <w:style w:type="character" w:customStyle="1" w:styleId="ParaNumChar">
    <w:name w:val="ParaNum Char"/>
    <w:link w:val="ParaNum"/>
    <w:rsid w:val="002117B2"/>
    <w:rPr>
      <w:snapToGrid w:val="0"/>
      <w:kern w:val="28"/>
      <w:sz w:val="22"/>
    </w:rPr>
  </w:style>
  <w:style w:type="paragraph" w:customStyle="1" w:styleId="Paranum0">
    <w:name w:val="Paranum"/>
    <w:uiPriority w:val="99"/>
    <w:rsid w:val="00430292"/>
    <w:pPr>
      <w:numPr>
        <w:numId w:val="8"/>
      </w:numPr>
      <w:tabs>
        <w:tab w:val="left" w:pos="1440"/>
      </w:tabs>
      <w:spacing w:after="2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atrick.McGrath@fcc.gov" TargetMode="External" /><Relationship Id="rId11" Type="http://schemas.openxmlformats.org/officeDocument/2006/relationships/hyperlink" Target="mailto:Kalun.Lee@fcc.gov" TargetMode="External" /><Relationship Id="rId12" Type="http://schemas.openxmlformats.org/officeDocument/2006/relationships/hyperlink" Target="mailto:Georgina.Feigen@fcc.gov" TargetMode="External" /><Relationship Id="rId13" Type="http://schemas.openxmlformats.org/officeDocument/2006/relationships/hyperlink" Target="mailto:Pam.Slipakoff@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