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B6963" w14:paraId="30F31893" w14:textId="5BBE5439">
      <w:pPr>
        <w:jc w:val="right"/>
        <w:rPr>
          <w:b/>
          <w:sz w:val="24"/>
        </w:rPr>
      </w:pPr>
      <w:r>
        <w:rPr>
          <w:b/>
          <w:sz w:val="24"/>
        </w:rPr>
        <w:t>DA 2</w:t>
      </w:r>
      <w:r w:rsidR="00DE57A8">
        <w:rPr>
          <w:b/>
          <w:sz w:val="24"/>
        </w:rPr>
        <w:t>3</w:t>
      </w:r>
      <w:r>
        <w:rPr>
          <w:b/>
          <w:sz w:val="24"/>
        </w:rPr>
        <w:t>-</w:t>
      </w:r>
      <w:r w:rsidR="00674BDD">
        <w:rPr>
          <w:b/>
          <w:sz w:val="24"/>
        </w:rPr>
        <w:t>919</w:t>
      </w:r>
    </w:p>
    <w:p w:rsidR="00DB6963" w14:paraId="790286F5" w14:textId="4DBA7CFA">
      <w:pPr>
        <w:spacing w:before="60"/>
        <w:jc w:val="right"/>
        <w:rPr>
          <w:b/>
          <w:sz w:val="24"/>
        </w:rPr>
      </w:pPr>
      <w:r>
        <w:rPr>
          <w:b/>
          <w:sz w:val="24"/>
        </w:rPr>
        <w:t xml:space="preserve">Released:  </w:t>
      </w:r>
      <w:r w:rsidR="002F0A04">
        <w:rPr>
          <w:b/>
          <w:sz w:val="24"/>
        </w:rPr>
        <w:t>September</w:t>
      </w:r>
      <w:r w:rsidR="00D83204">
        <w:rPr>
          <w:b/>
          <w:sz w:val="24"/>
        </w:rPr>
        <w:t xml:space="preserve"> </w:t>
      </w:r>
      <w:r w:rsidR="00D13377">
        <w:rPr>
          <w:b/>
          <w:sz w:val="24"/>
        </w:rPr>
        <w:t>29</w:t>
      </w:r>
      <w:r>
        <w:rPr>
          <w:b/>
          <w:sz w:val="24"/>
        </w:rPr>
        <w:t>, 202</w:t>
      </w:r>
      <w:r w:rsidR="00D83204">
        <w:rPr>
          <w:b/>
          <w:sz w:val="24"/>
        </w:rPr>
        <w:t>3</w:t>
      </w:r>
    </w:p>
    <w:p w:rsidR="00DB6963" w14:paraId="710050C0" w14:textId="77777777">
      <w:pPr>
        <w:jc w:val="right"/>
        <w:rPr>
          <w:sz w:val="24"/>
        </w:rPr>
      </w:pPr>
    </w:p>
    <w:p w:rsidR="00DB6963" w14:paraId="3426B762" w14:textId="10A205A9">
      <w:pPr>
        <w:spacing w:after="240"/>
        <w:jc w:val="center"/>
        <w:rPr>
          <w:rFonts w:ascii="Times New Roman Bold" w:hAnsi="Times New Roman Bold"/>
          <w:b/>
          <w:caps/>
          <w:sz w:val="24"/>
        </w:rPr>
      </w:pPr>
      <w:r>
        <w:rPr>
          <w:rFonts w:ascii="Times New Roman Bold" w:hAnsi="Times New Roman Bold"/>
          <w:b/>
          <w:caps/>
          <w:sz w:val="24"/>
        </w:rPr>
        <w:t>estimate of systems of competitive Bidding for fiscal year 202</w:t>
      </w:r>
      <w:r w:rsidR="00DE57A8">
        <w:rPr>
          <w:rFonts w:ascii="Times New Roman Bold" w:hAnsi="Times New Roman Bold"/>
          <w:b/>
          <w:caps/>
          <w:sz w:val="24"/>
        </w:rPr>
        <w:t>4</w:t>
      </w:r>
    </w:p>
    <w:p w:rsidR="00F75BE1" w:rsidP="00F75BE1" w14:paraId="4C55F827" w14:textId="36A5338E">
      <w:pPr>
        <w:widowControl/>
        <w:spacing w:after="120"/>
        <w:ind w:firstLine="720"/>
      </w:pPr>
      <w:bookmarkStart w:id="0" w:name="TOChere"/>
      <w:r>
        <w:t>Section 309(j)(18) of the Communications Act of 1934, as amended, requires the Commission to make publicly available an estimate of what systems of competitive bidding may be initiated during the upcoming 12-month period.</w:t>
      </w:r>
      <w:r>
        <w:rPr>
          <w:rStyle w:val="FootnoteReference"/>
        </w:rPr>
        <w:footnoteReference w:id="3"/>
      </w:r>
      <w:r>
        <w:t xml:space="preserve">  </w:t>
      </w:r>
      <w:r w:rsidR="00277B5E">
        <w:t>With two specified exceptions,</w:t>
      </w:r>
      <w:r w:rsidR="000E5755">
        <w:t xml:space="preserve"> </w:t>
      </w:r>
      <w:r w:rsidR="00237476">
        <w:t xml:space="preserve">the </w:t>
      </w:r>
      <w:r w:rsidR="000E5755">
        <w:t xml:space="preserve">Commission’s authority to grant licenses or permits </w:t>
      </w:r>
      <w:r w:rsidR="0051555E">
        <w:t>through systems of</w:t>
      </w:r>
      <w:r w:rsidR="00C9012B">
        <w:t xml:space="preserve"> </w:t>
      </w:r>
      <w:r w:rsidR="000E5755">
        <w:t>competitive bidding</w:t>
      </w:r>
      <w:r w:rsidR="0085113F">
        <w:t xml:space="preserve"> </w:t>
      </w:r>
      <w:r w:rsidR="004D2F86">
        <w:t>expired</w:t>
      </w:r>
      <w:r w:rsidR="0085113F">
        <w:t xml:space="preserve"> on </w:t>
      </w:r>
      <w:r w:rsidR="004D2F86">
        <w:t>March</w:t>
      </w:r>
      <w:r w:rsidR="005F6F68">
        <w:t xml:space="preserve"> </w:t>
      </w:r>
      <w:r w:rsidR="00E210D3">
        <w:t>9</w:t>
      </w:r>
      <w:r w:rsidR="005F6F68">
        <w:t>, 2023</w:t>
      </w:r>
      <w:r w:rsidR="000E5755">
        <w:t>.</w:t>
      </w:r>
      <w:r>
        <w:rPr>
          <w:rStyle w:val="FootnoteReference"/>
        </w:rPr>
        <w:footnoteReference w:id="4"/>
      </w:r>
      <w:r w:rsidR="008A4AFC">
        <w:t xml:space="preserve">  </w:t>
      </w:r>
      <w:r w:rsidR="000E0747">
        <w:t>A</w:t>
      </w:r>
      <w:r w:rsidR="00D1457D">
        <w:t>s discussed below</w:t>
      </w:r>
      <w:r w:rsidR="000676A3">
        <w:t>,</w:t>
      </w:r>
      <w:r w:rsidR="00167E02">
        <w:t xml:space="preserve"> the Office of Economics and Analytics (OEA) does not estimate that </w:t>
      </w:r>
      <w:r w:rsidR="00CE3818">
        <w:t xml:space="preserve">a system of competitive bidding </w:t>
      </w:r>
      <w:r w:rsidR="00B45EF3">
        <w:t xml:space="preserve">would be initiated </w:t>
      </w:r>
      <w:r w:rsidR="00802E81">
        <w:t xml:space="preserve">pursuant to either exception </w:t>
      </w:r>
      <w:r w:rsidR="00B45EF3">
        <w:t xml:space="preserve">in </w:t>
      </w:r>
      <w:r w:rsidR="007116A6">
        <w:t>Fiscal Year (</w:t>
      </w:r>
      <w:r w:rsidR="00B45EF3">
        <w:t>FY</w:t>
      </w:r>
      <w:r w:rsidR="007116A6">
        <w:t>)</w:t>
      </w:r>
      <w:r w:rsidR="00B45EF3">
        <w:t xml:space="preserve"> 2024</w:t>
      </w:r>
      <w:r w:rsidR="00802E81">
        <w:t>.  A</w:t>
      </w:r>
      <w:r w:rsidR="008A4AFC">
        <w:t>bsent Congressional action</w:t>
      </w:r>
      <w:r w:rsidR="00B16CF8">
        <w:t xml:space="preserve">, </w:t>
      </w:r>
      <w:r w:rsidR="008A4AFC">
        <w:t xml:space="preserve">the Commission does not have authority to initiate any </w:t>
      </w:r>
      <w:r w:rsidR="00802E81">
        <w:t xml:space="preserve">other </w:t>
      </w:r>
      <w:r w:rsidR="008A4AFC">
        <w:t xml:space="preserve">systems of competitive bidding </w:t>
      </w:r>
      <w:r w:rsidR="006558F5">
        <w:t>for spectrum in</w:t>
      </w:r>
      <w:r w:rsidR="008A4AFC">
        <w:t xml:space="preserve"> F</w:t>
      </w:r>
      <w:r w:rsidR="00B16CF8">
        <w:t>Y</w:t>
      </w:r>
      <w:r w:rsidR="00B142AF">
        <w:t xml:space="preserve"> </w:t>
      </w:r>
      <w:r w:rsidR="008A4AFC">
        <w:t>202</w:t>
      </w:r>
      <w:r w:rsidR="001A5451">
        <w:t>4</w:t>
      </w:r>
      <w:r w:rsidR="008A4AFC">
        <w:t xml:space="preserve">.  </w:t>
      </w:r>
      <w:r w:rsidR="00C9012B">
        <w:t xml:space="preserve">  </w:t>
      </w:r>
    </w:p>
    <w:p w:rsidR="00BB4DA3" w:rsidP="00F13A62" w14:paraId="191DC9EF" w14:textId="40726F9A">
      <w:pPr>
        <w:widowControl/>
        <w:spacing w:after="120"/>
        <w:ind w:firstLine="720"/>
      </w:pPr>
      <w:bookmarkStart w:id="1" w:name="_Hlk146198049"/>
      <w:r w:rsidRPr="00EE5167">
        <w:t>One specified exception to the expiration of the Commission’s authority applies to the 3.1</w:t>
      </w:r>
      <w:r w:rsidR="0003715E">
        <w:t>–</w:t>
      </w:r>
      <w:r w:rsidRPr="00EE5167">
        <w:t>3.45 GHz Band, which was identified under section 90008(b)(2)(A)(ii) of the Infrastructure Investment and Jobs Act</w:t>
      </w:r>
      <w:r w:rsidR="003262D9">
        <w:t xml:space="preserve"> for </w:t>
      </w:r>
      <w:r w:rsidR="00171C5E">
        <w:t xml:space="preserve">potential licensing </w:t>
      </w:r>
      <w:r w:rsidR="003262D9">
        <w:t>through a system of competitive bidding to begin no earlier than November 30, 2024</w:t>
      </w:r>
      <w:r w:rsidRPr="00EE5167">
        <w:t xml:space="preserve">.  </w:t>
      </w:r>
      <w:r w:rsidRPr="001B7FAC" w:rsidR="00AF71CF">
        <w:t>Congress directed the Department of Defense (DoD) to study the 3.1</w:t>
      </w:r>
      <w:r w:rsidR="00F65FB5">
        <w:t>–</w:t>
      </w:r>
      <w:r w:rsidRPr="001B7FAC" w:rsidR="00AF71CF">
        <w:t>3.45 GHz band in order to identify spectrum for reallocation for shared use and auction.</w:t>
      </w:r>
      <w:r>
        <w:rPr>
          <w:rStyle w:val="FootnoteReference"/>
        </w:rPr>
        <w:footnoteReference w:id="5"/>
      </w:r>
      <w:r w:rsidRPr="001B7FAC" w:rsidR="00AF71CF">
        <w:t xml:space="preserve">  </w:t>
      </w:r>
      <w:r w:rsidR="003157C0">
        <w:t>Based on the DoD’s study,</w:t>
      </w:r>
      <w:r w:rsidRPr="001B7FAC" w:rsidR="003157C0">
        <w:t xml:space="preserve"> the Secretary of Commerce, in coordination with the Secretary of Defense, the Director of the Office of the Science and Technology Policy, and relevant congressional committees</w:t>
      </w:r>
      <w:r w:rsidR="003157C0">
        <w:t xml:space="preserve"> will submit a report to the President and the Commission identifying the spectrum in the band that</w:t>
      </w:r>
      <w:r w:rsidRPr="001B7FAC" w:rsidR="003157C0">
        <w:t xml:space="preserve"> could be made available on a shared basis between Federal and non-Federal </w:t>
      </w:r>
      <w:r w:rsidR="003157C0">
        <w:t>commercial users.</w:t>
      </w:r>
      <w:r>
        <w:rPr>
          <w:rStyle w:val="FootnoteReference"/>
        </w:rPr>
        <w:footnoteReference w:id="6"/>
      </w:r>
      <w:r w:rsidRPr="001B7FAC" w:rsidR="003157C0">
        <w:t xml:space="preserve">  </w:t>
      </w:r>
      <w:r w:rsidR="003157C0">
        <w:t>After the report is received, and no earlier than November 30, 2024, the Commission</w:t>
      </w:r>
      <w:r w:rsidR="001B6BBE">
        <w:t>, in consultation with the Assistant Secretary of Commerce for Communications and Information</w:t>
      </w:r>
      <w:r w:rsidRPr="001B7FAC" w:rsidR="001B6BBE">
        <w:t>,</w:t>
      </w:r>
      <w:r w:rsidR="003157C0">
        <w:t xml:space="preserve"> will begin a system of competitive bidding to grant licenses for the spectrum identified in the report.</w:t>
      </w:r>
      <w:r>
        <w:rPr>
          <w:rStyle w:val="FootnoteReference"/>
          <w:shd w:val="clear" w:color="auto" w:fill="FFFFFF"/>
        </w:rPr>
        <w:footnoteReference w:id="7"/>
      </w:r>
      <w:r w:rsidR="003157C0">
        <w:t xml:space="preserve">  </w:t>
      </w:r>
      <w:r w:rsidR="008E5D6E">
        <w:t xml:space="preserve">As such, </w:t>
      </w:r>
      <w:r w:rsidR="00C91966">
        <w:t xml:space="preserve">OEA </w:t>
      </w:r>
      <w:r w:rsidR="008B518A">
        <w:t xml:space="preserve">estimates that a system of competitive bidding </w:t>
      </w:r>
      <w:r w:rsidR="000C0EE0">
        <w:t xml:space="preserve">for this spectrum would not be initiated within </w:t>
      </w:r>
      <w:r w:rsidR="00FF2D40">
        <w:t>FY</w:t>
      </w:r>
      <w:r w:rsidR="002521D8">
        <w:t xml:space="preserve"> 202</w:t>
      </w:r>
      <w:r w:rsidR="00AA01B7">
        <w:t>4</w:t>
      </w:r>
      <w:r w:rsidR="002521D8">
        <w:t>.</w:t>
      </w:r>
      <w:r>
        <w:t xml:space="preserve">  The other specified exception applies to 30 megahertz of spectrum to be identified</w:t>
      </w:r>
      <w:r w:rsidR="0000132B">
        <w:t xml:space="preserve"> by the Secretary of Commerce not later than January 1, 2022</w:t>
      </w:r>
      <w:r w:rsidR="7DB5AEC0">
        <w:t>,</w:t>
      </w:r>
      <w:r w:rsidR="0000132B">
        <w:t xml:space="preserve"> for reallocation from </w:t>
      </w:r>
      <w:r w:rsidR="7805DC9F">
        <w:t>F</w:t>
      </w:r>
      <w:r w:rsidR="0000132B">
        <w:t xml:space="preserve">ederal to non-Federal use or shared Federal and non-Federal use, or a combination thereof, </w:t>
      </w:r>
      <w:r>
        <w:t>pursuant to th</w:t>
      </w:r>
      <w:r w:rsidRPr="00DB1A5B">
        <w:t>e Spectrum Pipeline Act</w:t>
      </w:r>
      <w:r>
        <w:t>.</w:t>
      </w:r>
      <w:r>
        <w:rPr>
          <w:rStyle w:val="FootnoteReference"/>
        </w:rPr>
        <w:footnoteReference w:id="8"/>
      </w:r>
      <w:r>
        <w:t xml:space="preserve">  </w:t>
      </w:r>
      <w:r w:rsidR="00DE42F6">
        <w:t>Because</w:t>
      </w:r>
      <w:r w:rsidR="00086081">
        <w:t xml:space="preserve"> this spectrum</w:t>
      </w:r>
      <w:r w:rsidR="0000132B">
        <w:t xml:space="preserve"> has not yet been identified</w:t>
      </w:r>
      <w:r w:rsidR="00086081">
        <w:t xml:space="preserve">, </w:t>
      </w:r>
      <w:r>
        <w:t xml:space="preserve">OEA </w:t>
      </w:r>
      <w:r>
        <w:t>estimates that a system of competitive bidding would not be initiated</w:t>
      </w:r>
      <w:r w:rsidR="0000132B">
        <w:t xml:space="preserve"> by the statutory deadline of July 1, 2024</w:t>
      </w:r>
      <w:r>
        <w:t>.</w:t>
      </w:r>
      <w:r>
        <w:rPr>
          <w:rStyle w:val="FootnoteReference"/>
        </w:rPr>
        <w:footnoteReference w:id="9"/>
      </w:r>
    </w:p>
    <w:p w:rsidR="0000132B" w:rsidRPr="00F13A62" w:rsidP="007E590E" w14:paraId="0E8E2CB4" w14:textId="29183E07">
      <w:pPr>
        <w:spacing w:after="120"/>
        <w:ind w:firstLine="720"/>
      </w:pPr>
      <w:r>
        <w:t xml:space="preserve">The </w:t>
      </w:r>
      <w:r w:rsidR="00BC2492">
        <w:t>Commission</w:t>
      </w:r>
      <w:r>
        <w:t xml:space="preserve"> has several active proceedings in which it is considering whether and how to enable sharing or repurpos</w:t>
      </w:r>
      <w:r w:rsidR="007A408F">
        <w:t>ing of</w:t>
      </w:r>
      <w:r>
        <w:t xml:space="preserve"> bands, potentially creating opportunities for spectrum auctions beyond FY</w:t>
      </w:r>
      <w:r w:rsidR="40D6EA2A">
        <w:t xml:space="preserve"> </w:t>
      </w:r>
      <w:r>
        <w:t xml:space="preserve">2024.  For example, </w:t>
      </w:r>
      <w:r w:rsidR="007E590E">
        <w:t>in May 2023</w:t>
      </w:r>
      <w:r>
        <w:t xml:space="preserve"> </w:t>
      </w:r>
      <w:r w:rsidR="007E590E">
        <w:t xml:space="preserve">the </w:t>
      </w:r>
      <w:r w:rsidR="00BC2492">
        <w:t>Commission</w:t>
      </w:r>
      <w:r w:rsidR="007E590E">
        <w:t xml:space="preserve"> adopted a notice of proposed rulemaking in which it sought comment on services rules for flexible use licenses in the 550 megahertz of the 12.7</w:t>
      </w:r>
      <w:r w:rsidR="00171C5E">
        <w:t>–</w:t>
      </w:r>
      <w:r w:rsidR="007E590E">
        <w:t>13.25 MHz band.</w:t>
      </w:r>
      <w:r>
        <w:rPr>
          <w:rStyle w:val="FootnoteReference"/>
        </w:rPr>
        <w:footnoteReference w:id="10"/>
      </w:r>
      <w:r>
        <w:t xml:space="preserve">  Additionally, the Commission</w:t>
      </w:r>
      <w:r w:rsidRPr="4EDFEEC1">
        <w:rPr>
          <w:color w:val="FF0000"/>
        </w:rPr>
        <w:t xml:space="preserve"> </w:t>
      </w:r>
      <w:r>
        <w:t>will examine for potential re-auction</w:t>
      </w:r>
      <w:r w:rsidRPr="009D5474" w:rsidR="009D5474">
        <w:t>, subject to any limits currently imposed by the lapse in its statutory spectrum auction authority,</w:t>
      </w:r>
      <w:r>
        <w:t xml:space="preserve"> its inventory of licenses in services well-suited for 5G that were previously offered at auction, such as 600 MHz and AWS-3.</w:t>
      </w:r>
    </w:p>
    <w:p w:rsidR="0000132B" w:rsidP="004F4F4C" w14:paraId="1897D930" w14:textId="77777777">
      <w:pPr>
        <w:spacing w:after="120"/>
        <w:ind w:firstLine="720"/>
      </w:pPr>
    </w:p>
    <w:bookmarkEnd w:id="0"/>
    <w:bookmarkEnd w:id="1"/>
    <w:p w:rsidR="005E6733" w:rsidRPr="00E04152" w:rsidP="00E04152" w14:paraId="2DED6D70" w14:textId="77777777">
      <w:pPr>
        <w:jc w:val="center"/>
        <w:rPr>
          <w:b/>
          <w:bCs/>
        </w:rPr>
      </w:pPr>
      <w:r w:rsidRPr="00E04152">
        <w:rPr>
          <w:b/>
          <w:bCs/>
        </w:rPr>
        <w:t>– FCC –</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3CDCABDA" w14:textId="77777777">
    <w:pPr>
      <w:pStyle w:val="Footer"/>
      <w:framePr w:wrap="around" w:vAnchor="text" w:hAnchor="margin" w:xAlign="center" w:y="1"/>
    </w:pPr>
    <w:r>
      <w:fldChar w:fldCharType="begin"/>
    </w:r>
    <w:r>
      <w:instrText xml:space="preserve">PAGE  </w:instrText>
    </w:r>
    <w:r w:rsidR="009D5474">
      <w:fldChar w:fldCharType="separate"/>
    </w:r>
    <w:r>
      <w:fldChar w:fldCharType="end"/>
    </w:r>
  </w:p>
  <w:p w:rsidR="00DB6963" w14:paraId="78B99F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76A0C1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62976B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BE1" w14:paraId="3175B7EE" w14:textId="77777777">
      <w:r>
        <w:separator/>
      </w:r>
    </w:p>
  </w:footnote>
  <w:footnote w:type="continuationSeparator" w:id="1">
    <w:p w:rsidR="00AE1BE1" w14:paraId="7254471F" w14:textId="77777777">
      <w:pPr>
        <w:rPr>
          <w:sz w:val="20"/>
        </w:rPr>
      </w:pPr>
      <w:r>
        <w:rPr>
          <w:sz w:val="20"/>
        </w:rPr>
        <w:t xml:space="preserve">(Continued from previous page)  </w:t>
      </w:r>
      <w:r>
        <w:rPr>
          <w:sz w:val="20"/>
        </w:rPr>
        <w:separator/>
      </w:r>
    </w:p>
  </w:footnote>
  <w:footnote w:type="continuationNotice" w:id="2">
    <w:p w:rsidR="00AE1BE1" w14:paraId="026050A4" w14:textId="77777777">
      <w:pPr>
        <w:jc w:val="right"/>
        <w:rPr>
          <w:sz w:val="20"/>
        </w:rPr>
      </w:pPr>
      <w:r>
        <w:rPr>
          <w:sz w:val="20"/>
        </w:rPr>
        <w:t>(continued….)</w:t>
      </w:r>
    </w:p>
  </w:footnote>
  <w:footnote w:id="3">
    <w:p w:rsidR="00CC57F9" w14:paraId="4CB0EE5C" w14:textId="77777777">
      <w:pPr>
        <w:pStyle w:val="FootnoteText"/>
      </w:pPr>
      <w:r>
        <w:rPr>
          <w:rStyle w:val="FootnoteReference"/>
        </w:rPr>
        <w:footnoteRef/>
      </w:r>
      <w:r>
        <w:t xml:space="preserve"> </w:t>
      </w:r>
      <w:r w:rsidR="008E5D6E">
        <w:t>47 U.S.C. § 309(j)(18).</w:t>
      </w:r>
    </w:p>
  </w:footnote>
  <w:footnote w:id="4">
    <w:p w:rsidR="000E5755" w:rsidP="00455F1F" w14:paraId="3AB50C99" w14:textId="16344F8E">
      <w:pPr>
        <w:pStyle w:val="FootnoteText"/>
      </w:pPr>
      <w:r>
        <w:rPr>
          <w:rStyle w:val="FootnoteReference"/>
        </w:rPr>
        <w:footnoteRef/>
      </w:r>
      <w:r>
        <w:t xml:space="preserve"> 47 U.S.C. § 309(j)(11)</w:t>
      </w:r>
      <w:r w:rsidR="00C9012B">
        <w:t xml:space="preserve"> </w:t>
      </w:r>
      <w:r w:rsidRPr="00E210D3" w:rsidR="00C9012B">
        <w:t>(“</w:t>
      </w:r>
      <w:r w:rsidRPr="00D53846" w:rsidR="00D53846">
        <w:rPr>
          <w:color w:val="000000"/>
        </w:rPr>
        <w:t>The authority of the Commission to grant a license or permit under this subsection shall expire March 9, 2023, except that, with respect to the electromagnetic spectrum identified under section 1004(a) of the Spectrum Pipeline Act of 2015, such authority shall expire on September 30, 2025, and with respect to the electromagnetic spectrum identified under section 90008(b)(2)(A)(ii) of the Infrastructure Investment and Jobs Act, such authority shall expire on the date that is 7 years after November 15, 2021.</w:t>
      </w:r>
      <w:r w:rsidRPr="00455F1F" w:rsidR="00C9012B">
        <w:t>”)</w:t>
      </w:r>
      <w:r w:rsidRPr="00455F1F" w:rsidR="008C6118">
        <w:t xml:space="preserve">; </w:t>
      </w:r>
      <w:r w:rsidR="00455F1F">
        <w:t>Consolidated Appropriations Act, 2023</w:t>
      </w:r>
      <w:r w:rsidR="00B403A2">
        <w:t>, Pub. L. No. 117-328</w:t>
      </w:r>
      <w:r w:rsidR="001F1A39">
        <w:t xml:space="preserve">, </w:t>
      </w:r>
      <w:r w:rsidRPr="000F3F6F" w:rsidR="000F3F6F">
        <w:rPr>
          <w:color w:val="000000"/>
        </w:rPr>
        <w:t xml:space="preserve">136 Stat. </w:t>
      </w:r>
      <w:r w:rsidR="000B7AA6">
        <w:rPr>
          <w:color w:val="000000"/>
        </w:rPr>
        <w:t>5232,</w:t>
      </w:r>
      <w:r w:rsidRPr="000F3F6F" w:rsidR="000F3F6F">
        <w:rPr>
          <w:color w:val="000000"/>
        </w:rPr>
        <w:t xml:space="preserve"> </w:t>
      </w:r>
      <w:r w:rsidR="00095237">
        <w:t xml:space="preserve">§ </w:t>
      </w:r>
      <w:r w:rsidR="006F2B81">
        <w:t>901</w:t>
      </w:r>
      <w:r w:rsidR="00E977BB">
        <w:t xml:space="preserve"> (202</w:t>
      </w:r>
      <w:r w:rsidR="009F45BD">
        <w:t>2</w:t>
      </w:r>
      <w:r w:rsidR="00E977BB">
        <w:t>).</w:t>
      </w:r>
      <w:r>
        <w:t xml:space="preserve"> </w:t>
      </w:r>
    </w:p>
  </w:footnote>
  <w:footnote w:id="5">
    <w:p w:rsidR="00AF71CF" w:rsidP="00AF71CF" w14:paraId="4EB126DE" w14:textId="77777777">
      <w:pPr>
        <w:pStyle w:val="FootnoteText"/>
      </w:pPr>
      <w:r>
        <w:rPr>
          <w:rStyle w:val="FootnoteReference"/>
        </w:rPr>
        <w:footnoteRef/>
      </w:r>
      <w:r>
        <w:t xml:space="preserve"> </w:t>
      </w:r>
      <w:r w:rsidRPr="001B7FAC">
        <w:t>Infrastructure Investment and Jobs Act, Pub. L. No.</w:t>
      </w:r>
      <w:r w:rsidR="00396807">
        <w:t xml:space="preserve"> </w:t>
      </w:r>
      <w:r w:rsidRPr="001B7FAC">
        <w:t xml:space="preserve">117-58, </w:t>
      </w:r>
      <w:r>
        <w:t>§ 90008</w:t>
      </w:r>
      <w:r w:rsidRPr="009271BC">
        <w:rPr>
          <w:color w:val="000000"/>
        </w:rPr>
        <w:t>(b)(1)(A)</w:t>
      </w:r>
      <w:r>
        <w:rPr>
          <w:color w:val="000000"/>
        </w:rPr>
        <w:t xml:space="preserve"> (20</w:t>
      </w:r>
      <w:r w:rsidR="00873DD8">
        <w:rPr>
          <w:color w:val="000000"/>
        </w:rPr>
        <w:t>2</w:t>
      </w:r>
      <w:r>
        <w:rPr>
          <w:color w:val="000000"/>
        </w:rPr>
        <w:t xml:space="preserve">1) </w:t>
      </w:r>
      <w:r w:rsidRPr="001B7FAC">
        <w:t>(codified at 47 U.S.C. § 921 note)</w:t>
      </w:r>
      <w:r w:rsidRPr="009271BC">
        <w:rPr>
          <w:color w:val="000000"/>
        </w:rPr>
        <w:t>.</w:t>
      </w:r>
      <w:r>
        <w:rPr>
          <w:color w:val="000000"/>
        </w:rPr>
        <w:t xml:space="preserve">  </w:t>
      </w:r>
    </w:p>
  </w:footnote>
  <w:footnote w:id="6">
    <w:p w:rsidR="003157C0" w:rsidP="003157C0" w14:paraId="6B15D164" w14:textId="77777777">
      <w:pPr>
        <w:pStyle w:val="FootnoteText"/>
      </w:pPr>
      <w:r>
        <w:rPr>
          <w:rStyle w:val="FootnoteReference"/>
        </w:rPr>
        <w:footnoteRef/>
      </w:r>
      <w:r>
        <w:t xml:space="preserve"> </w:t>
      </w:r>
      <w:r w:rsidRPr="0025395B">
        <w:rPr>
          <w:i/>
          <w:iCs/>
          <w:color w:val="000000"/>
        </w:rPr>
        <w:t>Id.</w:t>
      </w:r>
      <w:r w:rsidRPr="0025395B">
        <w:rPr>
          <w:color w:val="000000"/>
        </w:rPr>
        <w:t xml:space="preserve"> § 90008(b)(2)(A).</w:t>
      </w:r>
    </w:p>
  </w:footnote>
  <w:footnote w:id="7">
    <w:p w:rsidR="003157C0" w:rsidP="003157C0" w14:paraId="3F0ED5D3" w14:textId="77777777">
      <w:pPr>
        <w:pStyle w:val="FootnoteText"/>
      </w:pPr>
      <w:r>
        <w:rPr>
          <w:rStyle w:val="FootnoteReference"/>
        </w:rPr>
        <w:footnoteRef/>
      </w:r>
      <w:r>
        <w:t xml:space="preserve"> </w:t>
      </w:r>
      <w:r w:rsidRPr="009A0DCA">
        <w:rPr>
          <w:i/>
          <w:iCs/>
          <w:color w:val="000000"/>
        </w:rPr>
        <w:t>Id.</w:t>
      </w:r>
      <w:r w:rsidRPr="009A0DCA">
        <w:rPr>
          <w:color w:val="000000"/>
        </w:rPr>
        <w:t xml:space="preserve"> § 90008(b)(3).</w:t>
      </w:r>
    </w:p>
  </w:footnote>
  <w:footnote w:id="8">
    <w:p w:rsidR="00BB4DA3" w:rsidRPr="00140D0F" w:rsidP="00D06EC5" w14:paraId="1D09B61D" w14:textId="77777777">
      <w:pPr>
        <w:pStyle w:val="FootnoteText"/>
        <w:spacing w:before="120"/>
        <w:rPr>
          <w:i/>
          <w:iCs/>
        </w:rPr>
      </w:pPr>
      <w:r>
        <w:rPr>
          <w:rStyle w:val="FootnoteReference"/>
        </w:rPr>
        <w:footnoteRef/>
      </w:r>
      <w:r>
        <w:t xml:space="preserve"> </w:t>
      </w:r>
      <w:r w:rsidR="00AA449A">
        <w:t xml:space="preserve">Spectrum Pipeline </w:t>
      </w:r>
      <w:r w:rsidR="001B4453">
        <w:t>Act of 2015, Pub. L. No.</w:t>
      </w:r>
      <w:r w:rsidR="00396807">
        <w:t xml:space="preserve"> </w:t>
      </w:r>
      <w:r w:rsidR="001B4453">
        <w:t>114-74</w:t>
      </w:r>
      <w:r w:rsidR="00522E4C">
        <w:t>, § 1004(a) (2015)</w:t>
      </w:r>
      <w:r w:rsidR="00A61B92">
        <w:t xml:space="preserve"> (codified at </w:t>
      </w:r>
      <w:r w:rsidR="00012853">
        <w:t>47 U.S.C. § 921 note)</w:t>
      </w:r>
      <w:r w:rsidR="00522E4C">
        <w:t>.</w:t>
      </w:r>
    </w:p>
  </w:footnote>
  <w:footnote w:id="9">
    <w:p w:rsidR="007E590E" w14:paraId="562D7374" w14:textId="345F192B">
      <w:pPr>
        <w:pStyle w:val="FootnoteText"/>
      </w:pPr>
      <w:r>
        <w:rPr>
          <w:rStyle w:val="FootnoteReference"/>
        </w:rPr>
        <w:footnoteRef/>
      </w:r>
      <w:r>
        <w:t xml:space="preserve"> </w:t>
      </w:r>
      <w:r w:rsidRPr="00F13A62">
        <w:rPr>
          <w:i/>
          <w:iCs/>
        </w:rPr>
        <w:t>Id</w:t>
      </w:r>
      <w:r>
        <w:t>.</w:t>
      </w:r>
    </w:p>
  </w:footnote>
  <w:footnote w:id="10">
    <w:p w:rsidR="007E590E" w14:paraId="7A219F4D" w14:textId="43BFF872">
      <w:pPr>
        <w:pStyle w:val="FootnoteText"/>
      </w:pPr>
      <w:r>
        <w:rPr>
          <w:rStyle w:val="FootnoteReference"/>
        </w:rPr>
        <w:footnoteRef/>
      </w:r>
      <w:r>
        <w:t xml:space="preserve"> </w:t>
      </w:r>
      <w:r w:rsidRPr="00F13A62" w:rsidR="004676A3">
        <w:rPr>
          <w:i/>
          <w:iCs/>
        </w:rPr>
        <w:t>Expanding Flexible Use of the 12.2-12.7 GHz Band; Expanding Use of the 12.7-13.25 GHz Band for Mobile Broadband or Other Expanded Use</w:t>
      </w:r>
      <w:r w:rsidR="004676A3">
        <w:t xml:space="preserve">, </w:t>
      </w:r>
      <w:r w:rsidR="00182AAF">
        <w:t xml:space="preserve">WT Docket No. </w:t>
      </w:r>
      <w:r w:rsidR="0099295B">
        <w:t xml:space="preserve">20-443, GN Docket No. 22-352, </w:t>
      </w:r>
      <w:r w:rsidR="006D0967">
        <w:t xml:space="preserve">Order, </w:t>
      </w:r>
      <w:r w:rsidR="0099295B">
        <w:t>Report and Order</w:t>
      </w:r>
      <w:r w:rsidR="006D0967">
        <w:t xml:space="preserve">, </w:t>
      </w:r>
      <w:r w:rsidR="0099295B">
        <w:t xml:space="preserve">Further Notice of Proposed Rulemaking and Notice of </w:t>
      </w:r>
      <w:r w:rsidR="006D0967">
        <w:t>P</w:t>
      </w:r>
      <w:r w:rsidR="0099295B">
        <w:t xml:space="preserve">roposed Rulemaking, </w:t>
      </w:r>
      <w:r w:rsidR="006D0967">
        <w:t xml:space="preserve">FCC </w:t>
      </w:r>
      <w:r w:rsidR="00D23E14">
        <w:t>23-36</w:t>
      </w:r>
      <w:r w:rsidR="00A53483">
        <w:t xml:space="preserve">, at </w:t>
      </w:r>
      <w:r w:rsidR="00262CCE">
        <w:t>34-</w:t>
      </w:r>
      <w:r w:rsidR="00AD7099">
        <w:t xml:space="preserve">68, </w:t>
      </w:r>
      <w:r w:rsidR="00C65470">
        <w:t xml:space="preserve">paras. </w:t>
      </w:r>
      <w:r w:rsidR="00626B1A">
        <w:t>58-142</w:t>
      </w:r>
      <w:r w:rsidR="00FB7180">
        <w:t xml:space="preserve"> </w:t>
      </w:r>
      <w:r w:rsidR="0005393E">
        <w:t>(</w:t>
      </w:r>
      <w:r w:rsidR="00E8794F">
        <w:t>May 19, 2023)</w:t>
      </w:r>
      <w:r w:rsidR="002212A4">
        <w:t>.</w:t>
      </w:r>
      <w:r w:rsidR="00D23E1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6846F920" w14:textId="3B38247B">
    <w:pPr>
      <w:tabs>
        <w:tab w:val="center" w:pos="4680"/>
        <w:tab w:val="right" w:pos="9360"/>
      </w:tabs>
    </w:pPr>
    <w:r>
      <w:rPr>
        <w:b/>
      </w:rPr>
      <w:tab/>
      <w:t>Federal Communications Commission</w:t>
    </w:r>
    <w:r>
      <w:rPr>
        <w:b/>
      </w:rPr>
      <w:tab/>
    </w:r>
    <w:r w:rsidR="008E5D6E">
      <w:rPr>
        <w:b/>
      </w:rPr>
      <w:t>DA 2</w:t>
    </w:r>
    <w:r w:rsidR="00415B00">
      <w:rPr>
        <w:b/>
      </w:rPr>
      <w:t>3</w:t>
    </w:r>
    <w:r w:rsidR="008E5D6E">
      <w:rPr>
        <w:b/>
      </w:rPr>
      <w:t>-</w:t>
    </w:r>
    <w:r w:rsidR="0067647C">
      <w:rPr>
        <w:b/>
      </w:rPr>
      <w:t>919</w:t>
    </w:r>
  </w:p>
  <w:p w:rsidR="00DB6963" w14:paraId="05D033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B6963" w14:paraId="1F570D9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6963" w14:paraId="1875F16E" w14:textId="77777777">
    <w:pPr>
      <w:pStyle w:val="Header"/>
    </w:pPr>
    <w:r>
      <w:rPr>
        <w:noProof/>
        <w:snapToGrid/>
      </w:rPr>
      <w:drawing>
        <wp:inline distT="0" distB="0" distL="0" distR="0">
          <wp:extent cx="5943600" cy="1428750"/>
          <wp:effectExtent l="0" t="0" r="0" b="8255"/>
          <wp:docPr id="1731785228" name="Picture 173178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8522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0778DD"/>
    <w:multiLevelType w:val="hybridMultilevel"/>
    <w:tmpl w:val="60F2B10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2641EB"/>
    <w:multiLevelType w:val="hybridMultilevel"/>
    <w:tmpl w:val="445860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E1"/>
    <w:rsid w:val="0000132B"/>
    <w:rsid w:val="00002596"/>
    <w:rsid w:val="00005CE5"/>
    <w:rsid w:val="00012853"/>
    <w:rsid w:val="00013082"/>
    <w:rsid w:val="00013557"/>
    <w:rsid w:val="00021E13"/>
    <w:rsid w:val="00024DD4"/>
    <w:rsid w:val="000267D9"/>
    <w:rsid w:val="000359A2"/>
    <w:rsid w:val="0003682C"/>
    <w:rsid w:val="0003715E"/>
    <w:rsid w:val="00044AC0"/>
    <w:rsid w:val="00051360"/>
    <w:rsid w:val="0005393E"/>
    <w:rsid w:val="00054DF2"/>
    <w:rsid w:val="00063BED"/>
    <w:rsid w:val="000676A3"/>
    <w:rsid w:val="000714F8"/>
    <w:rsid w:val="00072BE8"/>
    <w:rsid w:val="00073C2B"/>
    <w:rsid w:val="00084974"/>
    <w:rsid w:val="000855D7"/>
    <w:rsid w:val="00086081"/>
    <w:rsid w:val="00087F8A"/>
    <w:rsid w:val="00091B3E"/>
    <w:rsid w:val="00093F58"/>
    <w:rsid w:val="00095237"/>
    <w:rsid w:val="00096EE7"/>
    <w:rsid w:val="000A2882"/>
    <w:rsid w:val="000A577A"/>
    <w:rsid w:val="000A7CCC"/>
    <w:rsid w:val="000B0FD9"/>
    <w:rsid w:val="000B4466"/>
    <w:rsid w:val="000B4D8A"/>
    <w:rsid w:val="000B7AA6"/>
    <w:rsid w:val="000C0EE0"/>
    <w:rsid w:val="000C68CA"/>
    <w:rsid w:val="000D3AA5"/>
    <w:rsid w:val="000D78CE"/>
    <w:rsid w:val="000E0747"/>
    <w:rsid w:val="000E5755"/>
    <w:rsid w:val="000E57D6"/>
    <w:rsid w:val="000F3F6F"/>
    <w:rsid w:val="000F63D9"/>
    <w:rsid w:val="00117CCD"/>
    <w:rsid w:val="001239A0"/>
    <w:rsid w:val="00127F85"/>
    <w:rsid w:val="00132E51"/>
    <w:rsid w:val="00140D0F"/>
    <w:rsid w:val="00160693"/>
    <w:rsid w:val="001606F5"/>
    <w:rsid w:val="00162918"/>
    <w:rsid w:val="00167E02"/>
    <w:rsid w:val="00171C5E"/>
    <w:rsid w:val="001803B0"/>
    <w:rsid w:val="00181819"/>
    <w:rsid w:val="00182AAF"/>
    <w:rsid w:val="001838E9"/>
    <w:rsid w:val="00187838"/>
    <w:rsid w:val="00187C0D"/>
    <w:rsid w:val="00187E07"/>
    <w:rsid w:val="001976BA"/>
    <w:rsid w:val="00197CD1"/>
    <w:rsid w:val="001A06A8"/>
    <w:rsid w:val="001A1765"/>
    <w:rsid w:val="001A32DA"/>
    <w:rsid w:val="001A5451"/>
    <w:rsid w:val="001A7041"/>
    <w:rsid w:val="001B05E1"/>
    <w:rsid w:val="001B38AD"/>
    <w:rsid w:val="001B4453"/>
    <w:rsid w:val="001B6BBE"/>
    <w:rsid w:val="001B7FAC"/>
    <w:rsid w:val="001C1400"/>
    <w:rsid w:val="001C4D92"/>
    <w:rsid w:val="001C5EB3"/>
    <w:rsid w:val="001D5BE8"/>
    <w:rsid w:val="001E2ABF"/>
    <w:rsid w:val="001E59D2"/>
    <w:rsid w:val="001E6402"/>
    <w:rsid w:val="001F1A39"/>
    <w:rsid w:val="001F23B3"/>
    <w:rsid w:val="001F3CBD"/>
    <w:rsid w:val="001F4F36"/>
    <w:rsid w:val="00204EEC"/>
    <w:rsid w:val="00206BB9"/>
    <w:rsid w:val="00214F09"/>
    <w:rsid w:val="00216110"/>
    <w:rsid w:val="00216AAC"/>
    <w:rsid w:val="0022003A"/>
    <w:rsid w:val="002212A4"/>
    <w:rsid w:val="00225FF6"/>
    <w:rsid w:val="00226A71"/>
    <w:rsid w:val="002302CF"/>
    <w:rsid w:val="00230C0D"/>
    <w:rsid w:val="002340DD"/>
    <w:rsid w:val="00234D4E"/>
    <w:rsid w:val="00236A55"/>
    <w:rsid w:val="00237476"/>
    <w:rsid w:val="00237F2E"/>
    <w:rsid w:val="00241ACE"/>
    <w:rsid w:val="00247284"/>
    <w:rsid w:val="0025155B"/>
    <w:rsid w:val="002521D8"/>
    <w:rsid w:val="00252415"/>
    <w:rsid w:val="0025395B"/>
    <w:rsid w:val="0025424E"/>
    <w:rsid w:val="00262CCE"/>
    <w:rsid w:val="00264922"/>
    <w:rsid w:val="002760F0"/>
    <w:rsid w:val="002768E4"/>
    <w:rsid w:val="00277B5E"/>
    <w:rsid w:val="00280D5A"/>
    <w:rsid w:val="00281A95"/>
    <w:rsid w:val="00281F4E"/>
    <w:rsid w:val="002853F2"/>
    <w:rsid w:val="00287B1F"/>
    <w:rsid w:val="002911CA"/>
    <w:rsid w:val="002926D2"/>
    <w:rsid w:val="002A0A47"/>
    <w:rsid w:val="002A31F7"/>
    <w:rsid w:val="002A3D2F"/>
    <w:rsid w:val="002B2BC8"/>
    <w:rsid w:val="002B4678"/>
    <w:rsid w:val="002B57FF"/>
    <w:rsid w:val="002B5AA7"/>
    <w:rsid w:val="002C5F5E"/>
    <w:rsid w:val="002D0EFB"/>
    <w:rsid w:val="002D200D"/>
    <w:rsid w:val="002D2C82"/>
    <w:rsid w:val="002D4BAA"/>
    <w:rsid w:val="002D6483"/>
    <w:rsid w:val="002D697D"/>
    <w:rsid w:val="002E1D4C"/>
    <w:rsid w:val="002F0A04"/>
    <w:rsid w:val="002F2C83"/>
    <w:rsid w:val="002F710E"/>
    <w:rsid w:val="002F7F77"/>
    <w:rsid w:val="003157C0"/>
    <w:rsid w:val="00317450"/>
    <w:rsid w:val="00322210"/>
    <w:rsid w:val="00323335"/>
    <w:rsid w:val="00323B91"/>
    <w:rsid w:val="003262D9"/>
    <w:rsid w:val="00330045"/>
    <w:rsid w:val="0033285A"/>
    <w:rsid w:val="00342078"/>
    <w:rsid w:val="003450D2"/>
    <w:rsid w:val="00352A2E"/>
    <w:rsid w:val="00357138"/>
    <w:rsid w:val="00362F03"/>
    <w:rsid w:val="00364388"/>
    <w:rsid w:val="0036461E"/>
    <w:rsid w:val="0036613F"/>
    <w:rsid w:val="00371CD0"/>
    <w:rsid w:val="00374D59"/>
    <w:rsid w:val="003877D7"/>
    <w:rsid w:val="003916A5"/>
    <w:rsid w:val="00396807"/>
    <w:rsid w:val="00397A3B"/>
    <w:rsid w:val="003A3A4D"/>
    <w:rsid w:val="003A3E30"/>
    <w:rsid w:val="003A4C00"/>
    <w:rsid w:val="003A5586"/>
    <w:rsid w:val="003C0CB0"/>
    <w:rsid w:val="003C403D"/>
    <w:rsid w:val="003C46EC"/>
    <w:rsid w:val="003C56F7"/>
    <w:rsid w:val="003C5925"/>
    <w:rsid w:val="003C5BA7"/>
    <w:rsid w:val="003C655D"/>
    <w:rsid w:val="003D02B2"/>
    <w:rsid w:val="003D4080"/>
    <w:rsid w:val="003F1F3E"/>
    <w:rsid w:val="003F2C86"/>
    <w:rsid w:val="003F3C2A"/>
    <w:rsid w:val="003F50DE"/>
    <w:rsid w:val="003F6F49"/>
    <w:rsid w:val="003F79CA"/>
    <w:rsid w:val="0041266C"/>
    <w:rsid w:val="00412FC5"/>
    <w:rsid w:val="00415B00"/>
    <w:rsid w:val="004163E9"/>
    <w:rsid w:val="00416D23"/>
    <w:rsid w:val="004170A2"/>
    <w:rsid w:val="00421153"/>
    <w:rsid w:val="00424B24"/>
    <w:rsid w:val="0042775F"/>
    <w:rsid w:val="00431B15"/>
    <w:rsid w:val="00433A6E"/>
    <w:rsid w:val="0043454B"/>
    <w:rsid w:val="004400A7"/>
    <w:rsid w:val="004431E6"/>
    <w:rsid w:val="0045352A"/>
    <w:rsid w:val="00453A34"/>
    <w:rsid w:val="004552B5"/>
    <w:rsid w:val="00455F1F"/>
    <w:rsid w:val="00462EA0"/>
    <w:rsid w:val="00463EB4"/>
    <w:rsid w:val="00466FFA"/>
    <w:rsid w:val="004676A3"/>
    <w:rsid w:val="00473A5E"/>
    <w:rsid w:val="0047741B"/>
    <w:rsid w:val="0049050C"/>
    <w:rsid w:val="00490680"/>
    <w:rsid w:val="004938B9"/>
    <w:rsid w:val="004A0BD5"/>
    <w:rsid w:val="004A329C"/>
    <w:rsid w:val="004A5CC8"/>
    <w:rsid w:val="004B24BC"/>
    <w:rsid w:val="004B407D"/>
    <w:rsid w:val="004B69F8"/>
    <w:rsid w:val="004B746A"/>
    <w:rsid w:val="004C1C1B"/>
    <w:rsid w:val="004C5970"/>
    <w:rsid w:val="004D0175"/>
    <w:rsid w:val="004D2328"/>
    <w:rsid w:val="004D2F86"/>
    <w:rsid w:val="004D77BB"/>
    <w:rsid w:val="004E546E"/>
    <w:rsid w:val="004E62C1"/>
    <w:rsid w:val="004F01E7"/>
    <w:rsid w:val="004F3757"/>
    <w:rsid w:val="004F395D"/>
    <w:rsid w:val="004F4F4C"/>
    <w:rsid w:val="00502BB0"/>
    <w:rsid w:val="00503E89"/>
    <w:rsid w:val="00515043"/>
    <w:rsid w:val="0051555E"/>
    <w:rsid w:val="0052071B"/>
    <w:rsid w:val="00521163"/>
    <w:rsid w:val="00522E4C"/>
    <w:rsid w:val="005238A4"/>
    <w:rsid w:val="005338B3"/>
    <w:rsid w:val="00536267"/>
    <w:rsid w:val="00541AA4"/>
    <w:rsid w:val="00542F12"/>
    <w:rsid w:val="00543814"/>
    <w:rsid w:val="005439AA"/>
    <w:rsid w:val="0054573E"/>
    <w:rsid w:val="0055123D"/>
    <w:rsid w:val="00555468"/>
    <w:rsid w:val="0055660B"/>
    <w:rsid w:val="00557912"/>
    <w:rsid w:val="00562FBC"/>
    <w:rsid w:val="00570F64"/>
    <w:rsid w:val="005723EA"/>
    <w:rsid w:val="0057269C"/>
    <w:rsid w:val="00573DD0"/>
    <w:rsid w:val="0058190B"/>
    <w:rsid w:val="00581910"/>
    <w:rsid w:val="00583A27"/>
    <w:rsid w:val="00584693"/>
    <w:rsid w:val="0058571F"/>
    <w:rsid w:val="00594216"/>
    <w:rsid w:val="00596C81"/>
    <w:rsid w:val="00597803"/>
    <w:rsid w:val="005A57B3"/>
    <w:rsid w:val="005B1C71"/>
    <w:rsid w:val="005B2F19"/>
    <w:rsid w:val="005B5151"/>
    <w:rsid w:val="005C184B"/>
    <w:rsid w:val="005D3C5F"/>
    <w:rsid w:val="005D543F"/>
    <w:rsid w:val="005E6733"/>
    <w:rsid w:val="005E76C4"/>
    <w:rsid w:val="005F0716"/>
    <w:rsid w:val="005F6F68"/>
    <w:rsid w:val="005F7461"/>
    <w:rsid w:val="00604FD3"/>
    <w:rsid w:val="006244D8"/>
    <w:rsid w:val="0062508C"/>
    <w:rsid w:val="006255CD"/>
    <w:rsid w:val="00626B1A"/>
    <w:rsid w:val="00632224"/>
    <w:rsid w:val="0063344D"/>
    <w:rsid w:val="00636832"/>
    <w:rsid w:val="00636B09"/>
    <w:rsid w:val="00640337"/>
    <w:rsid w:val="00642375"/>
    <w:rsid w:val="006440E1"/>
    <w:rsid w:val="00650039"/>
    <w:rsid w:val="006558F5"/>
    <w:rsid w:val="00657D7C"/>
    <w:rsid w:val="00660E1B"/>
    <w:rsid w:val="006657A5"/>
    <w:rsid w:val="00665E5A"/>
    <w:rsid w:val="00670171"/>
    <w:rsid w:val="006747AF"/>
    <w:rsid w:val="00674BDD"/>
    <w:rsid w:val="0067647C"/>
    <w:rsid w:val="0067726D"/>
    <w:rsid w:val="006778D7"/>
    <w:rsid w:val="00681BBA"/>
    <w:rsid w:val="00682296"/>
    <w:rsid w:val="0068731A"/>
    <w:rsid w:val="006907D2"/>
    <w:rsid w:val="00693EF5"/>
    <w:rsid w:val="00694B73"/>
    <w:rsid w:val="006A2C9C"/>
    <w:rsid w:val="006A7E2F"/>
    <w:rsid w:val="006B221D"/>
    <w:rsid w:val="006B6E33"/>
    <w:rsid w:val="006C1ED6"/>
    <w:rsid w:val="006C3E16"/>
    <w:rsid w:val="006C423E"/>
    <w:rsid w:val="006C518E"/>
    <w:rsid w:val="006C6C72"/>
    <w:rsid w:val="006D05BD"/>
    <w:rsid w:val="006D0967"/>
    <w:rsid w:val="006D2E1E"/>
    <w:rsid w:val="006E06A4"/>
    <w:rsid w:val="006E4F0A"/>
    <w:rsid w:val="006F1042"/>
    <w:rsid w:val="006F2B81"/>
    <w:rsid w:val="00701F88"/>
    <w:rsid w:val="00706EB9"/>
    <w:rsid w:val="007116A6"/>
    <w:rsid w:val="00721B67"/>
    <w:rsid w:val="00727748"/>
    <w:rsid w:val="0073018D"/>
    <w:rsid w:val="00737CD5"/>
    <w:rsid w:val="00742D48"/>
    <w:rsid w:val="00743FCB"/>
    <w:rsid w:val="007447B2"/>
    <w:rsid w:val="007453A4"/>
    <w:rsid w:val="007476D0"/>
    <w:rsid w:val="00754F98"/>
    <w:rsid w:val="007558AA"/>
    <w:rsid w:val="00761D92"/>
    <w:rsid w:val="007647DB"/>
    <w:rsid w:val="007717A7"/>
    <w:rsid w:val="007734C9"/>
    <w:rsid w:val="00786AA8"/>
    <w:rsid w:val="0079338F"/>
    <w:rsid w:val="007A1278"/>
    <w:rsid w:val="007A408F"/>
    <w:rsid w:val="007A7955"/>
    <w:rsid w:val="007B27C3"/>
    <w:rsid w:val="007B2E18"/>
    <w:rsid w:val="007B2E1C"/>
    <w:rsid w:val="007B6417"/>
    <w:rsid w:val="007B6493"/>
    <w:rsid w:val="007B7B08"/>
    <w:rsid w:val="007C7184"/>
    <w:rsid w:val="007C7D12"/>
    <w:rsid w:val="007D0BBA"/>
    <w:rsid w:val="007D4891"/>
    <w:rsid w:val="007E3FE7"/>
    <w:rsid w:val="007E590E"/>
    <w:rsid w:val="007F0FB5"/>
    <w:rsid w:val="007F1045"/>
    <w:rsid w:val="007F249E"/>
    <w:rsid w:val="007F6F22"/>
    <w:rsid w:val="007F7AE3"/>
    <w:rsid w:val="00800BC3"/>
    <w:rsid w:val="008017E0"/>
    <w:rsid w:val="00802E81"/>
    <w:rsid w:val="00803AF1"/>
    <w:rsid w:val="00810EC7"/>
    <w:rsid w:val="00811BF3"/>
    <w:rsid w:val="0081780A"/>
    <w:rsid w:val="00822B36"/>
    <w:rsid w:val="0083550C"/>
    <w:rsid w:val="008411E0"/>
    <w:rsid w:val="008412E1"/>
    <w:rsid w:val="00844E4F"/>
    <w:rsid w:val="00846120"/>
    <w:rsid w:val="00846BFB"/>
    <w:rsid w:val="0084739A"/>
    <w:rsid w:val="00850EDF"/>
    <w:rsid w:val="0085113F"/>
    <w:rsid w:val="0085163D"/>
    <w:rsid w:val="008542C4"/>
    <w:rsid w:val="00862ED7"/>
    <w:rsid w:val="00866E2C"/>
    <w:rsid w:val="00867222"/>
    <w:rsid w:val="00870009"/>
    <w:rsid w:val="0087231D"/>
    <w:rsid w:val="008735A5"/>
    <w:rsid w:val="008735FF"/>
    <w:rsid w:val="0087376B"/>
    <w:rsid w:val="00873DD8"/>
    <w:rsid w:val="00874249"/>
    <w:rsid w:val="0087672F"/>
    <w:rsid w:val="00877D40"/>
    <w:rsid w:val="008817B2"/>
    <w:rsid w:val="00890869"/>
    <w:rsid w:val="00891D16"/>
    <w:rsid w:val="008A1047"/>
    <w:rsid w:val="008A4AFC"/>
    <w:rsid w:val="008B279A"/>
    <w:rsid w:val="008B518A"/>
    <w:rsid w:val="008B5AFE"/>
    <w:rsid w:val="008B7105"/>
    <w:rsid w:val="008C0F1A"/>
    <w:rsid w:val="008C6118"/>
    <w:rsid w:val="008C6450"/>
    <w:rsid w:val="008D113B"/>
    <w:rsid w:val="008E5D6E"/>
    <w:rsid w:val="008F2417"/>
    <w:rsid w:val="008F324C"/>
    <w:rsid w:val="008F3BBA"/>
    <w:rsid w:val="00900AFB"/>
    <w:rsid w:val="00901F24"/>
    <w:rsid w:val="0090224F"/>
    <w:rsid w:val="00902708"/>
    <w:rsid w:val="00911885"/>
    <w:rsid w:val="009138B5"/>
    <w:rsid w:val="00913E4E"/>
    <w:rsid w:val="0091417B"/>
    <w:rsid w:val="009143CA"/>
    <w:rsid w:val="00920C0E"/>
    <w:rsid w:val="00920FD0"/>
    <w:rsid w:val="0092378A"/>
    <w:rsid w:val="009271BC"/>
    <w:rsid w:val="0092748B"/>
    <w:rsid w:val="00930488"/>
    <w:rsid w:val="00931EE0"/>
    <w:rsid w:val="00932DAF"/>
    <w:rsid w:val="0094113A"/>
    <w:rsid w:val="009420FC"/>
    <w:rsid w:val="00942857"/>
    <w:rsid w:val="00946F83"/>
    <w:rsid w:val="00956096"/>
    <w:rsid w:val="009565F9"/>
    <w:rsid w:val="009665AF"/>
    <w:rsid w:val="009704F0"/>
    <w:rsid w:val="009802FA"/>
    <w:rsid w:val="009860B6"/>
    <w:rsid w:val="00986531"/>
    <w:rsid w:val="00991A70"/>
    <w:rsid w:val="0099295B"/>
    <w:rsid w:val="009933D8"/>
    <w:rsid w:val="00996482"/>
    <w:rsid w:val="009A0DCA"/>
    <w:rsid w:val="009B6E5F"/>
    <w:rsid w:val="009C383B"/>
    <w:rsid w:val="009C5A7D"/>
    <w:rsid w:val="009C62E7"/>
    <w:rsid w:val="009D5474"/>
    <w:rsid w:val="009D7F19"/>
    <w:rsid w:val="009E5E51"/>
    <w:rsid w:val="009E68B7"/>
    <w:rsid w:val="009E7EF6"/>
    <w:rsid w:val="009F0D79"/>
    <w:rsid w:val="009F45BD"/>
    <w:rsid w:val="009F47D6"/>
    <w:rsid w:val="00A00AAC"/>
    <w:rsid w:val="00A04489"/>
    <w:rsid w:val="00A11CB0"/>
    <w:rsid w:val="00A12208"/>
    <w:rsid w:val="00A26295"/>
    <w:rsid w:val="00A424B0"/>
    <w:rsid w:val="00A50F85"/>
    <w:rsid w:val="00A53483"/>
    <w:rsid w:val="00A60A67"/>
    <w:rsid w:val="00A61B92"/>
    <w:rsid w:val="00A63DF9"/>
    <w:rsid w:val="00A655CF"/>
    <w:rsid w:val="00A76450"/>
    <w:rsid w:val="00A76D7D"/>
    <w:rsid w:val="00A84B33"/>
    <w:rsid w:val="00A90E33"/>
    <w:rsid w:val="00A92008"/>
    <w:rsid w:val="00A95E7E"/>
    <w:rsid w:val="00A97930"/>
    <w:rsid w:val="00AA01B7"/>
    <w:rsid w:val="00AA0601"/>
    <w:rsid w:val="00AA1E32"/>
    <w:rsid w:val="00AA449A"/>
    <w:rsid w:val="00AA6218"/>
    <w:rsid w:val="00AB3BF5"/>
    <w:rsid w:val="00AB4396"/>
    <w:rsid w:val="00AB6832"/>
    <w:rsid w:val="00AC500B"/>
    <w:rsid w:val="00AC7D2E"/>
    <w:rsid w:val="00AD21F9"/>
    <w:rsid w:val="00AD7099"/>
    <w:rsid w:val="00AE17C8"/>
    <w:rsid w:val="00AE1BE1"/>
    <w:rsid w:val="00AF193B"/>
    <w:rsid w:val="00AF4F84"/>
    <w:rsid w:val="00AF71CF"/>
    <w:rsid w:val="00AF7ECC"/>
    <w:rsid w:val="00B0396E"/>
    <w:rsid w:val="00B04DAA"/>
    <w:rsid w:val="00B12FAD"/>
    <w:rsid w:val="00B142AF"/>
    <w:rsid w:val="00B16CF8"/>
    <w:rsid w:val="00B2168F"/>
    <w:rsid w:val="00B2289A"/>
    <w:rsid w:val="00B3685A"/>
    <w:rsid w:val="00B37A49"/>
    <w:rsid w:val="00B403A2"/>
    <w:rsid w:val="00B41F10"/>
    <w:rsid w:val="00B44164"/>
    <w:rsid w:val="00B45EF3"/>
    <w:rsid w:val="00B50A8B"/>
    <w:rsid w:val="00B50E11"/>
    <w:rsid w:val="00B534C0"/>
    <w:rsid w:val="00B566DF"/>
    <w:rsid w:val="00B64BFF"/>
    <w:rsid w:val="00B65900"/>
    <w:rsid w:val="00B73D17"/>
    <w:rsid w:val="00B758F0"/>
    <w:rsid w:val="00B76A2E"/>
    <w:rsid w:val="00B90537"/>
    <w:rsid w:val="00BA05A4"/>
    <w:rsid w:val="00BA0C49"/>
    <w:rsid w:val="00BB4DA3"/>
    <w:rsid w:val="00BC2492"/>
    <w:rsid w:val="00BC2FF3"/>
    <w:rsid w:val="00BD0FAD"/>
    <w:rsid w:val="00BD261A"/>
    <w:rsid w:val="00BD5467"/>
    <w:rsid w:val="00BD59E9"/>
    <w:rsid w:val="00BD69D6"/>
    <w:rsid w:val="00BE6557"/>
    <w:rsid w:val="00BE6B56"/>
    <w:rsid w:val="00C116EA"/>
    <w:rsid w:val="00C1440A"/>
    <w:rsid w:val="00C145AB"/>
    <w:rsid w:val="00C17FDD"/>
    <w:rsid w:val="00C21F5E"/>
    <w:rsid w:val="00C32A3E"/>
    <w:rsid w:val="00C4345B"/>
    <w:rsid w:val="00C449D4"/>
    <w:rsid w:val="00C4610A"/>
    <w:rsid w:val="00C55C13"/>
    <w:rsid w:val="00C6299C"/>
    <w:rsid w:val="00C63898"/>
    <w:rsid w:val="00C63A5A"/>
    <w:rsid w:val="00C65470"/>
    <w:rsid w:val="00C73947"/>
    <w:rsid w:val="00C82EF2"/>
    <w:rsid w:val="00C83CE6"/>
    <w:rsid w:val="00C9012B"/>
    <w:rsid w:val="00C91966"/>
    <w:rsid w:val="00C940D0"/>
    <w:rsid w:val="00C957A9"/>
    <w:rsid w:val="00C95E97"/>
    <w:rsid w:val="00C96AAA"/>
    <w:rsid w:val="00C97AD5"/>
    <w:rsid w:val="00C97DCA"/>
    <w:rsid w:val="00CA36C9"/>
    <w:rsid w:val="00CB2D12"/>
    <w:rsid w:val="00CB5F50"/>
    <w:rsid w:val="00CC57F9"/>
    <w:rsid w:val="00CC68A6"/>
    <w:rsid w:val="00CC7AF5"/>
    <w:rsid w:val="00CD0EA4"/>
    <w:rsid w:val="00CD3A5B"/>
    <w:rsid w:val="00CD43E6"/>
    <w:rsid w:val="00CE31CD"/>
    <w:rsid w:val="00CE3818"/>
    <w:rsid w:val="00CE3A79"/>
    <w:rsid w:val="00CF0E7E"/>
    <w:rsid w:val="00CF770A"/>
    <w:rsid w:val="00CF79B1"/>
    <w:rsid w:val="00D06EC5"/>
    <w:rsid w:val="00D11843"/>
    <w:rsid w:val="00D11DE7"/>
    <w:rsid w:val="00D13377"/>
    <w:rsid w:val="00D1457D"/>
    <w:rsid w:val="00D21CD2"/>
    <w:rsid w:val="00D23E14"/>
    <w:rsid w:val="00D27431"/>
    <w:rsid w:val="00D2776F"/>
    <w:rsid w:val="00D312C4"/>
    <w:rsid w:val="00D32283"/>
    <w:rsid w:val="00D36907"/>
    <w:rsid w:val="00D40AAD"/>
    <w:rsid w:val="00D47EB4"/>
    <w:rsid w:val="00D53846"/>
    <w:rsid w:val="00D54FAD"/>
    <w:rsid w:val="00D55216"/>
    <w:rsid w:val="00D57235"/>
    <w:rsid w:val="00D612CE"/>
    <w:rsid w:val="00D657C3"/>
    <w:rsid w:val="00D70317"/>
    <w:rsid w:val="00D77FBA"/>
    <w:rsid w:val="00D83204"/>
    <w:rsid w:val="00D859F5"/>
    <w:rsid w:val="00D85D48"/>
    <w:rsid w:val="00D90D49"/>
    <w:rsid w:val="00DA3C3E"/>
    <w:rsid w:val="00DB1A5B"/>
    <w:rsid w:val="00DB6963"/>
    <w:rsid w:val="00DC390D"/>
    <w:rsid w:val="00DC6E1F"/>
    <w:rsid w:val="00DD09CF"/>
    <w:rsid w:val="00DD3648"/>
    <w:rsid w:val="00DD643B"/>
    <w:rsid w:val="00DE3959"/>
    <w:rsid w:val="00DE42F6"/>
    <w:rsid w:val="00DE57A8"/>
    <w:rsid w:val="00DE5FC3"/>
    <w:rsid w:val="00DE79F0"/>
    <w:rsid w:val="00DF1408"/>
    <w:rsid w:val="00DF2208"/>
    <w:rsid w:val="00DF6149"/>
    <w:rsid w:val="00DF6614"/>
    <w:rsid w:val="00E00F9C"/>
    <w:rsid w:val="00E0144F"/>
    <w:rsid w:val="00E03524"/>
    <w:rsid w:val="00E04152"/>
    <w:rsid w:val="00E042A8"/>
    <w:rsid w:val="00E17D6D"/>
    <w:rsid w:val="00E20C38"/>
    <w:rsid w:val="00E210D3"/>
    <w:rsid w:val="00E23F0E"/>
    <w:rsid w:val="00E2607F"/>
    <w:rsid w:val="00E26941"/>
    <w:rsid w:val="00E35992"/>
    <w:rsid w:val="00E372BB"/>
    <w:rsid w:val="00E37C2F"/>
    <w:rsid w:val="00E44694"/>
    <w:rsid w:val="00E46AAD"/>
    <w:rsid w:val="00E5001C"/>
    <w:rsid w:val="00E61736"/>
    <w:rsid w:val="00E61822"/>
    <w:rsid w:val="00E61AFC"/>
    <w:rsid w:val="00E62A48"/>
    <w:rsid w:val="00E66E4E"/>
    <w:rsid w:val="00E67172"/>
    <w:rsid w:val="00E73BF8"/>
    <w:rsid w:val="00E758A9"/>
    <w:rsid w:val="00E83908"/>
    <w:rsid w:val="00E86406"/>
    <w:rsid w:val="00E86CC8"/>
    <w:rsid w:val="00E8794F"/>
    <w:rsid w:val="00E87C6E"/>
    <w:rsid w:val="00E9313A"/>
    <w:rsid w:val="00E95AF1"/>
    <w:rsid w:val="00E95C6B"/>
    <w:rsid w:val="00E977BB"/>
    <w:rsid w:val="00E97E69"/>
    <w:rsid w:val="00EB2B67"/>
    <w:rsid w:val="00EB3726"/>
    <w:rsid w:val="00EB4947"/>
    <w:rsid w:val="00EC4A1A"/>
    <w:rsid w:val="00EC4DB9"/>
    <w:rsid w:val="00EC5342"/>
    <w:rsid w:val="00ED63C2"/>
    <w:rsid w:val="00EE3C6F"/>
    <w:rsid w:val="00EE3E22"/>
    <w:rsid w:val="00EE5167"/>
    <w:rsid w:val="00EE79FF"/>
    <w:rsid w:val="00EF3817"/>
    <w:rsid w:val="00EF5779"/>
    <w:rsid w:val="00EF583C"/>
    <w:rsid w:val="00F0632C"/>
    <w:rsid w:val="00F067EE"/>
    <w:rsid w:val="00F12444"/>
    <w:rsid w:val="00F12E52"/>
    <w:rsid w:val="00F13A62"/>
    <w:rsid w:val="00F1532E"/>
    <w:rsid w:val="00F1679F"/>
    <w:rsid w:val="00F174FE"/>
    <w:rsid w:val="00F22631"/>
    <w:rsid w:val="00F34870"/>
    <w:rsid w:val="00F44A30"/>
    <w:rsid w:val="00F45A38"/>
    <w:rsid w:val="00F4616F"/>
    <w:rsid w:val="00F55433"/>
    <w:rsid w:val="00F556F5"/>
    <w:rsid w:val="00F55791"/>
    <w:rsid w:val="00F60073"/>
    <w:rsid w:val="00F65316"/>
    <w:rsid w:val="00F65FB5"/>
    <w:rsid w:val="00F75BE1"/>
    <w:rsid w:val="00F76B99"/>
    <w:rsid w:val="00F832C2"/>
    <w:rsid w:val="00F8365D"/>
    <w:rsid w:val="00F93681"/>
    <w:rsid w:val="00F96736"/>
    <w:rsid w:val="00FA0F98"/>
    <w:rsid w:val="00FA46A5"/>
    <w:rsid w:val="00FA7017"/>
    <w:rsid w:val="00FB180E"/>
    <w:rsid w:val="00FB4481"/>
    <w:rsid w:val="00FB6D72"/>
    <w:rsid w:val="00FB7180"/>
    <w:rsid w:val="00FC08F6"/>
    <w:rsid w:val="00FC3A4A"/>
    <w:rsid w:val="00FD20B8"/>
    <w:rsid w:val="00FD41C5"/>
    <w:rsid w:val="00FD7594"/>
    <w:rsid w:val="00FD79B4"/>
    <w:rsid w:val="00FF2D40"/>
    <w:rsid w:val="00FF3E1C"/>
    <w:rsid w:val="00FF70D0"/>
    <w:rsid w:val="01C7B4D9"/>
    <w:rsid w:val="029AF961"/>
    <w:rsid w:val="02F9FF83"/>
    <w:rsid w:val="0449F3A3"/>
    <w:rsid w:val="06EF7C11"/>
    <w:rsid w:val="0D97B8FA"/>
    <w:rsid w:val="0F4EE90B"/>
    <w:rsid w:val="115A9317"/>
    <w:rsid w:val="1437D42E"/>
    <w:rsid w:val="1632EA73"/>
    <w:rsid w:val="18B4CC7B"/>
    <w:rsid w:val="1903BD6D"/>
    <w:rsid w:val="19D701F5"/>
    <w:rsid w:val="28F065D1"/>
    <w:rsid w:val="3B36ED45"/>
    <w:rsid w:val="3C9882F1"/>
    <w:rsid w:val="3E996929"/>
    <w:rsid w:val="40D6EA2A"/>
    <w:rsid w:val="41FC1BB8"/>
    <w:rsid w:val="42F86B6E"/>
    <w:rsid w:val="4B63D863"/>
    <w:rsid w:val="4EDFEEC1"/>
    <w:rsid w:val="525F915E"/>
    <w:rsid w:val="5332D5E6"/>
    <w:rsid w:val="5888AD03"/>
    <w:rsid w:val="607B2E03"/>
    <w:rsid w:val="7259C416"/>
    <w:rsid w:val="73D7D081"/>
    <w:rsid w:val="7805DC9F"/>
    <w:rsid w:val="787D1314"/>
    <w:rsid w:val="7DB5AEC0"/>
    <w:rsid w:val="7E2E164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DD85318"/>
  <w15:chartTrackingRefBased/>
  <w15:docId w15:val="{F3304B10-C265-4F90-8724-B3CF467D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F75BE1"/>
  </w:style>
  <w:style w:type="paragraph" w:styleId="Revision">
    <w:name w:val="Revision"/>
    <w:hidden/>
    <w:uiPriority w:val="99"/>
    <w:semiHidden/>
    <w:rsid w:val="00F44A30"/>
    <w:rPr>
      <w:snapToGrid w:val="0"/>
      <w:kern w:val="28"/>
      <w:sz w:val="22"/>
    </w:rPr>
  </w:style>
  <w:style w:type="character" w:styleId="CommentReference">
    <w:name w:val="annotation reference"/>
    <w:uiPriority w:val="99"/>
    <w:semiHidden/>
    <w:unhideWhenUsed/>
    <w:rsid w:val="00822B36"/>
    <w:rPr>
      <w:sz w:val="16"/>
      <w:szCs w:val="16"/>
    </w:rPr>
  </w:style>
  <w:style w:type="paragraph" w:styleId="CommentText">
    <w:name w:val="annotation text"/>
    <w:basedOn w:val="Normal"/>
    <w:link w:val="CommentTextChar"/>
    <w:uiPriority w:val="99"/>
    <w:unhideWhenUsed/>
    <w:rsid w:val="00822B36"/>
    <w:rPr>
      <w:sz w:val="20"/>
    </w:rPr>
  </w:style>
  <w:style w:type="character" w:customStyle="1" w:styleId="CommentTextChar">
    <w:name w:val="Comment Text Char"/>
    <w:link w:val="CommentText"/>
    <w:uiPriority w:val="99"/>
    <w:rsid w:val="00822B36"/>
    <w:rPr>
      <w:snapToGrid w:val="0"/>
      <w:kern w:val="28"/>
    </w:rPr>
  </w:style>
  <w:style w:type="paragraph" w:styleId="CommentSubject">
    <w:name w:val="annotation subject"/>
    <w:basedOn w:val="CommentText"/>
    <w:next w:val="CommentText"/>
    <w:link w:val="CommentSubjectChar"/>
    <w:uiPriority w:val="99"/>
    <w:semiHidden/>
    <w:unhideWhenUsed/>
    <w:rsid w:val="00822B36"/>
    <w:rPr>
      <w:b/>
      <w:bCs/>
    </w:rPr>
  </w:style>
  <w:style w:type="character" w:customStyle="1" w:styleId="CommentSubjectChar">
    <w:name w:val="Comment Subject Char"/>
    <w:link w:val="CommentSubject"/>
    <w:uiPriority w:val="99"/>
    <w:semiHidden/>
    <w:rsid w:val="00822B3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