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883CE38" w14:textId="0950B3DC">
      <w:pPr>
        <w:jc w:val="right"/>
        <w:rPr>
          <w:b/>
          <w:sz w:val="24"/>
        </w:rPr>
      </w:pPr>
      <w:r>
        <w:rPr>
          <w:b/>
          <w:sz w:val="24"/>
        </w:rPr>
        <w:t xml:space="preserve">DA </w:t>
      </w:r>
      <w:r w:rsidR="00B140C1">
        <w:rPr>
          <w:b/>
          <w:sz w:val="24"/>
        </w:rPr>
        <w:t>23-926</w:t>
      </w:r>
    </w:p>
    <w:p w:rsidR="00013A8B" w:rsidRPr="00B20363" w:rsidP="00013A8B" w14:paraId="738B2FE7" w14:textId="45D91A51">
      <w:pPr>
        <w:spacing w:before="60"/>
        <w:jc w:val="right"/>
        <w:rPr>
          <w:b/>
          <w:sz w:val="24"/>
        </w:rPr>
      </w:pPr>
      <w:r>
        <w:rPr>
          <w:b/>
          <w:sz w:val="24"/>
        </w:rPr>
        <w:t xml:space="preserve">Released:  </w:t>
      </w:r>
      <w:r w:rsidR="008A42BB">
        <w:rPr>
          <w:b/>
          <w:sz w:val="24"/>
        </w:rPr>
        <w:t>October 3</w:t>
      </w:r>
      <w:r w:rsidR="00B37009">
        <w:rPr>
          <w:b/>
          <w:sz w:val="24"/>
        </w:rPr>
        <w:t>, 20</w:t>
      </w:r>
      <w:r w:rsidR="00E9264E">
        <w:rPr>
          <w:b/>
          <w:sz w:val="24"/>
        </w:rPr>
        <w:t>23</w:t>
      </w:r>
    </w:p>
    <w:p w:rsidR="00013A8B" w:rsidP="00013A8B" w14:paraId="3DB9B0F9" w14:textId="1BD47428">
      <w:pPr>
        <w:jc w:val="right"/>
        <w:rPr>
          <w:sz w:val="24"/>
        </w:rPr>
      </w:pPr>
    </w:p>
    <w:p w:rsidR="00B37009" w:rsidP="00B37009" w14:paraId="773BDF9D" w14:textId="614A444F">
      <w:pPr>
        <w:spacing w:after="240"/>
        <w:jc w:val="center"/>
        <w:rPr>
          <w:rFonts w:ascii="Times New Roman Bold" w:hAnsi="Times New Roman Bold"/>
          <w:b/>
          <w:bCs/>
          <w:caps/>
          <w:sz w:val="24"/>
        </w:rPr>
      </w:pPr>
      <w:r w:rsidRPr="00306250">
        <w:rPr>
          <w:rFonts w:ascii="Times New Roman Bold" w:hAnsi="Times New Roman Bold"/>
          <w:b/>
          <w:bCs/>
          <w:caps/>
          <w:sz w:val="24"/>
        </w:rPr>
        <w:t xml:space="preserve">AUTHORIZATION OF </w:t>
      </w:r>
      <w:r w:rsidRPr="00F95178" w:rsidR="00F95178">
        <w:rPr>
          <w:rFonts w:ascii="Times New Roman Bold" w:hAnsi="Times New Roman Bold"/>
          <w:b/>
          <w:bCs/>
          <w:caps/>
          <w:sz w:val="24"/>
        </w:rPr>
        <w:t>Yellowhammer Networks, LLC</w:t>
      </w:r>
      <w:r w:rsidR="00F95178">
        <w:rPr>
          <w:rFonts w:ascii="Times New Roman Bold" w:hAnsi="Times New Roman Bold"/>
          <w:b/>
          <w:bCs/>
          <w:caps/>
          <w:sz w:val="24"/>
        </w:rPr>
        <w:t xml:space="preserve"> </w:t>
      </w:r>
      <w:r w:rsidRPr="00306250">
        <w:rPr>
          <w:rFonts w:ascii="Times New Roman Bold" w:hAnsi="Times New Roman Bold"/>
          <w:b/>
          <w:bCs/>
          <w:caps/>
          <w:sz w:val="24"/>
        </w:rPr>
        <w:t xml:space="preserve">TO RECEIVE </w:t>
      </w:r>
      <w:r w:rsidR="00CA4AE2">
        <w:rPr>
          <w:rFonts w:ascii="Times New Roman Bold" w:hAnsi="Times New Roman Bold"/>
          <w:b/>
          <w:bCs/>
          <w:caps/>
          <w:sz w:val="24"/>
        </w:rPr>
        <w:t xml:space="preserve">RURAL Digital OPPOrTUNITY FUND SUPPORT </w:t>
      </w:r>
      <w:r w:rsidRPr="00306250">
        <w:rPr>
          <w:rFonts w:ascii="Times New Roman Bold" w:hAnsi="Times New Roman Bold"/>
          <w:b/>
          <w:bCs/>
          <w:caps/>
          <w:sz w:val="24"/>
        </w:rPr>
        <w:t xml:space="preserve">TRANSFERRED FROM </w:t>
      </w:r>
      <w:r>
        <w:rPr>
          <w:rFonts w:ascii="Times New Roman Bold" w:hAnsi="Times New Roman Bold"/>
          <w:b/>
          <w:bCs/>
          <w:caps/>
          <w:sz w:val="24"/>
        </w:rPr>
        <w:t>BROADLIFE COmMUNICATIONS, INC.</w:t>
      </w:r>
    </w:p>
    <w:p w:rsidR="00B7435D" w:rsidP="00B7435D" w14:paraId="712F80C2" w14:textId="0EA3AB46">
      <w:pPr>
        <w:spacing w:after="240"/>
        <w:jc w:val="center"/>
        <w:rPr>
          <w:b/>
          <w:sz w:val="24"/>
        </w:rPr>
      </w:pPr>
      <w:r>
        <w:rPr>
          <w:b/>
          <w:sz w:val="24"/>
        </w:rPr>
        <w:t>WC Docket No. 10-9</w:t>
      </w:r>
      <w:r>
        <w:rPr>
          <w:b/>
          <w:sz w:val="24"/>
        </w:rPr>
        <w:t>0</w:t>
      </w:r>
    </w:p>
    <w:p w:rsidR="00306250" w:rsidP="00306250" w14:paraId="1866A565" w14:textId="6872F86E">
      <w:pPr>
        <w:tabs>
          <w:tab w:val="left" w:pos="720"/>
        </w:tabs>
        <w:spacing w:after="120"/>
      </w:pPr>
      <w:r>
        <w:tab/>
      </w:r>
      <w:r w:rsidRPr="00306250">
        <w:t xml:space="preserve">On </w:t>
      </w:r>
      <w:r w:rsidR="0076163E">
        <w:t>June 1</w:t>
      </w:r>
      <w:r w:rsidR="006F2F53">
        <w:t>, 2023</w:t>
      </w:r>
      <w:r w:rsidRPr="00306250">
        <w:t xml:space="preserve">, the Wireline Competition Bureau </w:t>
      </w:r>
      <w:r w:rsidR="00DD2933">
        <w:t xml:space="preserve">(Bureau) </w:t>
      </w:r>
      <w:r w:rsidRPr="00306250">
        <w:t xml:space="preserve">approved a transfer of a domestic section 214 authorization </w:t>
      </w:r>
      <w:r w:rsidR="00DD2933">
        <w:t xml:space="preserve">from </w:t>
      </w:r>
      <w:r w:rsidRPr="640D4B02" w:rsidR="00DD2933">
        <w:t xml:space="preserve">BroadLife </w:t>
      </w:r>
      <w:r w:rsidR="00DD2933">
        <w:t>Communications, Inc. (Broad</w:t>
      </w:r>
      <w:r w:rsidR="00C041D0">
        <w:t>L</w:t>
      </w:r>
      <w:r w:rsidR="00DD2933">
        <w:t xml:space="preserve">ife) </w:t>
      </w:r>
      <w:r w:rsidR="00DB2D69">
        <w:t xml:space="preserve">to </w:t>
      </w:r>
      <w:r w:rsidRPr="640D4B02" w:rsidR="00DD2933">
        <w:t>Yellowhammer</w:t>
      </w:r>
      <w:r w:rsidR="00DD2933">
        <w:t xml:space="preserve"> Networks, LLC (Yellowhammer) (together, Parties),</w:t>
      </w:r>
      <w:r>
        <w:rPr>
          <w:rStyle w:val="FootnoteReference"/>
        </w:rPr>
        <w:footnoteReference w:id="3"/>
      </w:r>
      <w:r w:rsidRPr="640D4B02" w:rsidR="00DD2933">
        <w:t xml:space="preserve"> pursuant to section 214 of the </w:t>
      </w:r>
      <w:r w:rsidR="00DD2933">
        <w:t xml:space="preserve">Communications Act of 1934, as amended (Act) </w:t>
      </w:r>
      <w:r w:rsidRPr="640D4B02" w:rsidR="00DD2933">
        <w:t>and sections 63.03-04 of the</w:t>
      </w:r>
      <w:r w:rsidR="00DD2933">
        <w:rPr>
          <w:szCs w:val="22"/>
        </w:rPr>
        <w:t xml:space="preserve"> </w:t>
      </w:r>
      <w:r w:rsidRPr="00F53885" w:rsidR="00DD2933">
        <w:t>Commission’s</w:t>
      </w:r>
      <w:r w:rsidRPr="640D4B02" w:rsidR="00DD2933">
        <w:t xml:space="preserve"> rules</w:t>
      </w:r>
      <w:r w:rsidR="00DD2933">
        <w:t>.</w:t>
      </w:r>
      <w:r w:rsidRPr="640D4B02" w:rsidR="00DD2933">
        <w:rPr>
          <w:vertAlign w:val="superscript"/>
        </w:rPr>
        <w:footnoteRef/>
      </w:r>
      <w:r w:rsidRPr="640D4B02" w:rsidR="00DD2933">
        <w:t xml:space="preserve"> </w:t>
      </w:r>
      <w:r w:rsidR="006137A4">
        <w:t xml:space="preserve"> </w:t>
      </w:r>
      <w:r w:rsidR="00DD2933">
        <w:t>As a result of this approval,</w:t>
      </w:r>
      <w:r w:rsidRPr="00306250">
        <w:t xml:space="preserve"> Parties</w:t>
      </w:r>
      <w:r w:rsidRPr="00DD2933" w:rsidR="00DD2933">
        <w:t xml:space="preserve"> </w:t>
      </w:r>
      <w:r w:rsidRPr="640D4B02" w:rsidR="00DD2933">
        <w:t>re</w:t>
      </w:r>
      <w:r w:rsidR="00DD2933">
        <w:t>ceived</w:t>
      </w:r>
      <w:r w:rsidRPr="640D4B02" w:rsidR="00DD2933">
        <w:t xml:space="preserve"> consent for the transfer of certain assets from BroadLife to Yellowhammer, including </w:t>
      </w:r>
      <w:r w:rsidR="00DD2933">
        <w:t>Rural Digital Opportunity</w:t>
      </w:r>
      <w:r w:rsidRPr="640D4B02" w:rsidR="00DD2933">
        <w:t xml:space="preserve"> </w:t>
      </w:r>
      <w:r w:rsidR="00035CC3">
        <w:t xml:space="preserve">(RDOF) </w:t>
      </w:r>
      <w:r w:rsidRPr="640D4B02" w:rsidR="00DD2933">
        <w:t>support</w:t>
      </w:r>
      <w:r w:rsidR="00DD2933">
        <w:t>, subject to</w:t>
      </w:r>
      <w:r w:rsidR="00035CC3">
        <w:t xml:space="preserve">, and conditioned upon, Yellowhammer’s </w:t>
      </w:r>
      <w:r w:rsidR="00DD2933">
        <w:t>authorization</w:t>
      </w:r>
      <w:r w:rsidR="00035CC3">
        <w:t xml:space="preserve"> to receive this support</w:t>
      </w:r>
      <w:r w:rsidRPr="640D4B02" w:rsidR="00DD2933">
        <w:t>.</w:t>
      </w:r>
      <w:r>
        <w:rPr>
          <w:rStyle w:val="FootnoteReference"/>
        </w:rPr>
        <w:footnoteReference w:id="4"/>
      </w:r>
      <w:r w:rsidR="00DD2933">
        <w:rPr>
          <w:szCs w:val="22"/>
        </w:rPr>
        <w:t xml:space="preserve">  </w:t>
      </w:r>
      <w:r w:rsidRPr="00306250">
        <w:t xml:space="preserve">Consistent with this approval, the Bureau </w:t>
      </w:r>
      <w:r w:rsidR="00D125A8">
        <w:t xml:space="preserve">authorizes </w:t>
      </w:r>
      <w:r w:rsidR="006947D8">
        <w:t>Yellowhammer</w:t>
      </w:r>
      <w:r w:rsidRPr="00306250">
        <w:t xml:space="preserve"> to receive th</w:t>
      </w:r>
      <w:r w:rsidR="00DD2933">
        <w:t>is</w:t>
      </w:r>
      <w:r w:rsidRPr="00306250">
        <w:t xml:space="preserve"> </w:t>
      </w:r>
      <w:r w:rsidR="00DD2933">
        <w:t xml:space="preserve">support, </w:t>
      </w:r>
      <w:r w:rsidRPr="00306250">
        <w:t xml:space="preserve">as described in more detail below. </w:t>
      </w:r>
    </w:p>
    <w:p w:rsidR="00306250" w:rsidP="005A3BDD" w14:paraId="34E3DCBF" w14:textId="4D50ECBB">
      <w:pPr>
        <w:tabs>
          <w:tab w:val="left" w:pos="720"/>
        </w:tabs>
        <w:spacing w:after="120"/>
      </w:pPr>
      <w:r>
        <w:tab/>
      </w:r>
      <w:r w:rsidR="003730F3">
        <w:t>As per the</w:t>
      </w:r>
      <w:r w:rsidR="009A7E19">
        <w:t xml:space="preserve"> terms of the</w:t>
      </w:r>
      <w:r w:rsidR="009D2D86">
        <w:t xml:space="preserve"> approved transaction</w:t>
      </w:r>
      <w:r w:rsidR="000A500D">
        <w:t xml:space="preserve"> and </w:t>
      </w:r>
      <w:r w:rsidR="00E03BBC">
        <w:t>as of its</w:t>
      </w:r>
      <w:r w:rsidR="000A500D">
        <w:t xml:space="preserve"> consummation</w:t>
      </w:r>
      <w:r w:rsidR="009D2D86">
        <w:t xml:space="preserve">, </w:t>
      </w:r>
      <w:r w:rsidR="00C041D0">
        <w:t>BroadLife</w:t>
      </w:r>
      <w:r w:rsidR="009D2D86">
        <w:t xml:space="preserve"> </w:t>
      </w:r>
      <w:r w:rsidR="009A7E19">
        <w:t>has transferred</w:t>
      </w:r>
      <w:r w:rsidR="009D2D86">
        <w:t xml:space="preserve"> </w:t>
      </w:r>
      <w:r w:rsidR="009A7E19">
        <w:t xml:space="preserve">to Yellowhammer all </w:t>
      </w:r>
      <w:r w:rsidR="00316C7C">
        <w:t xml:space="preserve">of the </w:t>
      </w:r>
      <w:r w:rsidR="009A7E19">
        <w:t>RDOF support it was authorized to receive</w:t>
      </w:r>
      <w:r w:rsidR="009D2D86">
        <w:t xml:space="preserve"> (</w:t>
      </w:r>
      <w:r w:rsidR="005A3BDD">
        <w:t xml:space="preserve">net of state and federal income taxes owed on RDOF support </w:t>
      </w:r>
      <w:r w:rsidR="009D2D86">
        <w:t xml:space="preserve">received by </w:t>
      </w:r>
      <w:r w:rsidR="00C041D0">
        <w:t>BroadLife</w:t>
      </w:r>
      <w:r w:rsidR="009D2D86">
        <w:t xml:space="preserve"> in 2022)</w:t>
      </w:r>
      <w:r w:rsidR="00B377AB">
        <w:t xml:space="preserve"> together with associated obligations</w:t>
      </w:r>
      <w:r w:rsidR="00DC3604">
        <w:t xml:space="preserve"> and requirements</w:t>
      </w:r>
      <w:r w:rsidR="009A7E19">
        <w:t>, subject to Yellowhammer’s authorization to receive this support.</w:t>
      </w:r>
      <w:r>
        <w:rPr>
          <w:rStyle w:val="FootnoteReference"/>
        </w:rPr>
        <w:footnoteReference w:id="5"/>
      </w:r>
      <w:r w:rsidR="009D2D86">
        <w:t xml:space="preserve">  </w:t>
      </w:r>
      <w:r w:rsidR="009A7E19">
        <w:t>Specifically, Br</w:t>
      </w:r>
      <w:r w:rsidRPr="4617F7C5" w:rsidR="009D2D86">
        <w:t xml:space="preserve">oadLife </w:t>
      </w:r>
      <w:r w:rsidR="009A7E19">
        <w:t>has conditionally transferred</w:t>
      </w:r>
      <w:r w:rsidRPr="4617F7C5" w:rsidR="009D2D86">
        <w:t xml:space="preserve"> $26,461,542 in</w:t>
      </w:r>
      <w:r w:rsidRPr="00D4489D" w:rsidR="009D2D86">
        <w:rPr>
          <w:szCs w:val="22"/>
        </w:rPr>
        <w:t xml:space="preserve"> </w:t>
      </w:r>
      <w:r w:rsidR="009D2D86">
        <w:t>RDOF</w:t>
      </w:r>
      <w:r w:rsidR="009D2D86">
        <w:rPr>
          <w:szCs w:val="22"/>
        </w:rPr>
        <w:t xml:space="preserve"> </w:t>
      </w:r>
      <w:r w:rsidRPr="4617F7C5" w:rsidR="009D2D86">
        <w:t xml:space="preserve">support over ten years </w:t>
      </w:r>
      <w:r w:rsidR="00AF1B14">
        <w:t xml:space="preserve">(net taxes payable by </w:t>
      </w:r>
      <w:r w:rsidR="00C041D0">
        <w:t>BroadLife</w:t>
      </w:r>
      <w:r w:rsidR="00AF1B14">
        <w:t xml:space="preserve">) to </w:t>
      </w:r>
      <w:r w:rsidRPr="4617F7C5" w:rsidR="009D2D86">
        <w:t xml:space="preserve">provide service to 7,483 locations in </w:t>
      </w:r>
      <w:r w:rsidRPr="00B6730E" w:rsidR="009D2D86">
        <w:t>95</w:t>
      </w:r>
      <w:r w:rsidR="009D2D86">
        <w:t xml:space="preserve">3 census blocks in </w:t>
      </w:r>
      <w:r w:rsidRPr="4617F7C5" w:rsidR="009D2D86">
        <w:t>Alabama</w:t>
      </w:r>
      <w:r w:rsidR="009D2D86">
        <w:t xml:space="preserve"> </w:t>
      </w:r>
      <w:r w:rsidR="009D2D86">
        <w:t>(Assigned Census Blocks</w:t>
      </w:r>
      <w:r w:rsidR="009D2D86">
        <w:rPr>
          <w:szCs w:val="22"/>
        </w:rPr>
        <w:t>).</w:t>
      </w:r>
      <w:r>
        <w:rPr>
          <w:rStyle w:val="FootnoteReference"/>
        </w:rPr>
        <w:footnoteReference w:id="6"/>
      </w:r>
      <w:r w:rsidR="009D2D86">
        <w:rPr>
          <w:szCs w:val="22"/>
        </w:rPr>
        <w:t xml:space="preserve"> </w:t>
      </w:r>
      <w:r w:rsidRPr="640D4B02" w:rsidR="004C4DA2">
        <w:t xml:space="preserve"> Broad</w:t>
      </w:r>
      <w:r w:rsidR="004C4DA2">
        <w:t>L</w:t>
      </w:r>
      <w:r w:rsidRPr="640D4B02" w:rsidR="004C4DA2">
        <w:t xml:space="preserve">ife </w:t>
      </w:r>
      <w:r w:rsidR="00224458">
        <w:t xml:space="preserve">has </w:t>
      </w:r>
      <w:r w:rsidR="004E2409">
        <w:t>initiated the process to obtain approval to</w:t>
      </w:r>
      <w:r w:rsidRPr="640D4B02" w:rsidR="004C4DA2">
        <w:t xml:space="preserve"> relinquish its </w:t>
      </w:r>
      <w:r w:rsidR="004B34FE">
        <w:t>Eligible Telecommunications Carrier (</w:t>
      </w:r>
      <w:r w:rsidRPr="640D4B02" w:rsidR="004C4DA2">
        <w:t>ETC</w:t>
      </w:r>
      <w:r w:rsidR="004B34FE">
        <w:t>)</w:t>
      </w:r>
      <w:r w:rsidRPr="640D4B02" w:rsidR="004C4DA2">
        <w:t xml:space="preserve"> designation</w:t>
      </w:r>
      <w:r w:rsidR="003531C3">
        <w:t xml:space="preserve"> for the Assigned Census Blocks</w:t>
      </w:r>
      <w:r w:rsidRPr="640D4B02" w:rsidR="004C4DA2">
        <w:t>.</w:t>
      </w:r>
      <w:r>
        <w:rPr>
          <w:rStyle w:val="FootnoteReference"/>
        </w:rPr>
        <w:footnoteReference w:id="7"/>
      </w:r>
    </w:p>
    <w:p w:rsidR="00306250" w:rsidRPr="00306250" w:rsidP="00306250" w14:paraId="2498690D" w14:textId="5967694B">
      <w:pPr>
        <w:widowControl/>
        <w:tabs>
          <w:tab w:val="left" w:pos="720"/>
        </w:tabs>
        <w:spacing w:after="120"/>
      </w:pPr>
      <w:r w:rsidRPr="00306250">
        <w:tab/>
        <w:t xml:space="preserve">As a condition of this authorization, </w:t>
      </w:r>
      <w:r w:rsidR="00361519">
        <w:t>Yellowhammer</w:t>
      </w:r>
      <w:r w:rsidRPr="00306250">
        <w:t xml:space="preserve"> assumes </w:t>
      </w:r>
      <w:r w:rsidR="004B2926">
        <w:t xml:space="preserve">sole </w:t>
      </w:r>
      <w:r w:rsidRPr="00306250">
        <w:t xml:space="preserve">responsibility for complying with universal service fund requirements and Commission rules, regardless of any preexisting or reasonably foreseeable conditions that could impact </w:t>
      </w:r>
      <w:r w:rsidR="00361519">
        <w:t>Yellowhammer’s</w:t>
      </w:r>
      <w:r w:rsidRPr="00306250">
        <w:t xml:space="preserve"> ability to meet its obligations in the future</w:t>
      </w:r>
      <w:r w:rsidR="00254D1D">
        <w:t>, including technical</w:t>
      </w:r>
      <w:r w:rsidR="00F53012">
        <w:t>,</w:t>
      </w:r>
      <w:r w:rsidR="000F5CED">
        <w:t xml:space="preserve"> </w:t>
      </w:r>
      <w:r w:rsidR="00254D1D">
        <w:t xml:space="preserve">marketplace and on-the-ground </w:t>
      </w:r>
      <w:r w:rsidR="00420613">
        <w:t>conditions</w:t>
      </w:r>
      <w:r w:rsidR="00254D1D">
        <w:t>.</w:t>
      </w:r>
      <w:r w:rsidR="00420613">
        <w:t xml:space="preserve"> </w:t>
      </w:r>
      <w:r w:rsidR="00897526">
        <w:t xml:space="preserve"> </w:t>
      </w:r>
      <w:r w:rsidR="00420613">
        <w:t>I</w:t>
      </w:r>
      <w:r w:rsidRPr="00306250">
        <w:t>ndeed, any carrier seeking authorization to receive high</w:t>
      </w:r>
      <w:r w:rsidR="006A0E68">
        <w:t>-</w:t>
      </w:r>
      <w:r w:rsidRPr="00306250">
        <w:t>cost support pursuant to a section 214 transfer must conduct the proper due diligence prior to consummation of the transaction,</w:t>
      </w:r>
      <w:r>
        <w:rPr>
          <w:rStyle w:val="FootnoteReference"/>
        </w:rPr>
        <w:footnoteReference w:id="8"/>
      </w:r>
      <w:r w:rsidR="00897526">
        <w:t xml:space="preserve"> </w:t>
      </w:r>
      <w:r w:rsidRPr="00306250">
        <w:t xml:space="preserve">and, in doing so, must assume all risks and consequences of noncompliance with </w:t>
      </w:r>
      <w:r w:rsidR="00361519">
        <w:t>requirements</w:t>
      </w:r>
      <w:r w:rsidRPr="00306250">
        <w:t xml:space="preserve">, including </w:t>
      </w:r>
      <w:r w:rsidR="00C5588C">
        <w:t xml:space="preserve">support reductions, </w:t>
      </w:r>
      <w:r w:rsidRPr="00306250">
        <w:t>default recovery of support and potential forfeiture penalties.</w:t>
      </w:r>
      <w:r>
        <w:rPr>
          <w:vertAlign w:val="superscript"/>
        </w:rPr>
        <w:footnoteReference w:id="9"/>
      </w:r>
      <w:r w:rsidRPr="00306250">
        <w:t xml:space="preserve">  </w:t>
      </w:r>
      <w:r w:rsidR="00C5588C">
        <w:t>In addition,</w:t>
      </w:r>
      <w:r w:rsidRPr="00306250">
        <w:t xml:space="preserve"> </w:t>
      </w:r>
      <w:r w:rsidR="00361519">
        <w:t>Yellowhammer</w:t>
      </w:r>
      <w:r w:rsidRPr="00306250" w:rsidR="00361519">
        <w:t xml:space="preserve"> </w:t>
      </w:r>
      <w:r w:rsidRPr="00306250">
        <w:t xml:space="preserve">must meet all </w:t>
      </w:r>
      <w:r w:rsidR="00361519">
        <w:t>of the a</w:t>
      </w:r>
      <w:r w:rsidRPr="00306250">
        <w:t xml:space="preserve">dministrative, performance, and deployment obligations and deadlines associated with </w:t>
      </w:r>
      <w:r w:rsidR="00361519">
        <w:t xml:space="preserve">the </w:t>
      </w:r>
      <w:r w:rsidR="00C5588C">
        <w:t xml:space="preserve">receipt of support and </w:t>
      </w:r>
      <w:r w:rsidR="00361519">
        <w:t xml:space="preserve">acquisition of </w:t>
      </w:r>
      <w:r w:rsidR="00C95009">
        <w:t>the RDOF service area</w:t>
      </w:r>
      <w:r w:rsidRPr="00306250">
        <w:t>,</w:t>
      </w:r>
      <w:r>
        <w:rPr>
          <w:vertAlign w:val="superscript"/>
        </w:rPr>
        <w:footnoteReference w:id="10"/>
      </w:r>
      <w:r w:rsidRPr="00306250">
        <w:t xml:space="preserve"> including the requirement to deploy voice and broadband service meeting minimum standards </w:t>
      </w:r>
      <w:r w:rsidR="00361519">
        <w:t>to the requisite number of locations by specific service milestone</w:t>
      </w:r>
      <w:r w:rsidR="000B4465">
        <w:t>s</w:t>
      </w:r>
      <w:r w:rsidR="00C61464">
        <w:t xml:space="preserve"> and the obligation to ultimately serve all locations identified by the Commission within eligible areas subject to limited adjustment</w:t>
      </w:r>
      <w:r w:rsidRPr="00306250">
        <w:t>.</w:t>
      </w:r>
      <w:r>
        <w:rPr>
          <w:vertAlign w:val="superscript"/>
        </w:rPr>
        <w:footnoteReference w:id="11"/>
      </w:r>
      <w:r w:rsidRPr="00306250">
        <w:t xml:space="preserve">  </w:t>
      </w:r>
      <w:r w:rsidR="00C5588C">
        <w:t>C</w:t>
      </w:r>
      <w:r w:rsidR="00CA49A2">
        <w:t xml:space="preserve">onsistent with the requirements of RDOF, Yellowhammer </w:t>
      </w:r>
      <w:r w:rsidR="00CA49A2">
        <w:t xml:space="preserve">must provide </w:t>
      </w:r>
      <w:r w:rsidRPr="00CA49A2" w:rsidR="00CA49A2">
        <w:t xml:space="preserve">voice service throughout </w:t>
      </w:r>
      <w:r w:rsidR="00E6320D">
        <w:t>the Assigned Blocks,</w:t>
      </w:r>
      <w:r w:rsidR="00C41C02">
        <w:t xml:space="preserve"> e</w:t>
      </w:r>
      <w:r w:rsidRPr="00CA49A2" w:rsidR="00CA49A2">
        <w:t>ither through its own facilities or a combination of its own and other ETC</w:t>
      </w:r>
      <w:r w:rsidR="009F4829">
        <w:t>’</w:t>
      </w:r>
      <w:r w:rsidRPr="00CA49A2" w:rsidR="00CA49A2">
        <w:t xml:space="preserve">s facilities, on the first day of </w:t>
      </w:r>
      <w:r w:rsidR="00BB06A2">
        <w:t>the month followin</w:t>
      </w:r>
      <w:r w:rsidR="00E6320D">
        <w:t xml:space="preserve">g </w:t>
      </w:r>
      <w:r w:rsidR="00BB06A2">
        <w:t>this authorization.</w:t>
      </w:r>
      <w:r>
        <w:rPr>
          <w:rStyle w:val="FootnoteReference"/>
        </w:rPr>
        <w:footnoteReference w:id="12"/>
      </w:r>
    </w:p>
    <w:p w:rsidR="00306250" w:rsidRPr="00306250" w:rsidP="00E30BA8" w14:paraId="0602CD27" w14:textId="0D7CAC60">
      <w:pPr>
        <w:widowControl/>
        <w:tabs>
          <w:tab w:val="left" w:pos="720"/>
        </w:tabs>
        <w:spacing w:after="120"/>
      </w:pPr>
      <w:r w:rsidRPr="00306250">
        <w:tab/>
        <w:t xml:space="preserve">We find that </w:t>
      </w:r>
      <w:r w:rsidR="004440E9">
        <w:t>Yellowhammer</w:t>
      </w:r>
      <w:r w:rsidRPr="00306250" w:rsidR="004440E9">
        <w:t xml:space="preserve"> </w:t>
      </w:r>
      <w:r w:rsidRPr="00306250">
        <w:t xml:space="preserve">has sufficiently demonstrated its managerial, financial and technological capabilities to meet its </w:t>
      </w:r>
      <w:r w:rsidR="004440E9">
        <w:t>RDOF</w:t>
      </w:r>
      <w:r w:rsidRPr="00306250">
        <w:t xml:space="preserve"> obligations in the Assigned </w:t>
      </w:r>
      <w:r w:rsidR="0061186C">
        <w:t xml:space="preserve">Census </w:t>
      </w:r>
      <w:r w:rsidRPr="00306250">
        <w:t xml:space="preserve">Blocks.  In this regard, we find relevant </w:t>
      </w:r>
      <w:r w:rsidR="00C32577">
        <w:t>the findings and related record in the associated 214 proceeding</w:t>
      </w:r>
      <w:r w:rsidRPr="00306250">
        <w:t>.</w:t>
      </w:r>
      <w:r>
        <w:rPr>
          <w:vertAlign w:val="superscript"/>
        </w:rPr>
        <w:footnoteReference w:id="13"/>
      </w:r>
      <w:r w:rsidRPr="00306250">
        <w:t xml:space="preserve"> </w:t>
      </w:r>
      <w:r w:rsidR="00143870">
        <w:t xml:space="preserve"> </w:t>
      </w:r>
      <w:r w:rsidR="0047088F">
        <w:t xml:space="preserve">In the </w:t>
      </w:r>
      <w:r w:rsidRPr="00E30BA8" w:rsidR="00143870">
        <w:rPr>
          <w:i/>
          <w:iCs/>
        </w:rPr>
        <w:t>214 Transfer Order</w:t>
      </w:r>
      <w:r w:rsidR="00143870">
        <w:t xml:space="preserve">, the </w:t>
      </w:r>
      <w:r w:rsidR="00815A7B">
        <w:t>Bureau</w:t>
      </w:r>
      <w:r w:rsidR="00143870">
        <w:t xml:space="preserve"> found relevant to its determination that granting the 214 transfer did not harm the public interest</w:t>
      </w:r>
      <w:r w:rsidR="00C26532">
        <w:t xml:space="preserve">, </w:t>
      </w:r>
      <w:r w:rsidR="00143870">
        <w:t>Yellowhammer</w:t>
      </w:r>
      <w:r w:rsidR="00610405">
        <w:t xml:space="preserve">’s </w:t>
      </w:r>
      <w:r w:rsidR="00C26532">
        <w:t xml:space="preserve">commitment and demonstration, on the record, that it </w:t>
      </w:r>
      <w:r w:rsidR="00143870">
        <w:t xml:space="preserve">had the </w:t>
      </w:r>
      <w:r w:rsidRPr="00306250">
        <w:rPr>
          <w:snapToGrid/>
          <w:kern w:val="0"/>
        </w:rPr>
        <w:t xml:space="preserve">necessary managerial and operational expertise to meet buildout and performance obligations associated with the Assigned </w:t>
      </w:r>
      <w:r w:rsidR="0061186C">
        <w:rPr>
          <w:snapToGrid/>
          <w:kern w:val="0"/>
        </w:rPr>
        <w:t xml:space="preserve">Census </w:t>
      </w:r>
      <w:r w:rsidRPr="00306250">
        <w:rPr>
          <w:snapToGrid/>
          <w:kern w:val="0"/>
        </w:rPr>
        <w:t xml:space="preserve">Blocks </w:t>
      </w:r>
      <w:r w:rsidR="00C26532">
        <w:t xml:space="preserve">as well as </w:t>
      </w:r>
      <w:r w:rsidR="00610405">
        <w:t xml:space="preserve">the requisite </w:t>
      </w:r>
      <w:r w:rsidR="00C26532">
        <w:t>financial expertise</w:t>
      </w:r>
      <w:r w:rsidR="00610405">
        <w:t xml:space="preserve"> and resources</w:t>
      </w:r>
      <w:r w:rsidRPr="00306250">
        <w:t>.</w:t>
      </w:r>
      <w:r>
        <w:rPr>
          <w:szCs w:val="22"/>
          <w:vertAlign w:val="superscript"/>
        </w:rPr>
        <w:footnoteReference w:id="14"/>
      </w:r>
      <w:r w:rsidRPr="00306250">
        <w:t xml:space="preserve">  </w:t>
      </w:r>
      <w:r w:rsidR="00E30BA8">
        <w:t>In addition, the Bureau found that granting the transfer would</w:t>
      </w:r>
      <w:r w:rsidR="00131732">
        <w:t xml:space="preserve"> create pub</w:t>
      </w:r>
      <w:r w:rsidR="003224D4">
        <w:t>l</w:t>
      </w:r>
      <w:r w:rsidR="00131732">
        <w:t xml:space="preserve">ic interest benefits </w:t>
      </w:r>
      <w:r w:rsidR="00E30BA8">
        <w:t xml:space="preserve">by avoiding </w:t>
      </w:r>
      <w:r w:rsidR="00C041D0">
        <w:t>BroadLife</w:t>
      </w:r>
      <w:r w:rsidR="00131732">
        <w:t>’s default on its RDOF obligations</w:t>
      </w:r>
      <w:r w:rsidR="0047088F">
        <w:t xml:space="preserve"> and </w:t>
      </w:r>
      <w:r w:rsidR="00543387">
        <w:t xml:space="preserve">the resultant </w:t>
      </w:r>
      <w:r w:rsidR="0047088F">
        <w:t>potential limitation o</w:t>
      </w:r>
      <w:r w:rsidR="00543387">
        <w:t>f</w:t>
      </w:r>
      <w:r w:rsidR="0047088F">
        <w:t xml:space="preserve"> service in the supported areas</w:t>
      </w:r>
      <w:r w:rsidR="00420A4E">
        <w:t>.</w:t>
      </w:r>
      <w:r>
        <w:rPr>
          <w:rStyle w:val="FootnoteReference"/>
        </w:rPr>
        <w:footnoteReference w:id="15"/>
      </w:r>
      <w:r w:rsidRPr="00306250">
        <w:rPr>
          <w:snapToGrid/>
          <w:kern w:val="0"/>
          <w:szCs w:val="22"/>
        </w:rPr>
        <w:t xml:space="preserve"> </w:t>
      </w:r>
      <w:r w:rsidR="008238F4">
        <w:rPr>
          <w:snapToGrid/>
          <w:kern w:val="0"/>
          <w:szCs w:val="22"/>
        </w:rPr>
        <w:t xml:space="preserve"> For these reasons, we find that the designation of Yellowhammer to receive the transferred support and to meet related public interest and deployment obligations is appropriate. </w:t>
      </w:r>
    </w:p>
    <w:p w:rsidR="00306250" w:rsidRPr="00306250" w:rsidP="00306250" w14:paraId="3484F1D6" w14:textId="29041BBB">
      <w:pPr>
        <w:widowControl/>
        <w:tabs>
          <w:tab w:val="left" w:pos="720"/>
        </w:tabs>
        <w:spacing w:after="120"/>
      </w:pPr>
      <w:r w:rsidRPr="00306250">
        <w:tab/>
        <w:t xml:space="preserve">We also find that </w:t>
      </w:r>
      <w:r w:rsidR="002A5A23">
        <w:t>Yellowhammer</w:t>
      </w:r>
      <w:r w:rsidRPr="00306250" w:rsidR="002A5A23">
        <w:t xml:space="preserve"> </w:t>
      </w:r>
      <w:r w:rsidRPr="00306250">
        <w:t xml:space="preserve">has met all prerequisites to authorization.  </w:t>
      </w:r>
      <w:r w:rsidR="002A5A23">
        <w:t>The Commission has designated Yellow</w:t>
      </w:r>
      <w:r w:rsidR="00462686">
        <w:t>hammer</w:t>
      </w:r>
      <w:r w:rsidR="002A5A23">
        <w:t xml:space="preserve"> as an</w:t>
      </w:r>
      <w:r w:rsidRPr="00306250">
        <w:t xml:space="preserve"> </w:t>
      </w:r>
      <w:r w:rsidR="004B34FE">
        <w:t>ETC</w:t>
      </w:r>
      <w:r w:rsidRPr="00306250">
        <w:t xml:space="preserve"> </w:t>
      </w:r>
      <w:r w:rsidR="002A5A23">
        <w:t>for the purpose of receiving RDOF support for the</w:t>
      </w:r>
      <w:r w:rsidRPr="00306250">
        <w:t xml:space="preserve"> Assigned </w:t>
      </w:r>
      <w:r w:rsidR="00D620B7">
        <w:t xml:space="preserve">Census </w:t>
      </w:r>
      <w:r w:rsidRPr="00306250">
        <w:t>Block</w:t>
      </w:r>
      <w:r w:rsidR="002A5A23">
        <w:t>s</w:t>
      </w:r>
      <w:r w:rsidRPr="00306250">
        <w:t>.</w:t>
      </w:r>
      <w:r>
        <w:rPr>
          <w:vertAlign w:val="superscript"/>
        </w:rPr>
        <w:footnoteReference w:id="16"/>
      </w:r>
      <w:r w:rsidRPr="00306250">
        <w:t xml:space="preserve">  In addition, </w:t>
      </w:r>
      <w:r w:rsidR="002A5A23">
        <w:t>Yellowhammer</w:t>
      </w:r>
      <w:r w:rsidRPr="00306250">
        <w:t xml:space="preserve"> has obtained an irrevocable letter of credit securing the requisite amount of support for the acquired area </w:t>
      </w:r>
      <w:r w:rsidR="009B4802">
        <w:t xml:space="preserve">and is </w:t>
      </w:r>
      <w:r w:rsidRPr="00306250">
        <w:t>supported by a new Bankruptcy Opinion Letter.</w:t>
      </w:r>
      <w:r>
        <w:rPr>
          <w:vertAlign w:val="superscript"/>
        </w:rPr>
        <w:footnoteReference w:id="17"/>
      </w:r>
      <w:r w:rsidRPr="00306250">
        <w:t xml:space="preserve">  </w:t>
      </w:r>
    </w:p>
    <w:p w:rsidR="00306250" w:rsidRPr="005F5ACD" w:rsidP="005F5ACD" w14:paraId="6B3E8012" w14:textId="23FB45DB">
      <w:pPr>
        <w:widowControl/>
        <w:tabs>
          <w:tab w:val="left" w:pos="720"/>
        </w:tabs>
        <w:spacing w:after="120"/>
        <w:rPr>
          <w:snapToGrid/>
          <w:color w:val="000000"/>
          <w:kern w:val="0"/>
        </w:rPr>
      </w:pPr>
      <w:r w:rsidRPr="00306250">
        <w:tab/>
        <w:t xml:space="preserve">In sum, based on all of the above information and considerations and subject to the above limitations, we authorize </w:t>
      </w:r>
      <w:r w:rsidR="002A5A23">
        <w:t>Yellowhammer</w:t>
      </w:r>
      <w:r w:rsidRPr="00306250" w:rsidR="002A5A23">
        <w:t xml:space="preserve"> </w:t>
      </w:r>
      <w:r w:rsidRPr="00306250">
        <w:t xml:space="preserve">to receive the support associated with the Assigned Census Blocks. </w:t>
      </w:r>
      <w:r w:rsidR="004A0864">
        <w:t xml:space="preserve"> </w:t>
      </w:r>
      <w:r w:rsidRPr="00306250">
        <w:t xml:space="preserve">We direct USAC to disburse to </w:t>
      </w:r>
      <w:r w:rsidRPr="001227C9" w:rsidR="002A5A23">
        <w:t xml:space="preserve">Yellowhammer </w:t>
      </w:r>
      <w:r w:rsidRPr="001227C9">
        <w:t>the</w:t>
      </w:r>
      <w:r w:rsidRPr="001227C9" w:rsidR="002A5A23">
        <w:t xml:space="preserve"> RDOF</w:t>
      </w:r>
      <w:r w:rsidRPr="001227C9">
        <w:t xml:space="preserve"> </w:t>
      </w:r>
      <w:r w:rsidRPr="001227C9" w:rsidR="002A5A23">
        <w:t xml:space="preserve">support </w:t>
      </w:r>
      <w:r w:rsidRPr="001227C9">
        <w:t xml:space="preserve">from the Universal Service Fund previously associated with </w:t>
      </w:r>
      <w:r w:rsidRPr="009D0B60">
        <w:t xml:space="preserve">SAC </w:t>
      </w:r>
      <w:r w:rsidRPr="0039549F" w:rsidR="0039549F">
        <w:t>259060</w:t>
      </w:r>
      <w:r w:rsidR="0039549F">
        <w:t xml:space="preserve"> </w:t>
      </w:r>
      <w:r w:rsidRPr="001227C9" w:rsidR="003A6E6D">
        <w:t xml:space="preserve">and not previously disbursed to </w:t>
      </w:r>
      <w:r w:rsidRPr="001227C9" w:rsidR="00C041D0">
        <w:t>BroadLife</w:t>
      </w:r>
      <w:r w:rsidRPr="001227C9">
        <w:t xml:space="preserve">.  Such support will be paid in monthly installments to the account on file for </w:t>
      </w:r>
      <w:r w:rsidRPr="009D0B60">
        <w:t xml:space="preserve">498 ID </w:t>
      </w:r>
      <w:r w:rsidR="000465DA">
        <w:rPr>
          <w:color w:val="000000"/>
        </w:rPr>
        <w:t>143053834</w:t>
      </w:r>
      <w:r w:rsidRPr="00306250">
        <w:rPr>
          <w:sz w:val="20"/>
        </w:rPr>
        <w:t>.</w:t>
      </w:r>
      <w:r w:rsidRPr="00306250">
        <w:t xml:space="preserve">  </w:t>
      </w:r>
      <w:r w:rsidR="0039549F">
        <w:t xml:space="preserve">Yellowhammer has been assigned SAC </w:t>
      </w:r>
      <w:r w:rsidRPr="001227C9" w:rsidR="0039549F">
        <w:t>259063</w:t>
      </w:r>
      <w:r w:rsidR="0039549F">
        <w:t xml:space="preserve"> for the Assigned </w:t>
      </w:r>
      <w:r w:rsidR="00656CBF">
        <w:t xml:space="preserve">Census </w:t>
      </w:r>
      <w:r w:rsidR="0039549F">
        <w:t>Blocks.</w:t>
      </w:r>
    </w:p>
    <w:p w:rsidR="00306250" w:rsidP="00277349" w14:paraId="135A4154" w14:textId="05FBD317">
      <w:pPr>
        <w:widowControl/>
        <w:tabs>
          <w:tab w:val="left" w:pos="720"/>
        </w:tabs>
        <w:spacing w:after="120"/>
        <w:rPr>
          <w:b/>
          <w:bCs/>
          <w:szCs w:val="22"/>
        </w:rPr>
      </w:pPr>
      <w:r w:rsidRPr="00306250">
        <w:tab/>
        <w:t xml:space="preserve"> </w:t>
      </w:r>
      <w:r w:rsidRPr="00306250">
        <w:rPr>
          <w:szCs w:val="22"/>
        </w:rPr>
        <w:t>For further information, please contact Nissa Laughner, Telecommunications Access Policy Division, Wireline Competition Bureau at 202-418-7400.</w:t>
      </w:r>
    </w:p>
    <w:p w:rsidR="00306250" w:rsidRPr="00306250" w:rsidP="00306250" w14:paraId="3122304B" w14:textId="447D4521">
      <w:pPr>
        <w:jc w:val="center"/>
        <w:rPr>
          <w:bCs/>
          <w:sz w:val="24"/>
        </w:rPr>
      </w:pPr>
      <w:r w:rsidRPr="00306250">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B33A010" w14:textId="77777777">
    <w:pPr>
      <w:pStyle w:val="Footer"/>
      <w:framePr w:wrap="around" w:vAnchor="text" w:hAnchor="margin" w:xAlign="center" w:y="1"/>
    </w:pPr>
    <w:r>
      <w:fldChar w:fldCharType="begin"/>
    </w:r>
    <w:r>
      <w:instrText xml:space="preserve">PAGE  </w:instrText>
    </w:r>
    <w:r w:rsidR="001B4C40">
      <w:fldChar w:fldCharType="separate"/>
    </w:r>
    <w:r>
      <w:fldChar w:fldCharType="end"/>
    </w:r>
  </w:p>
  <w:p w:rsidR="006F7393" w14:paraId="36907B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BD558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B626F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7E71" w14:paraId="00AAD5B7" w14:textId="77777777">
      <w:r>
        <w:separator/>
      </w:r>
    </w:p>
  </w:footnote>
  <w:footnote w:type="continuationSeparator" w:id="1">
    <w:p w:rsidR="00FE7E71" w14:paraId="7C961620" w14:textId="77777777">
      <w:pPr>
        <w:rPr>
          <w:sz w:val="20"/>
        </w:rPr>
      </w:pPr>
      <w:r>
        <w:rPr>
          <w:sz w:val="20"/>
        </w:rPr>
        <w:t xml:space="preserve">(Continued from previous page)  </w:t>
      </w:r>
      <w:r>
        <w:rPr>
          <w:sz w:val="20"/>
        </w:rPr>
        <w:separator/>
      </w:r>
    </w:p>
  </w:footnote>
  <w:footnote w:type="continuationNotice" w:id="2">
    <w:p w:rsidR="00FE7E71" w:rsidP="00910F12" w14:paraId="1BBFCF90" w14:textId="77777777">
      <w:pPr>
        <w:jc w:val="right"/>
        <w:rPr>
          <w:sz w:val="20"/>
        </w:rPr>
      </w:pPr>
      <w:r>
        <w:rPr>
          <w:sz w:val="20"/>
        </w:rPr>
        <w:t>(continued….)</w:t>
      </w:r>
    </w:p>
  </w:footnote>
  <w:footnote w:id="3">
    <w:p w:rsidR="00FF5031" w:rsidRPr="00FA66CC" w14:paraId="58898955" w14:textId="485C3A63">
      <w:pPr>
        <w:pStyle w:val="FootnoteText"/>
      </w:pPr>
      <w:r>
        <w:rPr>
          <w:rStyle w:val="FootnoteReference"/>
        </w:rPr>
        <w:footnoteRef/>
      </w:r>
      <w:r>
        <w:t xml:space="preserve"> </w:t>
      </w:r>
      <w:r w:rsidRPr="00946962">
        <w:rPr>
          <w:i/>
          <w:iCs/>
        </w:rPr>
        <w:t>See Domestic Section 214 Application Granted for the Acquisition of Certain Assets of BroadLife Communications, Inc. by Yellowhammer Networks, LLC</w:t>
      </w:r>
      <w:r w:rsidRPr="00946962">
        <w:t>, WC Docket 23-23, Public Notice, DA 23-473 at 1, 5 (WCB rel. June 1, 2023) (</w:t>
      </w:r>
      <w:r w:rsidRPr="00946962">
        <w:rPr>
          <w:i/>
          <w:iCs/>
        </w:rPr>
        <w:t>214 Transfer Public Notice</w:t>
      </w:r>
      <w:r w:rsidRPr="00946962">
        <w:t>)</w:t>
      </w:r>
      <w:r>
        <w:t xml:space="preserve">; </w:t>
      </w:r>
      <w:r w:rsidRPr="00946962">
        <w:rPr>
          <w:i/>
          <w:iCs/>
        </w:rPr>
        <w:t>see also</w:t>
      </w:r>
      <w:r w:rsidRPr="00946962">
        <w:t xml:space="preserve"> </w:t>
      </w:r>
      <w:r w:rsidRPr="00FA66CC" w:rsidR="002E667D">
        <w:t xml:space="preserve">Application of BroadLife Communications, Inc. and Yellowhammer Networks, LLC for Consent to Assignment of Domestic Section 214 Authorization, WC Docket No. 23-23 (filed Jan. 13, 2023), https://www.fcc.gov/ecfs/document/1011389787924/1 (Application). </w:t>
      </w:r>
      <w:r w:rsidR="00FA66CC">
        <w:t xml:space="preserve"> </w:t>
      </w:r>
      <w:r w:rsidRPr="00FA66CC" w:rsidR="002E667D">
        <w:t>Applicants filed a supplement to their application on February 15, 2023.  Letter from Stephen Coran, Counsel to Yellowhammer Networks, LLC, to Marlene H. Dortch, Secretary, FCC, WC Docket No. 23-23 (filed Feb. 15, 2023)</w:t>
      </w:r>
      <w:r w:rsidR="002709FE">
        <w:t xml:space="preserve">, </w:t>
      </w:r>
      <w:r w:rsidRPr="008E6B8D" w:rsidR="008E6B8D">
        <w:t>https://www.fcc.gov/ecfs/document/1021570497286/1</w:t>
      </w:r>
      <w:r w:rsidRPr="00FA66CC" w:rsidR="002E667D">
        <w:t>.</w:t>
      </w:r>
    </w:p>
  </w:footnote>
  <w:footnote w:id="4">
    <w:p w:rsidR="00DD2933" w:rsidRPr="00946962" w:rsidP="00946962" w14:paraId="0F1A7BCE" w14:textId="08961F2B">
      <w:pPr>
        <w:pStyle w:val="FootnoteText"/>
        <w:rPr>
          <w:i/>
          <w:iCs/>
        </w:rPr>
      </w:pPr>
      <w:r w:rsidRPr="00946962">
        <w:rPr>
          <w:rStyle w:val="FootnoteReference"/>
          <w:sz w:val="20"/>
        </w:rPr>
        <w:footnoteRef/>
      </w:r>
      <w:r w:rsidRPr="00946962">
        <w:t xml:space="preserve"> </w:t>
      </w:r>
      <w:r w:rsidRPr="006B1618" w:rsidR="0017710C">
        <w:rPr>
          <w:i/>
          <w:iCs/>
        </w:rPr>
        <w:t xml:space="preserve">See </w:t>
      </w:r>
      <w:r w:rsidRPr="005E3EBD" w:rsidR="0017710C">
        <w:t>47 U.S.C. § 214; 47 CFR §§ 63.03-04</w:t>
      </w:r>
      <w:r w:rsidR="0017710C">
        <w:t xml:space="preserve">.  </w:t>
      </w:r>
      <w:r w:rsidRPr="00946962" w:rsidR="006137A4">
        <w:t xml:space="preserve">ETCs seeking to transfer control of their domestic authorizations to operate pursuant to section 214 </w:t>
      </w:r>
      <w:r w:rsidR="00273EBE">
        <w:t xml:space="preserve">of the Act </w:t>
      </w:r>
      <w:r w:rsidRPr="00946962" w:rsidR="006137A4">
        <w:t xml:space="preserve">or to engage in the sale of assets under section 214 “must first receive approval from the Commission in accordance with sections 63.03 and 63.04 of the Commission’s rules governing the procedures for domestic transfer of control/asset applications.”  </w:t>
      </w:r>
      <w:r w:rsidRPr="00946962" w:rsidR="006137A4">
        <w:rPr>
          <w:i/>
          <w:iCs/>
        </w:rPr>
        <w:t>Rural Digital Opportunity Fund Support Authorized for 1,345 Winning Bids</w:t>
      </w:r>
      <w:r w:rsidRPr="00946962" w:rsidR="006137A4">
        <w:t>, AU Docket No. 20-34 et al., Public Notice, DA 22-402</w:t>
      </w:r>
      <w:r w:rsidR="00617872">
        <w:t xml:space="preserve">, </w:t>
      </w:r>
      <w:r w:rsidRPr="00946962" w:rsidR="006137A4">
        <w:t>at 8-9 (WCB/OEA/RBATF Apr. 15, 2022) (</w:t>
      </w:r>
      <w:r w:rsidRPr="00946962" w:rsidR="006137A4">
        <w:rPr>
          <w:i/>
          <w:iCs/>
        </w:rPr>
        <w:t>RDOF Public Notice</w:t>
      </w:r>
      <w:r w:rsidRPr="00946962" w:rsidR="006137A4">
        <w:t xml:space="preserve">).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  </w:t>
      </w:r>
      <w:r w:rsidRPr="00946962" w:rsidR="006137A4">
        <w:rPr>
          <w:i/>
          <w:iCs/>
        </w:rPr>
        <w:t xml:space="preserve">Id.  </w:t>
      </w:r>
    </w:p>
  </w:footnote>
  <w:footnote w:id="5">
    <w:p w:rsidR="009D2D86" w:rsidRPr="00946962" w:rsidP="00946962" w14:paraId="417B9867" w14:textId="1472653F">
      <w:pPr>
        <w:pStyle w:val="FootnoteText"/>
      </w:pPr>
      <w:r w:rsidRPr="00946962">
        <w:rPr>
          <w:rStyle w:val="FootnoteReference"/>
          <w:sz w:val="20"/>
        </w:rPr>
        <w:footnoteRef/>
      </w:r>
      <w:r w:rsidRPr="00946962">
        <w:t xml:space="preserve"> </w:t>
      </w:r>
      <w:r w:rsidRPr="00946962">
        <w:rPr>
          <w:i/>
          <w:iCs/>
        </w:rPr>
        <w:t>See</w:t>
      </w:r>
      <w:r w:rsidRPr="00946962" w:rsidR="0057693A">
        <w:rPr>
          <w:i/>
          <w:iCs/>
        </w:rPr>
        <w:t xml:space="preserve"> 214 Transfer Public Notice</w:t>
      </w:r>
      <w:r w:rsidRPr="00946962" w:rsidR="0057693A">
        <w:t xml:space="preserve"> at </w:t>
      </w:r>
      <w:r w:rsidRPr="00946962" w:rsidR="009F33FD">
        <w:t>2</w:t>
      </w:r>
      <w:r w:rsidR="006B1618">
        <w:t xml:space="preserve">; </w:t>
      </w:r>
      <w:r w:rsidRPr="00946962" w:rsidR="005D41C4">
        <w:t xml:space="preserve">Letter from Stephen E. Coran, Counsel </w:t>
      </w:r>
      <w:r w:rsidR="00C50894">
        <w:t>to Yellowhammer Networks, LLC</w:t>
      </w:r>
      <w:r w:rsidRPr="00946962" w:rsidR="005D41C4">
        <w:t xml:space="preserve">, </w:t>
      </w:r>
      <w:r w:rsidR="00C50894">
        <w:t xml:space="preserve">to </w:t>
      </w:r>
      <w:r w:rsidRPr="00FA66CC" w:rsidR="00C50894">
        <w:t>Mar</w:t>
      </w:r>
      <w:r w:rsidR="00C50894">
        <w:t>l</w:t>
      </w:r>
      <w:r w:rsidRPr="00FA66CC" w:rsidR="00C50894">
        <w:t>ene H. Dortch, Secretary, FCC</w:t>
      </w:r>
      <w:r w:rsidR="00C50894">
        <w:t>,</w:t>
      </w:r>
      <w:r w:rsidRPr="00946962" w:rsidR="00C50894">
        <w:t xml:space="preserve"> </w:t>
      </w:r>
      <w:r w:rsidRPr="00946962" w:rsidR="005D41C4">
        <w:t>WC Docket No. 2</w:t>
      </w:r>
      <w:r w:rsidR="008B730E">
        <w:t>3-23</w:t>
      </w:r>
      <w:r w:rsidRPr="00946962" w:rsidR="005D41C4">
        <w:t xml:space="preserve"> (</w:t>
      </w:r>
      <w:r w:rsidRPr="009D0B60" w:rsidR="002C0E2E">
        <w:t xml:space="preserve">filed </w:t>
      </w:r>
      <w:r w:rsidRPr="009D0B60" w:rsidR="00D64E78">
        <w:t>Sept. 15, 2023</w:t>
      </w:r>
      <w:r w:rsidRPr="009D0B60" w:rsidR="005D41C4">
        <w:t>)</w:t>
      </w:r>
      <w:r w:rsidRPr="009D0B60" w:rsidR="008B079B">
        <w:t xml:space="preserve"> </w:t>
      </w:r>
      <w:r w:rsidRPr="009D0B60" w:rsidR="009D0B60">
        <w:t>(notice of consummation of the transaction).</w:t>
      </w:r>
    </w:p>
  </w:footnote>
  <w:footnote w:id="6">
    <w:p w:rsidR="009D2D86" w:rsidRPr="00946962" w:rsidP="00946962" w14:paraId="53572318" w14:textId="03A2E0E8">
      <w:pPr>
        <w:pStyle w:val="FootnoteText"/>
      </w:pPr>
      <w:r w:rsidRPr="00946962">
        <w:rPr>
          <w:rStyle w:val="FootnoteReference"/>
          <w:sz w:val="20"/>
        </w:rPr>
        <w:footnoteRef/>
      </w:r>
      <w:r w:rsidRPr="00946962">
        <w:t xml:space="preserve"> </w:t>
      </w:r>
      <w:r w:rsidRPr="00946962" w:rsidR="004A3618">
        <w:rPr>
          <w:i/>
          <w:iCs/>
        </w:rPr>
        <w:t>See</w:t>
      </w:r>
      <w:r w:rsidRPr="00946962" w:rsidR="004A3618">
        <w:t xml:space="preserve"> </w:t>
      </w:r>
      <w:r w:rsidRPr="00946962" w:rsidR="003B10CF">
        <w:t>Application at 3, Exh. 1 (List of Assigned Census Blocks)</w:t>
      </w:r>
      <w:r w:rsidRPr="00946962" w:rsidR="00C01897">
        <w:t xml:space="preserve">; </w:t>
      </w:r>
      <w:r w:rsidRPr="00946962" w:rsidR="004A3618">
        <w:rPr>
          <w:i/>
          <w:iCs/>
        </w:rPr>
        <w:t xml:space="preserve">RDOF Public Notice </w:t>
      </w:r>
      <w:r w:rsidRPr="00946962" w:rsidR="004A3618">
        <w:t xml:space="preserve">at Attach. A (Authorized Long-Form Applicants and Winning Bids).  We specify that the Assigned Blocks cover all eligible census blocks covered by the </w:t>
      </w:r>
      <w:r w:rsidR="00C041D0">
        <w:t>BroadLife</w:t>
      </w:r>
      <w:r w:rsidRPr="00946962" w:rsidR="004A3618">
        <w:t xml:space="preserve"> RDOF award for SAC 259060 (as published by the Commission on its website).  </w:t>
      </w:r>
      <w:r w:rsidRPr="00946962" w:rsidR="004A3618">
        <w:rPr>
          <w:i/>
          <w:iCs/>
        </w:rPr>
        <w:t>See</w:t>
      </w:r>
      <w:r w:rsidRPr="00946962" w:rsidR="004A3618">
        <w:t xml:space="preserve"> Results, </w:t>
      </w:r>
      <w:r w:rsidRPr="00946962" w:rsidR="00DB6DB5">
        <w:t xml:space="preserve">Authorized Auction 904 Long-Form Applicants Spreadsheet, </w:t>
      </w:r>
      <w:hyperlink r:id="rId1" w:history="1">
        <w:r w:rsidRPr="00946962" w:rsidR="00131EDA">
          <w:rPr>
            <w:rStyle w:val="Hyperlink"/>
          </w:rPr>
          <w:t>https://www.fcc.gov/auction/904</w:t>
        </w:r>
      </w:hyperlink>
      <w:r w:rsidRPr="00946962" w:rsidR="00131EDA">
        <w:t xml:space="preserve">. </w:t>
      </w:r>
    </w:p>
  </w:footnote>
  <w:footnote w:id="7">
    <w:p w:rsidR="004C4DA2" w:rsidRPr="00946962" w:rsidP="00D90DE5" w14:paraId="31AF5664" w14:textId="1538B512">
      <w:pPr>
        <w:pStyle w:val="FootnoteText"/>
      </w:pPr>
      <w:r w:rsidRPr="00946962">
        <w:rPr>
          <w:rStyle w:val="FootnoteReference"/>
          <w:sz w:val="20"/>
        </w:rPr>
        <w:footnoteRef/>
      </w:r>
      <w:r w:rsidRPr="00946962">
        <w:t xml:space="preserve"> </w:t>
      </w:r>
      <w:r w:rsidRPr="00946962">
        <w:rPr>
          <w:i/>
          <w:iCs/>
        </w:rPr>
        <w:t>See</w:t>
      </w:r>
      <w:r w:rsidRPr="00946962">
        <w:t xml:space="preserve"> </w:t>
      </w:r>
      <w:r w:rsidRPr="006177B4" w:rsidR="00785631">
        <w:t>Petition of Broad</w:t>
      </w:r>
      <w:r w:rsidR="0018428D">
        <w:t>L</w:t>
      </w:r>
      <w:r w:rsidRPr="006177B4" w:rsidR="00785631">
        <w:t>ife Communications, Inc.</w:t>
      </w:r>
      <w:r w:rsidRPr="006177B4" w:rsidR="00D90DE5">
        <w:t xml:space="preserve"> for Relinquishment of Eligible Telecommunications Carrier Designation, </w:t>
      </w:r>
      <w:r w:rsidRPr="006177B4" w:rsidR="006F1700">
        <w:t>WC Docket No. 09-197 (filed Sept.15, 2023).</w:t>
      </w:r>
    </w:p>
  </w:footnote>
  <w:footnote w:id="8">
    <w:p w:rsidR="00897526" w:rsidRPr="00946962" w:rsidP="00897526" w14:paraId="127CDD71" w14:textId="77777777">
      <w:pPr>
        <w:pStyle w:val="FootnoteText"/>
      </w:pPr>
      <w:r w:rsidRPr="00946962">
        <w:rPr>
          <w:rStyle w:val="FootnoteReference"/>
          <w:sz w:val="20"/>
        </w:rPr>
        <w:footnoteRef/>
      </w:r>
      <w:r w:rsidRPr="00946962">
        <w:t xml:space="preserve"> </w:t>
      </w:r>
      <w:r w:rsidRPr="00946962">
        <w:rPr>
          <w:i/>
          <w:iCs/>
        </w:rPr>
        <w:t>See Rural Digital Opportunity Fund et al</w:t>
      </w:r>
      <w:r w:rsidRPr="00946962">
        <w:t>., WC Docket No. 19-126 et al., Report and Order, 35 FCC Rcd 686, 717-18, para. 68</w:t>
      </w:r>
      <w:r w:rsidRPr="00946962">
        <w:rPr>
          <w:i/>
          <w:iCs/>
        </w:rPr>
        <w:t xml:space="preserve"> </w:t>
      </w:r>
      <w:r w:rsidRPr="00946962">
        <w:t>(2020) (</w:t>
      </w:r>
      <w:r w:rsidRPr="00946962">
        <w:rPr>
          <w:i/>
          <w:iCs/>
        </w:rPr>
        <w:t>RDOF Report and Order</w:t>
      </w:r>
      <w:r w:rsidRPr="00946962">
        <w:t xml:space="preserve">) </w:t>
      </w:r>
      <w:r w:rsidRPr="00946962">
        <w:rPr>
          <w:snapToGrid w:val="0"/>
        </w:rPr>
        <w:t>(stressing</w:t>
      </w:r>
      <w:r>
        <w:rPr>
          <w:snapToGrid w:val="0"/>
        </w:rPr>
        <w:t xml:space="preserve"> that it is</w:t>
      </w:r>
      <w:r w:rsidRPr="00946962">
        <w:rPr>
          <w:snapToGrid w:val="0"/>
        </w:rPr>
        <w:t xml:space="preserve"> RDOF bidders’ “sole responsibility” </w:t>
      </w:r>
      <w:r>
        <w:rPr>
          <w:snapToGrid w:val="0"/>
        </w:rPr>
        <w:t>to complete</w:t>
      </w:r>
      <w:r w:rsidRPr="00946962">
        <w:rPr>
          <w:snapToGrid w:val="0"/>
        </w:rPr>
        <w:t xml:space="preserve"> due diligence by conducting adequate research and analysis before participating in the RDOF auction); </w:t>
      </w:r>
      <w:r>
        <w:rPr>
          <w:i/>
          <w:iCs/>
        </w:rPr>
        <w:t>id.</w:t>
      </w:r>
      <w:r w:rsidRPr="00946962">
        <w:t xml:space="preserve"> at 725, para. 84</w:t>
      </w:r>
      <w:r w:rsidRPr="00946962">
        <w:rPr>
          <w:i/>
          <w:iCs/>
        </w:rPr>
        <w:t xml:space="preserve"> </w:t>
      </w:r>
      <w:r w:rsidRPr="00147E16">
        <w:t>(</w:t>
      </w:r>
      <w:r w:rsidRPr="00946962">
        <w:t xml:space="preserve">requiring RDOF short-form applicants to certify that they are solely responsible for compliance with all RDOF requirements).  </w:t>
      </w:r>
    </w:p>
  </w:footnote>
  <w:footnote w:id="9">
    <w:p w:rsidR="00306250" w:rsidRPr="00946962" w:rsidP="00946962" w14:paraId="0752963A" w14:textId="022CCE3A">
      <w:pPr>
        <w:pStyle w:val="FootnoteText"/>
      </w:pPr>
      <w:r w:rsidRPr="00946962">
        <w:rPr>
          <w:rStyle w:val="FootnoteReference"/>
          <w:sz w:val="20"/>
        </w:rPr>
        <w:footnoteRef/>
      </w:r>
      <w:r w:rsidRPr="00946962">
        <w:t xml:space="preserve"> </w:t>
      </w:r>
      <w:r w:rsidRPr="00946962">
        <w:rPr>
          <w:i/>
          <w:iCs/>
        </w:rPr>
        <w:t>See</w:t>
      </w:r>
      <w:r w:rsidRPr="00946962" w:rsidR="004D7010">
        <w:rPr>
          <w:i/>
          <w:iCs/>
        </w:rPr>
        <w:t xml:space="preserve"> RDOF </w:t>
      </w:r>
      <w:r w:rsidRPr="00946962" w:rsidR="00122E9B">
        <w:rPr>
          <w:i/>
          <w:iCs/>
        </w:rPr>
        <w:t xml:space="preserve">Report and </w:t>
      </w:r>
      <w:r w:rsidRPr="00946962" w:rsidR="004D7010">
        <w:rPr>
          <w:i/>
          <w:iCs/>
        </w:rPr>
        <w:t>Order</w:t>
      </w:r>
      <w:r w:rsidRPr="00946962" w:rsidR="004D7010">
        <w:t>, 35 FCC Rcd at 713-716, paras. 58-64 (adopting non-compliance measures);</w:t>
      </w:r>
      <w:r w:rsidRPr="00946962" w:rsidR="004D7010">
        <w:rPr>
          <w:i/>
          <w:iCs/>
        </w:rPr>
        <w:t xml:space="preserve"> id</w:t>
      </w:r>
      <w:r w:rsidRPr="00946962" w:rsidR="004D7010">
        <w:t>. at 715-716, para. 63 (stating that in addition to default consequences, RDOF support r</w:t>
      </w:r>
      <w:r w:rsidR="00B778B5">
        <w:t>ec</w:t>
      </w:r>
      <w:r w:rsidRPr="00946962" w:rsidR="004D7010">
        <w:t>ipients are subject to sanctions “including but not limited to the Commission's existing enforcement procedures and penalties, reductions in support amounts, potential revocation of ETC designations, and suspension or debarment”)</w:t>
      </w:r>
      <w:r w:rsidRPr="00D2493F" w:rsidR="00B778B5">
        <w:t xml:space="preserve">. </w:t>
      </w:r>
      <w:r w:rsidR="00D2493F">
        <w:t xml:space="preserve"> </w:t>
      </w:r>
      <w:r w:rsidRPr="00B778B5" w:rsidR="00B778B5">
        <w:rPr>
          <w:i/>
          <w:iCs/>
        </w:rPr>
        <w:t>See</w:t>
      </w:r>
      <w:r w:rsidR="00B778B5">
        <w:t xml:space="preserve"> 4</w:t>
      </w:r>
      <w:r w:rsidRPr="00946962" w:rsidR="00B778B5">
        <w:t>7 CFR §§</w:t>
      </w:r>
      <w:r w:rsidR="004A742C">
        <w:t xml:space="preserve"> </w:t>
      </w:r>
      <w:r w:rsidRPr="00946962" w:rsidR="00B778B5">
        <w:t>54.320(c)</w:t>
      </w:r>
      <w:r w:rsidR="006B2058">
        <w:t>-</w:t>
      </w:r>
      <w:r w:rsidR="004A742C">
        <w:t>(d)</w:t>
      </w:r>
      <w:r w:rsidR="00910D45">
        <w:t xml:space="preserve">, </w:t>
      </w:r>
      <w:r w:rsidRPr="00946962" w:rsidR="00B778B5">
        <w:t>54.804(c)(4)</w:t>
      </w:r>
      <w:r w:rsidR="00910D45">
        <w:t xml:space="preserve">, </w:t>
      </w:r>
      <w:r w:rsidRPr="00946962" w:rsidR="00B778B5">
        <w:t>54.806(c).</w:t>
      </w:r>
      <w:r w:rsidR="00965BB5">
        <w:t xml:space="preserve">  </w:t>
      </w:r>
    </w:p>
  </w:footnote>
  <w:footnote w:id="10">
    <w:p w:rsidR="00306250" w:rsidRPr="007F4F44" w:rsidP="00946962" w14:paraId="41FB9F08" w14:textId="394E363E">
      <w:pPr>
        <w:pStyle w:val="FootnoteText"/>
        <w:rPr>
          <w:rStyle w:val="FootnoteReference"/>
          <w:sz w:val="20"/>
          <w:vertAlign w:val="baseline"/>
        </w:rPr>
      </w:pPr>
      <w:r w:rsidRPr="00946962">
        <w:rPr>
          <w:rStyle w:val="FootnoteReference"/>
          <w:sz w:val="20"/>
        </w:rPr>
        <w:footnoteRef/>
      </w:r>
      <w:r w:rsidRPr="00946962">
        <w:t xml:space="preserve"> 47 CFR §</w:t>
      </w:r>
      <w:r w:rsidRPr="00946962" w:rsidR="00705E96">
        <w:t>§</w:t>
      </w:r>
      <w:r w:rsidRPr="00946962">
        <w:t xml:space="preserve"> 54.</w:t>
      </w:r>
      <w:r w:rsidRPr="00946962" w:rsidR="002F37C1">
        <w:t>80</w:t>
      </w:r>
      <w:r w:rsidRPr="00946962" w:rsidR="00082798">
        <w:t>2</w:t>
      </w:r>
      <w:r w:rsidRPr="00946962" w:rsidR="0098076F">
        <w:t>-</w:t>
      </w:r>
      <w:r w:rsidRPr="00946962" w:rsidR="006A58C8">
        <w:t>806</w:t>
      </w:r>
      <w:r w:rsidRPr="00946962">
        <w:t xml:space="preserve">; </w:t>
      </w:r>
      <w:r w:rsidRPr="00946962" w:rsidR="00705E96">
        <w:rPr>
          <w:i/>
          <w:iCs/>
        </w:rPr>
        <w:t xml:space="preserve">see </w:t>
      </w:r>
      <w:r w:rsidRPr="00946962" w:rsidR="00682920">
        <w:rPr>
          <w:i/>
          <w:iCs/>
        </w:rPr>
        <w:t>generally</w:t>
      </w:r>
      <w:r w:rsidRPr="00946962" w:rsidR="00682920">
        <w:t xml:space="preserve"> </w:t>
      </w:r>
      <w:r w:rsidRPr="00946962" w:rsidR="00122E9B">
        <w:rPr>
          <w:i/>
          <w:iCs/>
        </w:rPr>
        <w:t xml:space="preserve">RDOF Report and </w:t>
      </w:r>
      <w:r w:rsidRPr="00F47EE8" w:rsidR="00122E9B">
        <w:rPr>
          <w:i/>
          <w:iCs/>
        </w:rPr>
        <w:t>Order</w:t>
      </w:r>
      <w:r w:rsidRPr="00946962" w:rsidR="00122E9B">
        <w:t xml:space="preserve">, </w:t>
      </w:r>
      <w:r w:rsidRPr="00946962" w:rsidR="00682920">
        <w:t xml:space="preserve">35 FCC Rcd 686.  </w:t>
      </w:r>
      <w:r w:rsidRPr="00946962">
        <w:t xml:space="preserve">The Bureau has provided a summary of the various obligations of authorized </w:t>
      </w:r>
      <w:r w:rsidRPr="00946962" w:rsidR="00D91736">
        <w:t>RDOF</w:t>
      </w:r>
      <w:r w:rsidRPr="00946962">
        <w:t xml:space="preserve"> support recipients in prior authorization public notices, including in the public notice authorizing </w:t>
      </w:r>
      <w:r w:rsidR="00C041D0">
        <w:t>BroadLife</w:t>
      </w:r>
      <w:r w:rsidRPr="00946962">
        <w:t xml:space="preserve"> to receive </w:t>
      </w:r>
      <w:r w:rsidRPr="00946962" w:rsidR="00D91736">
        <w:t>the relevant RDOF support</w:t>
      </w:r>
      <w:r w:rsidRPr="00946962">
        <w:t>.  As stated in these public notices, t</w:t>
      </w:r>
      <w:r w:rsidRPr="00946962">
        <w:rPr>
          <w:rStyle w:val="item-value"/>
        </w:rPr>
        <w:t>he</w:t>
      </w:r>
      <w:r w:rsidRPr="00946962">
        <w:t xml:space="preserve"> list is not intended to be comprehensive and all authorized parties are responsible for conducting the due diligence required to comply with universal service fund requirements and the Commission’s rules.  </w:t>
      </w:r>
      <w:r w:rsidRPr="00946962">
        <w:rPr>
          <w:i/>
          <w:iCs/>
        </w:rPr>
        <w:t>See</w:t>
      </w:r>
      <w:r w:rsidRPr="00946962" w:rsidR="00122E9B">
        <w:rPr>
          <w:i/>
          <w:iCs/>
        </w:rPr>
        <w:t>, e.g.</w:t>
      </w:r>
      <w:r w:rsidRPr="00946962" w:rsidR="00122E9B">
        <w:t>,</w:t>
      </w:r>
      <w:r w:rsidRPr="00946962" w:rsidR="0062683B">
        <w:t xml:space="preserve"> </w:t>
      </w:r>
      <w:r w:rsidRPr="00946962" w:rsidR="00D91736">
        <w:rPr>
          <w:rStyle w:val="item-value"/>
          <w:i/>
          <w:iCs/>
        </w:rPr>
        <w:t xml:space="preserve">RDOF </w:t>
      </w:r>
      <w:r w:rsidRPr="00946962" w:rsidR="00B56DBD">
        <w:rPr>
          <w:rStyle w:val="item-value"/>
          <w:i/>
          <w:iCs/>
        </w:rPr>
        <w:t xml:space="preserve">Public Notice </w:t>
      </w:r>
      <w:r w:rsidRPr="00946962" w:rsidR="00B56DBD">
        <w:rPr>
          <w:rStyle w:val="item-value"/>
        </w:rPr>
        <w:t>at 1.</w:t>
      </w:r>
      <w:r w:rsidR="00B778B5">
        <w:rPr>
          <w:rStyle w:val="item-value"/>
        </w:rPr>
        <w:t xml:space="preserve"> </w:t>
      </w:r>
      <w:r w:rsidR="00012E90">
        <w:rPr>
          <w:rStyle w:val="item-value"/>
        </w:rPr>
        <w:t xml:space="preserve"> </w:t>
      </w:r>
      <w:r w:rsidR="00617872">
        <w:rPr>
          <w:rStyle w:val="item-value"/>
        </w:rPr>
        <w:t xml:space="preserve">We note that in addition to the requirements and rules specified in the public notices, </w:t>
      </w:r>
      <w:r w:rsidR="00012E90">
        <w:rPr>
          <w:rStyle w:val="item-value"/>
        </w:rPr>
        <w:t xml:space="preserve">RDOF </w:t>
      </w:r>
      <w:r w:rsidR="000750EC">
        <w:rPr>
          <w:rStyle w:val="item-value"/>
        </w:rPr>
        <w:t>support</w:t>
      </w:r>
      <w:r w:rsidR="00012E90">
        <w:rPr>
          <w:rStyle w:val="item-value"/>
        </w:rPr>
        <w:t xml:space="preserve"> recipients must test and certify compliance with the relevant performance requirements in accordance with the uniform framework that has been adopted for measuring and reporting on high-cost performance requirements. </w:t>
      </w:r>
      <w:r w:rsidRPr="00B778B5" w:rsidR="00B778B5">
        <w:rPr>
          <w:rStyle w:val="item-value"/>
          <w:i/>
          <w:iCs/>
        </w:rPr>
        <w:t>See</w:t>
      </w:r>
      <w:r w:rsidR="00B778B5">
        <w:rPr>
          <w:rStyle w:val="item-value"/>
        </w:rPr>
        <w:t xml:space="preserve"> </w:t>
      </w:r>
      <w:r w:rsidRPr="00946962" w:rsidR="00B778B5">
        <w:rPr>
          <w:i/>
          <w:iCs/>
        </w:rPr>
        <w:t>Rural Digital Opportunity Fund Phase I Auction Scheduled for October 29, 2020; Notice and Filing Requirements and Other Procedures for Auction 904</w:t>
      </w:r>
      <w:r w:rsidRPr="00946962" w:rsidR="00B778B5">
        <w:t>, AU Docket No. 20-34 et al., Public Notice, 35 FCC Rcd 6077, 6083, para.15 (2020)</w:t>
      </w:r>
      <w:r w:rsidR="0078047E">
        <w:t xml:space="preserve">; </w:t>
      </w:r>
      <w:r w:rsidRPr="00263882" w:rsidR="0078047E">
        <w:rPr>
          <w:i/>
          <w:iCs/>
        </w:rPr>
        <w:t>Connect America Fund</w:t>
      </w:r>
      <w:r w:rsidRPr="00263882" w:rsidR="0078047E">
        <w:t>, WC Docket No. 10-90, Order, 33 FCC Rcd 6509, 6530-33, paras. 56-67 (WCB 2018)</w:t>
      </w:r>
      <w:r w:rsidR="00A11030">
        <w:t xml:space="preserve">; </w:t>
      </w:r>
      <w:r w:rsidRPr="7A327C20" w:rsidR="00A11030">
        <w:rPr>
          <w:i/>
          <w:iCs/>
        </w:rPr>
        <w:t>Connect America Fund</w:t>
      </w:r>
      <w:r w:rsidRPr="7A327C20" w:rsidR="00A11030">
        <w:t xml:space="preserve">, WC Docket No. 10-90, Order on Reconsideration, 34 FCC Rcd 10109, 10110, para. 4 (2019) (expanding performance measure testing requirements); </w:t>
      </w:r>
      <w:r w:rsidRPr="7A327C20" w:rsidR="00A11030">
        <w:rPr>
          <w:i/>
          <w:iCs/>
        </w:rPr>
        <w:t>see generally</w:t>
      </w:r>
      <w:r w:rsidRPr="7A327C20" w:rsidR="00A11030">
        <w:t xml:space="preserve"> </w:t>
      </w:r>
      <w:r w:rsidRPr="7A327C20" w:rsidR="00A11030">
        <w:rPr>
          <w:i/>
          <w:iCs/>
        </w:rPr>
        <w:t>Connect America Fund</w:t>
      </w:r>
      <w:r w:rsidRPr="7A327C20" w:rsidR="00A11030">
        <w:t>, WC Docket No. 10-90, Order, WC Docket No. 10-90, Order, 35 FCC Rcd 14658 (WCB 2020) (clarifying certain requirements)</w:t>
      </w:r>
      <w:r w:rsidR="00A11030">
        <w:t>.</w:t>
      </w:r>
    </w:p>
  </w:footnote>
  <w:footnote w:id="11">
    <w:p w:rsidR="00306250" w:rsidRPr="00946962" w:rsidP="00946962" w14:paraId="6D10C674" w14:textId="7CD9F776">
      <w:pPr>
        <w:pStyle w:val="FootnoteText"/>
      </w:pPr>
      <w:r w:rsidRPr="00946962">
        <w:rPr>
          <w:rStyle w:val="FootnoteReference"/>
          <w:sz w:val="20"/>
        </w:rPr>
        <w:footnoteRef/>
      </w:r>
      <w:r w:rsidRPr="00946962">
        <w:t xml:space="preserve"> </w:t>
      </w:r>
      <w:r w:rsidRPr="00946962" w:rsidR="0053689B">
        <w:t xml:space="preserve">Specifically, RDOF support recipients must deploy service to an increasing percentage of the CAM-estimated number of locations as of December 31st of each year </w:t>
      </w:r>
      <w:r w:rsidR="00537E1D">
        <w:t xml:space="preserve">beginning </w:t>
      </w:r>
      <w:r w:rsidR="001B2EFA">
        <w:t xml:space="preserve">with </w:t>
      </w:r>
      <w:r w:rsidR="00323771">
        <w:t>a 40% milestone as of the</w:t>
      </w:r>
      <w:r w:rsidR="00537E1D">
        <w:t xml:space="preserve"> third year of receiving support </w:t>
      </w:r>
      <w:r w:rsidR="001F5469">
        <w:t xml:space="preserve">(2025), </w:t>
      </w:r>
      <w:r w:rsidRPr="00946962" w:rsidR="00603EBB">
        <w:t xml:space="preserve">60% </w:t>
      </w:r>
      <w:r w:rsidR="001C0C38">
        <w:t>as of th</w:t>
      </w:r>
      <w:r w:rsidR="00FD35DC">
        <w:t>e</w:t>
      </w:r>
      <w:r w:rsidR="00323771">
        <w:t xml:space="preserve"> fourth year</w:t>
      </w:r>
      <w:r w:rsidR="001F5469">
        <w:t xml:space="preserve"> (2026)</w:t>
      </w:r>
      <w:r w:rsidRPr="00946962" w:rsidR="00603EBB">
        <w:t xml:space="preserve">, 80% </w:t>
      </w:r>
      <w:r w:rsidR="001C0C38">
        <w:t>as of the</w:t>
      </w:r>
      <w:r w:rsidR="00323771">
        <w:t xml:space="preserve"> fifth year</w:t>
      </w:r>
      <w:r w:rsidR="001F5469">
        <w:t xml:space="preserve"> (2027</w:t>
      </w:r>
      <w:r w:rsidR="00333ADC">
        <w:t>)</w:t>
      </w:r>
      <w:r w:rsidRPr="00946962" w:rsidR="00603EBB">
        <w:t xml:space="preserve">, and 100% </w:t>
      </w:r>
      <w:r w:rsidR="001C0C38">
        <w:t xml:space="preserve">as of the </w:t>
      </w:r>
      <w:r w:rsidR="00323771">
        <w:t>sixth year</w:t>
      </w:r>
      <w:r w:rsidR="001F5469">
        <w:t xml:space="preserve"> (2028).</w:t>
      </w:r>
      <w:r w:rsidRPr="00946962" w:rsidR="00603EBB">
        <w:t xml:space="preserve">  </w:t>
      </w:r>
      <w:r w:rsidRPr="00946962" w:rsidR="0053689B">
        <w:t xml:space="preserve">47 CFR § 54.802(c); </w:t>
      </w:r>
      <w:r w:rsidRPr="00946962" w:rsidR="0053689B">
        <w:rPr>
          <w:i/>
          <w:iCs/>
        </w:rPr>
        <w:t>Rural Digital Opportunity Fund Order</w:t>
      </w:r>
      <w:r w:rsidRPr="00946962" w:rsidR="0053689B">
        <w:t>, 35 FCC Rcd at 709-12, paras. 45-55.</w:t>
      </w:r>
      <w:r w:rsidRPr="00946962" w:rsidR="006233D0">
        <w:t xml:space="preserve">  </w:t>
      </w:r>
      <w:r w:rsidRPr="00946962" w:rsidR="009D0959">
        <w:t xml:space="preserve">The </w:t>
      </w:r>
      <w:r w:rsidRPr="00946962" w:rsidR="009B5AEC">
        <w:t>Commission</w:t>
      </w:r>
      <w:r w:rsidR="001C0C38">
        <w:t xml:space="preserve"> will then adjust the </w:t>
      </w:r>
      <w:r w:rsidRPr="00946962" w:rsidR="009B5AEC">
        <w:t>initial defined deployment obligatio</w:t>
      </w:r>
      <w:r w:rsidR="006C6A6B">
        <w:t>n</w:t>
      </w:r>
      <w:r w:rsidRPr="00946962" w:rsidR="009B5AEC">
        <w:t xml:space="preserve"> assigned to </w:t>
      </w:r>
      <w:r w:rsidR="006C6A6B">
        <w:t xml:space="preserve">each </w:t>
      </w:r>
      <w:r w:rsidRPr="00946962" w:rsidR="009B5AEC">
        <w:t>RDOF support recipient</w:t>
      </w:r>
      <w:r w:rsidR="006C6A6B">
        <w:t xml:space="preserve"> based on </w:t>
      </w:r>
      <w:r w:rsidR="001C0C38">
        <w:t xml:space="preserve">its </w:t>
      </w:r>
      <w:r w:rsidR="006C6A6B">
        <w:t>determination of the number of locations with</w:t>
      </w:r>
      <w:r w:rsidR="0087659B">
        <w:t>in</w:t>
      </w:r>
      <w:r w:rsidR="006C6A6B">
        <w:t xml:space="preserve"> the supported area</w:t>
      </w:r>
      <w:r w:rsidR="00134551">
        <w:t xml:space="preserve">.  In addition, the support recipient </w:t>
      </w:r>
      <w:r w:rsidR="001C0C38">
        <w:t>must</w:t>
      </w:r>
      <w:r w:rsidR="00134551">
        <w:t xml:space="preserve"> serve, upon reasonable request, </w:t>
      </w:r>
      <w:r w:rsidR="001C0C38">
        <w:t>new</w:t>
      </w:r>
      <w:r w:rsidR="008A4373">
        <w:t>ly qualifying</w:t>
      </w:r>
      <w:r w:rsidR="001C0C38">
        <w:t xml:space="preserve"> locations until the end of the </w:t>
      </w:r>
      <w:r w:rsidR="00462686">
        <w:t>eighth</w:t>
      </w:r>
      <w:r w:rsidR="00134551">
        <w:t xml:space="preserve"> year of support (2030).  </w:t>
      </w:r>
      <w:r w:rsidRPr="00946962" w:rsidR="008D35B2">
        <w:rPr>
          <w:i/>
          <w:iCs/>
        </w:rPr>
        <w:t xml:space="preserve">See </w:t>
      </w:r>
      <w:r w:rsidRPr="00946962" w:rsidR="00682920">
        <w:rPr>
          <w:i/>
          <w:iCs/>
        </w:rPr>
        <w:t>Rural Digital Opportunity Fund</w:t>
      </w:r>
      <w:r w:rsidRPr="00946962" w:rsidR="003C244C">
        <w:rPr>
          <w:i/>
          <w:iCs/>
        </w:rPr>
        <w:t xml:space="preserve"> Order</w:t>
      </w:r>
      <w:r w:rsidRPr="00946962" w:rsidR="003C244C">
        <w:t>, 35 FCC Rcd</w:t>
      </w:r>
      <w:r w:rsidRPr="00946962" w:rsidR="008D35B2">
        <w:t xml:space="preserve"> at </w:t>
      </w:r>
      <w:r w:rsidRPr="00946962" w:rsidR="009D0959">
        <w:t xml:space="preserve">710-11, paras. </w:t>
      </w:r>
      <w:r w:rsidRPr="00946962" w:rsidR="008D35B2">
        <w:t>49-50</w:t>
      </w:r>
      <w:r w:rsidR="005E4816">
        <w:t xml:space="preserve">; </w:t>
      </w:r>
      <w:r w:rsidRPr="00946962" w:rsidR="005E4816">
        <w:t>47 CFR § 54.802(c)</w:t>
      </w:r>
      <w:r w:rsidR="00D2493F">
        <w:t>.</w:t>
      </w:r>
    </w:p>
  </w:footnote>
  <w:footnote w:id="12">
    <w:p w:rsidR="00BB06A2" w:rsidRPr="00946962" w:rsidP="00946962" w14:paraId="70DE10A9" w14:textId="55371457">
      <w:pPr>
        <w:pStyle w:val="FootnoteText"/>
        <w:tabs>
          <w:tab w:val="left" w:pos="5746"/>
        </w:tabs>
      </w:pPr>
      <w:r w:rsidRPr="00946962">
        <w:rPr>
          <w:rStyle w:val="FootnoteReference"/>
          <w:sz w:val="20"/>
        </w:rPr>
        <w:footnoteRef/>
      </w:r>
      <w:r w:rsidRPr="00946962">
        <w:t xml:space="preserve"> </w:t>
      </w:r>
      <w:r w:rsidRPr="00946962">
        <w:rPr>
          <w:i/>
          <w:iCs/>
        </w:rPr>
        <w:t xml:space="preserve">See RDOF </w:t>
      </w:r>
      <w:r w:rsidR="00C21692">
        <w:rPr>
          <w:i/>
          <w:iCs/>
        </w:rPr>
        <w:t xml:space="preserve">Report and </w:t>
      </w:r>
      <w:r w:rsidRPr="00946962">
        <w:rPr>
          <w:i/>
          <w:iCs/>
        </w:rPr>
        <w:t>Order</w:t>
      </w:r>
      <w:r w:rsidRPr="00946962">
        <w:t xml:space="preserve">, </w:t>
      </w:r>
      <w:r w:rsidRPr="00946962" w:rsidR="00384B56">
        <w:t xml:space="preserve">35 FCC Rcd </w:t>
      </w:r>
      <w:r w:rsidRPr="00946962" w:rsidR="00884719">
        <w:t>at 745,</w:t>
      </w:r>
      <w:r w:rsidRPr="00946962">
        <w:t xml:space="preserve"> para. 139</w:t>
      </w:r>
      <w:r w:rsidRPr="00946962" w:rsidR="00384B56">
        <w:t>.</w:t>
      </w:r>
    </w:p>
  </w:footnote>
  <w:footnote w:id="13">
    <w:p w:rsidR="00306250" w:rsidRPr="00946962" w:rsidP="00946962" w14:paraId="31CD628C" w14:textId="56933843">
      <w:pPr>
        <w:pStyle w:val="FootnoteText"/>
      </w:pPr>
      <w:r w:rsidRPr="00946962">
        <w:rPr>
          <w:rStyle w:val="FootnoteReference"/>
          <w:sz w:val="20"/>
        </w:rPr>
        <w:footnoteRef/>
      </w:r>
      <w:r w:rsidRPr="00946962">
        <w:t xml:space="preserve"> </w:t>
      </w:r>
      <w:r w:rsidRPr="004011DC" w:rsidR="00633B71">
        <w:rPr>
          <w:i/>
          <w:iCs/>
        </w:rPr>
        <w:t xml:space="preserve">See </w:t>
      </w:r>
      <w:r w:rsidRPr="004011DC" w:rsidR="004011DC">
        <w:rPr>
          <w:i/>
          <w:iCs/>
        </w:rPr>
        <w:t>214</w:t>
      </w:r>
      <w:r w:rsidR="004011DC">
        <w:t xml:space="preserve"> </w:t>
      </w:r>
      <w:r w:rsidRPr="00946962" w:rsidR="00C677E0">
        <w:rPr>
          <w:i/>
          <w:iCs/>
        </w:rPr>
        <w:t>Transfer Public Notice</w:t>
      </w:r>
      <w:r w:rsidRPr="00946962" w:rsidR="00C677E0">
        <w:t xml:space="preserve"> at 3-4</w:t>
      </w:r>
      <w:r w:rsidRPr="00946962" w:rsidR="00C32577">
        <w:t>.</w:t>
      </w:r>
      <w:r w:rsidRPr="00946962" w:rsidR="00633B71">
        <w:t xml:space="preserve"> </w:t>
      </w:r>
    </w:p>
  </w:footnote>
  <w:footnote w:id="14">
    <w:p w:rsidR="00306250" w:rsidRPr="00946962" w:rsidP="00946962" w14:paraId="2F4A68EE" w14:textId="5BE6F37C">
      <w:pPr>
        <w:widowControl/>
        <w:spacing w:after="120"/>
        <w:rPr>
          <w:sz w:val="20"/>
        </w:rPr>
      </w:pPr>
      <w:r w:rsidRPr="00946962">
        <w:rPr>
          <w:rStyle w:val="FootnoteReference"/>
          <w:snapToGrid/>
          <w:kern w:val="0"/>
          <w:sz w:val="20"/>
        </w:rPr>
        <w:footnoteRef/>
      </w:r>
      <w:r w:rsidRPr="00946962">
        <w:rPr>
          <w:sz w:val="20"/>
        </w:rPr>
        <w:t xml:space="preserve"> </w:t>
      </w:r>
      <w:r w:rsidRPr="00946962">
        <w:rPr>
          <w:i/>
          <w:iCs/>
          <w:sz w:val="20"/>
        </w:rPr>
        <w:t xml:space="preserve">See </w:t>
      </w:r>
      <w:r w:rsidR="004011DC">
        <w:rPr>
          <w:i/>
          <w:iCs/>
          <w:sz w:val="20"/>
        </w:rPr>
        <w:t>id</w:t>
      </w:r>
      <w:r w:rsidRPr="00946962" w:rsidR="00131732">
        <w:rPr>
          <w:sz w:val="20"/>
        </w:rPr>
        <w:t>.</w:t>
      </w:r>
    </w:p>
  </w:footnote>
  <w:footnote w:id="15">
    <w:p w:rsidR="00610405" w:rsidRPr="00946962" w:rsidP="00946962" w14:paraId="3D75B3AA" w14:textId="17AB6B5B">
      <w:pPr>
        <w:pStyle w:val="FootnoteText"/>
      </w:pPr>
      <w:r w:rsidRPr="00946962">
        <w:rPr>
          <w:rStyle w:val="FootnoteReference"/>
          <w:sz w:val="20"/>
        </w:rPr>
        <w:footnoteRef/>
      </w:r>
      <w:r w:rsidRPr="00946962">
        <w:t xml:space="preserve"> </w:t>
      </w:r>
      <w:r w:rsidRPr="00946962" w:rsidR="002B06F5">
        <w:rPr>
          <w:i/>
          <w:iCs/>
        </w:rPr>
        <w:t>See id</w:t>
      </w:r>
      <w:r w:rsidRPr="00946962" w:rsidR="002B06F5">
        <w:t>. at 4.</w:t>
      </w:r>
    </w:p>
  </w:footnote>
  <w:footnote w:id="16">
    <w:p w:rsidR="00306250" w:rsidRPr="00946962" w:rsidP="00946962" w14:paraId="565EC4D6" w14:textId="16ADDE15">
      <w:pPr>
        <w:pStyle w:val="FootnoteText"/>
      </w:pPr>
      <w:r w:rsidRPr="00946962">
        <w:rPr>
          <w:rStyle w:val="FootnoteReference"/>
          <w:sz w:val="20"/>
        </w:rPr>
        <w:footnoteRef/>
      </w:r>
      <w:r w:rsidRPr="00946962">
        <w:t xml:space="preserve"> </w:t>
      </w:r>
      <w:r w:rsidRPr="00946962" w:rsidR="009566FB">
        <w:rPr>
          <w:i/>
          <w:iCs/>
        </w:rPr>
        <w:t>See Telecommunications Eligible for Universal Service Support</w:t>
      </w:r>
      <w:r w:rsidRPr="00946962" w:rsidR="00B24935">
        <w:rPr>
          <w:i/>
          <w:iCs/>
        </w:rPr>
        <w:t xml:space="preserve"> Connect America Fund</w:t>
      </w:r>
      <w:r w:rsidRPr="00946962" w:rsidR="00B24935">
        <w:t>, Docket No. 10-90</w:t>
      </w:r>
      <w:r w:rsidRPr="00946962" w:rsidR="00C22A39">
        <w:t xml:space="preserve">, </w:t>
      </w:r>
      <w:r w:rsidRPr="00946962" w:rsidR="009F07B3">
        <w:t xml:space="preserve">Order, </w:t>
      </w:r>
      <w:r w:rsidRPr="00946962" w:rsidR="00C22A39">
        <w:t xml:space="preserve">DA </w:t>
      </w:r>
      <w:r w:rsidRPr="00946962" w:rsidR="00FB6E1A">
        <w:t>23-</w:t>
      </w:r>
      <w:r w:rsidRPr="00946962" w:rsidR="002E297A">
        <w:t>505</w:t>
      </w:r>
      <w:r w:rsidRPr="00946962" w:rsidR="00C22A39">
        <w:t xml:space="preserve"> (WCB rel</w:t>
      </w:r>
      <w:r w:rsidRPr="00946962" w:rsidR="002E297A">
        <w:t>. June 13, 2023</w:t>
      </w:r>
      <w:r w:rsidRPr="00946962" w:rsidR="00C22A39">
        <w:t>).</w:t>
      </w:r>
      <w:r w:rsidRPr="00946962">
        <w:t xml:space="preserve">  </w:t>
      </w:r>
    </w:p>
  </w:footnote>
  <w:footnote w:id="17">
    <w:p w:rsidR="00306250" w:rsidRPr="00946962" w:rsidP="00946962" w14:paraId="3877C4ED" w14:textId="3BDBD55E">
      <w:pPr>
        <w:pStyle w:val="FootnoteText"/>
      </w:pPr>
      <w:r w:rsidRPr="00946962">
        <w:rPr>
          <w:rStyle w:val="FootnoteReference"/>
          <w:sz w:val="20"/>
        </w:rPr>
        <w:footnoteRef/>
      </w:r>
      <w:r w:rsidRPr="00946962">
        <w:t xml:space="preserve"> 47 CFR § 54.</w:t>
      </w:r>
      <w:r w:rsidRPr="00946962" w:rsidR="00487678">
        <w:t>804</w:t>
      </w:r>
      <w:r w:rsidRPr="00946962">
        <w:t xml:space="preserve">(c).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302244" w14:textId="2F1EF449">
    <w:pPr>
      <w:tabs>
        <w:tab w:val="center" w:pos="4680"/>
        <w:tab w:val="right" w:pos="9360"/>
      </w:tabs>
    </w:pPr>
    <w:r w:rsidRPr="009838BC">
      <w:rPr>
        <w:b/>
      </w:rPr>
      <w:tab/>
      <w:t>Federal Communications Commission</w:t>
    </w:r>
    <w:r w:rsidRPr="009838BC">
      <w:rPr>
        <w:b/>
      </w:rPr>
      <w:tab/>
    </w:r>
    <w:r w:rsidR="00F9001A">
      <w:rPr>
        <w:b/>
      </w:rPr>
      <w:t>DA 2</w:t>
    </w:r>
    <w:r w:rsidR="00AA6CCA">
      <w:rPr>
        <w:b/>
      </w:rPr>
      <w:t>3</w:t>
    </w:r>
    <w:r w:rsidR="00F9001A">
      <w:rPr>
        <w:b/>
      </w:rPr>
      <w:t>-</w:t>
    </w:r>
    <w:r w:rsidR="001B4C40">
      <w:rPr>
        <w:b/>
      </w:rPr>
      <w:t>926</w:t>
    </w:r>
  </w:p>
  <w:p w:rsidR="009838BC" w:rsidRPr="009838BC" w:rsidP="009838BC" w14:paraId="159F3D48" w14:textId="22E2B9A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854335088"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8FEBDF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29739FB" w14:textId="37756416">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558965529"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75C57BE0" w14:textId="77777777">
                    <w:pPr>
                      <w:rPr>
                        <w:rFonts w:ascii="Arial" w:hAnsi="Arial"/>
                        <w:b/>
                        <w:snapToGrid/>
                      </w:rPr>
                    </w:pPr>
                    <w:r>
                      <w:rPr>
                        <w:rFonts w:ascii="Arial" w:hAnsi="Arial"/>
                        <w:b/>
                      </w:rPr>
                      <w:t>Federal Communications Commission</w:t>
                    </w:r>
                  </w:p>
                  <w:p w:rsidR="00DE0AB8" w:rsidP="00DE0AB8" w14:paraId="342E27B4" w14:textId="77777777">
                    <w:pPr>
                      <w:rPr>
                        <w:rFonts w:ascii="Arial" w:hAnsi="Arial"/>
                        <w:b/>
                      </w:rPr>
                    </w:pPr>
                    <w:r>
                      <w:rPr>
                        <w:rFonts w:ascii="Arial" w:hAnsi="Arial"/>
                        <w:b/>
                      </w:rPr>
                      <w:t>45 L Street NE</w:t>
                    </w:r>
                  </w:p>
                  <w:p w:rsidR="009838BC" w:rsidP="00DE0AB8" w14:paraId="69B5EA7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0E193B">
      <w:rPr>
        <w:rFonts w:ascii="Arial" w:hAnsi="Arial" w:cs="Arial"/>
        <w:b/>
        <w:sz w:val="96"/>
      </w:rPr>
      <w:t>PUBLIC NOTICE</w:t>
    </w:r>
  </w:p>
  <w:p w:rsidR="009838BC" w:rsidRPr="00357D50" w:rsidP="009838BC" w14:paraId="2E9842CD" w14:textId="20CA5994">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065" t="5715" r="6985" b="13335"/>
              <wp:wrapNone/>
              <wp:docPr id="391413123"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64404949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ED28510" w14:textId="77777777">
                    <w:pPr>
                      <w:spacing w:before="40"/>
                      <w:jc w:val="right"/>
                      <w:rPr>
                        <w:rFonts w:ascii="Arial" w:hAnsi="Arial"/>
                        <w:b/>
                        <w:sz w:val="16"/>
                      </w:rPr>
                    </w:pPr>
                    <w:r>
                      <w:rPr>
                        <w:rFonts w:ascii="Arial" w:hAnsi="Arial"/>
                        <w:b/>
                        <w:sz w:val="16"/>
                      </w:rPr>
                      <w:t>News Media Information 202 / 418-0500</w:t>
                    </w:r>
                  </w:p>
                  <w:p w:rsidR="009838BC" w:rsidP="009838BC" w14:paraId="7D47953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E349774" w14:textId="77777777">
                    <w:pPr>
                      <w:jc w:val="right"/>
                    </w:pPr>
                    <w:r>
                      <w:rPr>
                        <w:rFonts w:ascii="Arial" w:hAnsi="Arial"/>
                        <w:b/>
                        <w:sz w:val="16"/>
                      </w:rPr>
                      <w:t>TTY: 1-888-835-5322</w:t>
                    </w:r>
                  </w:p>
                </w:txbxContent>
              </v:textbox>
            </v:shape>
          </w:pict>
        </mc:Fallback>
      </mc:AlternateContent>
    </w:r>
  </w:p>
  <w:p w:rsidR="006F7393" w:rsidRPr="009838BC" w:rsidP="009838BC" w14:paraId="22478C9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FD24E71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50"/>
    <w:rsid w:val="00001A9C"/>
    <w:rsid w:val="000072CE"/>
    <w:rsid w:val="00012E90"/>
    <w:rsid w:val="00013A8B"/>
    <w:rsid w:val="00021445"/>
    <w:rsid w:val="00026493"/>
    <w:rsid w:val="00026565"/>
    <w:rsid w:val="00032054"/>
    <w:rsid w:val="00035CC3"/>
    <w:rsid w:val="00036039"/>
    <w:rsid w:val="00037F90"/>
    <w:rsid w:val="000465DA"/>
    <w:rsid w:val="00054FEA"/>
    <w:rsid w:val="00067CCA"/>
    <w:rsid w:val="000750EC"/>
    <w:rsid w:val="00082798"/>
    <w:rsid w:val="000875BF"/>
    <w:rsid w:val="00096D8C"/>
    <w:rsid w:val="000A500D"/>
    <w:rsid w:val="000B157A"/>
    <w:rsid w:val="000B16ED"/>
    <w:rsid w:val="000B4465"/>
    <w:rsid w:val="000C0B65"/>
    <w:rsid w:val="000D0C15"/>
    <w:rsid w:val="000D5931"/>
    <w:rsid w:val="000D72FE"/>
    <w:rsid w:val="000E193B"/>
    <w:rsid w:val="000E3D42"/>
    <w:rsid w:val="000E5884"/>
    <w:rsid w:val="000F5CED"/>
    <w:rsid w:val="001125FD"/>
    <w:rsid w:val="001227C9"/>
    <w:rsid w:val="00122BD5"/>
    <w:rsid w:val="00122E9B"/>
    <w:rsid w:val="00131732"/>
    <w:rsid w:val="00131EDA"/>
    <w:rsid w:val="00134551"/>
    <w:rsid w:val="00143870"/>
    <w:rsid w:val="00147E16"/>
    <w:rsid w:val="001502D5"/>
    <w:rsid w:val="0015312F"/>
    <w:rsid w:val="0015487E"/>
    <w:rsid w:val="00161ABC"/>
    <w:rsid w:val="0017710C"/>
    <w:rsid w:val="0018428D"/>
    <w:rsid w:val="00190C7B"/>
    <w:rsid w:val="00196AFF"/>
    <w:rsid w:val="001979D9"/>
    <w:rsid w:val="001B2EFA"/>
    <w:rsid w:val="001B4C40"/>
    <w:rsid w:val="001B7008"/>
    <w:rsid w:val="001C0C38"/>
    <w:rsid w:val="001D6BCF"/>
    <w:rsid w:val="001E01CA"/>
    <w:rsid w:val="001F2084"/>
    <w:rsid w:val="001F5469"/>
    <w:rsid w:val="00201F19"/>
    <w:rsid w:val="002041E5"/>
    <w:rsid w:val="002060D9"/>
    <w:rsid w:val="00207214"/>
    <w:rsid w:val="002136F2"/>
    <w:rsid w:val="00224458"/>
    <w:rsid w:val="00226822"/>
    <w:rsid w:val="00240A5E"/>
    <w:rsid w:val="0024654D"/>
    <w:rsid w:val="00251CEB"/>
    <w:rsid w:val="002520CB"/>
    <w:rsid w:val="00254D1D"/>
    <w:rsid w:val="00260594"/>
    <w:rsid w:val="00263882"/>
    <w:rsid w:val="002709FE"/>
    <w:rsid w:val="00273EBE"/>
    <w:rsid w:val="00277349"/>
    <w:rsid w:val="00277D68"/>
    <w:rsid w:val="00285017"/>
    <w:rsid w:val="002946FA"/>
    <w:rsid w:val="002A2D2E"/>
    <w:rsid w:val="002A5A23"/>
    <w:rsid w:val="002B06F5"/>
    <w:rsid w:val="002C0E2E"/>
    <w:rsid w:val="002C29C7"/>
    <w:rsid w:val="002C5D85"/>
    <w:rsid w:val="002E297A"/>
    <w:rsid w:val="002E667D"/>
    <w:rsid w:val="002F102F"/>
    <w:rsid w:val="002F37C1"/>
    <w:rsid w:val="002F4CD6"/>
    <w:rsid w:val="00302F01"/>
    <w:rsid w:val="00306250"/>
    <w:rsid w:val="0030781C"/>
    <w:rsid w:val="00316169"/>
    <w:rsid w:val="00316C7C"/>
    <w:rsid w:val="00320EA2"/>
    <w:rsid w:val="0032134F"/>
    <w:rsid w:val="003224D4"/>
    <w:rsid w:val="00323445"/>
    <w:rsid w:val="00323771"/>
    <w:rsid w:val="00325C29"/>
    <w:rsid w:val="00333ADC"/>
    <w:rsid w:val="003369FC"/>
    <w:rsid w:val="00343749"/>
    <w:rsid w:val="00346D22"/>
    <w:rsid w:val="00352099"/>
    <w:rsid w:val="003531C3"/>
    <w:rsid w:val="00356BC6"/>
    <w:rsid w:val="00357D50"/>
    <w:rsid w:val="00361236"/>
    <w:rsid w:val="00361519"/>
    <w:rsid w:val="00362BF1"/>
    <w:rsid w:val="00365ACA"/>
    <w:rsid w:val="00372950"/>
    <w:rsid w:val="003730F3"/>
    <w:rsid w:val="003818A5"/>
    <w:rsid w:val="00384B56"/>
    <w:rsid w:val="003925DC"/>
    <w:rsid w:val="0039549F"/>
    <w:rsid w:val="003A3A0F"/>
    <w:rsid w:val="003A6E6D"/>
    <w:rsid w:val="003A7693"/>
    <w:rsid w:val="003B0550"/>
    <w:rsid w:val="003B10CF"/>
    <w:rsid w:val="003B694F"/>
    <w:rsid w:val="003C244C"/>
    <w:rsid w:val="003C7630"/>
    <w:rsid w:val="003D2F3F"/>
    <w:rsid w:val="003F171C"/>
    <w:rsid w:val="003F2963"/>
    <w:rsid w:val="004011DC"/>
    <w:rsid w:val="00401C17"/>
    <w:rsid w:val="004071F4"/>
    <w:rsid w:val="00412FC5"/>
    <w:rsid w:val="00420613"/>
    <w:rsid w:val="00420A4E"/>
    <w:rsid w:val="00422276"/>
    <w:rsid w:val="004242F1"/>
    <w:rsid w:val="00425E74"/>
    <w:rsid w:val="00431049"/>
    <w:rsid w:val="004371E2"/>
    <w:rsid w:val="004440E9"/>
    <w:rsid w:val="0044550D"/>
    <w:rsid w:val="00445A00"/>
    <w:rsid w:val="00451B0F"/>
    <w:rsid w:val="00452F19"/>
    <w:rsid w:val="00457FAE"/>
    <w:rsid w:val="0046125F"/>
    <w:rsid w:val="00462686"/>
    <w:rsid w:val="0047088F"/>
    <w:rsid w:val="00475595"/>
    <w:rsid w:val="00476825"/>
    <w:rsid w:val="00477C54"/>
    <w:rsid w:val="004808EC"/>
    <w:rsid w:val="00487524"/>
    <w:rsid w:val="00487678"/>
    <w:rsid w:val="0049100F"/>
    <w:rsid w:val="00491B99"/>
    <w:rsid w:val="004931BD"/>
    <w:rsid w:val="004938E2"/>
    <w:rsid w:val="00496106"/>
    <w:rsid w:val="00497D49"/>
    <w:rsid w:val="004A0864"/>
    <w:rsid w:val="004A3618"/>
    <w:rsid w:val="004A61E3"/>
    <w:rsid w:val="004A742C"/>
    <w:rsid w:val="004B2926"/>
    <w:rsid w:val="004B34FE"/>
    <w:rsid w:val="004B4FC3"/>
    <w:rsid w:val="004C12D0"/>
    <w:rsid w:val="004C2285"/>
    <w:rsid w:val="004C2EE3"/>
    <w:rsid w:val="004C4DA2"/>
    <w:rsid w:val="004C60A9"/>
    <w:rsid w:val="004C615C"/>
    <w:rsid w:val="004D7010"/>
    <w:rsid w:val="004E2409"/>
    <w:rsid w:val="004E4826"/>
    <w:rsid w:val="004E4A22"/>
    <w:rsid w:val="00503D7E"/>
    <w:rsid w:val="00511968"/>
    <w:rsid w:val="005209F7"/>
    <w:rsid w:val="005366DC"/>
    <w:rsid w:val="0053689B"/>
    <w:rsid w:val="00537E1D"/>
    <w:rsid w:val="00543387"/>
    <w:rsid w:val="0055614C"/>
    <w:rsid w:val="005603BD"/>
    <w:rsid w:val="00570451"/>
    <w:rsid w:val="0057693A"/>
    <w:rsid w:val="00593DB1"/>
    <w:rsid w:val="005958F6"/>
    <w:rsid w:val="005A14DB"/>
    <w:rsid w:val="005A3BDD"/>
    <w:rsid w:val="005A4046"/>
    <w:rsid w:val="005D41C4"/>
    <w:rsid w:val="005E3EBD"/>
    <w:rsid w:val="005E4816"/>
    <w:rsid w:val="005F12C1"/>
    <w:rsid w:val="005F5ACD"/>
    <w:rsid w:val="006001BF"/>
    <w:rsid w:val="006019FD"/>
    <w:rsid w:val="00603270"/>
    <w:rsid w:val="00603EBB"/>
    <w:rsid w:val="00607BA5"/>
    <w:rsid w:val="00610405"/>
    <w:rsid w:val="0061186C"/>
    <w:rsid w:val="006137A4"/>
    <w:rsid w:val="0061425D"/>
    <w:rsid w:val="006177B4"/>
    <w:rsid w:val="00617872"/>
    <w:rsid w:val="006233D0"/>
    <w:rsid w:val="00623ED6"/>
    <w:rsid w:val="00624BE0"/>
    <w:rsid w:val="0062683B"/>
    <w:rsid w:val="00626EB6"/>
    <w:rsid w:val="00630D39"/>
    <w:rsid w:val="00633B71"/>
    <w:rsid w:val="006353A3"/>
    <w:rsid w:val="006452EA"/>
    <w:rsid w:val="00655D03"/>
    <w:rsid w:val="00656CBF"/>
    <w:rsid w:val="0066350C"/>
    <w:rsid w:val="00682920"/>
    <w:rsid w:val="00683F84"/>
    <w:rsid w:val="006947D8"/>
    <w:rsid w:val="006A0E68"/>
    <w:rsid w:val="006A58C8"/>
    <w:rsid w:val="006A68EA"/>
    <w:rsid w:val="006A6A81"/>
    <w:rsid w:val="006B1618"/>
    <w:rsid w:val="006B2058"/>
    <w:rsid w:val="006B7AAB"/>
    <w:rsid w:val="006C4037"/>
    <w:rsid w:val="006C6A6B"/>
    <w:rsid w:val="006D57C5"/>
    <w:rsid w:val="006E26AF"/>
    <w:rsid w:val="006E6CC4"/>
    <w:rsid w:val="006F1700"/>
    <w:rsid w:val="006F2E21"/>
    <w:rsid w:val="006F2F53"/>
    <w:rsid w:val="006F7393"/>
    <w:rsid w:val="0070224F"/>
    <w:rsid w:val="00705E96"/>
    <w:rsid w:val="007115F7"/>
    <w:rsid w:val="0072149C"/>
    <w:rsid w:val="007441E9"/>
    <w:rsid w:val="00747F51"/>
    <w:rsid w:val="00751994"/>
    <w:rsid w:val="0076163E"/>
    <w:rsid w:val="00765552"/>
    <w:rsid w:val="00766F7F"/>
    <w:rsid w:val="00775F63"/>
    <w:rsid w:val="00777C71"/>
    <w:rsid w:val="0078047E"/>
    <w:rsid w:val="00784D89"/>
    <w:rsid w:val="00785631"/>
    <w:rsid w:val="00785689"/>
    <w:rsid w:val="00791B48"/>
    <w:rsid w:val="00797042"/>
    <w:rsid w:val="0079754B"/>
    <w:rsid w:val="007A1E6D"/>
    <w:rsid w:val="007A500F"/>
    <w:rsid w:val="007B2C29"/>
    <w:rsid w:val="007C1B91"/>
    <w:rsid w:val="007D42A0"/>
    <w:rsid w:val="007F071A"/>
    <w:rsid w:val="007F2188"/>
    <w:rsid w:val="007F4F44"/>
    <w:rsid w:val="007F6CCA"/>
    <w:rsid w:val="00805999"/>
    <w:rsid w:val="00815A7B"/>
    <w:rsid w:val="00822CE0"/>
    <w:rsid w:val="008238F4"/>
    <w:rsid w:val="00837C62"/>
    <w:rsid w:val="00841AB1"/>
    <w:rsid w:val="00847E63"/>
    <w:rsid w:val="00853426"/>
    <w:rsid w:val="008706BB"/>
    <w:rsid w:val="00870867"/>
    <w:rsid w:val="008720CC"/>
    <w:rsid w:val="00872D02"/>
    <w:rsid w:val="0087659B"/>
    <w:rsid w:val="0088309A"/>
    <w:rsid w:val="00884719"/>
    <w:rsid w:val="00891890"/>
    <w:rsid w:val="00897526"/>
    <w:rsid w:val="008A42BB"/>
    <w:rsid w:val="008A4373"/>
    <w:rsid w:val="008B0048"/>
    <w:rsid w:val="008B079B"/>
    <w:rsid w:val="008B3088"/>
    <w:rsid w:val="008B71A3"/>
    <w:rsid w:val="008B730E"/>
    <w:rsid w:val="008C1AB0"/>
    <w:rsid w:val="008C2148"/>
    <w:rsid w:val="008C22FD"/>
    <w:rsid w:val="008D35B2"/>
    <w:rsid w:val="008D6745"/>
    <w:rsid w:val="008E325F"/>
    <w:rsid w:val="008E6B8D"/>
    <w:rsid w:val="00910D45"/>
    <w:rsid w:val="00910F12"/>
    <w:rsid w:val="00926503"/>
    <w:rsid w:val="00930ECF"/>
    <w:rsid w:val="00946962"/>
    <w:rsid w:val="0095039B"/>
    <w:rsid w:val="00950C27"/>
    <w:rsid w:val="009566FB"/>
    <w:rsid w:val="009647BC"/>
    <w:rsid w:val="00965BB5"/>
    <w:rsid w:val="00971199"/>
    <w:rsid w:val="009770C7"/>
    <w:rsid w:val="0098076F"/>
    <w:rsid w:val="00981782"/>
    <w:rsid w:val="009838BC"/>
    <w:rsid w:val="009A7E19"/>
    <w:rsid w:val="009B4802"/>
    <w:rsid w:val="009B5AEC"/>
    <w:rsid w:val="009B7A90"/>
    <w:rsid w:val="009C2845"/>
    <w:rsid w:val="009D0959"/>
    <w:rsid w:val="009D0B60"/>
    <w:rsid w:val="009D2D86"/>
    <w:rsid w:val="009E00BB"/>
    <w:rsid w:val="009F07B3"/>
    <w:rsid w:val="009F33FD"/>
    <w:rsid w:val="009F4829"/>
    <w:rsid w:val="00A0558F"/>
    <w:rsid w:val="00A11030"/>
    <w:rsid w:val="00A13515"/>
    <w:rsid w:val="00A1394D"/>
    <w:rsid w:val="00A1530A"/>
    <w:rsid w:val="00A2352E"/>
    <w:rsid w:val="00A26069"/>
    <w:rsid w:val="00A36734"/>
    <w:rsid w:val="00A42686"/>
    <w:rsid w:val="00A43736"/>
    <w:rsid w:val="00A4559E"/>
    <w:rsid w:val="00A45F4F"/>
    <w:rsid w:val="00A460C3"/>
    <w:rsid w:val="00A518FA"/>
    <w:rsid w:val="00A600A9"/>
    <w:rsid w:val="00A71C38"/>
    <w:rsid w:val="00A72F6E"/>
    <w:rsid w:val="00A81317"/>
    <w:rsid w:val="00A8341D"/>
    <w:rsid w:val="00A85B31"/>
    <w:rsid w:val="00A866AC"/>
    <w:rsid w:val="00A905B0"/>
    <w:rsid w:val="00A91A35"/>
    <w:rsid w:val="00A91EE6"/>
    <w:rsid w:val="00AA55B7"/>
    <w:rsid w:val="00AA5B9E"/>
    <w:rsid w:val="00AA6CCA"/>
    <w:rsid w:val="00AA769C"/>
    <w:rsid w:val="00AB2407"/>
    <w:rsid w:val="00AB53DF"/>
    <w:rsid w:val="00AC5479"/>
    <w:rsid w:val="00AD2366"/>
    <w:rsid w:val="00AD519C"/>
    <w:rsid w:val="00AE101E"/>
    <w:rsid w:val="00AF1B14"/>
    <w:rsid w:val="00B07E5C"/>
    <w:rsid w:val="00B140C1"/>
    <w:rsid w:val="00B20363"/>
    <w:rsid w:val="00B20E5D"/>
    <w:rsid w:val="00B24207"/>
    <w:rsid w:val="00B24935"/>
    <w:rsid w:val="00B326E3"/>
    <w:rsid w:val="00B34EA9"/>
    <w:rsid w:val="00B37009"/>
    <w:rsid w:val="00B377AB"/>
    <w:rsid w:val="00B43199"/>
    <w:rsid w:val="00B56A3F"/>
    <w:rsid w:val="00B56DBD"/>
    <w:rsid w:val="00B63C3D"/>
    <w:rsid w:val="00B65866"/>
    <w:rsid w:val="00B6730E"/>
    <w:rsid w:val="00B705F4"/>
    <w:rsid w:val="00B7435D"/>
    <w:rsid w:val="00B778B5"/>
    <w:rsid w:val="00B811F7"/>
    <w:rsid w:val="00B91834"/>
    <w:rsid w:val="00B9298A"/>
    <w:rsid w:val="00B95BDA"/>
    <w:rsid w:val="00BA4F8B"/>
    <w:rsid w:val="00BA5DC6"/>
    <w:rsid w:val="00BA6196"/>
    <w:rsid w:val="00BA660E"/>
    <w:rsid w:val="00BB06A2"/>
    <w:rsid w:val="00BC6D8C"/>
    <w:rsid w:val="00BD3D52"/>
    <w:rsid w:val="00BD5CE4"/>
    <w:rsid w:val="00BF3633"/>
    <w:rsid w:val="00C00CA6"/>
    <w:rsid w:val="00C01897"/>
    <w:rsid w:val="00C041D0"/>
    <w:rsid w:val="00C0524E"/>
    <w:rsid w:val="00C07FF5"/>
    <w:rsid w:val="00C11837"/>
    <w:rsid w:val="00C15EA7"/>
    <w:rsid w:val="00C16AF2"/>
    <w:rsid w:val="00C21692"/>
    <w:rsid w:val="00C22A39"/>
    <w:rsid w:val="00C26532"/>
    <w:rsid w:val="00C30FF5"/>
    <w:rsid w:val="00C32577"/>
    <w:rsid w:val="00C34006"/>
    <w:rsid w:val="00C41C02"/>
    <w:rsid w:val="00C426B1"/>
    <w:rsid w:val="00C46AC4"/>
    <w:rsid w:val="00C474A4"/>
    <w:rsid w:val="00C50894"/>
    <w:rsid w:val="00C5588C"/>
    <w:rsid w:val="00C61464"/>
    <w:rsid w:val="00C67510"/>
    <w:rsid w:val="00C677E0"/>
    <w:rsid w:val="00C70E99"/>
    <w:rsid w:val="00C74F73"/>
    <w:rsid w:val="00C762B6"/>
    <w:rsid w:val="00C82B6B"/>
    <w:rsid w:val="00C90915"/>
    <w:rsid w:val="00C90D6A"/>
    <w:rsid w:val="00C94406"/>
    <w:rsid w:val="00C95009"/>
    <w:rsid w:val="00C9778A"/>
    <w:rsid w:val="00CA22EA"/>
    <w:rsid w:val="00CA49A2"/>
    <w:rsid w:val="00CA4AE2"/>
    <w:rsid w:val="00CC07A7"/>
    <w:rsid w:val="00CC60B6"/>
    <w:rsid w:val="00CC72B6"/>
    <w:rsid w:val="00CE59EF"/>
    <w:rsid w:val="00D0218D"/>
    <w:rsid w:val="00D125A8"/>
    <w:rsid w:val="00D16C09"/>
    <w:rsid w:val="00D216CD"/>
    <w:rsid w:val="00D23D92"/>
    <w:rsid w:val="00D2493F"/>
    <w:rsid w:val="00D3685A"/>
    <w:rsid w:val="00D37742"/>
    <w:rsid w:val="00D4489D"/>
    <w:rsid w:val="00D5255A"/>
    <w:rsid w:val="00D54109"/>
    <w:rsid w:val="00D54FB5"/>
    <w:rsid w:val="00D620B7"/>
    <w:rsid w:val="00D64E78"/>
    <w:rsid w:val="00D71E87"/>
    <w:rsid w:val="00D855A6"/>
    <w:rsid w:val="00D86656"/>
    <w:rsid w:val="00D90DE5"/>
    <w:rsid w:val="00D91736"/>
    <w:rsid w:val="00D9236F"/>
    <w:rsid w:val="00DA2529"/>
    <w:rsid w:val="00DB130A"/>
    <w:rsid w:val="00DB2D69"/>
    <w:rsid w:val="00DB6DB5"/>
    <w:rsid w:val="00DC10A1"/>
    <w:rsid w:val="00DC3604"/>
    <w:rsid w:val="00DC655F"/>
    <w:rsid w:val="00DD2933"/>
    <w:rsid w:val="00DD5E31"/>
    <w:rsid w:val="00DD650D"/>
    <w:rsid w:val="00DD7EBD"/>
    <w:rsid w:val="00DE0AB8"/>
    <w:rsid w:val="00DE3B9B"/>
    <w:rsid w:val="00DF033B"/>
    <w:rsid w:val="00DF62B6"/>
    <w:rsid w:val="00E00856"/>
    <w:rsid w:val="00E03BBC"/>
    <w:rsid w:val="00E0552C"/>
    <w:rsid w:val="00E062F4"/>
    <w:rsid w:val="00E07225"/>
    <w:rsid w:val="00E12B0A"/>
    <w:rsid w:val="00E155B7"/>
    <w:rsid w:val="00E15B41"/>
    <w:rsid w:val="00E30BA8"/>
    <w:rsid w:val="00E5393E"/>
    <w:rsid w:val="00E5409F"/>
    <w:rsid w:val="00E55755"/>
    <w:rsid w:val="00E6320D"/>
    <w:rsid w:val="00E71FBD"/>
    <w:rsid w:val="00E85215"/>
    <w:rsid w:val="00E879F2"/>
    <w:rsid w:val="00E9264E"/>
    <w:rsid w:val="00E979A6"/>
    <w:rsid w:val="00EA26C0"/>
    <w:rsid w:val="00EA7009"/>
    <w:rsid w:val="00EB22B1"/>
    <w:rsid w:val="00EC0185"/>
    <w:rsid w:val="00F021FA"/>
    <w:rsid w:val="00F353B1"/>
    <w:rsid w:val="00F47EE8"/>
    <w:rsid w:val="00F53012"/>
    <w:rsid w:val="00F53885"/>
    <w:rsid w:val="00F57ACA"/>
    <w:rsid w:val="00F62E97"/>
    <w:rsid w:val="00F64209"/>
    <w:rsid w:val="00F7447F"/>
    <w:rsid w:val="00F83B58"/>
    <w:rsid w:val="00F853EE"/>
    <w:rsid w:val="00F85BDE"/>
    <w:rsid w:val="00F86E0D"/>
    <w:rsid w:val="00F9001A"/>
    <w:rsid w:val="00F93BF5"/>
    <w:rsid w:val="00F94BC5"/>
    <w:rsid w:val="00F95178"/>
    <w:rsid w:val="00F96F63"/>
    <w:rsid w:val="00FA66CC"/>
    <w:rsid w:val="00FB6E1A"/>
    <w:rsid w:val="00FC686C"/>
    <w:rsid w:val="00FC7F9B"/>
    <w:rsid w:val="00FD35DC"/>
    <w:rsid w:val="00FE014E"/>
    <w:rsid w:val="00FE596A"/>
    <w:rsid w:val="00FE7E71"/>
    <w:rsid w:val="00FF5031"/>
    <w:rsid w:val="4617F7C5"/>
    <w:rsid w:val="640D4B02"/>
    <w:rsid w:val="7A327C2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9327298"/>
  <w15:chartTrackingRefBased/>
  <w15:docId w15:val="{9BE85B4A-0808-4CD8-911C-50EF9BF5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Footnote Text Char Char Char1 Char Char Char,Footnote Text Char Char Char2 Char Char,Footnote Text Char1 Char1 Char Char Char,Footnote Text Char2 Char,Footnote Text Char2 Char Char Char,Footnote Text Char3 Char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rsid w:val="00306250"/>
  </w:style>
  <w:style w:type="character" w:customStyle="1" w:styleId="item-value">
    <w:name w:val="item-value"/>
    <w:basedOn w:val="DefaultParagraphFont"/>
    <w:rsid w:val="00306250"/>
  </w:style>
  <w:style w:type="character" w:customStyle="1" w:styleId="ParaNumCharChar">
    <w:name w:val="ParaNum Char Char"/>
    <w:link w:val="ParaNum"/>
    <w:rsid w:val="004C4DA2"/>
    <w:rPr>
      <w:snapToGrid w:val="0"/>
      <w:kern w:val="28"/>
      <w:sz w:val="22"/>
    </w:rPr>
  </w:style>
  <w:style w:type="paragraph" w:styleId="Revision">
    <w:name w:val="Revision"/>
    <w:hidden/>
    <w:uiPriority w:val="99"/>
    <w:semiHidden/>
    <w:rsid w:val="00361519"/>
    <w:rPr>
      <w:snapToGrid w:val="0"/>
      <w:kern w:val="28"/>
      <w:sz w:val="22"/>
    </w:rPr>
  </w:style>
  <w:style w:type="character" w:styleId="UnresolvedMention">
    <w:name w:val="Unresolved Mention"/>
    <w:uiPriority w:val="99"/>
    <w:semiHidden/>
    <w:unhideWhenUsed/>
    <w:rsid w:val="00131EDA"/>
    <w:rPr>
      <w:color w:val="605E5C"/>
      <w:shd w:val="clear" w:color="auto" w:fill="E1DFDD"/>
    </w:rPr>
  </w:style>
  <w:style w:type="character" w:styleId="CommentReference">
    <w:name w:val="annotation reference"/>
    <w:uiPriority w:val="99"/>
    <w:semiHidden/>
    <w:unhideWhenUsed/>
    <w:rsid w:val="007C1B91"/>
    <w:rPr>
      <w:sz w:val="16"/>
      <w:szCs w:val="16"/>
    </w:rPr>
  </w:style>
  <w:style w:type="paragraph" w:styleId="CommentText">
    <w:name w:val="annotation text"/>
    <w:basedOn w:val="Normal"/>
    <w:link w:val="CommentTextChar"/>
    <w:uiPriority w:val="99"/>
    <w:unhideWhenUsed/>
    <w:rsid w:val="007C1B91"/>
    <w:rPr>
      <w:sz w:val="20"/>
    </w:rPr>
  </w:style>
  <w:style w:type="character" w:customStyle="1" w:styleId="CommentTextChar">
    <w:name w:val="Comment Text Char"/>
    <w:link w:val="CommentText"/>
    <w:uiPriority w:val="99"/>
    <w:rsid w:val="007C1B91"/>
    <w:rPr>
      <w:snapToGrid w:val="0"/>
      <w:kern w:val="28"/>
    </w:rPr>
  </w:style>
  <w:style w:type="paragraph" w:styleId="CommentSubject">
    <w:name w:val="annotation subject"/>
    <w:basedOn w:val="CommentText"/>
    <w:next w:val="CommentText"/>
    <w:link w:val="CommentSubjectChar"/>
    <w:uiPriority w:val="99"/>
    <w:semiHidden/>
    <w:unhideWhenUsed/>
    <w:rsid w:val="007C1B91"/>
    <w:rPr>
      <w:b/>
      <w:bCs/>
    </w:rPr>
  </w:style>
  <w:style w:type="character" w:customStyle="1" w:styleId="CommentSubjectChar">
    <w:name w:val="Comment Subject Char"/>
    <w:link w:val="CommentSubject"/>
    <w:uiPriority w:val="99"/>
    <w:semiHidden/>
    <w:rsid w:val="007C1B9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