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E5E68" w:rsidP="00152187" w14:paraId="152D6E48" w14:textId="6FF90B10">
      <w:pPr>
        <w:widowControl/>
        <w:jc w:val="center"/>
        <w:rPr>
          <w:b/>
          <w:szCs w:val="22"/>
        </w:rPr>
      </w:pPr>
      <w:r>
        <w:rPr>
          <w:b/>
          <w:szCs w:val="22"/>
        </w:rPr>
        <w:t>Before the</w:t>
      </w:r>
    </w:p>
    <w:p w:rsidR="00BE5E68" w14:paraId="0AEC8F6F" w14:textId="77777777">
      <w:pPr>
        <w:jc w:val="center"/>
        <w:rPr>
          <w:b/>
          <w:szCs w:val="22"/>
        </w:rPr>
      </w:pPr>
      <w:r>
        <w:rPr>
          <w:b/>
          <w:szCs w:val="22"/>
        </w:rPr>
        <w:t>Federal Communications Commission</w:t>
      </w:r>
    </w:p>
    <w:p w:rsidR="00BE5E68" w14:paraId="30474F8B" w14:textId="69DAD44E">
      <w:pPr>
        <w:jc w:val="center"/>
        <w:rPr>
          <w:b/>
          <w:szCs w:val="22"/>
        </w:rPr>
      </w:pPr>
      <w:r>
        <w:rPr>
          <w:b/>
          <w:szCs w:val="22"/>
        </w:rPr>
        <w:t>Washington, D.C. 20554</w:t>
      </w:r>
    </w:p>
    <w:p w:rsidR="00FE291A" w14:paraId="2CDCB7CA" w14:textId="77777777">
      <w:pPr>
        <w:jc w:val="center"/>
        <w:rPr>
          <w:b/>
          <w:szCs w:val="22"/>
        </w:rPr>
      </w:pPr>
    </w:p>
    <w:tbl>
      <w:tblPr>
        <w:tblW w:w="0" w:type="auto"/>
        <w:tblLayout w:type="fixed"/>
        <w:tblLook w:val="0000"/>
      </w:tblPr>
      <w:tblGrid>
        <w:gridCol w:w="4698"/>
        <w:gridCol w:w="630"/>
        <w:gridCol w:w="4248"/>
      </w:tblGrid>
      <w:tr w14:paraId="28217093" w14:textId="77777777" w:rsidTr="007216E1">
        <w:tblPrEx>
          <w:tblW w:w="0" w:type="auto"/>
          <w:tblLayout w:type="fixed"/>
          <w:tblLook w:val="0000"/>
        </w:tblPrEx>
        <w:tc>
          <w:tcPr>
            <w:tcW w:w="4698" w:type="dxa"/>
          </w:tcPr>
          <w:p w:rsidR="00FE291A" w:rsidP="007216E1" w14:paraId="6A37A984" w14:textId="77777777">
            <w:pPr>
              <w:tabs>
                <w:tab w:val="center" w:pos="4680"/>
              </w:tabs>
              <w:suppressAutoHyphens/>
              <w:rPr>
                <w:spacing w:val="-2"/>
              </w:rPr>
            </w:pPr>
            <w:r>
              <w:rPr>
                <w:spacing w:val="-2"/>
              </w:rPr>
              <w:t>In the Matter of</w:t>
            </w:r>
          </w:p>
          <w:p w:rsidR="00FE291A" w:rsidP="007216E1" w14:paraId="746F09F0" w14:textId="77777777">
            <w:pPr>
              <w:tabs>
                <w:tab w:val="center" w:pos="4680"/>
              </w:tabs>
              <w:suppressAutoHyphens/>
              <w:rPr>
                <w:spacing w:val="-2"/>
              </w:rPr>
            </w:pPr>
          </w:p>
          <w:p w:rsidR="00FE291A" w:rsidP="007216E1" w14:paraId="62DD25FC" w14:textId="77777777">
            <w:pPr>
              <w:tabs>
                <w:tab w:val="center" w:pos="4680"/>
              </w:tabs>
              <w:suppressAutoHyphens/>
              <w:rPr>
                <w:spacing w:val="-2"/>
              </w:rPr>
            </w:pPr>
            <w:r>
              <w:rPr>
                <w:spacing w:val="-2"/>
              </w:rPr>
              <w:t>Intelligent Transportation &amp; Monitoring Wireless LLC, Assignor</w:t>
            </w:r>
          </w:p>
          <w:p w:rsidR="00FE291A" w:rsidP="007216E1" w14:paraId="590720AB" w14:textId="77777777">
            <w:pPr>
              <w:tabs>
                <w:tab w:val="center" w:pos="4680"/>
              </w:tabs>
              <w:suppressAutoHyphens/>
              <w:rPr>
                <w:spacing w:val="-2"/>
              </w:rPr>
            </w:pPr>
          </w:p>
          <w:p w:rsidR="00FE291A" w:rsidP="007216E1" w14:paraId="017D1E16" w14:textId="77777777">
            <w:pPr>
              <w:tabs>
                <w:tab w:val="center" w:pos="4680"/>
              </w:tabs>
              <w:suppressAutoHyphens/>
              <w:rPr>
                <w:spacing w:val="-2"/>
              </w:rPr>
            </w:pPr>
            <w:bookmarkStart w:id="0" w:name="_Hlk139983010"/>
            <w:r>
              <w:rPr>
                <w:spacing w:val="-2"/>
              </w:rPr>
              <w:t>PTC-220, LLC</w:t>
            </w:r>
            <w:bookmarkEnd w:id="0"/>
            <w:r>
              <w:rPr>
                <w:spacing w:val="-2"/>
              </w:rPr>
              <w:t>, Assignee</w:t>
            </w:r>
          </w:p>
          <w:p w:rsidR="00FE291A" w:rsidP="007216E1" w14:paraId="37F7DCED" w14:textId="77777777">
            <w:pPr>
              <w:tabs>
                <w:tab w:val="center" w:pos="4680"/>
              </w:tabs>
              <w:suppressAutoHyphens/>
              <w:rPr>
                <w:spacing w:val="-2"/>
              </w:rPr>
            </w:pPr>
          </w:p>
          <w:p w:rsidR="00FE291A" w:rsidP="007216E1" w14:paraId="2307CC88" w14:textId="77777777">
            <w:pPr>
              <w:tabs>
                <w:tab w:val="center" w:pos="4680"/>
              </w:tabs>
              <w:suppressAutoHyphens/>
              <w:rPr>
                <w:spacing w:val="-2"/>
              </w:rPr>
            </w:pPr>
            <w:r>
              <w:rPr>
                <w:spacing w:val="-2"/>
              </w:rPr>
              <w:t>Application to Partially Assign Licenses for AMTS Station WQGF310</w:t>
            </w:r>
          </w:p>
          <w:p w:rsidR="004E4EC3" w:rsidP="007216E1" w14:paraId="4D468733" w14:textId="77777777">
            <w:pPr>
              <w:tabs>
                <w:tab w:val="center" w:pos="4680"/>
              </w:tabs>
              <w:suppressAutoHyphens/>
              <w:rPr>
                <w:spacing w:val="-2"/>
              </w:rPr>
            </w:pPr>
          </w:p>
          <w:p w:rsidR="004E4EC3" w:rsidP="007216E1" w14:paraId="71EA1CBA" w14:textId="2549146C">
            <w:pPr>
              <w:tabs>
                <w:tab w:val="center" w:pos="4680"/>
              </w:tabs>
              <w:suppressAutoHyphens/>
              <w:rPr>
                <w:spacing w:val="-2"/>
              </w:rPr>
            </w:pPr>
            <w:r>
              <w:rPr>
                <w:spacing w:val="-2"/>
              </w:rPr>
              <w:t>a</w:t>
            </w:r>
            <w:r>
              <w:rPr>
                <w:spacing w:val="-2"/>
              </w:rPr>
              <w:t>nd</w:t>
            </w:r>
          </w:p>
          <w:p w:rsidR="004E4EC3" w:rsidP="007216E1" w14:paraId="584D4F99" w14:textId="77777777">
            <w:pPr>
              <w:tabs>
                <w:tab w:val="center" w:pos="4680"/>
              </w:tabs>
              <w:suppressAutoHyphens/>
              <w:rPr>
                <w:spacing w:val="-2"/>
              </w:rPr>
            </w:pPr>
          </w:p>
          <w:p w:rsidR="00912131" w:rsidP="00912131" w14:paraId="1ABC52F5" w14:textId="77777777">
            <w:pPr>
              <w:tabs>
                <w:tab w:val="center" w:pos="4680"/>
              </w:tabs>
              <w:suppressAutoHyphens/>
              <w:rPr>
                <w:spacing w:val="-2"/>
              </w:rPr>
            </w:pPr>
            <w:r w:rsidRPr="004E4EC3">
              <w:t>Skybridge Spectrum Foundation, Telesaurus Holdings GB LLC, Verde Systems LLC, Environmental LLC, Environmentel-2 LLC, Intelligent Transportation &amp; Monitoring Wireless LLC, V2G LLC</w:t>
            </w:r>
          </w:p>
          <w:p w:rsidR="004E4EC3" w:rsidRPr="004E4EC3" w:rsidP="007216E1" w14:paraId="3AE34D03" w14:textId="6FFEB8B1">
            <w:pPr>
              <w:tabs>
                <w:tab w:val="center" w:pos="4680"/>
              </w:tabs>
              <w:suppressAutoHyphens/>
              <w:rPr>
                <w:spacing w:val="-2"/>
              </w:rPr>
            </w:pPr>
          </w:p>
        </w:tc>
        <w:tc>
          <w:tcPr>
            <w:tcW w:w="630" w:type="dxa"/>
          </w:tcPr>
          <w:p w:rsidR="00FE291A" w:rsidP="007216E1" w14:paraId="3D0E3406" w14:textId="77777777">
            <w:pPr>
              <w:tabs>
                <w:tab w:val="center" w:pos="4680"/>
              </w:tabs>
              <w:suppressAutoHyphens/>
              <w:rPr>
                <w:b/>
                <w:spacing w:val="-2"/>
              </w:rPr>
            </w:pPr>
            <w:r>
              <w:rPr>
                <w:b/>
                <w:spacing w:val="-2"/>
              </w:rPr>
              <w:t>)</w:t>
            </w:r>
          </w:p>
          <w:p w:rsidR="00FE291A" w:rsidP="007216E1" w14:paraId="64EE8C0A" w14:textId="77777777">
            <w:pPr>
              <w:tabs>
                <w:tab w:val="center" w:pos="4680"/>
              </w:tabs>
              <w:suppressAutoHyphens/>
              <w:rPr>
                <w:b/>
                <w:spacing w:val="-2"/>
              </w:rPr>
            </w:pPr>
            <w:r>
              <w:rPr>
                <w:b/>
                <w:spacing w:val="-2"/>
              </w:rPr>
              <w:t>)</w:t>
            </w:r>
          </w:p>
          <w:p w:rsidR="00FE291A" w:rsidP="007216E1" w14:paraId="2E7F4EE0" w14:textId="77777777">
            <w:pPr>
              <w:tabs>
                <w:tab w:val="center" w:pos="4680"/>
              </w:tabs>
              <w:suppressAutoHyphens/>
              <w:rPr>
                <w:b/>
                <w:spacing w:val="-2"/>
              </w:rPr>
            </w:pPr>
            <w:r>
              <w:rPr>
                <w:b/>
                <w:spacing w:val="-2"/>
              </w:rPr>
              <w:t>)</w:t>
            </w:r>
          </w:p>
          <w:p w:rsidR="00FE291A" w:rsidP="007216E1" w14:paraId="6501A8C9" w14:textId="77777777">
            <w:pPr>
              <w:tabs>
                <w:tab w:val="center" w:pos="4680"/>
              </w:tabs>
              <w:suppressAutoHyphens/>
              <w:rPr>
                <w:b/>
                <w:spacing w:val="-2"/>
              </w:rPr>
            </w:pPr>
            <w:r>
              <w:rPr>
                <w:b/>
                <w:spacing w:val="-2"/>
              </w:rPr>
              <w:t>)</w:t>
            </w:r>
          </w:p>
          <w:p w:rsidR="00FE291A" w:rsidP="007216E1" w14:paraId="0BB516D1" w14:textId="77777777">
            <w:pPr>
              <w:tabs>
                <w:tab w:val="center" w:pos="4680"/>
              </w:tabs>
              <w:suppressAutoHyphens/>
              <w:rPr>
                <w:b/>
                <w:spacing w:val="-2"/>
              </w:rPr>
            </w:pPr>
            <w:r>
              <w:rPr>
                <w:b/>
                <w:spacing w:val="-2"/>
              </w:rPr>
              <w:t>)</w:t>
            </w:r>
          </w:p>
          <w:p w:rsidR="00FE291A" w:rsidP="007216E1" w14:paraId="3D3903B4" w14:textId="77777777">
            <w:pPr>
              <w:tabs>
                <w:tab w:val="center" w:pos="4680"/>
              </w:tabs>
              <w:suppressAutoHyphens/>
              <w:rPr>
                <w:b/>
                <w:spacing w:val="-2"/>
              </w:rPr>
            </w:pPr>
            <w:r>
              <w:rPr>
                <w:b/>
                <w:spacing w:val="-2"/>
              </w:rPr>
              <w:t>)</w:t>
            </w:r>
          </w:p>
          <w:p w:rsidR="00FE291A" w:rsidP="007216E1" w14:paraId="4F4FD792" w14:textId="77777777">
            <w:pPr>
              <w:tabs>
                <w:tab w:val="center" w:pos="4680"/>
              </w:tabs>
              <w:suppressAutoHyphens/>
              <w:rPr>
                <w:b/>
                <w:spacing w:val="-2"/>
              </w:rPr>
            </w:pPr>
            <w:r>
              <w:rPr>
                <w:b/>
                <w:spacing w:val="-2"/>
              </w:rPr>
              <w:t>)</w:t>
            </w:r>
          </w:p>
          <w:p w:rsidR="00FE291A" w:rsidP="007216E1" w14:paraId="450DEB4F" w14:textId="77777777">
            <w:pPr>
              <w:tabs>
                <w:tab w:val="center" w:pos="4680"/>
              </w:tabs>
              <w:suppressAutoHyphens/>
              <w:rPr>
                <w:b/>
                <w:spacing w:val="-2"/>
              </w:rPr>
            </w:pPr>
            <w:r>
              <w:rPr>
                <w:b/>
                <w:spacing w:val="-2"/>
              </w:rPr>
              <w:t>)</w:t>
            </w:r>
          </w:p>
          <w:p w:rsidR="00FE291A" w:rsidP="007216E1" w14:paraId="65270E2F" w14:textId="77777777">
            <w:pPr>
              <w:tabs>
                <w:tab w:val="center" w:pos="4680"/>
              </w:tabs>
              <w:suppressAutoHyphens/>
              <w:rPr>
                <w:b/>
                <w:spacing w:val="-2"/>
              </w:rPr>
            </w:pPr>
            <w:r>
              <w:rPr>
                <w:b/>
                <w:spacing w:val="-2"/>
              </w:rPr>
              <w:t>)</w:t>
            </w:r>
          </w:p>
          <w:p w:rsidR="004E4EC3" w:rsidP="007216E1" w14:paraId="4308727B" w14:textId="70DF8A16">
            <w:pPr>
              <w:tabs>
                <w:tab w:val="center" w:pos="4680"/>
              </w:tabs>
              <w:suppressAutoHyphens/>
              <w:rPr>
                <w:b/>
                <w:spacing w:val="-2"/>
              </w:rPr>
            </w:pPr>
            <w:r>
              <w:rPr>
                <w:b/>
                <w:spacing w:val="-2"/>
              </w:rPr>
              <w:t>)</w:t>
            </w:r>
          </w:p>
          <w:p w:rsidR="00196C7E" w:rsidP="007216E1" w14:paraId="76A528D3" w14:textId="391C2D86">
            <w:pPr>
              <w:tabs>
                <w:tab w:val="center" w:pos="4680"/>
              </w:tabs>
              <w:suppressAutoHyphens/>
              <w:rPr>
                <w:b/>
                <w:spacing w:val="-2"/>
              </w:rPr>
            </w:pPr>
            <w:r>
              <w:rPr>
                <w:b/>
                <w:spacing w:val="-2"/>
              </w:rPr>
              <w:t>)</w:t>
            </w:r>
          </w:p>
          <w:p w:rsidR="00196C7E" w:rsidP="007216E1" w14:paraId="107E8E18" w14:textId="621DF7EC">
            <w:pPr>
              <w:tabs>
                <w:tab w:val="center" w:pos="4680"/>
              </w:tabs>
              <w:suppressAutoHyphens/>
              <w:rPr>
                <w:b/>
                <w:spacing w:val="-2"/>
              </w:rPr>
            </w:pPr>
            <w:r>
              <w:rPr>
                <w:b/>
                <w:spacing w:val="-2"/>
              </w:rPr>
              <w:t>)</w:t>
            </w:r>
          </w:p>
          <w:p w:rsidR="00196C7E" w:rsidP="007216E1" w14:paraId="185C046D" w14:textId="1D229162">
            <w:pPr>
              <w:tabs>
                <w:tab w:val="center" w:pos="4680"/>
              </w:tabs>
              <w:suppressAutoHyphens/>
              <w:rPr>
                <w:b/>
                <w:spacing w:val="-2"/>
              </w:rPr>
            </w:pPr>
            <w:r>
              <w:rPr>
                <w:b/>
                <w:spacing w:val="-2"/>
              </w:rPr>
              <w:t>)</w:t>
            </w:r>
          </w:p>
          <w:p w:rsidR="00912131" w:rsidP="007216E1" w14:paraId="061865A7" w14:textId="71006D8A">
            <w:pPr>
              <w:tabs>
                <w:tab w:val="center" w:pos="4680"/>
              </w:tabs>
              <w:suppressAutoHyphens/>
              <w:rPr>
                <w:b/>
                <w:spacing w:val="-2"/>
              </w:rPr>
            </w:pPr>
            <w:r>
              <w:rPr>
                <w:b/>
                <w:spacing w:val="-2"/>
              </w:rPr>
              <w:t>)</w:t>
            </w:r>
          </w:p>
          <w:p w:rsidR="00912131" w:rsidP="007216E1" w14:paraId="50AB3A93" w14:textId="53F3018D">
            <w:pPr>
              <w:tabs>
                <w:tab w:val="center" w:pos="4680"/>
              </w:tabs>
              <w:suppressAutoHyphens/>
              <w:rPr>
                <w:b/>
                <w:spacing w:val="-2"/>
              </w:rPr>
            </w:pPr>
            <w:r>
              <w:rPr>
                <w:b/>
                <w:spacing w:val="-2"/>
              </w:rPr>
              <w:t>)</w:t>
            </w:r>
          </w:p>
          <w:p w:rsidR="00912131" w:rsidP="007216E1" w14:paraId="14F54FAC" w14:textId="21FE428B">
            <w:pPr>
              <w:tabs>
                <w:tab w:val="center" w:pos="4680"/>
              </w:tabs>
              <w:suppressAutoHyphens/>
              <w:rPr>
                <w:b/>
                <w:spacing w:val="-2"/>
              </w:rPr>
            </w:pPr>
            <w:r>
              <w:rPr>
                <w:b/>
                <w:spacing w:val="-2"/>
              </w:rPr>
              <w:t>)</w:t>
            </w:r>
          </w:p>
          <w:p w:rsidR="00EF3650" w:rsidP="007216E1" w14:paraId="1E26DD5A" w14:textId="0B79B123">
            <w:pPr>
              <w:tabs>
                <w:tab w:val="center" w:pos="4680"/>
              </w:tabs>
              <w:suppressAutoHyphens/>
              <w:rPr>
                <w:b/>
                <w:spacing w:val="-2"/>
              </w:rPr>
            </w:pPr>
            <w:r>
              <w:rPr>
                <w:b/>
                <w:spacing w:val="-2"/>
              </w:rPr>
              <w:t>)</w:t>
            </w:r>
          </w:p>
          <w:p w:rsidR="00EF3650" w:rsidP="00EF3650" w14:paraId="4209056C" w14:textId="52301087">
            <w:pPr>
              <w:tabs>
                <w:tab w:val="center" w:pos="4680"/>
              </w:tabs>
              <w:suppressAutoHyphens/>
              <w:rPr>
                <w:spacing w:val="-2"/>
              </w:rPr>
            </w:pPr>
          </w:p>
        </w:tc>
        <w:tc>
          <w:tcPr>
            <w:tcW w:w="4248" w:type="dxa"/>
          </w:tcPr>
          <w:p w:rsidR="00FE291A" w:rsidP="007216E1" w14:paraId="6F21E443" w14:textId="77777777">
            <w:pPr>
              <w:tabs>
                <w:tab w:val="center" w:pos="4680"/>
              </w:tabs>
              <w:suppressAutoHyphens/>
              <w:rPr>
                <w:spacing w:val="-2"/>
              </w:rPr>
            </w:pPr>
          </w:p>
          <w:p w:rsidR="00FE291A" w:rsidP="007216E1" w14:paraId="023ECAFD" w14:textId="77777777">
            <w:pPr>
              <w:pStyle w:val="TOAHeading"/>
              <w:tabs>
                <w:tab w:val="center" w:pos="4680"/>
                <w:tab w:val="clear" w:pos="9360"/>
              </w:tabs>
              <w:rPr>
                <w:spacing w:val="-2"/>
              </w:rPr>
            </w:pPr>
          </w:p>
          <w:p w:rsidR="00FE291A" w:rsidP="007216E1" w14:paraId="3DFE0E13" w14:textId="77777777">
            <w:pPr>
              <w:tabs>
                <w:tab w:val="center" w:pos="4680"/>
              </w:tabs>
              <w:suppressAutoHyphens/>
              <w:rPr>
                <w:spacing w:val="-2"/>
              </w:rPr>
            </w:pPr>
          </w:p>
          <w:p w:rsidR="00FE291A" w:rsidP="007216E1" w14:paraId="566EB14A" w14:textId="77777777">
            <w:pPr>
              <w:tabs>
                <w:tab w:val="center" w:pos="4680"/>
              </w:tabs>
              <w:suppressAutoHyphens/>
              <w:rPr>
                <w:spacing w:val="-2"/>
              </w:rPr>
            </w:pPr>
          </w:p>
          <w:p w:rsidR="00FE291A" w:rsidP="007216E1" w14:paraId="33A67A04" w14:textId="77777777">
            <w:pPr>
              <w:tabs>
                <w:tab w:val="center" w:pos="4680"/>
              </w:tabs>
              <w:suppressAutoHyphens/>
              <w:rPr>
                <w:spacing w:val="-2"/>
              </w:rPr>
            </w:pPr>
            <w:r>
              <w:rPr>
                <w:spacing w:val="-2"/>
              </w:rPr>
              <w:t>File No. 0010322233</w:t>
            </w:r>
          </w:p>
          <w:p w:rsidR="00912131" w:rsidP="007216E1" w14:paraId="660BEB80" w14:textId="77777777">
            <w:pPr>
              <w:tabs>
                <w:tab w:val="center" w:pos="4680"/>
              </w:tabs>
              <w:suppressAutoHyphens/>
              <w:rPr>
                <w:spacing w:val="-2"/>
              </w:rPr>
            </w:pPr>
          </w:p>
          <w:p w:rsidR="00912131" w:rsidP="007216E1" w14:paraId="78DE19BB" w14:textId="77777777">
            <w:pPr>
              <w:tabs>
                <w:tab w:val="center" w:pos="4680"/>
              </w:tabs>
              <w:suppressAutoHyphens/>
              <w:rPr>
                <w:spacing w:val="-2"/>
              </w:rPr>
            </w:pPr>
          </w:p>
          <w:p w:rsidR="00912131" w:rsidP="007216E1" w14:paraId="133B7BEB" w14:textId="77777777">
            <w:pPr>
              <w:tabs>
                <w:tab w:val="center" w:pos="4680"/>
              </w:tabs>
              <w:suppressAutoHyphens/>
              <w:rPr>
                <w:spacing w:val="-2"/>
              </w:rPr>
            </w:pPr>
          </w:p>
          <w:p w:rsidR="00912131" w:rsidP="007216E1" w14:paraId="5FB4786F" w14:textId="77777777">
            <w:pPr>
              <w:tabs>
                <w:tab w:val="center" w:pos="4680"/>
              </w:tabs>
              <w:suppressAutoHyphens/>
              <w:rPr>
                <w:spacing w:val="-2"/>
              </w:rPr>
            </w:pPr>
          </w:p>
          <w:p w:rsidR="00912131" w:rsidP="007216E1" w14:paraId="42B4304E" w14:textId="77777777">
            <w:pPr>
              <w:tabs>
                <w:tab w:val="center" w:pos="4680"/>
              </w:tabs>
              <w:suppressAutoHyphens/>
              <w:rPr>
                <w:spacing w:val="-2"/>
              </w:rPr>
            </w:pPr>
          </w:p>
          <w:p w:rsidR="00912131" w:rsidP="007216E1" w14:paraId="4C133CA9" w14:textId="77777777">
            <w:pPr>
              <w:tabs>
                <w:tab w:val="center" w:pos="4680"/>
              </w:tabs>
              <w:suppressAutoHyphens/>
              <w:rPr>
                <w:spacing w:val="-2"/>
              </w:rPr>
            </w:pPr>
          </w:p>
          <w:p w:rsidR="00912131" w:rsidP="007216E1" w14:paraId="55B4BCB5" w14:textId="77777777">
            <w:pPr>
              <w:tabs>
                <w:tab w:val="center" w:pos="4680"/>
              </w:tabs>
              <w:suppressAutoHyphens/>
              <w:rPr>
                <w:spacing w:val="-2"/>
              </w:rPr>
            </w:pPr>
          </w:p>
          <w:p w:rsidR="00912131" w:rsidP="007216E1" w14:paraId="6871C5F0" w14:textId="77777777">
            <w:pPr>
              <w:tabs>
                <w:tab w:val="center" w:pos="4680"/>
              </w:tabs>
              <w:suppressAutoHyphens/>
              <w:rPr>
                <w:spacing w:val="-2"/>
              </w:rPr>
            </w:pPr>
          </w:p>
          <w:p w:rsidR="00912131" w:rsidP="007216E1" w14:paraId="364C6FF0" w14:textId="77777777">
            <w:pPr>
              <w:tabs>
                <w:tab w:val="center" w:pos="4680"/>
              </w:tabs>
              <w:suppressAutoHyphens/>
              <w:rPr>
                <w:spacing w:val="-2"/>
              </w:rPr>
            </w:pPr>
          </w:p>
          <w:p w:rsidR="00912131" w:rsidP="007216E1" w14:paraId="6F94522D" w14:textId="71B8EBC5">
            <w:pPr>
              <w:tabs>
                <w:tab w:val="center" w:pos="4680"/>
              </w:tabs>
              <w:suppressAutoHyphens/>
              <w:rPr>
                <w:spacing w:val="-2"/>
              </w:rPr>
            </w:pPr>
            <w:r>
              <w:rPr>
                <w:spacing w:val="-2"/>
              </w:rPr>
              <w:t>EB Docket No. 11-71</w:t>
            </w:r>
          </w:p>
        </w:tc>
      </w:tr>
    </w:tbl>
    <w:p w:rsidR="004E4EC3" w:rsidP="00EF3650" w14:paraId="04B5415B" w14:textId="77777777">
      <w:pPr>
        <w:pStyle w:val="StyleBoldCentered"/>
      </w:pPr>
    </w:p>
    <w:p w:rsidR="00EF3650" w:rsidP="00EF3650" w14:paraId="42691A13" w14:textId="568D45A2">
      <w:pPr>
        <w:pStyle w:val="StyleBoldCentered"/>
      </w:pPr>
      <w:r>
        <w:t>ORDER</w:t>
      </w:r>
    </w:p>
    <w:p w:rsidR="00EF3650" w:rsidP="00EF3650" w14:paraId="551A1DB2" w14:textId="77777777">
      <w:pPr>
        <w:tabs>
          <w:tab w:val="left" w:pos="-720"/>
        </w:tabs>
        <w:suppressAutoHyphens/>
        <w:spacing w:line="227" w:lineRule="auto"/>
        <w:rPr>
          <w:spacing w:val="-2"/>
        </w:rPr>
      </w:pPr>
    </w:p>
    <w:p w:rsidR="00EF3650" w:rsidP="00EF3650" w14:paraId="65F22ADA" w14:textId="703FC6EC">
      <w:pPr>
        <w:tabs>
          <w:tab w:val="left" w:pos="720"/>
          <w:tab w:val="right" w:pos="9360"/>
        </w:tabs>
        <w:suppressAutoHyphens/>
        <w:spacing w:line="227" w:lineRule="auto"/>
        <w:rPr>
          <w:spacing w:val="-2"/>
        </w:rPr>
      </w:pPr>
      <w:r>
        <w:rPr>
          <w:b/>
          <w:spacing w:val="-2"/>
        </w:rPr>
        <w:t xml:space="preserve">Adopted:  </w:t>
      </w:r>
      <w:r w:rsidR="00363798">
        <w:rPr>
          <w:b/>
          <w:spacing w:val="-2"/>
        </w:rPr>
        <w:t>October 3</w:t>
      </w:r>
      <w:r>
        <w:rPr>
          <w:b/>
          <w:spacing w:val="-2"/>
        </w:rPr>
        <w:t>, 2023</w:t>
      </w:r>
      <w:r>
        <w:rPr>
          <w:b/>
          <w:spacing w:val="-2"/>
        </w:rPr>
        <w:tab/>
        <w:t xml:space="preserve">Released:  </w:t>
      </w:r>
      <w:r w:rsidR="00032AD3">
        <w:rPr>
          <w:b/>
          <w:spacing w:val="-2"/>
        </w:rPr>
        <w:t>October 3, 2023</w:t>
      </w:r>
    </w:p>
    <w:p w:rsidR="00EF3650" w:rsidP="00EF3650" w14:paraId="1662CA56" w14:textId="77777777"/>
    <w:p w:rsidR="00EF3650" w:rsidP="00EF3650" w14:paraId="66F8F040" w14:textId="77777777">
      <w:pPr>
        <w:rPr>
          <w:spacing w:val="-2"/>
        </w:rPr>
      </w:pPr>
      <w:r>
        <w:t xml:space="preserve">By the </w:t>
      </w:r>
      <w:r>
        <w:rPr>
          <w:spacing w:val="-2"/>
        </w:rPr>
        <w:t>Chief, Mobility Division, Wireless Telecommunications Bureau:</w:t>
      </w:r>
    </w:p>
    <w:p w:rsidR="00EF3650" w:rsidP="00EF3650" w14:paraId="7725AB20" w14:textId="77777777">
      <w:pPr>
        <w:rPr>
          <w:spacing w:val="-2"/>
        </w:rPr>
      </w:pPr>
    </w:p>
    <w:p w:rsidR="00BE5E68" w14:paraId="3AC36681" w14:textId="77777777">
      <w:pPr>
        <w:rPr>
          <w:szCs w:val="22"/>
        </w:rPr>
      </w:pPr>
    </w:p>
    <w:p w:rsidR="00EA56B5" w:rsidP="00214BE2" w14:paraId="0839F916" w14:textId="70CE7E1E">
      <w:pPr>
        <w:pStyle w:val="Heading1"/>
      </w:pPr>
      <w:r>
        <w:t>introduction</w:t>
      </w:r>
    </w:p>
    <w:p w:rsidR="00EF3650" w:rsidP="003E23CD" w14:paraId="0589DB76" w14:textId="25747ADE">
      <w:pPr>
        <w:pStyle w:val="ParaNum"/>
      </w:pPr>
      <w:r>
        <w:t xml:space="preserve">We have an application before us to assign, through partitioning and disaggregation, </w:t>
      </w:r>
      <w:r w:rsidR="00187E34">
        <w:t>p</w:t>
      </w:r>
      <w:r w:rsidR="003D4D32">
        <w:t>ortions</w:t>
      </w:r>
      <w:r w:rsidR="00187E34">
        <w:t xml:space="preserve"> of the </w:t>
      </w:r>
      <w:r>
        <w:t xml:space="preserve">license for Automated Maritime Telecommunications System (AMTS) station WQGF310 (AMT001 – Northern Atlantic) from </w:t>
      </w:r>
      <w:r>
        <w:rPr>
          <w:spacing w:val="-2"/>
        </w:rPr>
        <w:t>Intelligent Transportation &amp; Monitoring Wireless LLC (ITMW) to PTC-220, LLC (PTC-220)</w:t>
      </w:r>
      <w:r w:rsidR="00212E29">
        <w:rPr>
          <w:spacing w:val="-2"/>
        </w:rPr>
        <w:t>.</w:t>
      </w:r>
      <w:r>
        <w:rPr>
          <w:rStyle w:val="FootnoteReference"/>
          <w:spacing w:val="-2"/>
        </w:rPr>
        <w:footnoteReference w:id="3"/>
      </w:r>
      <w:r>
        <w:rPr>
          <w:spacing w:val="-2"/>
        </w:rPr>
        <w:t xml:space="preserve">  This Application </w:t>
      </w:r>
      <w:r w:rsidR="00F71E91">
        <w:t xml:space="preserve">was placed on </w:t>
      </w:r>
      <w:r w:rsidR="00F74537">
        <w:t>an</w:t>
      </w:r>
      <w:r>
        <w:t xml:space="preserve"> Accepted for Filing Public Notice (AFF PN) on January 11, 2023.</w:t>
      </w:r>
      <w:r>
        <w:rPr>
          <w:rStyle w:val="FootnoteReference"/>
        </w:rPr>
        <w:footnoteReference w:id="4"/>
      </w:r>
      <w:r w:rsidR="006759A7">
        <w:t xml:space="preserve">  </w:t>
      </w:r>
      <w:r>
        <w:rPr>
          <w:spacing w:val="-2"/>
        </w:rPr>
        <w:t xml:space="preserve">Warren Havens (Havens) filed a </w:t>
      </w:r>
      <w:r w:rsidR="00E27473">
        <w:t>P</w:t>
      </w:r>
      <w:r>
        <w:rPr>
          <w:spacing w:val="-2"/>
        </w:rPr>
        <w:t xml:space="preserve">etition to </w:t>
      </w:r>
      <w:r w:rsidR="00E27473">
        <w:t>D</w:t>
      </w:r>
      <w:r>
        <w:rPr>
          <w:spacing w:val="-2"/>
        </w:rPr>
        <w:t xml:space="preserve">eny or </w:t>
      </w:r>
      <w:r w:rsidR="00E27473">
        <w:t>D</w:t>
      </w:r>
      <w:r>
        <w:rPr>
          <w:spacing w:val="-2"/>
        </w:rPr>
        <w:t xml:space="preserve">ismiss the Application (Petition) and a </w:t>
      </w:r>
      <w:r w:rsidR="00E27473">
        <w:t>M</w:t>
      </w:r>
      <w:r>
        <w:rPr>
          <w:spacing w:val="-2"/>
        </w:rPr>
        <w:t xml:space="preserve">otion for </w:t>
      </w:r>
      <w:r w:rsidR="00E27473">
        <w:t>S</w:t>
      </w:r>
      <w:r>
        <w:rPr>
          <w:spacing w:val="-2"/>
        </w:rPr>
        <w:t xml:space="preserve">ummary </w:t>
      </w:r>
      <w:r w:rsidR="00E27473">
        <w:t>D</w:t>
      </w:r>
      <w:r>
        <w:rPr>
          <w:spacing w:val="-2"/>
        </w:rPr>
        <w:t>ecision (Motion) on February 10</w:t>
      </w:r>
      <w:r w:rsidR="0086032B">
        <w:rPr>
          <w:spacing w:val="-2"/>
        </w:rPr>
        <w:t>, 2023,</w:t>
      </w:r>
      <w:r>
        <w:rPr>
          <w:spacing w:val="-2"/>
        </w:rPr>
        <w:t xml:space="preserve"> and</w:t>
      </w:r>
      <w:r w:rsidRPr="0086032B">
        <w:rPr>
          <w:spacing w:val="-2"/>
        </w:rPr>
        <w:t xml:space="preserve"> February 28, 2023, respectively.</w:t>
      </w:r>
      <w:r>
        <w:rPr>
          <w:rStyle w:val="FootnoteReference"/>
          <w:spacing w:val="-2"/>
        </w:rPr>
        <w:footnoteReference w:id="5"/>
      </w:r>
      <w:r w:rsidRPr="0086032B">
        <w:rPr>
          <w:spacing w:val="-2"/>
        </w:rPr>
        <w:t xml:space="preserve">  PTC-220</w:t>
      </w:r>
      <w:r>
        <w:t xml:space="preserve"> filed an Opposition to Petition to Deny on February 21, 2023.</w:t>
      </w:r>
      <w:r>
        <w:rPr>
          <w:rStyle w:val="FootnoteReference"/>
        </w:rPr>
        <w:footnoteReference w:id="6"/>
      </w:r>
      <w:r>
        <w:t xml:space="preserve">  </w:t>
      </w:r>
      <w:r w:rsidR="00493C3F">
        <w:t xml:space="preserve">Subsequent to </w:t>
      </w:r>
      <w:r w:rsidR="00493C3F">
        <w:t xml:space="preserve">these filings, </w:t>
      </w:r>
      <w:r w:rsidR="006D593B">
        <w:t>Havens died on June 27, 2023.</w:t>
      </w:r>
      <w:r>
        <w:rPr>
          <w:rStyle w:val="FootnoteReference"/>
        </w:rPr>
        <w:footnoteReference w:id="7"/>
      </w:r>
      <w:r w:rsidR="006D593B">
        <w:t xml:space="preserve">  </w:t>
      </w:r>
      <w:r>
        <w:t>We</w:t>
      </w:r>
      <w:r w:rsidR="006D593B">
        <w:t xml:space="preserve"> therefore</w:t>
      </w:r>
      <w:r>
        <w:t xml:space="preserve"> </w:t>
      </w:r>
      <w:r w:rsidR="0042598E">
        <w:t xml:space="preserve">consider Havens’s pleadings as of the time they were filed.  We </w:t>
      </w:r>
      <w:r>
        <w:t xml:space="preserve">conclude that </w:t>
      </w:r>
      <w:r w:rsidR="00B00B20">
        <w:t>the</w:t>
      </w:r>
      <w:r w:rsidR="002D4BFC">
        <w:t xml:space="preserve"> Petition</w:t>
      </w:r>
      <w:r w:rsidR="00B00B20">
        <w:t xml:space="preserve"> and Motion were untimely filed</w:t>
      </w:r>
      <w:r w:rsidR="002D4BFC">
        <w:t xml:space="preserve"> and </w:t>
      </w:r>
      <w:r w:rsidR="00B32E0D">
        <w:t xml:space="preserve">that Havens </w:t>
      </w:r>
      <w:r w:rsidR="00E16B9D">
        <w:t xml:space="preserve">lacked </w:t>
      </w:r>
      <w:r>
        <w:t>standing to challenge the Application</w:t>
      </w:r>
      <w:r w:rsidR="007B0928">
        <w:t xml:space="preserve"> </w:t>
      </w:r>
      <w:r>
        <w:t xml:space="preserve">and, therefore, </w:t>
      </w:r>
      <w:r w:rsidR="0086032B">
        <w:t>we d</w:t>
      </w:r>
      <w:r>
        <w:t xml:space="preserve">ismiss the Petition and the Motion.  </w:t>
      </w:r>
      <w:r w:rsidR="00187E34">
        <w:t>For the reasons stated below, w</w:t>
      </w:r>
      <w:r>
        <w:t xml:space="preserve">e grant the Application and </w:t>
      </w:r>
      <w:r w:rsidR="00187E34">
        <w:t xml:space="preserve">PTC-220’s </w:t>
      </w:r>
      <w:r>
        <w:t xml:space="preserve">associated request </w:t>
      </w:r>
      <w:r w:rsidR="00840358">
        <w:t>for</w:t>
      </w:r>
      <w:r>
        <w:t xml:space="preserve"> waive</w:t>
      </w:r>
      <w:r w:rsidR="00840358">
        <w:t>r of</w:t>
      </w:r>
      <w:r>
        <w:t xml:space="preserve"> certain part 80 rules to </w:t>
      </w:r>
      <w:r w:rsidR="00187E34">
        <w:t xml:space="preserve">facilitate use of the spectrum for implementation of </w:t>
      </w:r>
      <w:r>
        <w:t xml:space="preserve">positive train control (PTC) </w:t>
      </w:r>
      <w:r w:rsidR="00187E34">
        <w:t xml:space="preserve">and related </w:t>
      </w:r>
      <w:r w:rsidR="00FA7E79">
        <w:t xml:space="preserve">non-PTC </w:t>
      </w:r>
      <w:r w:rsidR="00187E34">
        <w:t>rail safety systems.</w:t>
      </w:r>
      <w:r>
        <w:rPr>
          <w:rStyle w:val="FootnoteReference"/>
        </w:rPr>
        <w:footnoteReference w:id="8"/>
      </w:r>
    </w:p>
    <w:p w:rsidR="00DC643B" w:rsidP="00260714" w14:paraId="571F73C5" w14:textId="3EED0595">
      <w:pPr>
        <w:pStyle w:val="Heading1"/>
      </w:pPr>
      <w:r>
        <w:t>Background</w:t>
      </w:r>
      <w:r w:rsidRPr="00AE7061" w:rsidR="005A7FF2">
        <w:t xml:space="preserve"> </w:t>
      </w:r>
      <w:r w:rsidRPr="00AE7061" w:rsidR="003B1781">
        <w:t xml:space="preserve"> </w:t>
      </w:r>
      <w:r w:rsidRPr="00AE7061" w:rsidR="00FC2CD3">
        <w:t xml:space="preserve"> </w:t>
      </w:r>
      <w:r w:rsidRPr="00AE7061" w:rsidR="00BE198E">
        <w:t xml:space="preserve">  </w:t>
      </w:r>
      <w:r w:rsidRPr="00AE7061" w:rsidR="00504798">
        <w:t xml:space="preserve"> </w:t>
      </w:r>
      <w:r w:rsidRPr="00AE7061" w:rsidR="006D3120">
        <w:t xml:space="preserve">  </w:t>
      </w:r>
      <w:r w:rsidRPr="00AE7061" w:rsidR="00017FD8">
        <w:t xml:space="preserve">    </w:t>
      </w:r>
    </w:p>
    <w:p w:rsidR="00386942" w:rsidP="003E23CD" w14:paraId="2EF07801" w14:textId="2DCA91D9">
      <w:pPr>
        <w:pStyle w:val="ParaNum"/>
      </w:pPr>
      <w:r w:rsidRPr="003E23CD">
        <w:rPr>
          <w:szCs w:val="22"/>
        </w:rPr>
        <w:t>By this Application, ITMW, through a court-appointed receiver authorized to sell licenses by</w:t>
      </w:r>
      <w:r>
        <w:t xml:space="preserve"> court order, and PTC-220 seek Commission consent to the partition and disaggregation of</w:t>
      </w:r>
      <w:r w:rsidR="001E63DE">
        <w:t xml:space="preserve"> </w:t>
      </w:r>
      <w:r>
        <w:t xml:space="preserve">AMTS station </w:t>
      </w:r>
      <w:bookmarkStart w:id="1" w:name="_Hlk143516693"/>
      <w:r>
        <w:t>WQGF310</w:t>
      </w:r>
      <w:bookmarkEnd w:id="1"/>
      <w:r>
        <w:t>.</w:t>
      </w:r>
      <w:r>
        <w:rPr>
          <w:rStyle w:val="FootnoteReference"/>
        </w:rPr>
        <w:footnoteReference w:id="9"/>
      </w:r>
      <w:r w:rsidR="001E63DE">
        <w:t xml:space="preserve">  </w:t>
      </w:r>
      <w:r>
        <w:t xml:space="preserve">PTC-220 is seeking to acquire </w:t>
      </w:r>
      <w:r w:rsidR="00666FEA">
        <w:t>frequencies from</w:t>
      </w:r>
      <w:r>
        <w:t xml:space="preserve"> 219.5-219.575 </w:t>
      </w:r>
      <w:r w:rsidR="00666FEA">
        <w:t>MHz</w:t>
      </w:r>
      <w:r w:rsidR="00305205">
        <w:t xml:space="preserve"> </w:t>
      </w:r>
      <w:r>
        <w:t>in three counties in New York</w:t>
      </w:r>
      <w:r w:rsidR="00212E29">
        <w:t>,</w:t>
      </w:r>
      <w:r>
        <w:t xml:space="preserve"> and </w:t>
      </w:r>
      <w:r w:rsidR="00666FEA">
        <w:t>frequencies from</w:t>
      </w:r>
      <w:r>
        <w:t xml:space="preserve"> 219.5-219.975 </w:t>
      </w:r>
      <w:r w:rsidR="00666FEA">
        <w:t xml:space="preserve">MHz </w:t>
      </w:r>
      <w:r>
        <w:t>in 40 counties in New York, New Jersey, and Pennsylvania.</w:t>
      </w:r>
      <w:r>
        <w:rPr>
          <w:rStyle w:val="FootnoteReference"/>
        </w:rPr>
        <w:footnoteReference w:id="10"/>
      </w:r>
      <w:r>
        <w:t xml:space="preserve">  The Application notes that PTC-220 previously acquired other frequencies originally associated with WQGF310 in three separate transactions.</w:t>
      </w:r>
      <w:r>
        <w:rPr>
          <w:rStyle w:val="FootnoteReference"/>
        </w:rPr>
        <w:footnoteReference w:id="11"/>
      </w:r>
      <w:r w:rsidR="006B2D75">
        <w:t xml:space="preserve">    </w:t>
      </w:r>
    </w:p>
    <w:p w:rsidR="00386942" w:rsidRPr="001D46CB" w:rsidP="003E23CD" w14:paraId="5A388C36" w14:textId="71CCF54C">
      <w:pPr>
        <w:pStyle w:val="ParaNum"/>
      </w:pPr>
      <w:r>
        <w:t xml:space="preserve">ITMW is one of several entities originally </w:t>
      </w:r>
      <w:r w:rsidR="00666FEA">
        <w:t xml:space="preserve">controlled by Havens and </w:t>
      </w:r>
      <w:r>
        <w:t xml:space="preserve">founded to hold various Commission licenses. </w:t>
      </w:r>
      <w:r w:rsidR="00212E29">
        <w:t xml:space="preserve"> </w:t>
      </w:r>
      <w:r>
        <w:t xml:space="preserve">However, after a lawsuit brought by a former partner of Havens, Dr. Arnold Leong, regarding their respective ownership interests and the conduct of various partnerships in </w:t>
      </w:r>
      <w:r w:rsidRPr="00066952">
        <w:rPr>
          <w:szCs w:val="22"/>
        </w:rPr>
        <w:t>the Superior Court of Alameda County, California (Court)</w:t>
      </w:r>
      <w:r>
        <w:rPr>
          <w:szCs w:val="22"/>
        </w:rPr>
        <w:t xml:space="preserve">, </w:t>
      </w:r>
      <w:r w:rsidRPr="00066952">
        <w:rPr>
          <w:szCs w:val="22"/>
        </w:rPr>
        <w:t>the Court entered an order</w:t>
      </w:r>
      <w:r>
        <w:rPr>
          <w:szCs w:val="22"/>
        </w:rPr>
        <w:t>, on November 16, 2015,</w:t>
      </w:r>
      <w:r w:rsidRPr="00066952">
        <w:rPr>
          <w:szCs w:val="22"/>
        </w:rPr>
        <w:t xml:space="preserve"> appointing Susan L. Uecker (Receiver) as Receiver to take control of all of Havens’s license-holding entities, including </w:t>
      </w:r>
      <w:r>
        <w:rPr>
          <w:szCs w:val="22"/>
        </w:rPr>
        <w:t>ITMW</w:t>
      </w:r>
      <w:r w:rsidRPr="00066952">
        <w:rPr>
          <w:szCs w:val="22"/>
        </w:rPr>
        <w:t>.</w:t>
      </w:r>
      <w:r>
        <w:rPr>
          <w:rStyle w:val="FootnoteReference"/>
          <w:szCs w:val="22"/>
        </w:rPr>
        <w:footnoteReference w:id="12"/>
      </w:r>
      <w:r w:rsidRPr="00066952">
        <w:rPr>
          <w:szCs w:val="22"/>
        </w:rPr>
        <w:t xml:space="preserve">  In early 2016, the Commission accepted applications filed by the Receiver </w:t>
      </w:r>
      <w:r>
        <w:rPr>
          <w:szCs w:val="22"/>
        </w:rPr>
        <w:t>to</w:t>
      </w:r>
      <w:r w:rsidRPr="00066952">
        <w:rPr>
          <w:szCs w:val="22"/>
        </w:rPr>
        <w:t xml:space="preserve"> involuntar</w:t>
      </w:r>
      <w:r w:rsidR="003E6720">
        <w:rPr>
          <w:szCs w:val="22"/>
        </w:rPr>
        <w:t>il</w:t>
      </w:r>
      <w:r w:rsidRPr="00066952">
        <w:rPr>
          <w:szCs w:val="22"/>
        </w:rPr>
        <w:t xml:space="preserve">y transfer control of </w:t>
      </w:r>
      <w:r w:rsidR="00247892">
        <w:rPr>
          <w:szCs w:val="22"/>
        </w:rPr>
        <w:t xml:space="preserve">these </w:t>
      </w:r>
      <w:r w:rsidRPr="00066952">
        <w:rPr>
          <w:szCs w:val="22"/>
        </w:rPr>
        <w:t xml:space="preserve">licenses to </w:t>
      </w:r>
      <w:r>
        <w:rPr>
          <w:szCs w:val="22"/>
        </w:rPr>
        <w:t>the Receiver</w:t>
      </w:r>
      <w:r w:rsidRPr="00066952">
        <w:rPr>
          <w:szCs w:val="22"/>
        </w:rPr>
        <w:t>, pursuant to the court order, and no timely petition for reconsideration of these acceptances was filed.</w:t>
      </w:r>
      <w:r>
        <w:rPr>
          <w:rStyle w:val="FootnoteReference"/>
          <w:szCs w:val="22"/>
        </w:rPr>
        <w:footnoteReference w:id="13"/>
      </w:r>
      <w:r w:rsidRPr="00066952">
        <w:rPr>
          <w:szCs w:val="22"/>
        </w:rPr>
        <w:t xml:space="preserve">  Further details about this litigation and the appointment </w:t>
      </w:r>
      <w:r>
        <w:rPr>
          <w:szCs w:val="22"/>
        </w:rPr>
        <w:t xml:space="preserve">and powers </w:t>
      </w:r>
      <w:r w:rsidRPr="00066952">
        <w:rPr>
          <w:szCs w:val="22"/>
        </w:rPr>
        <w:t>of the Receiver are available in the Wireless Telecommunications Bureau’s (Bureau) decision rejecting Havens’s various petitions challenging Leong’s qualifications to hold Commission licenses and the appointment of the Receiver</w:t>
      </w:r>
      <w:r w:rsidR="00C6323B">
        <w:rPr>
          <w:szCs w:val="22"/>
        </w:rPr>
        <w:t>,</w:t>
      </w:r>
      <w:r>
        <w:rPr>
          <w:szCs w:val="22"/>
        </w:rPr>
        <w:t xml:space="preserve"> and granting </w:t>
      </w:r>
      <w:r w:rsidR="00247892">
        <w:rPr>
          <w:szCs w:val="22"/>
        </w:rPr>
        <w:t xml:space="preserve">a </w:t>
      </w:r>
      <w:r w:rsidR="000C587D">
        <w:rPr>
          <w:szCs w:val="22"/>
        </w:rPr>
        <w:t xml:space="preserve">petition for </w:t>
      </w:r>
      <w:r>
        <w:rPr>
          <w:szCs w:val="22"/>
        </w:rPr>
        <w:t>declaratory ruling</w:t>
      </w:r>
      <w:r w:rsidR="00255190">
        <w:rPr>
          <w:szCs w:val="22"/>
        </w:rPr>
        <w:t>, filed by Leong,</w:t>
      </w:r>
      <w:r>
        <w:rPr>
          <w:szCs w:val="22"/>
        </w:rPr>
        <w:t xml:space="preserve"> </w:t>
      </w:r>
      <w:r w:rsidRPr="00066952">
        <w:rPr>
          <w:szCs w:val="22"/>
        </w:rPr>
        <w:t xml:space="preserve">to remove uncertainty about the Receiver’s ability to effectuate </w:t>
      </w:r>
      <w:r w:rsidR="00392320">
        <w:rPr>
          <w:szCs w:val="22"/>
        </w:rPr>
        <w:t xml:space="preserve">the </w:t>
      </w:r>
      <w:r w:rsidRPr="00066952">
        <w:rPr>
          <w:szCs w:val="22"/>
        </w:rPr>
        <w:t>assignment</w:t>
      </w:r>
      <w:r w:rsidR="00392320">
        <w:rPr>
          <w:szCs w:val="22"/>
        </w:rPr>
        <w:t>s</w:t>
      </w:r>
      <w:r w:rsidRPr="00066952">
        <w:rPr>
          <w:szCs w:val="22"/>
        </w:rPr>
        <w:t xml:space="preserve"> of licenses to third parties in order to distribute the proceeds in accordance with the court’s judgment.</w:t>
      </w:r>
      <w:r>
        <w:rPr>
          <w:rStyle w:val="FootnoteReference"/>
          <w:szCs w:val="22"/>
        </w:rPr>
        <w:footnoteReference w:id="14"/>
      </w:r>
      <w:r w:rsidRPr="00066952">
        <w:rPr>
          <w:szCs w:val="22"/>
        </w:rPr>
        <w:t xml:space="preserve">  </w:t>
      </w:r>
    </w:p>
    <w:p w:rsidR="00840358" w:rsidRPr="00534E7C" w:rsidP="003E23CD" w14:paraId="76721150" w14:textId="5188F7ED">
      <w:pPr>
        <w:pStyle w:val="ParaNum"/>
        <w:rPr>
          <w:szCs w:val="22"/>
        </w:rPr>
      </w:pPr>
      <w:r>
        <w:t xml:space="preserve">PTC-220 is </w:t>
      </w:r>
      <w:r w:rsidR="00212E29">
        <w:t xml:space="preserve">a consortium </w:t>
      </w:r>
      <w:r>
        <w:t xml:space="preserve">of the nation’s </w:t>
      </w:r>
      <w:r w:rsidR="00212E29">
        <w:t xml:space="preserve">seven </w:t>
      </w:r>
      <w:r>
        <w:t xml:space="preserve">largest </w:t>
      </w:r>
      <w:r w:rsidR="003807E1">
        <w:t xml:space="preserve">Class I </w:t>
      </w:r>
      <w:r>
        <w:t>freight railroads</w:t>
      </w:r>
      <w:r w:rsidR="00613D6B">
        <w:t xml:space="preserve"> formed to acquire and manage spectrum to implement </w:t>
      </w:r>
      <w:r w:rsidR="009F229D">
        <w:t>c</w:t>
      </w:r>
      <w:r w:rsidR="00613D6B">
        <w:t>ongressionally mandated</w:t>
      </w:r>
      <w:r w:rsidR="009F229D">
        <w:t xml:space="preserve"> PTC.</w:t>
      </w:r>
      <w:r>
        <w:rPr>
          <w:rStyle w:val="FootnoteReference"/>
        </w:rPr>
        <w:footnoteReference w:id="15"/>
      </w:r>
      <w:r>
        <w:t xml:space="preserve"> </w:t>
      </w:r>
      <w:r w:rsidR="00FA7E79">
        <w:t xml:space="preserve"> </w:t>
      </w:r>
      <w:r w:rsidRPr="00534E7C">
        <w:rPr>
          <w:szCs w:val="22"/>
        </w:rPr>
        <w:t xml:space="preserve">PTC systems are designed to reduce the risk of human-error rail accidents by “prevent[ing] train-to-train collisions, over-speed derailments, incursions into established work zone limits, and the </w:t>
      </w:r>
      <w:bookmarkStart w:id="3" w:name="_Hlk134106769"/>
      <w:r w:rsidRPr="00534E7C">
        <w:rPr>
          <w:szCs w:val="22"/>
        </w:rPr>
        <w:t>movement of a train through a switch left in the wrong position</w:t>
      </w:r>
      <w:bookmarkEnd w:id="3"/>
      <w:r w:rsidRPr="00534E7C">
        <w:rPr>
          <w:szCs w:val="22"/>
        </w:rPr>
        <w:t>.”</w:t>
      </w:r>
      <w:r>
        <w:rPr>
          <w:rStyle w:val="FootnoteReference"/>
          <w:szCs w:val="22"/>
        </w:rPr>
        <w:footnoteReference w:id="16"/>
      </w:r>
    </w:p>
    <w:p w:rsidR="00636E89" w:rsidRPr="00636E89" w:rsidP="003E23CD" w14:paraId="02A73BB9" w14:textId="695B4EA1">
      <w:pPr>
        <w:pStyle w:val="ParaNum"/>
        <w:rPr>
          <w:szCs w:val="22"/>
        </w:rPr>
      </w:pPr>
      <w:r>
        <w:t xml:space="preserve">PTC-220 explains that </w:t>
      </w:r>
      <w:r w:rsidR="00944F24">
        <w:t>the railroads’ original network was designed to have only a single nationwide “Common Channel,” used by all locomotive radios.</w:t>
      </w:r>
      <w:r>
        <w:rPr>
          <w:rStyle w:val="FootnoteReference"/>
        </w:rPr>
        <w:footnoteReference w:id="17"/>
      </w:r>
      <w:r w:rsidR="009460A8">
        <w:t xml:space="preserve">  However</w:t>
      </w:r>
      <w:r w:rsidR="00CA79F7">
        <w:t>, it states,</w:t>
      </w:r>
      <w:r w:rsidR="009460A8">
        <w:t xml:space="preserve"> congestion on the Common Channel occurs in many busy areas of the country, resulting in many communications from the PTC base station not getting through</w:t>
      </w:r>
      <w:r w:rsidR="00143281">
        <w:t>,</w:t>
      </w:r>
      <w:r w:rsidR="009460A8">
        <w:t xml:space="preserve"> and the solution that was developed–“Robust Common Channel” (RCC)</w:t>
      </w:r>
      <w:r>
        <w:t>—</w:t>
      </w:r>
      <w:r w:rsidR="009460A8">
        <w:t>requires</w:t>
      </w:r>
      <w:r>
        <w:t xml:space="preserve"> </w:t>
      </w:r>
      <w:r w:rsidR="009460A8">
        <w:t>two additional channels designated as common channels.  PTC</w:t>
      </w:r>
      <w:r w:rsidR="008B312C">
        <w:t xml:space="preserve">-220 further explains that in many areas of the country, its </w:t>
      </w:r>
      <w:r>
        <w:t xml:space="preserve">220 MHz </w:t>
      </w:r>
      <w:r w:rsidR="008B312C">
        <w:t xml:space="preserve">spectrum holdings </w:t>
      </w:r>
      <w:r>
        <w:t>are</w:t>
      </w:r>
      <w:r w:rsidR="008B312C">
        <w:t xml:space="preserve"> insufficient to deploy RCC’s additional two common channels, and it has therefore sought to acquire AMTS 219 MHz spectru</w:t>
      </w:r>
      <w:r w:rsidR="0046375B">
        <w:t>m</w:t>
      </w:r>
      <w:r w:rsidR="008B312C">
        <w:t xml:space="preserve"> </w:t>
      </w:r>
      <w:r w:rsidR="00F51B94">
        <w:t>which</w:t>
      </w:r>
      <w:r>
        <w:t>, it states, “</w:t>
      </w:r>
      <w:r w:rsidR="00F51B94">
        <w:t>is</w:t>
      </w:r>
      <w:r w:rsidR="008B312C">
        <w:t xml:space="preserve"> </w:t>
      </w:r>
      <w:r w:rsidR="00F51B94">
        <w:t>uniquely</w:t>
      </w:r>
      <w:r w:rsidR="008B312C">
        <w:t xml:space="preserve"> suited for </w:t>
      </w:r>
      <w:r w:rsidR="00F51B94">
        <w:t>expanding</w:t>
      </w:r>
      <w:r w:rsidR="008B312C">
        <w:t xml:space="preserve"> network capacity due to its adjacency to the 220 MHz band</w:t>
      </w:r>
      <w:r>
        <w:t>.</w:t>
      </w:r>
      <w:r w:rsidR="008B312C">
        <w:t>”</w:t>
      </w:r>
      <w:r>
        <w:rPr>
          <w:rStyle w:val="FootnoteReference"/>
        </w:rPr>
        <w:footnoteReference w:id="18"/>
      </w:r>
      <w:r w:rsidR="0046375B">
        <w:t xml:space="preserve">  PTC-220 has acquired 21</w:t>
      </w:r>
      <w:r w:rsidR="00F51B94">
        <w:t>9</w:t>
      </w:r>
      <w:r w:rsidR="0046375B">
        <w:t xml:space="preserve"> MHz spectrum in six AMTS regions</w:t>
      </w:r>
      <w:r w:rsidR="00924A7D">
        <w:t xml:space="preserve"> thus far, </w:t>
      </w:r>
      <w:r w:rsidRPr="00534E7C" w:rsidR="00924A7D">
        <w:rPr>
          <w:szCs w:val="22"/>
        </w:rPr>
        <w:t>providing its members AMTS spectrum coverage across much of the country</w:t>
      </w:r>
      <w:r w:rsidR="00E445D9">
        <w:t>;</w:t>
      </w:r>
      <w:r>
        <w:rPr>
          <w:rStyle w:val="FootnoteReference"/>
        </w:rPr>
        <w:footnoteReference w:id="19"/>
      </w:r>
      <w:r w:rsidR="00E445D9">
        <w:t xml:space="preserve"> however,</w:t>
      </w:r>
      <w:r w:rsidR="0046375B">
        <w:t xml:space="preserve"> </w:t>
      </w:r>
      <w:r>
        <w:t xml:space="preserve">it states that </w:t>
      </w:r>
      <w:r w:rsidR="0046375B">
        <w:t>certain areas</w:t>
      </w:r>
      <w:r w:rsidR="00B209BA">
        <w:t xml:space="preserve">, including </w:t>
      </w:r>
      <w:r w:rsidR="00E445D9">
        <w:t xml:space="preserve">counties </w:t>
      </w:r>
      <w:r w:rsidR="00B209BA">
        <w:t>in New Jersey, New York, and Pennsylvania (</w:t>
      </w:r>
      <w:r w:rsidR="0046375B">
        <w:t>AMTS Region 1</w:t>
      </w:r>
      <w:r w:rsidR="00B209BA">
        <w:t>)</w:t>
      </w:r>
      <w:r>
        <w:t>,</w:t>
      </w:r>
      <w:r w:rsidR="0046375B">
        <w:t xml:space="preserve"> </w:t>
      </w:r>
      <w:r w:rsidR="00B209BA">
        <w:t>“</w:t>
      </w:r>
      <w:r w:rsidR="0046375B">
        <w:t>remain as holes in PTC</w:t>
      </w:r>
      <w:r w:rsidR="004B4C7E">
        <w:t>-</w:t>
      </w:r>
      <w:r w:rsidR="0046375B">
        <w:t>220</w:t>
      </w:r>
      <w:r w:rsidR="00F51B94">
        <w:t>’</w:t>
      </w:r>
      <w:r w:rsidR="009B388D">
        <w:t>s</w:t>
      </w:r>
      <w:r w:rsidR="0046375B">
        <w:t xml:space="preserve"> 219 MHz footprint</w:t>
      </w:r>
      <w:r w:rsidR="007C7012">
        <w:t>.”</w:t>
      </w:r>
      <w:r>
        <w:rPr>
          <w:rStyle w:val="FootnoteReference"/>
        </w:rPr>
        <w:footnoteReference w:id="20"/>
      </w:r>
      <w:r w:rsidR="00BF4BBE">
        <w:t xml:space="preserve">  </w:t>
      </w:r>
      <w:r>
        <w:t>Hence, it now seeks to acquire AMTS Region 1 spectrum from ITMW.</w:t>
      </w:r>
      <w:r w:rsidR="00035DAA">
        <w:t xml:space="preserve">  The applicants add that PTC-220, as an FCC licensee, has demonstrated that it is qualified to hold Commission licenses.</w:t>
      </w:r>
      <w:r>
        <w:rPr>
          <w:rStyle w:val="FootnoteReference"/>
        </w:rPr>
        <w:footnoteReference w:id="21"/>
      </w:r>
      <w:r w:rsidR="00035DAA">
        <w:t xml:space="preserve">  </w:t>
      </w:r>
      <w:r>
        <w:t xml:space="preserve">  </w:t>
      </w:r>
    </w:p>
    <w:p w:rsidR="0082201D" w:rsidRPr="00A2574E" w:rsidP="003E23CD" w14:paraId="2CC5DC67" w14:textId="73E48B0E">
      <w:pPr>
        <w:pStyle w:val="ParaNum"/>
        <w:rPr>
          <w:szCs w:val="22"/>
        </w:rPr>
      </w:pPr>
      <w:r>
        <w:t xml:space="preserve">PTC-220 states that </w:t>
      </w:r>
      <w:r w:rsidR="00FA7E79">
        <w:t xml:space="preserve">its member railroads will initially use the </w:t>
      </w:r>
      <w:r w:rsidR="00C873AB">
        <w:t xml:space="preserve">assigned </w:t>
      </w:r>
      <w:r w:rsidR="00FA7E79">
        <w:t>AMTS spectrum “to implement a more robust channel plan . . . to improve PTC reliability.”</w:t>
      </w:r>
      <w:r>
        <w:rPr>
          <w:rStyle w:val="FootnoteReference"/>
        </w:rPr>
        <w:footnoteReference w:id="22"/>
      </w:r>
      <w:r w:rsidR="008C06F8">
        <w:t xml:space="preserve">  In addition, </w:t>
      </w:r>
      <w:r w:rsidR="00613D6B">
        <w:t xml:space="preserve">PTC-220 states that </w:t>
      </w:r>
      <w:r w:rsidR="008C06F8">
        <w:t>the railroads will be able to “leverage AMTS spectrum to:  (1) satisfy the capacity demands for expanded PTC deployment onto non-mandatory lines; (</w:t>
      </w:r>
      <w:r w:rsidR="00613D6B">
        <w:t xml:space="preserve">2) </w:t>
      </w:r>
      <w:r w:rsidR="008C06F8">
        <w:t xml:space="preserve">support other, related train safety applications, </w:t>
      </w:r>
      <w:r w:rsidR="008C06F8">
        <w:t xml:space="preserve">including End of Train </w:t>
      </w:r>
      <w:r w:rsidR="009F229D">
        <w:t xml:space="preserve">(EOT) </w:t>
      </w:r>
      <w:r w:rsidR="008C06F8">
        <w:t>devices</w:t>
      </w:r>
      <w:r>
        <w:rPr>
          <w:rStyle w:val="FootnoteReference"/>
        </w:rPr>
        <w:footnoteReference w:id="23"/>
      </w:r>
      <w:r w:rsidR="008C06F8">
        <w:t xml:space="preserve"> </w:t>
      </w:r>
      <w:r w:rsidR="00613D6B">
        <w:t xml:space="preserve">and distributed </w:t>
      </w:r>
      <w:r w:rsidR="008C06F8">
        <w:t>power</w:t>
      </w:r>
      <w:r w:rsidR="00C873AB">
        <w:t xml:space="preserve"> systems</w:t>
      </w:r>
      <w:r w:rsidR="008C06F8">
        <w:t>;</w:t>
      </w:r>
      <w:r>
        <w:rPr>
          <w:rStyle w:val="FootnoteReference"/>
        </w:rPr>
        <w:footnoteReference w:id="24"/>
      </w:r>
      <w:r w:rsidR="008C06F8">
        <w:t xml:space="preserve"> and (3) support future safety-related functions, such as improvements</w:t>
      </w:r>
      <w:r w:rsidR="00613D6B">
        <w:t xml:space="preserve"> </w:t>
      </w:r>
      <w:r w:rsidR="008C06F8">
        <w:t>to grade crossing equipment.”</w:t>
      </w:r>
      <w:r>
        <w:rPr>
          <w:rStyle w:val="FootnoteReference"/>
        </w:rPr>
        <w:footnoteReference w:id="25"/>
      </w:r>
      <w:r w:rsidR="00CB26A0">
        <w:t xml:space="preserve">  </w:t>
      </w:r>
      <w:r w:rsidR="006B2D75">
        <w:t xml:space="preserve">As discussed further below, </w:t>
      </w:r>
      <w:r w:rsidR="00CB26A0">
        <w:t xml:space="preserve">PTC-220 </w:t>
      </w:r>
      <w:r w:rsidR="006B2D75">
        <w:t xml:space="preserve">seeks waivers of </w:t>
      </w:r>
      <w:r w:rsidR="00CB26A0">
        <w:t>certain part 80 rules</w:t>
      </w:r>
      <w:r w:rsidR="006B2D75">
        <w:t xml:space="preserve"> which, it argues,</w:t>
      </w:r>
      <w:r w:rsidR="00CB26A0">
        <w:t xml:space="preserve"> are “inapplicable to [PTC], a private land mobile data radio system</w:t>
      </w:r>
      <w:r w:rsidR="006B2D75">
        <w:t>.</w:t>
      </w:r>
      <w:r w:rsidR="00CB26A0">
        <w:t>”</w:t>
      </w:r>
      <w:r>
        <w:rPr>
          <w:rStyle w:val="FootnoteReference"/>
        </w:rPr>
        <w:footnoteReference w:id="26"/>
      </w:r>
      <w:r w:rsidR="00A2574E">
        <w:t xml:space="preserve">   </w:t>
      </w:r>
      <w:r w:rsidRPr="00A2574E" w:rsidR="00996C27">
        <w:rPr>
          <w:szCs w:val="22"/>
        </w:rPr>
        <w:t xml:space="preserve"> </w:t>
      </w:r>
      <w:r w:rsidR="00386942">
        <w:t xml:space="preserve"> </w:t>
      </w:r>
      <w:r w:rsidRPr="00A2574E" w:rsidR="009A3F9D">
        <w:rPr>
          <w:szCs w:val="22"/>
          <w:highlight w:val="yellow"/>
        </w:rPr>
        <w:t xml:space="preserve">  </w:t>
      </w:r>
    </w:p>
    <w:p w:rsidR="00BE5E68" w:rsidP="00214BE2" w14:paraId="698ECF14" w14:textId="77777777">
      <w:pPr>
        <w:pStyle w:val="Heading1"/>
        <w:rPr>
          <w:rFonts w:ascii="Times New Roman" w:hAnsi="Times New Roman"/>
          <w:szCs w:val="22"/>
        </w:rPr>
      </w:pPr>
      <w:bookmarkStart w:id="4" w:name="_Toc432754488"/>
      <w:bookmarkStart w:id="5" w:name="_Toc432767961"/>
      <w:bookmarkStart w:id="6" w:name="_Toc433108643"/>
      <w:bookmarkStart w:id="7" w:name="_Toc433202766"/>
      <w:bookmarkStart w:id="8" w:name="_Toc433264838"/>
      <w:bookmarkStart w:id="9" w:name="_Toc434509966"/>
      <w:bookmarkStart w:id="10" w:name="_Toc434511179"/>
      <w:bookmarkStart w:id="11" w:name="_Toc434582082"/>
      <w:bookmarkStart w:id="12" w:name="_Toc435612716"/>
      <w:bookmarkStart w:id="13" w:name="_Toc437511242"/>
      <w:bookmarkStart w:id="14" w:name="_Toc439765306"/>
      <w:bookmarkStart w:id="15" w:name="_Toc439855352"/>
      <w:bookmarkStart w:id="16" w:name="_Toc441061373"/>
      <w:r>
        <w:rPr>
          <w:rFonts w:ascii="Times New Roman" w:hAnsi="Times New Roman"/>
          <w:szCs w:val="22"/>
        </w:rPr>
        <w:t>Discussion</w:t>
      </w:r>
      <w:bookmarkEnd w:id="4"/>
      <w:bookmarkEnd w:id="5"/>
      <w:bookmarkEnd w:id="6"/>
      <w:bookmarkEnd w:id="7"/>
      <w:bookmarkEnd w:id="8"/>
      <w:bookmarkEnd w:id="9"/>
      <w:bookmarkEnd w:id="10"/>
      <w:bookmarkEnd w:id="11"/>
      <w:bookmarkEnd w:id="12"/>
      <w:bookmarkEnd w:id="13"/>
      <w:bookmarkEnd w:id="14"/>
      <w:bookmarkEnd w:id="15"/>
      <w:bookmarkEnd w:id="16"/>
    </w:p>
    <w:p w:rsidR="00BE5E68" w:rsidP="00E42829" w14:paraId="26AB3431" w14:textId="34AB631F">
      <w:pPr>
        <w:pStyle w:val="Heading2"/>
      </w:pPr>
      <w:bookmarkStart w:id="17" w:name="co_tablefootnote_10_1"/>
      <w:bookmarkEnd w:id="17"/>
      <w:r>
        <w:t>Assignment Application</w:t>
      </w:r>
    </w:p>
    <w:p w:rsidR="00821230" w:rsidRPr="00E014A2" w:rsidP="003E23CD" w14:paraId="7D8DD032" w14:textId="6B70152E">
      <w:pPr>
        <w:pStyle w:val="ParaNum"/>
      </w:pPr>
      <w:r w:rsidRPr="7AD6FBA1">
        <w:rPr>
          <w:i/>
          <w:iCs/>
        </w:rPr>
        <w:t>Timeliness</w:t>
      </w:r>
      <w:r w:rsidRPr="7AD6FBA1">
        <w:t>.  We find that Havens’s Petition was untimely filed and otherwise procedurally deficient.  On January 11, 2023, the Application appeared on an Accepted for Filing Public Notice (AFF PN).  Interested parties had 14 days after the release of the AFF PN to file petitions to deny,</w:t>
      </w:r>
      <w:r>
        <w:rPr>
          <w:rStyle w:val="FootnoteReference"/>
        </w:rPr>
        <w:footnoteReference w:id="27"/>
      </w:r>
      <w:r>
        <w:rPr>
          <w:szCs w:val="22"/>
        </w:rPr>
        <w:t xml:space="preserve"> </w:t>
      </w:r>
      <w:r w:rsidR="00B36C73">
        <w:t xml:space="preserve">with Petitions due no later than January 25, 2023.  </w:t>
      </w:r>
      <w:r w:rsidRPr="7AD6FBA1">
        <w:t>Havens file</w:t>
      </w:r>
      <w:r w:rsidR="005F3EF6">
        <w:t>d</w:t>
      </w:r>
      <w:r w:rsidRPr="7AD6FBA1">
        <w:t xml:space="preserve"> his Petition </w:t>
      </w:r>
      <w:r w:rsidR="007062D3">
        <w:t xml:space="preserve">on </w:t>
      </w:r>
      <w:r w:rsidRPr="7AD6FBA1">
        <w:t>February 10, 2023</w:t>
      </w:r>
      <w:r w:rsidR="007062D3">
        <w:t xml:space="preserve"> and present</w:t>
      </w:r>
      <w:r w:rsidR="00C71E57">
        <w:t>ed</w:t>
      </w:r>
      <w:r w:rsidR="007062D3">
        <w:t xml:space="preserve"> no justification for the late-filing</w:t>
      </w:r>
      <w:r>
        <w:rPr>
          <w:szCs w:val="22"/>
        </w:rPr>
        <w:t>.</w:t>
      </w:r>
      <w:r w:rsidRPr="7AD6FBA1">
        <w:t xml:space="preserve">  </w:t>
      </w:r>
      <w:r w:rsidR="00C04455">
        <w:t>Additionally, w</w:t>
      </w:r>
      <w:r w:rsidR="00EB674A">
        <w:t xml:space="preserve">e </w:t>
      </w:r>
      <w:r w:rsidR="00084A4B">
        <w:t>treat</w:t>
      </w:r>
      <w:r w:rsidRPr="7AD6FBA1" w:rsidR="751A9598">
        <w:t xml:space="preserve"> the Motion</w:t>
      </w:r>
      <w:r w:rsidR="00B347CC">
        <w:t xml:space="preserve">, which was also late-filed </w:t>
      </w:r>
      <w:r w:rsidRPr="7AD6FBA1" w:rsidR="00B347CC">
        <w:t>on February 21, 202</w:t>
      </w:r>
      <w:r w:rsidR="00A50A10">
        <w:t>3,</w:t>
      </w:r>
      <w:r w:rsidRPr="7AD6FBA1" w:rsidR="751A9598">
        <w:t xml:space="preserve"> </w:t>
      </w:r>
      <w:r w:rsidR="00084A4B">
        <w:t>a</w:t>
      </w:r>
      <w:r w:rsidRPr="7AD6FBA1" w:rsidR="3E335585">
        <w:t xml:space="preserve">s a supplement to </w:t>
      </w:r>
      <w:r w:rsidRPr="7AD6FBA1" w:rsidR="608EC16D">
        <w:t xml:space="preserve">the </w:t>
      </w:r>
      <w:r w:rsidRPr="7AD6FBA1" w:rsidR="3E335585">
        <w:t>petition to deny</w:t>
      </w:r>
      <w:r w:rsidR="00DE7DDA">
        <w:t>.</w:t>
      </w:r>
      <w:r w:rsidRPr="7AD6FBA1" w:rsidR="3E335585">
        <w:t xml:space="preserve"> </w:t>
      </w:r>
      <w:r w:rsidR="00283EC0">
        <w:t xml:space="preserve"> </w:t>
      </w:r>
      <w:r w:rsidRPr="7AD6FBA1">
        <w:t xml:space="preserve">Accordingly, we dismiss the Petition </w:t>
      </w:r>
      <w:r w:rsidRPr="7AD6FBA1" w:rsidR="2B4A47E0">
        <w:t xml:space="preserve">and Motion </w:t>
      </w:r>
      <w:r w:rsidRPr="7AD6FBA1">
        <w:t>as untimely.</w:t>
      </w:r>
    </w:p>
    <w:p w:rsidR="00821230" w:rsidRPr="008A7A1C" w:rsidP="003E23CD" w14:paraId="447913E9" w14:textId="448FB6C9">
      <w:pPr>
        <w:pStyle w:val="ParaNum"/>
        <w:rPr>
          <w:szCs w:val="22"/>
        </w:rPr>
      </w:pPr>
      <w:r>
        <w:rPr>
          <w:i/>
          <w:iCs/>
          <w:szCs w:val="22"/>
        </w:rPr>
        <w:t>Standing</w:t>
      </w:r>
      <w:r>
        <w:rPr>
          <w:szCs w:val="22"/>
        </w:rPr>
        <w:t>.  Further, w</w:t>
      </w:r>
      <w:r w:rsidRPr="008A7A1C">
        <w:rPr>
          <w:szCs w:val="22"/>
        </w:rPr>
        <w:t>e find that Havens lack</w:t>
      </w:r>
      <w:r w:rsidR="00633FCE">
        <w:rPr>
          <w:szCs w:val="22"/>
        </w:rPr>
        <w:t>ed</w:t>
      </w:r>
      <w:r w:rsidRPr="008A7A1C">
        <w:rPr>
          <w:szCs w:val="22"/>
        </w:rPr>
        <w:t xml:space="preserve"> standing to pursue his Petition</w:t>
      </w:r>
      <w:r>
        <w:rPr>
          <w:szCs w:val="22"/>
        </w:rPr>
        <w:t xml:space="preserve"> and Motion</w:t>
      </w:r>
      <w:r w:rsidR="00A27B18">
        <w:rPr>
          <w:szCs w:val="22"/>
        </w:rPr>
        <w:t xml:space="preserve"> at the time he filed them</w:t>
      </w:r>
      <w:r w:rsidRPr="008A7A1C">
        <w:rPr>
          <w:szCs w:val="22"/>
        </w:rPr>
        <w:t>, and we therefore do not address his arguments on the merits.  Commission precedent clearly establishes that, to demonstrate party-in-interest standing, a petitioner to deny an application must allege facts sufficient to demonstrate that grant of the subject application would cause it to suffer a direct injury.</w:t>
      </w:r>
      <w:r>
        <w:rPr>
          <w:rStyle w:val="FootnoteReference"/>
          <w:szCs w:val="22"/>
        </w:rPr>
        <w:footnoteReference w:id="28"/>
      </w:r>
      <w:r>
        <w:rPr>
          <w:szCs w:val="22"/>
        </w:rPr>
        <w:t xml:space="preserve">  </w:t>
      </w:r>
      <w:r w:rsidRPr="008A7A1C">
        <w:rPr>
          <w:szCs w:val="22"/>
        </w:rPr>
        <w:t>For these purposes, the injury must be concrete and particularized and also actual or imminent, not conjectural or hypothetical.</w:t>
      </w:r>
      <w:r>
        <w:rPr>
          <w:rStyle w:val="FootnoteReference"/>
          <w:szCs w:val="22"/>
        </w:rPr>
        <w:footnoteReference w:id="29"/>
      </w:r>
      <w:r w:rsidRPr="008A7A1C">
        <w:rPr>
          <w:szCs w:val="22"/>
        </w:rPr>
        <w:t xml:space="preserve">  In addition, a petitioner must demonstrate a causal </w:t>
      </w:r>
      <w:r w:rsidRPr="008A7A1C">
        <w:rPr>
          <w:szCs w:val="22"/>
        </w:rPr>
        <w:t>link between the claimed injury and the challenged action.</w:t>
      </w:r>
      <w:r>
        <w:rPr>
          <w:rStyle w:val="FootnoteReference"/>
          <w:szCs w:val="22"/>
        </w:rPr>
        <w:footnoteReference w:id="30"/>
      </w:r>
      <w:r w:rsidRPr="008A7A1C">
        <w:rPr>
          <w:szCs w:val="22"/>
        </w:rPr>
        <w:t xml:space="preserve">  To demonstrate a causal link, the petitioner must establish that the injury can be traced to the challenged action and the injury would be prevented or redressed by the relief requested.</w:t>
      </w:r>
      <w:r>
        <w:rPr>
          <w:rStyle w:val="FootnoteReference"/>
          <w:szCs w:val="22"/>
        </w:rPr>
        <w:footnoteReference w:id="31"/>
      </w:r>
      <w:r w:rsidRPr="008A7A1C">
        <w:rPr>
          <w:szCs w:val="22"/>
        </w:rPr>
        <w:t xml:space="preserve">  It is the petitioner’s burden to make the necessary showings.</w:t>
      </w:r>
      <w:r>
        <w:rPr>
          <w:rStyle w:val="FootnoteReference"/>
          <w:szCs w:val="22"/>
        </w:rPr>
        <w:footnoteReference w:id="32"/>
      </w:r>
      <w:r w:rsidRPr="008A7A1C">
        <w:rPr>
          <w:szCs w:val="22"/>
        </w:rPr>
        <w:t xml:space="preserve">  </w:t>
      </w:r>
    </w:p>
    <w:p w:rsidR="00821230" w:rsidRPr="008A7A1C" w:rsidP="003E23CD" w14:paraId="73FDB452" w14:textId="7B252236">
      <w:pPr>
        <w:pStyle w:val="ParaNum"/>
        <w:rPr>
          <w:szCs w:val="22"/>
        </w:rPr>
      </w:pPr>
      <w:r>
        <w:rPr>
          <w:szCs w:val="22"/>
        </w:rPr>
        <w:t xml:space="preserve">Here, </w:t>
      </w:r>
      <w:r w:rsidRPr="008A7A1C">
        <w:rPr>
          <w:szCs w:val="22"/>
        </w:rPr>
        <w:t xml:space="preserve">Havens </w:t>
      </w:r>
      <w:r w:rsidRPr="008A7A1C" w:rsidR="0025174F">
        <w:rPr>
          <w:szCs w:val="22"/>
        </w:rPr>
        <w:t>d</w:t>
      </w:r>
      <w:r w:rsidR="0025174F">
        <w:rPr>
          <w:szCs w:val="22"/>
        </w:rPr>
        <w:t>id</w:t>
      </w:r>
      <w:r w:rsidRPr="008A7A1C" w:rsidR="0025174F">
        <w:rPr>
          <w:szCs w:val="22"/>
        </w:rPr>
        <w:t xml:space="preserve"> </w:t>
      </w:r>
      <w:r w:rsidRPr="008A7A1C">
        <w:rPr>
          <w:szCs w:val="22"/>
        </w:rPr>
        <w:t xml:space="preserve">not satisfy his burden under the standard set forth above.  He </w:t>
      </w:r>
      <w:r w:rsidR="0025174F">
        <w:rPr>
          <w:szCs w:val="22"/>
        </w:rPr>
        <w:t>did</w:t>
      </w:r>
      <w:r w:rsidRPr="008A7A1C" w:rsidR="0025174F">
        <w:rPr>
          <w:szCs w:val="22"/>
        </w:rPr>
        <w:t xml:space="preserve"> </w:t>
      </w:r>
      <w:r w:rsidRPr="008A7A1C">
        <w:rPr>
          <w:szCs w:val="22"/>
        </w:rPr>
        <w:t xml:space="preserve">not allege facts sufficient to show that he </w:t>
      </w:r>
      <w:r w:rsidR="0025174F">
        <w:rPr>
          <w:szCs w:val="22"/>
        </w:rPr>
        <w:t>would have</w:t>
      </w:r>
      <w:r w:rsidRPr="008A7A1C" w:rsidR="0025174F">
        <w:rPr>
          <w:szCs w:val="22"/>
        </w:rPr>
        <w:t xml:space="preserve"> </w:t>
      </w:r>
      <w:r w:rsidRPr="008A7A1C">
        <w:rPr>
          <w:szCs w:val="22"/>
        </w:rPr>
        <w:t>suffer</w:t>
      </w:r>
      <w:r w:rsidR="0025174F">
        <w:rPr>
          <w:szCs w:val="22"/>
        </w:rPr>
        <w:t>ed</w:t>
      </w:r>
      <w:r w:rsidRPr="008A7A1C">
        <w:rPr>
          <w:szCs w:val="22"/>
        </w:rPr>
        <w:t xml:space="preserve"> a direct injury as a result of grant of the </w:t>
      </w:r>
      <w:r>
        <w:rPr>
          <w:szCs w:val="22"/>
        </w:rPr>
        <w:t>Application</w:t>
      </w:r>
      <w:r w:rsidRPr="008A7A1C">
        <w:rPr>
          <w:szCs w:val="22"/>
        </w:rPr>
        <w:t xml:space="preserve">, or explain why denying the </w:t>
      </w:r>
      <w:r>
        <w:rPr>
          <w:szCs w:val="22"/>
        </w:rPr>
        <w:t>Application</w:t>
      </w:r>
      <w:r w:rsidRPr="008A7A1C">
        <w:rPr>
          <w:szCs w:val="22"/>
        </w:rPr>
        <w:t xml:space="preserve"> would </w:t>
      </w:r>
      <w:r w:rsidR="0025174F">
        <w:rPr>
          <w:szCs w:val="22"/>
        </w:rPr>
        <w:t xml:space="preserve">have </w:t>
      </w:r>
      <w:r w:rsidRPr="008A7A1C">
        <w:rPr>
          <w:szCs w:val="22"/>
        </w:rPr>
        <w:t>prevent</w:t>
      </w:r>
      <w:r w:rsidR="0025174F">
        <w:rPr>
          <w:szCs w:val="22"/>
        </w:rPr>
        <w:t>ed</w:t>
      </w:r>
      <w:r w:rsidRPr="008A7A1C">
        <w:rPr>
          <w:szCs w:val="22"/>
        </w:rPr>
        <w:t xml:space="preserve"> or redress</w:t>
      </w:r>
      <w:r w:rsidR="0025174F">
        <w:rPr>
          <w:szCs w:val="22"/>
        </w:rPr>
        <w:t>ed</w:t>
      </w:r>
      <w:r w:rsidRPr="008A7A1C">
        <w:rPr>
          <w:szCs w:val="22"/>
        </w:rPr>
        <w:t xml:space="preserve"> any such injury.  </w:t>
      </w:r>
      <w:r>
        <w:rPr>
          <w:szCs w:val="22"/>
        </w:rPr>
        <w:t xml:space="preserve">Significantly, </w:t>
      </w:r>
      <w:r w:rsidRPr="008A7A1C">
        <w:rPr>
          <w:szCs w:val="22"/>
        </w:rPr>
        <w:t>Havens no longer control</w:t>
      </w:r>
      <w:r w:rsidR="0025174F">
        <w:rPr>
          <w:szCs w:val="22"/>
        </w:rPr>
        <w:t>led</w:t>
      </w:r>
      <w:r w:rsidRPr="008A7A1C">
        <w:rPr>
          <w:szCs w:val="22"/>
        </w:rPr>
        <w:t xml:space="preserve"> the licenses at issue in the Application</w:t>
      </w:r>
      <w:r w:rsidR="004009C9">
        <w:rPr>
          <w:szCs w:val="22"/>
        </w:rPr>
        <w:t xml:space="preserve"> </w:t>
      </w:r>
      <w:r w:rsidR="0025174F">
        <w:rPr>
          <w:szCs w:val="22"/>
        </w:rPr>
        <w:t>at the time he filed his Petition</w:t>
      </w:r>
      <w:r w:rsidRPr="008A7A1C">
        <w:rPr>
          <w:szCs w:val="22"/>
        </w:rPr>
        <w:t>.  Both the</w:t>
      </w:r>
      <w:r>
        <w:rPr>
          <w:szCs w:val="22"/>
        </w:rPr>
        <w:t xml:space="preserve"> </w:t>
      </w:r>
      <w:r w:rsidRPr="008A7A1C">
        <w:rPr>
          <w:szCs w:val="22"/>
        </w:rPr>
        <w:t xml:space="preserve">Court’s decision appointing the Receiver and the FCC’s decision to allow involuntary transfer of the licenses to the Receiver </w:t>
      </w:r>
      <w:r w:rsidR="0025174F">
        <w:rPr>
          <w:szCs w:val="22"/>
        </w:rPr>
        <w:t>had become</w:t>
      </w:r>
      <w:r w:rsidRPr="008A7A1C">
        <w:rPr>
          <w:szCs w:val="22"/>
        </w:rPr>
        <w:t xml:space="preserve"> final.</w:t>
      </w:r>
      <w:r>
        <w:rPr>
          <w:rStyle w:val="FootnoteReference"/>
          <w:szCs w:val="22"/>
        </w:rPr>
        <w:footnoteReference w:id="33"/>
      </w:r>
      <w:r w:rsidRPr="008A7A1C">
        <w:rPr>
          <w:szCs w:val="22"/>
        </w:rPr>
        <w:t xml:space="preserve">  Under the circumstances, it is not apparent (and Havens </w:t>
      </w:r>
      <w:r w:rsidRPr="008A7A1C" w:rsidR="00333AAA">
        <w:rPr>
          <w:szCs w:val="22"/>
        </w:rPr>
        <w:t>d</w:t>
      </w:r>
      <w:r w:rsidR="00333AAA">
        <w:rPr>
          <w:szCs w:val="22"/>
        </w:rPr>
        <w:t>id</w:t>
      </w:r>
      <w:r w:rsidRPr="008A7A1C" w:rsidR="00333AAA">
        <w:rPr>
          <w:szCs w:val="22"/>
        </w:rPr>
        <w:t xml:space="preserve"> </w:t>
      </w:r>
      <w:r w:rsidRPr="008A7A1C">
        <w:rPr>
          <w:szCs w:val="22"/>
        </w:rPr>
        <w:t xml:space="preserve">not explain) why granting the Application here to partially assign the license for </w:t>
      </w:r>
      <w:r>
        <w:t xml:space="preserve">WQGF310 </w:t>
      </w:r>
      <w:r w:rsidRPr="008A7A1C">
        <w:rPr>
          <w:szCs w:val="22"/>
        </w:rPr>
        <w:t xml:space="preserve">from </w:t>
      </w:r>
      <w:r>
        <w:rPr>
          <w:szCs w:val="22"/>
        </w:rPr>
        <w:t>ITMW</w:t>
      </w:r>
      <w:r w:rsidRPr="008A7A1C">
        <w:rPr>
          <w:szCs w:val="22"/>
        </w:rPr>
        <w:t xml:space="preserve"> (an entity Havens </w:t>
      </w:r>
      <w:r w:rsidRPr="008A7A1C" w:rsidR="00333AAA">
        <w:rPr>
          <w:szCs w:val="22"/>
        </w:rPr>
        <w:t>d</w:t>
      </w:r>
      <w:r w:rsidR="00333AAA">
        <w:rPr>
          <w:szCs w:val="22"/>
        </w:rPr>
        <w:t>id</w:t>
      </w:r>
      <w:r w:rsidRPr="008A7A1C" w:rsidR="00333AAA">
        <w:rPr>
          <w:szCs w:val="22"/>
        </w:rPr>
        <w:t xml:space="preserve"> </w:t>
      </w:r>
      <w:r w:rsidRPr="008A7A1C">
        <w:rPr>
          <w:szCs w:val="22"/>
        </w:rPr>
        <w:t xml:space="preserve">not control) to </w:t>
      </w:r>
      <w:r>
        <w:rPr>
          <w:szCs w:val="22"/>
        </w:rPr>
        <w:t>PTC-220</w:t>
      </w:r>
      <w:r w:rsidRPr="008A7A1C">
        <w:rPr>
          <w:szCs w:val="22"/>
        </w:rPr>
        <w:t xml:space="preserve"> (a different entity Havens </w:t>
      </w:r>
      <w:r w:rsidRPr="008A7A1C" w:rsidR="00333AAA">
        <w:rPr>
          <w:szCs w:val="22"/>
        </w:rPr>
        <w:t>d</w:t>
      </w:r>
      <w:r w:rsidR="00333AAA">
        <w:rPr>
          <w:szCs w:val="22"/>
        </w:rPr>
        <w:t>id</w:t>
      </w:r>
      <w:r w:rsidRPr="008A7A1C" w:rsidR="00333AAA">
        <w:rPr>
          <w:szCs w:val="22"/>
        </w:rPr>
        <w:t xml:space="preserve"> </w:t>
      </w:r>
      <w:r w:rsidRPr="008A7A1C">
        <w:rPr>
          <w:szCs w:val="22"/>
        </w:rPr>
        <w:t xml:space="preserve">not control) would </w:t>
      </w:r>
      <w:r w:rsidR="00333AAA">
        <w:rPr>
          <w:szCs w:val="22"/>
        </w:rPr>
        <w:t xml:space="preserve">have </w:t>
      </w:r>
      <w:r w:rsidRPr="008A7A1C">
        <w:rPr>
          <w:szCs w:val="22"/>
        </w:rPr>
        <w:t>injure</w:t>
      </w:r>
      <w:r w:rsidR="00333AAA">
        <w:rPr>
          <w:szCs w:val="22"/>
        </w:rPr>
        <w:t>d</w:t>
      </w:r>
      <w:r w:rsidRPr="008A7A1C">
        <w:rPr>
          <w:szCs w:val="22"/>
        </w:rPr>
        <w:t xml:space="preserve"> Havens.</w:t>
      </w:r>
      <w:r>
        <w:rPr>
          <w:rStyle w:val="FootnoteReference"/>
          <w:szCs w:val="22"/>
        </w:rPr>
        <w:footnoteReference w:id="34"/>
      </w:r>
    </w:p>
    <w:p w:rsidR="00821230" w:rsidP="003E23CD" w14:paraId="66FBB675" w14:textId="04C76F6A">
      <w:pPr>
        <w:pStyle w:val="ParaNum"/>
        <w:rPr>
          <w:szCs w:val="22"/>
        </w:rPr>
      </w:pPr>
      <w:r w:rsidRPr="008A7A1C">
        <w:rPr>
          <w:szCs w:val="22"/>
        </w:rPr>
        <w:t xml:space="preserve">Insofar as Havens collaterally </w:t>
      </w:r>
      <w:r w:rsidRPr="008A7A1C" w:rsidR="00597795">
        <w:rPr>
          <w:szCs w:val="22"/>
        </w:rPr>
        <w:t>attack</w:t>
      </w:r>
      <w:r w:rsidR="00597795">
        <w:rPr>
          <w:szCs w:val="22"/>
        </w:rPr>
        <w:t>ed</w:t>
      </w:r>
      <w:r w:rsidRPr="008A7A1C" w:rsidR="00597795">
        <w:rPr>
          <w:szCs w:val="22"/>
        </w:rPr>
        <w:t xml:space="preserve"> </w:t>
      </w:r>
      <w:r w:rsidRPr="008A7A1C">
        <w:rPr>
          <w:szCs w:val="22"/>
        </w:rPr>
        <w:t>the judicial and regulatory proceedings that resulted in the Receiver’s acquiring control of the licenses that Havens formerly controlled, we are not empowered to review those already final determinations here.</w:t>
      </w:r>
      <w:r>
        <w:rPr>
          <w:rStyle w:val="FootnoteReference"/>
          <w:szCs w:val="22"/>
        </w:rPr>
        <w:footnoteReference w:id="35"/>
      </w:r>
      <w:r w:rsidRPr="008A7A1C">
        <w:rPr>
          <w:szCs w:val="22"/>
        </w:rPr>
        <w:t xml:space="preserve">  And, in any event, as the agency has suggested in other contexts, “untimely challenges to actions in other proceedings” cannot “form the basis for a cognizable injury directly caused from [a] grant” of the Application here.</w:t>
      </w:r>
      <w:r>
        <w:rPr>
          <w:rStyle w:val="FootnoteReference"/>
          <w:szCs w:val="22"/>
        </w:rPr>
        <w:footnoteReference w:id="36"/>
      </w:r>
      <w:r w:rsidRPr="008A7A1C">
        <w:rPr>
          <w:szCs w:val="22"/>
        </w:rPr>
        <w:t xml:space="preserve">  </w:t>
      </w:r>
    </w:p>
    <w:p w:rsidR="009D4DBD" w:rsidP="003E23CD" w14:paraId="228B28EF" w14:textId="0A65187C">
      <w:pPr>
        <w:pStyle w:val="ParaNum"/>
      </w:pPr>
      <w:r w:rsidRPr="7AD6FBA1">
        <w:t xml:space="preserve">Havens also </w:t>
      </w:r>
      <w:r w:rsidRPr="7AD6FBA1" w:rsidR="00597795">
        <w:t>mention</w:t>
      </w:r>
      <w:r w:rsidR="00597795">
        <w:t>ed</w:t>
      </w:r>
      <w:r w:rsidRPr="7AD6FBA1" w:rsidR="00597795">
        <w:t xml:space="preserve"> </w:t>
      </w:r>
      <w:r w:rsidRPr="7AD6FBA1">
        <w:t xml:space="preserve">pleadings that he filed in other regulatory proceedings before the FCC.  In these pleadings, he argued that he </w:t>
      </w:r>
      <w:r w:rsidRPr="7AD6FBA1" w:rsidR="00E16B9D">
        <w:t>ha</w:t>
      </w:r>
      <w:r w:rsidR="00E16B9D">
        <w:t>d</w:t>
      </w:r>
      <w:r w:rsidRPr="7AD6FBA1" w:rsidR="00E16B9D">
        <w:t xml:space="preserve"> </w:t>
      </w:r>
      <w:r w:rsidRPr="7AD6FBA1">
        <w:t>standing to file on behalf of the entities he formerly controlled.  These allegations were fully</w:t>
      </w:r>
      <w:r w:rsidRPr="00657195">
        <w:rPr>
          <w:szCs w:val="22"/>
        </w:rPr>
        <w:t xml:space="preserve"> </w:t>
      </w:r>
      <w:r w:rsidRPr="00657195" w:rsidR="00D317A6">
        <w:rPr>
          <w:szCs w:val="22"/>
        </w:rPr>
        <w:t>addressed</w:t>
      </w:r>
      <w:r w:rsidRPr="00657195">
        <w:rPr>
          <w:szCs w:val="22"/>
        </w:rPr>
        <w:t xml:space="preserve"> in </w:t>
      </w:r>
      <w:r w:rsidRPr="00657195" w:rsidR="00597795">
        <w:rPr>
          <w:szCs w:val="22"/>
        </w:rPr>
        <w:t xml:space="preserve">an </w:t>
      </w:r>
      <w:r w:rsidRPr="00657195">
        <w:rPr>
          <w:szCs w:val="22"/>
        </w:rPr>
        <w:t xml:space="preserve">order dismissing petitions </w:t>
      </w:r>
      <w:r w:rsidRPr="00657195" w:rsidR="00597795">
        <w:rPr>
          <w:szCs w:val="22"/>
        </w:rPr>
        <w:t>that Havens filed challeng</w:t>
      </w:r>
      <w:r w:rsidRPr="00657195" w:rsidR="00222004">
        <w:rPr>
          <w:szCs w:val="22"/>
        </w:rPr>
        <w:t xml:space="preserve">ing a </w:t>
      </w:r>
      <w:r w:rsidRPr="00657195" w:rsidR="0057439D">
        <w:rPr>
          <w:szCs w:val="22"/>
        </w:rPr>
        <w:t xml:space="preserve">separate transaction to assign </w:t>
      </w:r>
      <w:r w:rsidRPr="00657195" w:rsidR="00A2266C">
        <w:rPr>
          <w:szCs w:val="22"/>
        </w:rPr>
        <w:t xml:space="preserve">partial </w:t>
      </w:r>
      <w:r w:rsidRPr="00657195" w:rsidR="0057439D">
        <w:rPr>
          <w:szCs w:val="22"/>
        </w:rPr>
        <w:t xml:space="preserve">licenses </w:t>
      </w:r>
      <w:r w:rsidRPr="00657195" w:rsidR="00A2266C">
        <w:rPr>
          <w:szCs w:val="22"/>
        </w:rPr>
        <w:t>from a formerl</w:t>
      </w:r>
      <w:r w:rsidRPr="00657195" w:rsidR="006964B4">
        <w:rPr>
          <w:szCs w:val="22"/>
        </w:rPr>
        <w:t>y</w:t>
      </w:r>
      <w:r w:rsidRPr="00657195" w:rsidR="00A2266C">
        <w:rPr>
          <w:szCs w:val="22"/>
        </w:rPr>
        <w:t>-controlled Havens company to a third party</w:t>
      </w:r>
      <w:r w:rsidRPr="00657195">
        <w:rPr>
          <w:szCs w:val="22"/>
        </w:rPr>
        <w:t>.</w:t>
      </w:r>
      <w:r>
        <w:rPr>
          <w:rStyle w:val="FootnoteReference"/>
          <w:sz w:val="22"/>
          <w:szCs w:val="22"/>
        </w:rPr>
        <w:footnoteReference w:id="37"/>
      </w:r>
      <w:r w:rsidRPr="00657195">
        <w:rPr>
          <w:szCs w:val="22"/>
        </w:rPr>
        <w:t xml:space="preserve">  For all of these reasons, </w:t>
      </w:r>
      <w:r w:rsidRPr="00657195" w:rsidR="00D317A6">
        <w:rPr>
          <w:szCs w:val="22"/>
        </w:rPr>
        <w:t xml:space="preserve">in addition to dismissing the Petition as untimely filed, we dismiss </w:t>
      </w:r>
      <w:r w:rsidRPr="00657195">
        <w:rPr>
          <w:szCs w:val="22"/>
        </w:rPr>
        <w:t>Havens’s Petition for lack of standing.</w:t>
      </w:r>
      <w:r w:rsidRPr="00657195" w:rsidR="009B388D">
        <w:rPr>
          <w:szCs w:val="22"/>
        </w:rPr>
        <w:t xml:space="preserve">  </w:t>
      </w:r>
      <w:r w:rsidRPr="00657195" w:rsidR="008C3972">
        <w:rPr>
          <w:szCs w:val="22"/>
        </w:rPr>
        <w:t>Independently, w</w:t>
      </w:r>
      <w:r w:rsidRPr="00657195" w:rsidR="00B66261">
        <w:rPr>
          <w:szCs w:val="22"/>
        </w:rPr>
        <w:t xml:space="preserve">e </w:t>
      </w:r>
      <w:r w:rsidRPr="00657195">
        <w:rPr>
          <w:szCs w:val="22"/>
        </w:rPr>
        <w:t>have reviewed the Application and conclude that grant of the Application will serve the public interest.</w:t>
      </w:r>
      <w:r w:rsidRPr="00657195" w:rsidR="00657195">
        <w:rPr>
          <w:szCs w:val="22"/>
        </w:rPr>
        <w:t xml:space="preserve">  </w:t>
      </w:r>
      <w:r w:rsidRPr="00657195" w:rsidR="00657195">
        <w:rPr>
          <w:rStyle w:val="cf01"/>
          <w:rFonts w:ascii="Times New Roman" w:hAnsi="Times New Roman" w:cs="Times New Roman"/>
          <w:sz w:val="22"/>
          <w:szCs w:val="22"/>
        </w:rPr>
        <w:t>Specifically, we find that the assignment of this AMTS license from ITMW to PTC-220 furthers the public interest because it will facilitate use of the spectrum for implementation of PTC and non-PTC rail safety systems in AMTS Region 1, both for PTC-220 member freight railroads and also for passenger and commuter railroads, which may access the newly assigned spectrum resources from PTC-220 via spectrum lease.  Granting the Application therefore also serves the Commission’s core policy goals of promoting the safety of life and property.</w:t>
      </w:r>
      <w:r>
        <w:rPr>
          <w:rStyle w:val="FootnoteReference"/>
          <w:szCs w:val="22"/>
        </w:rPr>
        <w:footnoteReference w:id="38"/>
      </w:r>
      <w:r>
        <w:t xml:space="preserve"> </w:t>
      </w:r>
    </w:p>
    <w:p w:rsidR="009D4DBD" w:rsidRPr="0077033D" w:rsidP="00E42829" w14:paraId="4FAE2A45" w14:textId="4D0C40C1">
      <w:pPr>
        <w:pStyle w:val="Heading2"/>
        <w:rPr>
          <w:szCs w:val="22"/>
        </w:rPr>
      </w:pPr>
      <w:r w:rsidRPr="0077033D">
        <w:t xml:space="preserve">Conditions Related to Havens Character Inquiry </w:t>
      </w:r>
    </w:p>
    <w:p w:rsidR="009B4C53" w:rsidRPr="009B4C53" w:rsidP="009B4C53" w14:paraId="75987212" w14:textId="5688312F">
      <w:pPr>
        <w:pStyle w:val="ParaNum"/>
        <w:rPr>
          <w:snapToGrid/>
          <w:kern w:val="0"/>
          <w:sz w:val="20"/>
        </w:rPr>
      </w:pPr>
      <w:r>
        <w:t xml:space="preserve">In the </w:t>
      </w:r>
      <w:r w:rsidRPr="00D7308A">
        <w:rPr>
          <w:i/>
          <w:iCs/>
        </w:rPr>
        <w:t>Receiver Order</w:t>
      </w:r>
      <w:r>
        <w:t xml:space="preserve"> </w:t>
      </w:r>
      <w:r w:rsidRPr="00066952">
        <w:t>rejecting Havens’</w:t>
      </w:r>
      <w:r w:rsidR="003C1962">
        <w:t>s</w:t>
      </w:r>
      <w:r w:rsidRPr="00066952">
        <w:t xml:space="preserve"> various petitions challenging Leong’s qualifications to hold Commission licenses and the appointment of the Receiver</w:t>
      </w:r>
      <w:r>
        <w:t xml:space="preserve">, the Bureau ordered that each transaction involving the licenses of former Havens-controlled entities would be conditioned to ensure that </w:t>
      </w:r>
      <w:r w:rsidRPr="00DA47F0">
        <w:t>Havens w</w:t>
      </w:r>
      <w:r>
        <w:t>ould</w:t>
      </w:r>
      <w:r w:rsidRPr="00DA47F0">
        <w:t xml:space="preserve"> play no role in the operation of</w:t>
      </w:r>
      <w:r w:rsidR="0083113D">
        <w:t>,</w:t>
      </w:r>
      <w:r w:rsidRPr="00DA47F0">
        <w:t xml:space="preserve"> nor derive any monetary benefit from</w:t>
      </w:r>
      <w:r w:rsidR="0083113D">
        <w:t>,</w:t>
      </w:r>
      <w:r w:rsidRPr="00DA47F0">
        <w:t xml:space="preserve"> the sale of the </w:t>
      </w:r>
      <w:r w:rsidR="00BF3CE9">
        <w:t>l</w:t>
      </w:r>
      <w:r w:rsidRPr="00DA47F0" w:rsidR="00BF3CE9">
        <w:t>icenses</w:t>
      </w:r>
      <w:r>
        <w:t xml:space="preserve">, </w:t>
      </w:r>
      <w:r w:rsidRPr="00DA47F0">
        <w:t xml:space="preserve">pending the resolution of the </w:t>
      </w:r>
      <w:r w:rsidR="00994094">
        <w:t>Enforcement Bureau’s</w:t>
      </w:r>
      <w:r w:rsidRPr="00DA47F0">
        <w:t xml:space="preserve"> assessment of his character qualifications.</w:t>
      </w:r>
      <w:r>
        <w:rPr>
          <w:rStyle w:val="FootnoteReference"/>
          <w:szCs w:val="22"/>
        </w:rPr>
        <w:footnoteReference w:id="39"/>
      </w:r>
      <w:r>
        <w:t xml:space="preserve"> </w:t>
      </w:r>
      <w:r w:rsidR="00BF1FC6">
        <w:t xml:space="preserve"> </w:t>
      </w:r>
      <w:r w:rsidR="0030484C">
        <w:t>Specifically</w:t>
      </w:r>
      <w:r w:rsidR="00893F25">
        <w:t>,</w:t>
      </w:r>
      <w:r w:rsidR="0030484C">
        <w:t xml:space="preserve"> the Bureau </w:t>
      </w:r>
      <w:r w:rsidR="00893F25">
        <w:t xml:space="preserve">applied the </w:t>
      </w:r>
      <w:r w:rsidR="00BF1FC6">
        <w:t xml:space="preserve">following conditions to </w:t>
      </w:r>
      <w:r w:rsidR="00893F25">
        <w:t>any</w:t>
      </w:r>
      <w:r w:rsidR="00BF1FC6">
        <w:t xml:space="preserve"> Commission approval of a transaction involving th</w:t>
      </w:r>
      <w:r w:rsidR="00CB44CA">
        <w:t>e</w:t>
      </w:r>
      <w:r w:rsidR="00BF1FC6">
        <w:t xml:space="preserve">se licenses: </w:t>
      </w:r>
      <w:r w:rsidR="00677A75">
        <w:t xml:space="preserve"> </w:t>
      </w:r>
      <w:r w:rsidRPr="00677A75" w:rsidR="00CB44CA">
        <w:rPr>
          <w:szCs w:val="22"/>
        </w:rPr>
        <w:t>(1) the buyer must submit a sworn statement that Warren Havens will not be involved in the operations of the spectrum associated with th</w:t>
      </w:r>
      <w:r w:rsidR="0083113D">
        <w:rPr>
          <w:szCs w:val="22"/>
        </w:rPr>
        <w:t>e</w:t>
      </w:r>
      <w:r w:rsidRPr="00677A75" w:rsidR="00CB44CA">
        <w:rPr>
          <w:szCs w:val="22"/>
        </w:rPr>
        <w:t xml:space="preserve"> application;</w:t>
      </w:r>
      <w:r>
        <w:rPr>
          <w:rStyle w:val="FootnoteReference"/>
          <w:szCs w:val="22"/>
        </w:rPr>
        <w:footnoteReference w:id="40"/>
      </w:r>
      <w:r w:rsidRPr="00677A75" w:rsidR="00CB44CA">
        <w:rPr>
          <w:szCs w:val="22"/>
        </w:rPr>
        <w:t xml:space="preserve"> (2) the Receiver must file a sworn statement attesting that any proceeds of the sale intended for Havens will go into escrow, in accordance with all applicable state and local laws, pending the resolution of the Commission’s assessment of Havens’s character qualifications to be a licensee; and (3) post-closing of the transaction, the Receiver must file under seal an accounting of the proceeds collected from the sale of the licenses involved.</w:t>
      </w:r>
      <w:r>
        <w:rPr>
          <w:rStyle w:val="FootnoteReference"/>
        </w:rPr>
        <w:footnoteReference w:id="41"/>
      </w:r>
      <w:r>
        <w:t xml:space="preserve"> </w:t>
      </w:r>
    </w:p>
    <w:p w:rsidR="00034F39" w:rsidRPr="00034F39" w:rsidP="009B4C53" w14:paraId="6CF0C3F0" w14:textId="2487452C">
      <w:pPr>
        <w:pStyle w:val="ParaNum"/>
        <w:rPr>
          <w:snapToGrid/>
          <w:kern w:val="0"/>
          <w:sz w:val="20"/>
        </w:rPr>
      </w:pPr>
      <w:r>
        <w:t>A</w:t>
      </w:r>
      <w:r w:rsidR="001270F2">
        <w:t xml:space="preserve">s noted above, Havens passed away on June 27, 2023.  </w:t>
      </w:r>
      <w:r w:rsidR="00D57CE7">
        <w:t>It is consistent with precedent to find that, with his death, there is no regulatory purpose to an examination of his character and qualifications.</w:t>
      </w:r>
      <w:r>
        <w:rPr>
          <w:rStyle w:val="FootnoteReference"/>
        </w:rPr>
        <w:footnoteReference w:id="42"/>
      </w:r>
      <w:r w:rsidR="00D57CE7">
        <w:t xml:space="preserve">  Further, we have been informed by the Enforcement Bureau that the investigation into Havens’s character qualifications has been closed</w:t>
      </w:r>
      <w:r w:rsidR="00D70269">
        <w:t xml:space="preserve"> and no adverse findings have been made about </w:t>
      </w:r>
      <w:r w:rsidR="005B77B5">
        <w:t>Havens’s</w:t>
      </w:r>
      <w:r w:rsidR="00D70269">
        <w:t xml:space="preserve"> character</w:t>
      </w:r>
      <w:r w:rsidR="00D57CE7">
        <w:t xml:space="preserve">.  Therefore, the above conditions are moot, and </w:t>
      </w:r>
      <w:r w:rsidR="002518CB">
        <w:t xml:space="preserve">we </w:t>
      </w:r>
      <w:r w:rsidR="00D57CE7">
        <w:t>will no</w:t>
      </w:r>
      <w:r w:rsidR="002518CB">
        <w:t xml:space="preserve">t place these conditions on the licenses </w:t>
      </w:r>
      <w:r w:rsidR="001D505C">
        <w:t>in this</w:t>
      </w:r>
      <w:r w:rsidR="005B77B5">
        <w:t xml:space="preserve"> and future</w:t>
      </w:r>
      <w:r w:rsidR="001D505C">
        <w:t xml:space="preserve"> transaction</w:t>
      </w:r>
      <w:r w:rsidR="005B77B5">
        <w:t>s</w:t>
      </w:r>
      <w:r w:rsidR="00AC4859">
        <w:t>, and we remove these conditions from previously approved transactions.</w:t>
      </w:r>
      <w:r>
        <w:rPr>
          <w:rStyle w:val="FootnoteReference"/>
        </w:rPr>
        <w:footnoteReference w:id="43"/>
      </w:r>
    </w:p>
    <w:p w:rsidR="007D45B2" w:rsidP="00E42829" w14:paraId="3CD92BA7" w14:textId="7FF57270">
      <w:pPr>
        <w:pStyle w:val="Heading2"/>
      </w:pPr>
      <w:r>
        <w:t>PTC-220 Waiver Request</w:t>
      </w:r>
    </w:p>
    <w:p w:rsidR="00597D46" w:rsidP="003E23CD" w14:paraId="582271F7" w14:textId="5196D1B6">
      <w:pPr>
        <w:pStyle w:val="ParaNum"/>
      </w:pPr>
      <w:r>
        <w:t xml:space="preserve">We now </w:t>
      </w:r>
      <w:r w:rsidR="00821230">
        <w:t xml:space="preserve">turn to PTC-220’s’s </w:t>
      </w:r>
      <w:r w:rsidR="00503397">
        <w:t>Waiver R</w:t>
      </w:r>
      <w:r>
        <w:t>equest</w:t>
      </w:r>
      <w:r w:rsidR="00503397">
        <w:t>, which</w:t>
      </w:r>
      <w:r w:rsidR="00DC2A76">
        <w:t xml:space="preserve"> seek</w:t>
      </w:r>
      <w:r w:rsidR="00503397">
        <w:t>s</w:t>
      </w:r>
      <w:r w:rsidR="00DC2A76">
        <w:t xml:space="preserve"> waiver</w:t>
      </w:r>
      <w:r>
        <w:t xml:space="preserve"> of the following part 80 rules</w:t>
      </w:r>
      <w:r w:rsidR="007524E9">
        <w:t>:</w:t>
      </w:r>
    </w:p>
    <w:p w:rsidR="00016B50" w:rsidRPr="008A25E7" w:rsidP="00B209BA" w14:paraId="125A92FC" w14:textId="77777777">
      <w:pPr>
        <w:pStyle w:val="ParaNum"/>
        <w:numPr>
          <w:ilvl w:val="0"/>
          <w:numId w:val="3"/>
        </w:numPr>
        <w:tabs>
          <w:tab w:val="left" w:pos="1440"/>
        </w:tabs>
        <w:spacing w:after="220"/>
        <w:rPr>
          <w:szCs w:val="22"/>
        </w:rPr>
      </w:pPr>
      <w:r w:rsidRPr="008A25E7">
        <w:rPr>
          <w:szCs w:val="22"/>
        </w:rPr>
        <w:t>Section 80.92(a), which requires licensees to monitor a frequency before transmitting;</w:t>
      </w:r>
      <w:r w:rsidRPr="008A25E7">
        <w:rPr>
          <w:rStyle w:val="FootnoteReference"/>
          <w:szCs w:val="22"/>
        </w:rPr>
        <w:t xml:space="preserve"> </w:t>
      </w:r>
      <w:r>
        <w:rPr>
          <w:rStyle w:val="FootnoteReference"/>
          <w:szCs w:val="22"/>
        </w:rPr>
        <w:footnoteReference w:id="44"/>
      </w:r>
    </w:p>
    <w:p w:rsidR="00016B50" w:rsidRPr="008A25E7" w:rsidP="00B209BA" w14:paraId="37C5904F" w14:textId="73012B03">
      <w:pPr>
        <w:pStyle w:val="ParaNum"/>
        <w:numPr>
          <w:ilvl w:val="0"/>
          <w:numId w:val="3"/>
        </w:numPr>
        <w:tabs>
          <w:tab w:val="left" w:pos="1440"/>
        </w:tabs>
        <w:spacing w:after="220"/>
        <w:rPr>
          <w:szCs w:val="22"/>
        </w:rPr>
      </w:pPr>
      <w:r w:rsidRPr="008A25E7">
        <w:rPr>
          <w:szCs w:val="22"/>
        </w:rPr>
        <w:t>Section 80.105, which requires coast stations</w:t>
      </w:r>
      <w:r w:rsidR="00983C0F">
        <w:rPr>
          <w:szCs w:val="22"/>
        </w:rPr>
        <w:t xml:space="preserve"> </w:t>
      </w:r>
      <w:r w:rsidRPr="008A25E7">
        <w:rPr>
          <w:szCs w:val="22"/>
        </w:rPr>
        <w:t xml:space="preserve">to receive calls from ship and aircraft </w:t>
      </w:r>
      <w:r w:rsidRPr="008A25E7">
        <w:rPr>
          <w:szCs w:val="22"/>
        </w:rPr>
        <w:t>stations;</w:t>
      </w:r>
      <w:r>
        <w:rPr>
          <w:rStyle w:val="FootnoteReference"/>
          <w:szCs w:val="22"/>
        </w:rPr>
        <w:footnoteReference w:id="45"/>
      </w:r>
    </w:p>
    <w:p w:rsidR="00016B50" w:rsidRPr="008A25E7" w:rsidP="00B209BA" w14:paraId="313DFA78" w14:textId="77777777">
      <w:pPr>
        <w:pStyle w:val="ParaNum"/>
        <w:numPr>
          <w:ilvl w:val="0"/>
          <w:numId w:val="3"/>
        </w:numPr>
        <w:tabs>
          <w:tab w:val="left" w:pos="1440"/>
        </w:tabs>
        <w:spacing w:after="220"/>
        <w:rPr>
          <w:szCs w:val="22"/>
        </w:rPr>
      </w:pPr>
      <w:r w:rsidRPr="008A25E7">
        <w:rPr>
          <w:szCs w:val="22"/>
        </w:rPr>
        <w:t>Section 80.106, which requires a coast station to receive communications from mobile stations and to transmit communications delivered to it, which are directed to mobile stations;</w:t>
      </w:r>
      <w:r>
        <w:rPr>
          <w:rStyle w:val="FootnoteReference"/>
          <w:szCs w:val="22"/>
        </w:rPr>
        <w:footnoteReference w:id="46"/>
      </w:r>
    </w:p>
    <w:p w:rsidR="00016B50" w:rsidRPr="008A25E7" w:rsidP="00B209BA" w14:paraId="31BEAA48" w14:textId="77777777">
      <w:pPr>
        <w:pStyle w:val="ParaNum"/>
        <w:numPr>
          <w:ilvl w:val="0"/>
          <w:numId w:val="3"/>
        </w:numPr>
        <w:tabs>
          <w:tab w:val="left" w:pos="1440"/>
        </w:tabs>
        <w:spacing w:after="220"/>
        <w:rPr>
          <w:szCs w:val="22"/>
        </w:rPr>
      </w:pPr>
      <w:r w:rsidRPr="008A25E7">
        <w:rPr>
          <w:szCs w:val="22"/>
        </w:rPr>
        <w:t>Section 80.123(a), which requires an AMTS land station to secure a letter authorizing the land station to communicate with a coast station;</w:t>
      </w:r>
      <w:r>
        <w:rPr>
          <w:rStyle w:val="FootnoteReference"/>
          <w:szCs w:val="22"/>
        </w:rPr>
        <w:footnoteReference w:id="47"/>
      </w:r>
      <w:r w:rsidRPr="008A25E7">
        <w:rPr>
          <w:szCs w:val="22"/>
        </w:rPr>
        <w:t xml:space="preserve"> </w:t>
      </w:r>
    </w:p>
    <w:p w:rsidR="00016B50" w:rsidRPr="008A25E7" w:rsidP="00B209BA" w14:paraId="7A975A14" w14:textId="77777777">
      <w:pPr>
        <w:pStyle w:val="ParaNum"/>
        <w:numPr>
          <w:ilvl w:val="0"/>
          <w:numId w:val="3"/>
        </w:numPr>
        <w:tabs>
          <w:tab w:val="left" w:pos="1440"/>
        </w:tabs>
        <w:spacing w:after="220"/>
        <w:rPr>
          <w:szCs w:val="22"/>
        </w:rPr>
      </w:pPr>
      <w:r w:rsidRPr="008A25E7">
        <w:rPr>
          <w:szCs w:val="22"/>
        </w:rPr>
        <w:t>Section 80.123(b), which requires coast stations to afford priority to marine-originating communications;</w:t>
      </w:r>
      <w:r>
        <w:rPr>
          <w:rStyle w:val="FootnoteReference"/>
          <w:szCs w:val="22"/>
        </w:rPr>
        <w:footnoteReference w:id="48"/>
      </w:r>
      <w:r w:rsidRPr="008A25E7">
        <w:rPr>
          <w:szCs w:val="22"/>
        </w:rPr>
        <w:t xml:space="preserve"> </w:t>
      </w:r>
    </w:p>
    <w:p w:rsidR="00016B50" w:rsidRPr="008A25E7" w:rsidP="00B209BA" w14:paraId="1B67ADE0" w14:textId="77777777">
      <w:pPr>
        <w:pStyle w:val="ParaNum"/>
        <w:numPr>
          <w:ilvl w:val="0"/>
          <w:numId w:val="3"/>
        </w:numPr>
        <w:tabs>
          <w:tab w:val="left" w:pos="1440"/>
        </w:tabs>
        <w:spacing w:after="220"/>
        <w:rPr>
          <w:szCs w:val="22"/>
        </w:rPr>
      </w:pPr>
      <w:r w:rsidRPr="008A25E7">
        <w:rPr>
          <w:szCs w:val="22"/>
        </w:rPr>
        <w:t>Section 80.123(f), which provides that AMTS land stations may only communicate with coast stations;</w:t>
      </w:r>
      <w:r>
        <w:rPr>
          <w:rStyle w:val="FootnoteReference"/>
          <w:szCs w:val="22"/>
        </w:rPr>
        <w:footnoteReference w:id="49"/>
      </w:r>
      <w:r w:rsidRPr="008A25E7">
        <w:rPr>
          <w:szCs w:val="22"/>
        </w:rPr>
        <w:t xml:space="preserve"> </w:t>
      </w:r>
    </w:p>
    <w:p w:rsidR="00016B50" w:rsidP="00B209BA" w14:paraId="7B9B8135" w14:textId="0A72ECB6">
      <w:pPr>
        <w:pStyle w:val="ParaNum"/>
        <w:numPr>
          <w:ilvl w:val="0"/>
          <w:numId w:val="3"/>
        </w:numPr>
        <w:tabs>
          <w:tab w:val="left" w:pos="1440"/>
        </w:tabs>
        <w:spacing w:after="220"/>
        <w:rPr>
          <w:szCs w:val="22"/>
        </w:rPr>
      </w:pPr>
      <w:r w:rsidRPr="008A25E7">
        <w:rPr>
          <w:szCs w:val="22"/>
        </w:rPr>
        <w:t>Section 80.385(a)(2), which divides the AMTS spectrum band into coast (base) station frequencies (217-218 MHz) and ship (mobile) station frequencies (219-220 MHz)</w:t>
      </w:r>
      <w:r w:rsidR="001C322C">
        <w:rPr>
          <w:szCs w:val="22"/>
        </w:rPr>
        <w:t>;</w:t>
      </w:r>
      <w:r>
        <w:rPr>
          <w:rStyle w:val="FootnoteReference"/>
          <w:szCs w:val="22"/>
        </w:rPr>
        <w:footnoteReference w:id="50"/>
      </w:r>
      <w:r w:rsidR="001C322C">
        <w:rPr>
          <w:szCs w:val="22"/>
        </w:rPr>
        <w:t xml:space="preserve"> and</w:t>
      </w:r>
    </w:p>
    <w:p w:rsidR="001C322C" w:rsidRPr="001C322C" w:rsidP="001C322C" w14:paraId="0A9D1CCC" w14:textId="7375C1D7">
      <w:pPr>
        <w:pStyle w:val="ParaNum"/>
        <w:numPr>
          <w:ilvl w:val="0"/>
          <w:numId w:val="3"/>
        </w:numPr>
        <w:tabs>
          <w:tab w:val="left" w:pos="1440"/>
        </w:tabs>
        <w:spacing w:after="220"/>
        <w:rPr>
          <w:szCs w:val="22"/>
        </w:rPr>
      </w:pPr>
      <w:r w:rsidRPr="008A25E7">
        <w:rPr>
          <w:szCs w:val="22"/>
        </w:rPr>
        <w:t>Section 80.215(h)(5), which requires coast stations’ transmitter power, as measured at the input terminals to the station antenna, to be 50 watts or less</w:t>
      </w:r>
      <w:r>
        <w:rPr>
          <w:szCs w:val="22"/>
        </w:rPr>
        <w:t>.</w:t>
      </w:r>
      <w:r>
        <w:rPr>
          <w:rStyle w:val="FootnoteReference"/>
          <w:szCs w:val="22"/>
        </w:rPr>
        <w:footnoteReference w:id="51"/>
      </w:r>
    </w:p>
    <w:p w:rsidR="001C322C" w:rsidP="00152187" w14:paraId="6EAC08E1" w14:textId="77E4352B">
      <w:pPr>
        <w:pStyle w:val="ParaNum"/>
        <w:widowControl/>
        <w:rPr>
          <w:szCs w:val="22"/>
        </w:rPr>
      </w:pPr>
      <w:r>
        <w:t xml:space="preserve">PTC-220 discusses each rule separately and argues, for each one, that it satisfies both prongs </w:t>
      </w:r>
      <w:r w:rsidRPr="00201DC6">
        <w:rPr>
          <w:szCs w:val="22"/>
        </w:rPr>
        <w:t>of the Commission’s section 1.925(b)(3) waiver standard.</w:t>
      </w:r>
      <w:r>
        <w:rPr>
          <w:rStyle w:val="FootnoteReference"/>
          <w:sz w:val="22"/>
          <w:szCs w:val="22"/>
        </w:rPr>
        <w:footnoteReference w:id="52"/>
      </w:r>
      <w:r>
        <w:rPr>
          <w:szCs w:val="22"/>
        </w:rPr>
        <w:t xml:space="preserve">  It also notes that t</w:t>
      </w:r>
      <w:r w:rsidRPr="00534E7C">
        <w:rPr>
          <w:szCs w:val="22"/>
        </w:rPr>
        <w:t>he Bureau granted PTC-220</w:t>
      </w:r>
      <w:r>
        <w:rPr>
          <w:szCs w:val="22"/>
        </w:rPr>
        <w:t xml:space="preserve"> </w:t>
      </w:r>
      <w:r w:rsidRPr="00534E7C">
        <w:rPr>
          <w:szCs w:val="22"/>
        </w:rPr>
        <w:t>waiver</w:t>
      </w:r>
      <w:r>
        <w:rPr>
          <w:szCs w:val="22"/>
        </w:rPr>
        <w:t>s</w:t>
      </w:r>
      <w:r w:rsidRPr="00534E7C">
        <w:rPr>
          <w:szCs w:val="22"/>
        </w:rPr>
        <w:t xml:space="preserve"> of </w:t>
      </w:r>
      <w:r>
        <w:rPr>
          <w:szCs w:val="22"/>
        </w:rPr>
        <w:t>th</w:t>
      </w:r>
      <w:r w:rsidR="0054022D">
        <w:rPr>
          <w:szCs w:val="22"/>
        </w:rPr>
        <w:t>e</w:t>
      </w:r>
      <w:r w:rsidR="00651D98">
        <w:rPr>
          <w:szCs w:val="22"/>
        </w:rPr>
        <w:t>se</w:t>
      </w:r>
      <w:r w:rsidR="0054022D">
        <w:rPr>
          <w:szCs w:val="22"/>
        </w:rPr>
        <w:t xml:space="preserve"> same </w:t>
      </w:r>
      <w:r w:rsidR="0017597C">
        <w:rPr>
          <w:szCs w:val="22"/>
        </w:rPr>
        <w:t xml:space="preserve">part 80 </w:t>
      </w:r>
      <w:r w:rsidRPr="00534E7C">
        <w:rPr>
          <w:szCs w:val="22"/>
        </w:rPr>
        <w:t xml:space="preserve">rules </w:t>
      </w:r>
      <w:r>
        <w:rPr>
          <w:szCs w:val="22"/>
        </w:rPr>
        <w:t xml:space="preserve">in </w:t>
      </w:r>
      <w:r w:rsidR="003321D8">
        <w:rPr>
          <w:szCs w:val="22"/>
        </w:rPr>
        <w:t>2020</w:t>
      </w:r>
      <w:r w:rsidR="0017597C">
        <w:rPr>
          <w:szCs w:val="22"/>
        </w:rPr>
        <w:t>,</w:t>
      </w:r>
      <w:r w:rsidR="003321D8">
        <w:rPr>
          <w:szCs w:val="22"/>
        </w:rPr>
        <w:t xml:space="preserve"> in </w:t>
      </w:r>
      <w:r w:rsidR="0017597C">
        <w:rPr>
          <w:szCs w:val="22"/>
        </w:rPr>
        <w:t xml:space="preserve">connection with an </w:t>
      </w:r>
      <w:r>
        <w:rPr>
          <w:szCs w:val="22"/>
        </w:rPr>
        <w:t xml:space="preserve">assignment of spectrum </w:t>
      </w:r>
      <w:r w:rsidR="003321D8">
        <w:rPr>
          <w:szCs w:val="22"/>
        </w:rPr>
        <w:t xml:space="preserve">from Thomas K. </w:t>
      </w:r>
      <w:r w:rsidR="00E329A5">
        <w:rPr>
          <w:szCs w:val="22"/>
        </w:rPr>
        <w:t>Kurian</w:t>
      </w:r>
      <w:r w:rsidRPr="00534E7C" w:rsidR="00E329A5">
        <w:rPr>
          <w:szCs w:val="22"/>
        </w:rPr>
        <w:t xml:space="preserve"> </w:t>
      </w:r>
      <w:r w:rsidR="00E329A5">
        <w:rPr>
          <w:szCs w:val="22"/>
        </w:rPr>
        <w:t xml:space="preserve">(Kurian) </w:t>
      </w:r>
      <w:r w:rsidRPr="00534E7C">
        <w:rPr>
          <w:szCs w:val="22"/>
        </w:rPr>
        <w:t>to enable use of the AMTS frequencies for PTC as well as other rail safety (i.e., non-PTC) systems.</w:t>
      </w:r>
      <w:r>
        <w:rPr>
          <w:rStyle w:val="FootnoteReference"/>
          <w:szCs w:val="22"/>
        </w:rPr>
        <w:footnoteReference w:id="53"/>
      </w:r>
      <w:r w:rsidR="00651D98">
        <w:rPr>
          <w:szCs w:val="22"/>
        </w:rPr>
        <w:t xml:space="preserve">  PTC-220 further notes that the Bureau has granted waivers of all or most of these same part 80 rules in connection with other railroads’ acquisition of spectrum</w:t>
      </w:r>
      <w:r w:rsidR="0041047E">
        <w:rPr>
          <w:szCs w:val="22"/>
        </w:rPr>
        <w:t>,</w:t>
      </w:r>
      <w:r>
        <w:rPr>
          <w:rStyle w:val="FootnoteReference"/>
          <w:szCs w:val="22"/>
        </w:rPr>
        <w:footnoteReference w:id="54"/>
      </w:r>
      <w:r w:rsidR="00651D98">
        <w:rPr>
          <w:szCs w:val="22"/>
        </w:rPr>
        <w:t xml:space="preserve"> as well as </w:t>
      </w:r>
      <w:r w:rsidR="0041047E">
        <w:rPr>
          <w:szCs w:val="22"/>
        </w:rPr>
        <w:t xml:space="preserve">in </w:t>
      </w:r>
      <w:r w:rsidR="0041047E">
        <w:rPr>
          <w:szCs w:val="22"/>
        </w:rPr>
        <w:t xml:space="preserve">connection with granting </w:t>
      </w:r>
      <w:r w:rsidR="00651D98">
        <w:rPr>
          <w:szCs w:val="22"/>
        </w:rPr>
        <w:t xml:space="preserve">modifications of AMTS licenses held by PTC-220 in other </w:t>
      </w:r>
      <w:r w:rsidR="0041047E">
        <w:rPr>
          <w:szCs w:val="22"/>
        </w:rPr>
        <w:t>areas of the country.</w:t>
      </w:r>
      <w:r>
        <w:rPr>
          <w:rStyle w:val="FootnoteReference"/>
          <w:szCs w:val="22"/>
        </w:rPr>
        <w:footnoteReference w:id="55"/>
      </w:r>
      <w:r w:rsidR="0017597C">
        <w:rPr>
          <w:szCs w:val="22"/>
        </w:rPr>
        <w:t xml:space="preserve">  </w:t>
      </w:r>
      <w:r w:rsidRPr="00534E7C">
        <w:rPr>
          <w:szCs w:val="22"/>
        </w:rPr>
        <w:t xml:space="preserve"> </w:t>
      </w:r>
    </w:p>
    <w:p w:rsidR="00302A01" w:rsidRPr="0041047E" w:rsidP="003E23CD" w14:paraId="0ED7D8CB" w14:textId="20867518">
      <w:pPr>
        <w:pStyle w:val="ParaNum"/>
        <w:rPr>
          <w:szCs w:val="22"/>
        </w:rPr>
      </w:pPr>
      <w:r w:rsidRPr="008558C1">
        <w:t>Section 1.925(b)(3) of the Commission’s rules states that the Commission may grant a waiver</w:t>
      </w:r>
      <w:r w:rsidRPr="008A7A1C">
        <w:rPr>
          <w:szCs w:val="22"/>
        </w:rPr>
        <w:t xml:space="preserve"> when either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56"/>
      </w:r>
      <w:r w:rsidR="0054022D">
        <w:rPr>
          <w:szCs w:val="22"/>
        </w:rPr>
        <w:t xml:space="preserve">  </w:t>
      </w:r>
      <w:r w:rsidRPr="008A25E7" w:rsidR="00394396">
        <w:rPr>
          <w:szCs w:val="22"/>
        </w:rPr>
        <w:t>The Commission also may waive a rule, in whole or in part, on its own motion or on petition for good cause.</w:t>
      </w:r>
      <w:r>
        <w:rPr>
          <w:szCs w:val="22"/>
          <w:vertAlign w:val="superscript"/>
        </w:rPr>
        <w:footnoteReference w:id="57"/>
      </w:r>
      <w:r w:rsidR="002B2F0B">
        <w:rPr>
          <w:szCs w:val="22"/>
        </w:rPr>
        <w:t xml:space="preserve">  </w:t>
      </w:r>
      <w:r w:rsidRPr="002B6104">
        <w:rPr>
          <w:szCs w:val="22"/>
        </w:rPr>
        <w:t xml:space="preserve"> </w:t>
      </w:r>
      <w:r w:rsidRPr="002B6104" w:rsidR="00DC2A76">
        <w:rPr>
          <w:szCs w:val="22"/>
        </w:rPr>
        <w:t xml:space="preserve"> </w:t>
      </w:r>
    </w:p>
    <w:p w:rsidR="000F5B0A" w:rsidRPr="00294125" w:rsidP="000F5B0A" w14:paraId="0C83383C" w14:textId="77777777">
      <w:pPr>
        <w:pStyle w:val="ParaNum"/>
        <w:rPr>
          <w:color w:val="3D3D3D"/>
          <w:kern w:val="2"/>
          <w:shd w:val="clear" w:color="auto" w:fill="FFFFFF"/>
        </w:rPr>
      </w:pPr>
      <w:r w:rsidRPr="00E329A5">
        <w:rPr>
          <w:szCs w:val="22"/>
        </w:rPr>
        <w:t xml:space="preserve">As </w:t>
      </w:r>
      <w:r w:rsidRPr="00E329A5" w:rsidR="00016B50">
        <w:rPr>
          <w:szCs w:val="22"/>
        </w:rPr>
        <w:t xml:space="preserve">PTC-220 </w:t>
      </w:r>
      <w:r w:rsidR="00E329A5">
        <w:rPr>
          <w:szCs w:val="22"/>
        </w:rPr>
        <w:t>notes, in the Bureau’s 2020 decision gra</w:t>
      </w:r>
      <w:r w:rsidR="007E19CA">
        <w:rPr>
          <w:szCs w:val="22"/>
        </w:rPr>
        <w:t>n</w:t>
      </w:r>
      <w:r w:rsidR="00E329A5">
        <w:rPr>
          <w:szCs w:val="22"/>
        </w:rPr>
        <w:t xml:space="preserve">ting an assignment (through partitioning and disaggregation) of AMTS spectrum from Kurian to PTC-220, the Bureau waived </w:t>
      </w:r>
      <w:r w:rsidR="00F94D47">
        <w:rPr>
          <w:szCs w:val="22"/>
        </w:rPr>
        <w:t>all</w:t>
      </w:r>
      <w:r w:rsidR="00E329A5">
        <w:rPr>
          <w:szCs w:val="22"/>
        </w:rPr>
        <w:t xml:space="preserve"> eight </w:t>
      </w:r>
      <w:r w:rsidR="00F94D47">
        <w:rPr>
          <w:szCs w:val="22"/>
        </w:rPr>
        <w:t xml:space="preserve">of the </w:t>
      </w:r>
      <w:r w:rsidR="00E329A5">
        <w:rPr>
          <w:szCs w:val="22"/>
        </w:rPr>
        <w:t>p</w:t>
      </w:r>
      <w:r w:rsidRPr="008A25E7" w:rsidR="00E329A5">
        <w:rPr>
          <w:szCs w:val="22"/>
        </w:rPr>
        <w:t xml:space="preserve">art 80 rules identified above to </w:t>
      </w:r>
      <w:r w:rsidR="00E329A5">
        <w:rPr>
          <w:szCs w:val="22"/>
        </w:rPr>
        <w:t>facilitate implementation of PTC and related rail safety systems.</w:t>
      </w:r>
      <w:r>
        <w:rPr>
          <w:rStyle w:val="FootnoteReference"/>
          <w:szCs w:val="22"/>
        </w:rPr>
        <w:footnoteReference w:id="58"/>
      </w:r>
      <w:r w:rsidR="00E329A5">
        <w:rPr>
          <w:szCs w:val="22"/>
        </w:rPr>
        <w:t xml:space="preserve">  </w:t>
      </w:r>
      <w:r w:rsidR="00F94D47">
        <w:rPr>
          <w:szCs w:val="22"/>
        </w:rPr>
        <w:t xml:space="preserve">Additionally, </w:t>
      </w:r>
      <w:r w:rsidRPr="008A25E7" w:rsidR="008E238F">
        <w:rPr>
          <w:szCs w:val="22"/>
        </w:rPr>
        <w:t xml:space="preserve">with the exception of </w:t>
      </w:r>
      <w:r w:rsidR="008E238F">
        <w:rPr>
          <w:szCs w:val="22"/>
        </w:rPr>
        <w:t>s</w:t>
      </w:r>
      <w:r w:rsidRPr="008A25E7" w:rsidR="008E238F">
        <w:rPr>
          <w:szCs w:val="22"/>
        </w:rPr>
        <w:t xml:space="preserve">ection 80.215(h)(5), the Bureau previously issued orders waiving each of the </w:t>
      </w:r>
      <w:r w:rsidR="008E238F">
        <w:rPr>
          <w:szCs w:val="22"/>
        </w:rPr>
        <w:t xml:space="preserve">part 80 rules </w:t>
      </w:r>
      <w:r w:rsidRPr="008A25E7" w:rsidR="008E238F">
        <w:rPr>
          <w:szCs w:val="22"/>
        </w:rPr>
        <w:t xml:space="preserve">identified above to enable Amtrak and the Southern California Regional Rail Authority </w:t>
      </w:r>
      <w:r w:rsidR="008E238F">
        <w:rPr>
          <w:szCs w:val="22"/>
        </w:rPr>
        <w:t xml:space="preserve">(SCRRA) </w:t>
      </w:r>
      <w:r w:rsidRPr="008A25E7" w:rsidR="008E238F">
        <w:rPr>
          <w:szCs w:val="22"/>
        </w:rPr>
        <w:t xml:space="preserve">to deploy PTC using AMTS spectrum in the </w:t>
      </w:r>
      <w:r w:rsidR="007132D2">
        <w:rPr>
          <w:szCs w:val="22"/>
        </w:rPr>
        <w:t>N</w:t>
      </w:r>
      <w:r w:rsidRPr="008A25E7" w:rsidR="008E238F">
        <w:rPr>
          <w:szCs w:val="22"/>
        </w:rPr>
        <w:t>ortheast Rail Corridor (from New York to Washington DC) and Southern California, respectively</w:t>
      </w:r>
      <w:r w:rsidR="00F94D47">
        <w:rPr>
          <w:szCs w:val="22"/>
        </w:rPr>
        <w:t>.</w:t>
      </w:r>
      <w:r>
        <w:rPr>
          <w:rStyle w:val="FootnoteReference"/>
          <w:szCs w:val="22"/>
        </w:rPr>
        <w:footnoteReference w:id="59"/>
      </w:r>
      <w:r>
        <w:rPr>
          <w:szCs w:val="22"/>
        </w:rPr>
        <w:t xml:space="preserve">  </w:t>
      </w:r>
      <w:r w:rsidRPr="000F5B0A" w:rsidR="00E329A5">
        <w:rPr>
          <w:szCs w:val="22"/>
        </w:rPr>
        <w:t xml:space="preserve">We have evaluated the instant Waiver Request under section 1.925(b)(3) and </w:t>
      </w:r>
      <w:r w:rsidRPr="000F5B0A" w:rsidR="00A93509">
        <w:rPr>
          <w:szCs w:val="22"/>
        </w:rPr>
        <w:t>conclude</w:t>
      </w:r>
      <w:r w:rsidRPr="000F5B0A" w:rsidR="00E329A5">
        <w:rPr>
          <w:szCs w:val="22"/>
        </w:rPr>
        <w:t xml:space="preserve"> that the same reasoning that the Bureau articulated in the </w:t>
      </w:r>
      <w:r w:rsidRPr="000F5B0A" w:rsidR="00E329A5">
        <w:rPr>
          <w:i/>
          <w:iCs/>
          <w:szCs w:val="22"/>
        </w:rPr>
        <w:t>Kurian/PTC-220 Order</w:t>
      </w:r>
      <w:r w:rsidRPr="000F5B0A" w:rsidR="00E329A5">
        <w:rPr>
          <w:szCs w:val="22"/>
        </w:rPr>
        <w:t xml:space="preserve"> for each of the eight rules </w:t>
      </w:r>
      <w:r w:rsidRPr="000F5B0A" w:rsidR="00F94D47">
        <w:rPr>
          <w:szCs w:val="22"/>
        </w:rPr>
        <w:t xml:space="preserve">(which mirrors the reasoning articulated for </w:t>
      </w:r>
      <w:r w:rsidRPr="000F5B0A" w:rsidR="00505D21">
        <w:rPr>
          <w:szCs w:val="22"/>
        </w:rPr>
        <w:t xml:space="preserve">the </w:t>
      </w:r>
      <w:r w:rsidRPr="000F5B0A" w:rsidR="00F94D47">
        <w:rPr>
          <w:szCs w:val="22"/>
        </w:rPr>
        <w:t xml:space="preserve">seven </w:t>
      </w:r>
      <w:r w:rsidRPr="000F5B0A" w:rsidR="00505D21">
        <w:rPr>
          <w:szCs w:val="22"/>
        </w:rPr>
        <w:t xml:space="preserve">part 80 </w:t>
      </w:r>
      <w:r w:rsidRPr="000F5B0A" w:rsidR="00F94D47">
        <w:rPr>
          <w:szCs w:val="22"/>
        </w:rPr>
        <w:t xml:space="preserve">rules </w:t>
      </w:r>
      <w:r w:rsidRPr="000F5B0A" w:rsidR="00E14019">
        <w:rPr>
          <w:szCs w:val="22"/>
        </w:rPr>
        <w:t xml:space="preserve">waived </w:t>
      </w:r>
      <w:r w:rsidRPr="000F5B0A" w:rsidR="00F94D47">
        <w:rPr>
          <w:szCs w:val="22"/>
        </w:rPr>
        <w:t xml:space="preserve">in the </w:t>
      </w:r>
      <w:r w:rsidRPr="000F5B0A" w:rsidR="00F94D47">
        <w:rPr>
          <w:i/>
          <w:iCs/>
          <w:szCs w:val="22"/>
        </w:rPr>
        <w:t xml:space="preserve">Amtrak </w:t>
      </w:r>
      <w:r w:rsidRPr="000F5B0A" w:rsidR="00363937">
        <w:rPr>
          <w:i/>
          <w:iCs/>
          <w:szCs w:val="22"/>
        </w:rPr>
        <w:t>2016 Order</w:t>
      </w:r>
      <w:r w:rsidRPr="000F5B0A" w:rsidR="00363937">
        <w:rPr>
          <w:szCs w:val="22"/>
        </w:rPr>
        <w:t xml:space="preserve"> </w:t>
      </w:r>
      <w:r w:rsidRPr="000F5B0A" w:rsidR="00F94D47">
        <w:rPr>
          <w:szCs w:val="22"/>
        </w:rPr>
        <w:t xml:space="preserve">and </w:t>
      </w:r>
      <w:r w:rsidRPr="000F5B0A" w:rsidR="00F94D47">
        <w:rPr>
          <w:i/>
          <w:iCs/>
          <w:szCs w:val="22"/>
        </w:rPr>
        <w:t xml:space="preserve">SCRRA </w:t>
      </w:r>
      <w:r w:rsidRPr="000F5B0A" w:rsidR="00363937">
        <w:rPr>
          <w:i/>
          <w:iCs/>
          <w:szCs w:val="22"/>
        </w:rPr>
        <w:t xml:space="preserve">2015 </w:t>
      </w:r>
      <w:r w:rsidRPr="000F5B0A" w:rsidR="00F94D47">
        <w:rPr>
          <w:i/>
          <w:iCs/>
          <w:szCs w:val="22"/>
        </w:rPr>
        <w:t>Order</w:t>
      </w:r>
      <w:r w:rsidRPr="000F5B0A" w:rsidR="00F94D47">
        <w:rPr>
          <w:szCs w:val="22"/>
        </w:rPr>
        <w:t xml:space="preserve">) </w:t>
      </w:r>
      <w:r w:rsidRPr="000F5B0A" w:rsidR="00E329A5">
        <w:rPr>
          <w:szCs w:val="22"/>
        </w:rPr>
        <w:t>applies equally here, and that the request for waiver satisfies at least one of the prongs of the waiver standard, if not both, for</w:t>
      </w:r>
      <w:r w:rsidRPr="000F5B0A" w:rsidR="00505D21">
        <w:rPr>
          <w:szCs w:val="22"/>
        </w:rPr>
        <w:t xml:space="preserve"> each </w:t>
      </w:r>
      <w:r w:rsidRPr="000F5B0A" w:rsidR="00E329A5">
        <w:rPr>
          <w:szCs w:val="22"/>
        </w:rPr>
        <w:t>rule.</w:t>
      </w:r>
      <w:r w:rsidRPr="000F5B0A" w:rsidR="00505D21">
        <w:rPr>
          <w:szCs w:val="22"/>
        </w:rPr>
        <w:t xml:space="preserve">  Our specific reasons with respect to each rule are discussed below.  </w:t>
      </w:r>
    </w:p>
    <w:p w:rsidR="00201DC6" w:rsidRPr="00AA52E8" w:rsidP="000F5B0A" w14:paraId="7696AA6C" w14:textId="594242C5">
      <w:pPr>
        <w:pStyle w:val="ParaNum"/>
        <w:rPr>
          <w:szCs w:val="22"/>
        </w:rPr>
      </w:pPr>
      <w:r>
        <w:t xml:space="preserve">We also </w:t>
      </w:r>
      <w:r w:rsidR="00D05360">
        <w:t>find good cause under section 1.3 of the Commission’s rules to waive the eight part 80 rules in this case</w:t>
      </w:r>
      <w:r w:rsidR="000B2217">
        <w:t>.</w:t>
      </w:r>
      <w:r>
        <w:rPr>
          <w:rStyle w:val="FootnoteReference"/>
        </w:rPr>
        <w:footnoteReference w:id="60"/>
      </w:r>
      <w:r w:rsidR="00205510">
        <w:t xml:space="preserve">  </w:t>
      </w:r>
      <w:r w:rsidR="00505D21">
        <w:rPr>
          <w:szCs w:val="22"/>
        </w:rPr>
        <w:t>W</w:t>
      </w:r>
      <w:r w:rsidR="00762650">
        <w:rPr>
          <w:szCs w:val="22"/>
        </w:rPr>
        <w:t xml:space="preserve">e </w:t>
      </w:r>
      <w:r w:rsidR="00505D21">
        <w:rPr>
          <w:szCs w:val="22"/>
        </w:rPr>
        <w:t xml:space="preserve">further </w:t>
      </w:r>
      <w:r w:rsidR="00A93509">
        <w:rPr>
          <w:szCs w:val="22"/>
        </w:rPr>
        <w:t>find that</w:t>
      </w:r>
      <w:r w:rsidR="00505D21">
        <w:rPr>
          <w:szCs w:val="22"/>
        </w:rPr>
        <w:t>, because</w:t>
      </w:r>
      <w:r w:rsidR="00A93509">
        <w:rPr>
          <w:szCs w:val="22"/>
        </w:rPr>
        <w:t xml:space="preserve"> granting PTC-220’s Waiver Request will serve the public interest in rail safety, </w:t>
      </w:r>
      <w:r w:rsidR="00505D21">
        <w:rPr>
          <w:szCs w:val="22"/>
        </w:rPr>
        <w:t xml:space="preserve">it also </w:t>
      </w:r>
      <w:r w:rsidRPr="00534E7C" w:rsidR="00A93509">
        <w:rPr>
          <w:szCs w:val="22"/>
        </w:rPr>
        <w:t>ser</w:t>
      </w:r>
      <w:r w:rsidR="00505D21">
        <w:rPr>
          <w:szCs w:val="22"/>
        </w:rPr>
        <w:t>ves</w:t>
      </w:r>
      <w:r w:rsidRPr="00534E7C" w:rsidR="00A93509">
        <w:rPr>
          <w:szCs w:val="22"/>
        </w:rPr>
        <w:t xml:space="preserve"> the Commission’s core policy goals of promoting the safety </w:t>
      </w:r>
      <w:r w:rsidRPr="00534E7C" w:rsidR="00A93509">
        <w:rPr>
          <w:szCs w:val="22"/>
        </w:rPr>
        <w:t>of life and property.</w:t>
      </w:r>
      <w:r>
        <w:rPr>
          <w:rStyle w:val="FootnoteReference"/>
          <w:szCs w:val="22"/>
        </w:rPr>
        <w:footnoteReference w:id="61"/>
      </w:r>
      <w:r w:rsidR="00144764">
        <w:rPr>
          <w:szCs w:val="22"/>
        </w:rPr>
        <w:t xml:space="preserve">  </w:t>
      </w:r>
      <w:r w:rsidRPr="00EF5B98" w:rsidR="00E77A76">
        <w:t>The waiver</w:t>
      </w:r>
      <w:r w:rsidR="00AA52E8">
        <w:t xml:space="preserve"> relief</w:t>
      </w:r>
      <w:r w:rsidRPr="00EF5B98" w:rsidR="00E77A76">
        <w:t xml:space="preserve"> </w:t>
      </w:r>
      <w:r w:rsidRPr="00EF5B98" w:rsidR="00144764">
        <w:t xml:space="preserve">will only apply to use of the AMTS spectrum to deploy PTC and related rail safety systems in the defined rail corridors in AMTS Region 1 (as specified in the Application), </w:t>
      </w:r>
      <w:r w:rsidRPr="00EF5B98" w:rsidR="00144764">
        <w:rPr>
          <w:szCs w:val="22"/>
        </w:rPr>
        <w:t>thereby limiting the area of potential interference</w:t>
      </w:r>
      <w:r w:rsidRPr="00EF5B98" w:rsidR="00144764">
        <w:t>.</w:t>
      </w:r>
      <w:r w:rsidRPr="00AA52E8" w:rsidR="00E77A76">
        <w:rPr>
          <w:szCs w:val="22"/>
        </w:rPr>
        <w:t xml:space="preserve">  Moreover, </w:t>
      </w:r>
      <w:r w:rsidRPr="00EF5B98" w:rsidR="0051012A">
        <w:t xml:space="preserve">if PTC-220 assigns, partitions, disaggregates, or leases to a third party any of the spectrum to be assigned from ITMW under Station </w:t>
      </w:r>
      <w:r w:rsidRPr="00EF5B98" w:rsidR="0051012A">
        <w:rPr>
          <w:spacing w:val="-2"/>
        </w:rPr>
        <w:t>WQGF310</w:t>
      </w:r>
      <w:r w:rsidRPr="00EF5B98" w:rsidR="0051012A">
        <w:t>, the waivers would only apply if that spectrum is used for PTC or related rail safety operations</w:t>
      </w:r>
      <w:r w:rsidR="00AA52E8">
        <w:t>.</w:t>
      </w:r>
      <w:r w:rsidRPr="00AA52E8" w:rsidR="00505D21">
        <w:rPr>
          <w:szCs w:val="22"/>
        </w:rPr>
        <w:t xml:space="preserve">  </w:t>
      </w:r>
      <w:r w:rsidRPr="00AA52E8" w:rsidR="00A93509">
        <w:rPr>
          <w:szCs w:val="22"/>
        </w:rPr>
        <w:t xml:space="preserve">  </w:t>
      </w:r>
    </w:p>
    <w:p w:rsidR="00AE4803" w:rsidRPr="00130D36" w:rsidP="003E23CD" w14:paraId="15D6B2E3" w14:textId="0BA5FC63">
      <w:pPr>
        <w:pStyle w:val="ParaNum"/>
      </w:pPr>
      <w:r w:rsidRPr="00130D36">
        <w:rPr>
          <w:iCs/>
          <w:u w:val="single"/>
        </w:rPr>
        <w:t>Section 80.92(a)</w:t>
      </w:r>
      <w:r w:rsidRPr="00130D36">
        <w:rPr>
          <w:iCs/>
        </w:rPr>
        <w:t>.</w:t>
      </w:r>
      <w:r w:rsidRPr="00130D36">
        <w:t xml:space="preserve">  </w:t>
      </w:r>
      <w:r w:rsidR="006A65C6">
        <w:t>W</w:t>
      </w:r>
      <w:r w:rsidR="0041047E">
        <w:t xml:space="preserve">e agree with PTC-220 that </w:t>
      </w:r>
      <w:r w:rsidR="003E23CD">
        <w:t>th</w:t>
      </w:r>
      <w:r w:rsidR="000C115B">
        <w:t>is</w:t>
      </w:r>
      <w:r w:rsidR="003E23CD">
        <w:t xml:space="preserve"> rule’s </w:t>
      </w:r>
      <w:r w:rsidRPr="00130D36">
        <w:t>require</w:t>
      </w:r>
      <w:r w:rsidR="0041047E">
        <w:t>ment that</w:t>
      </w:r>
      <w:r w:rsidRPr="00130D36">
        <w:t xml:space="preserve"> AMTS station operator</w:t>
      </w:r>
      <w:r w:rsidR="000C115B">
        <w:t>s</w:t>
      </w:r>
      <w:r w:rsidRPr="00130D36">
        <w:t xml:space="preserve"> determine that a frequency is not in use before transmitting</w:t>
      </w:r>
      <w:r w:rsidR="0041047E">
        <w:t xml:space="preserve"> is unnecessary for PTC systems, </w:t>
      </w:r>
      <w:r w:rsidRPr="00130D36">
        <w:t>which operate on an exclusive-use basis</w:t>
      </w:r>
      <w:r w:rsidR="0041047E">
        <w:t xml:space="preserve"> </w:t>
      </w:r>
      <w:r w:rsidRPr="00130D36" w:rsidR="0041047E">
        <w:t xml:space="preserve">in </w:t>
      </w:r>
      <w:r w:rsidR="0041047E">
        <w:t xml:space="preserve">defined </w:t>
      </w:r>
      <w:r w:rsidRPr="00130D36" w:rsidR="0041047E">
        <w:t>rail corridors</w:t>
      </w:r>
      <w:r w:rsidRPr="00130D36">
        <w:t>.</w:t>
      </w:r>
      <w:r>
        <w:rPr>
          <w:rStyle w:val="FootnoteReference"/>
        </w:rPr>
        <w:footnoteReference w:id="62"/>
      </w:r>
      <w:r w:rsidRPr="00130D36" w:rsidR="0041047E">
        <w:t xml:space="preserve">  </w:t>
      </w:r>
      <w:r w:rsidR="006A65C6">
        <w:t xml:space="preserve">As in the </w:t>
      </w:r>
      <w:r w:rsidRPr="0041047E" w:rsidR="006A65C6">
        <w:rPr>
          <w:i/>
          <w:iCs/>
        </w:rPr>
        <w:t>Kurian/PTC-220 Order</w:t>
      </w:r>
      <w:r w:rsidR="006A65C6">
        <w:t xml:space="preserve">, we find </w:t>
      </w:r>
      <w:r w:rsidRPr="00130D36">
        <w:t xml:space="preserve">that </w:t>
      </w:r>
      <w:r w:rsidRPr="00130D36" w:rsidR="006A65C6">
        <w:t xml:space="preserve">the purpose of the rule (to avoid interference) would not be served here, and </w:t>
      </w:r>
      <w:r w:rsidR="006A65C6">
        <w:t xml:space="preserve">that waiving the requirement </w:t>
      </w:r>
      <w:r w:rsidRPr="00130D36" w:rsidR="006A65C6">
        <w:t>would be in the public interest by promoting rail safety and the efficient use of AMTS spectrum.</w:t>
      </w:r>
      <w:r>
        <w:rPr>
          <w:rStyle w:val="FootnoteReference"/>
          <w:szCs w:val="22"/>
        </w:rPr>
        <w:footnoteReference w:id="63"/>
      </w:r>
    </w:p>
    <w:p w:rsidR="00AE4803" w:rsidRPr="008A25E7" w:rsidP="003E23CD" w14:paraId="6899702D" w14:textId="32DA0808">
      <w:pPr>
        <w:pStyle w:val="ParaNum"/>
      </w:pPr>
      <w:r w:rsidRPr="008A25E7">
        <w:rPr>
          <w:iCs/>
          <w:u w:val="single"/>
        </w:rPr>
        <w:t>Section</w:t>
      </w:r>
      <w:r w:rsidR="009F262A">
        <w:rPr>
          <w:iCs/>
          <w:u w:val="single"/>
        </w:rPr>
        <w:t>s</w:t>
      </w:r>
      <w:r w:rsidRPr="008A25E7">
        <w:rPr>
          <w:iCs/>
          <w:u w:val="single"/>
        </w:rPr>
        <w:t xml:space="preserve"> 80.105 and</w:t>
      </w:r>
      <w:r w:rsidR="009F262A">
        <w:rPr>
          <w:iCs/>
          <w:u w:val="single"/>
        </w:rPr>
        <w:t xml:space="preserve"> </w:t>
      </w:r>
      <w:r w:rsidRPr="008A25E7">
        <w:rPr>
          <w:iCs/>
          <w:u w:val="single"/>
        </w:rPr>
        <w:t>80.123(b)</w:t>
      </w:r>
      <w:r w:rsidRPr="008A25E7">
        <w:rPr>
          <w:iCs/>
        </w:rPr>
        <w:t>.</w:t>
      </w:r>
      <w:r w:rsidR="001429D3">
        <w:t xml:space="preserve">  The </w:t>
      </w:r>
      <w:r w:rsidR="00D74411">
        <w:t>Bureau</w:t>
      </w:r>
      <w:r w:rsidR="0073285C">
        <w:t xml:space="preserve"> </w:t>
      </w:r>
      <w:r w:rsidR="001429D3">
        <w:t>concluded</w:t>
      </w:r>
      <w:r w:rsidR="00D74411">
        <w:t xml:space="preserve"> in </w:t>
      </w:r>
      <w:r w:rsidRPr="008A25E7">
        <w:t xml:space="preserve">the </w:t>
      </w:r>
      <w:r w:rsidRPr="009F262A" w:rsidR="009F262A">
        <w:rPr>
          <w:i/>
          <w:iCs/>
        </w:rPr>
        <w:t xml:space="preserve">Kurian/PTC-220 </w:t>
      </w:r>
      <w:r w:rsidRPr="008A25E7">
        <w:rPr>
          <w:i/>
          <w:iCs/>
        </w:rPr>
        <w:t>Order</w:t>
      </w:r>
      <w:r w:rsidR="001429D3">
        <w:t xml:space="preserve"> that </w:t>
      </w:r>
      <w:r w:rsidRPr="008A25E7">
        <w:t xml:space="preserve">waiver of section 80.105 </w:t>
      </w:r>
      <w:r w:rsidR="00D74411">
        <w:t>is</w:t>
      </w:r>
      <w:r w:rsidRPr="008A25E7">
        <w:t xml:space="preserve"> required to enable “necessary intercommunication between the various PTC system elements,”</w:t>
      </w:r>
      <w:r w:rsidRPr="008A25E7" w:rsidR="009F262A">
        <w:t xml:space="preserve"> </w:t>
      </w:r>
      <w:r w:rsidRPr="008A25E7">
        <w:t>and the rule’s application would impair “PTC operation by interrupting critical information flow.”</w:t>
      </w:r>
      <w:r>
        <w:rPr>
          <w:rStyle w:val="FootnoteReference"/>
          <w:szCs w:val="22"/>
        </w:rPr>
        <w:footnoteReference w:id="64"/>
      </w:r>
      <w:r w:rsidR="006D2F68">
        <w:t xml:space="preserve">  </w:t>
      </w:r>
      <w:r w:rsidR="009513D9">
        <w:t xml:space="preserve">As the Bureau also </w:t>
      </w:r>
      <w:r w:rsidR="00672ED5">
        <w:t>observed there</w:t>
      </w:r>
      <w:r w:rsidR="009513D9">
        <w:t>, “</w:t>
      </w:r>
      <w:r w:rsidRPr="008A25E7" w:rsidR="009513D9">
        <w:t>maritime users have many options to meet their communications needs, including cellular and satellite services</w:t>
      </w:r>
      <w:r w:rsidR="009513D9">
        <w:t xml:space="preserve">,” and </w:t>
      </w:r>
      <w:r w:rsidR="00D74411">
        <w:t xml:space="preserve">waiver of these rules </w:t>
      </w:r>
      <w:r w:rsidR="009513D9">
        <w:t>“</w:t>
      </w:r>
      <w:r w:rsidRPr="008A25E7">
        <w:t>will not jeopardize the maritime community’s ability to meet its operational, safety, and security communications needs</w:t>
      </w:r>
      <w:r w:rsidR="009513D9">
        <w:t>.”</w:t>
      </w:r>
      <w:r>
        <w:rPr>
          <w:rStyle w:val="FootnoteReference"/>
        </w:rPr>
        <w:footnoteReference w:id="65"/>
      </w:r>
      <w:r w:rsidR="00672ED5">
        <w:t xml:space="preserve">  </w:t>
      </w:r>
      <w:r w:rsidR="009513D9">
        <w:t xml:space="preserve">For the same reasons articulated in that </w:t>
      </w:r>
      <w:r w:rsidRPr="009513D9" w:rsidR="009513D9">
        <w:rPr>
          <w:i/>
          <w:iCs/>
        </w:rPr>
        <w:t>Order</w:t>
      </w:r>
      <w:r w:rsidR="009513D9">
        <w:t xml:space="preserve">, </w:t>
      </w:r>
      <w:r w:rsidR="00672ED5">
        <w:t>we grant PTC-220’s request for waiver of these two rules</w:t>
      </w:r>
      <w:r w:rsidR="009513D9">
        <w:t>.</w:t>
      </w:r>
      <w:r>
        <w:rPr>
          <w:rStyle w:val="FootnoteReference"/>
          <w:szCs w:val="22"/>
        </w:rPr>
        <w:footnoteReference w:id="66"/>
      </w:r>
    </w:p>
    <w:p w:rsidR="00AE4803" w:rsidRPr="008A25E7" w:rsidP="003E23CD" w14:paraId="617153A6" w14:textId="76940748">
      <w:pPr>
        <w:pStyle w:val="ParaNum"/>
      </w:pPr>
      <w:r w:rsidRPr="008A25E7">
        <w:rPr>
          <w:iCs/>
          <w:u w:val="single"/>
        </w:rPr>
        <w:t>Section 80.106</w:t>
      </w:r>
      <w:r w:rsidRPr="008A25E7">
        <w:rPr>
          <w:iCs/>
        </w:rPr>
        <w:t>.</w:t>
      </w:r>
      <w:r w:rsidRPr="008A25E7">
        <w:rPr>
          <w:i/>
        </w:rPr>
        <w:t xml:space="preserve">  </w:t>
      </w:r>
      <w:r w:rsidRPr="008A25E7">
        <w:t xml:space="preserve">In the </w:t>
      </w:r>
      <w:r w:rsidR="005E3ADE">
        <w:rPr>
          <w:i/>
        </w:rPr>
        <w:t>Kurian</w:t>
      </w:r>
      <w:r w:rsidR="00154B64">
        <w:rPr>
          <w:i/>
        </w:rPr>
        <w:t>/PTC-220</w:t>
      </w:r>
      <w:r w:rsidRPr="008A25E7">
        <w:rPr>
          <w:i/>
        </w:rPr>
        <w:t xml:space="preserve"> Order</w:t>
      </w:r>
      <w:r w:rsidRPr="008A25E7">
        <w:t>, the Bureau waived section 80.106 when it waived section 80.105’s requirement that coast stations acknowledge and receive calls from mobile stations.</w:t>
      </w:r>
      <w:r>
        <w:rPr>
          <w:rStyle w:val="FootnoteReference"/>
          <w:szCs w:val="22"/>
        </w:rPr>
        <w:footnoteReference w:id="67"/>
      </w:r>
      <w:r w:rsidRPr="008A25E7">
        <w:t xml:space="preserve">  Consistent with that </w:t>
      </w:r>
      <w:r w:rsidRPr="005E3ADE" w:rsidR="005E3ADE">
        <w:rPr>
          <w:i/>
          <w:iCs/>
        </w:rPr>
        <w:t>O</w:t>
      </w:r>
      <w:r w:rsidRPr="005E3ADE">
        <w:rPr>
          <w:i/>
          <w:iCs/>
        </w:rPr>
        <w:t>rder</w:t>
      </w:r>
      <w:r w:rsidRPr="008A25E7">
        <w:t>, we find that waiving section 80.106 here will promote the efficient use of AMTS spectrum and serve the public interest by improving the safety of railroad operations without jeopardizing the maritime community’s ability to meet its communications needs.</w:t>
      </w:r>
      <w:r>
        <w:rPr>
          <w:rStyle w:val="FootnoteReference"/>
          <w:szCs w:val="22"/>
        </w:rPr>
        <w:footnoteReference w:id="68"/>
      </w:r>
    </w:p>
    <w:p w:rsidR="00AE4803" w:rsidRPr="008A25E7" w:rsidP="003E23CD" w14:paraId="53A2F752" w14:textId="4764EAA0">
      <w:pPr>
        <w:pStyle w:val="ParaNum"/>
      </w:pPr>
      <w:r w:rsidRPr="008A25E7">
        <w:rPr>
          <w:iCs/>
          <w:u w:val="single"/>
        </w:rPr>
        <w:t>Section 80.123(a)</w:t>
      </w:r>
      <w:r w:rsidRPr="008A25E7">
        <w:rPr>
          <w:iCs/>
        </w:rPr>
        <w:t>.</w:t>
      </w:r>
      <w:r w:rsidRPr="008A25E7">
        <w:t xml:space="preserve">  In the </w:t>
      </w:r>
      <w:r w:rsidR="00EE1E4E">
        <w:rPr>
          <w:i/>
          <w:iCs/>
        </w:rPr>
        <w:t xml:space="preserve">Kurian/PTC-220 </w:t>
      </w:r>
      <w:r w:rsidRPr="008A25E7">
        <w:rPr>
          <w:i/>
          <w:iCs/>
        </w:rPr>
        <w:t>Order</w:t>
      </w:r>
      <w:r w:rsidRPr="008A25E7">
        <w:t xml:space="preserve">, the Bureau found </w:t>
      </w:r>
      <w:r w:rsidR="00EE1E4E">
        <w:t>it appropriate to waive the rule’s requirement</w:t>
      </w:r>
      <w:r w:rsidRPr="008A25E7" w:rsidR="00EE1E4E">
        <w:t xml:space="preserve"> that AMTS land stations secure a letter authorizing the land station to communicate with a coast station</w:t>
      </w:r>
      <w:r w:rsidR="00EE1E4E">
        <w:t xml:space="preserve"> (</w:t>
      </w:r>
      <w:r w:rsidRPr="008A25E7" w:rsidR="00EE1E4E">
        <w:t>which enables authorities to verify that a unit on land is authorized to operate on AMTS spectrum</w:t>
      </w:r>
      <w:r w:rsidR="00EE1E4E">
        <w:t>)</w:t>
      </w:r>
      <w:r w:rsidR="00EE1E4E">
        <w:rPr>
          <w:szCs w:val="22"/>
        </w:rPr>
        <w:t>,</w:t>
      </w:r>
      <w:r w:rsidRPr="008A25E7" w:rsidR="00EE1E4E">
        <w:t xml:space="preserve"> </w:t>
      </w:r>
      <w:r w:rsidRPr="008A25E7">
        <w:t>because PTC “is configured to transmit only data[] and railroad operations take place in limited locations where the responsible party is easily identifiable</w:t>
      </w:r>
      <w:r w:rsidR="00EE1E4E">
        <w:t>.</w:t>
      </w:r>
      <w:r w:rsidRPr="008A25E7">
        <w:t>”</w:t>
      </w:r>
      <w:r>
        <w:rPr>
          <w:rStyle w:val="FootnoteReference"/>
          <w:szCs w:val="22"/>
        </w:rPr>
        <w:footnoteReference w:id="69"/>
      </w:r>
      <w:r w:rsidR="00DF69E3">
        <w:t xml:space="preserve">  </w:t>
      </w:r>
      <w:r w:rsidR="000F0F1A">
        <w:t>Consistent with t</w:t>
      </w:r>
      <w:r w:rsidR="00912CCE">
        <w:t xml:space="preserve">he Bureau’s reasoning </w:t>
      </w:r>
      <w:r w:rsidR="000F0F1A">
        <w:t xml:space="preserve">and findings </w:t>
      </w:r>
      <w:r w:rsidR="00912CCE">
        <w:t>in that case</w:t>
      </w:r>
      <w:r w:rsidR="000F0F1A">
        <w:t xml:space="preserve">, </w:t>
      </w:r>
      <w:r w:rsidR="00912CCE">
        <w:t>we grant PTC-220’s request for waiver of this rule.</w:t>
      </w:r>
      <w:r>
        <w:rPr>
          <w:rStyle w:val="FootnoteReference"/>
        </w:rPr>
        <w:footnoteReference w:id="70"/>
      </w:r>
    </w:p>
    <w:p w:rsidR="00AE4803" w:rsidRPr="008A25E7" w:rsidP="007216E1" w14:paraId="2DF6F3D6" w14:textId="19815209">
      <w:pPr>
        <w:pStyle w:val="ParaNum"/>
      </w:pPr>
      <w:r w:rsidRPr="00536084">
        <w:rPr>
          <w:iCs/>
          <w:u w:val="single"/>
        </w:rPr>
        <w:t>Section 80.123(f)</w:t>
      </w:r>
      <w:r w:rsidRPr="00536084">
        <w:rPr>
          <w:iCs/>
        </w:rPr>
        <w:t>.</w:t>
      </w:r>
      <w:r w:rsidRPr="008A25E7">
        <w:t xml:space="preserve">  </w:t>
      </w:r>
      <w:bookmarkStart w:id="23" w:name="_Hlk145436125"/>
      <w:r w:rsidR="008701C8">
        <w:t xml:space="preserve">The Bureau has previously found, in the </w:t>
      </w:r>
      <w:r w:rsidRPr="00536084" w:rsidR="008701C8">
        <w:rPr>
          <w:i/>
          <w:iCs/>
        </w:rPr>
        <w:t>Kurian/PTC-220 Order</w:t>
      </w:r>
      <w:r w:rsidR="008701C8">
        <w:t xml:space="preserve"> as well as other AMTS waiver orders, that requiring AMTS land stations to communicate only with coast stations is unnecessary for a private, internal-use only PTC system.</w:t>
      </w:r>
      <w:r>
        <w:rPr>
          <w:rStyle w:val="FootnoteReference"/>
          <w:szCs w:val="22"/>
        </w:rPr>
        <w:footnoteReference w:id="71"/>
      </w:r>
      <w:r w:rsidR="00536084">
        <w:t xml:space="preserve">  </w:t>
      </w:r>
      <w:bookmarkEnd w:id="23"/>
      <w:r w:rsidR="00536084">
        <w:t>Applying the same reasoning here, c</w:t>
      </w:r>
      <w:r w:rsidRPr="008A25E7">
        <w:t>onsistent with th</w:t>
      </w:r>
      <w:r w:rsidR="00536084">
        <w:t>ose</w:t>
      </w:r>
      <w:r w:rsidRPr="008A25E7">
        <w:t xml:space="preserve"> </w:t>
      </w:r>
      <w:r w:rsidRPr="00536084" w:rsidR="00536084">
        <w:rPr>
          <w:i/>
          <w:iCs/>
        </w:rPr>
        <w:t>Orders</w:t>
      </w:r>
      <w:r w:rsidRPr="008A25E7">
        <w:t xml:space="preserve">, we find that application of section 80.123(f) to PTC </w:t>
      </w:r>
      <w:r w:rsidR="00D23DDC">
        <w:t xml:space="preserve">and related rail safety </w:t>
      </w:r>
      <w:r w:rsidRPr="008A25E7">
        <w:t>operations would be contrary to the public interest in rail safety</w:t>
      </w:r>
      <w:r w:rsidR="00536084">
        <w:t>.</w:t>
      </w:r>
      <w:r>
        <w:rPr>
          <w:rStyle w:val="FootnoteReference"/>
        </w:rPr>
        <w:footnoteReference w:id="72"/>
      </w:r>
      <w:r w:rsidR="00536084">
        <w:t xml:space="preserve">  A</w:t>
      </w:r>
      <w:r w:rsidRPr="008A25E7">
        <w:t>ccordingly</w:t>
      </w:r>
      <w:r w:rsidR="00536084">
        <w:t>, we</w:t>
      </w:r>
      <w:r w:rsidRPr="008A25E7">
        <w:t xml:space="preserve"> waive this rule.</w:t>
      </w:r>
    </w:p>
    <w:p w:rsidR="00AE4803" w:rsidRPr="008A25E7" w:rsidP="003E23CD" w14:paraId="75F5138F" w14:textId="5059FD10">
      <w:pPr>
        <w:pStyle w:val="ParaNum"/>
      </w:pPr>
      <w:r w:rsidRPr="008A25E7">
        <w:rPr>
          <w:iCs/>
          <w:u w:val="single"/>
        </w:rPr>
        <w:t>Section 80.385(a)(2)</w:t>
      </w:r>
      <w:r w:rsidRPr="008A25E7">
        <w:rPr>
          <w:iCs/>
        </w:rPr>
        <w:t>.</w:t>
      </w:r>
      <w:r w:rsidRPr="008A25E7">
        <w:t xml:space="preserve">  </w:t>
      </w:r>
      <w:r w:rsidR="00E107B8">
        <w:t xml:space="preserve">While this rule divides the AMTS Band into base station frequencies (217-218 MHz) and mobile station frequencies (219-220 MHz), </w:t>
      </w:r>
      <w:r w:rsidRPr="008A25E7">
        <w:t xml:space="preserve">PTC-220 </w:t>
      </w:r>
      <w:r w:rsidR="00256CB7">
        <w:t>explains</w:t>
      </w:r>
      <w:r w:rsidRPr="008A25E7">
        <w:t xml:space="preserve"> that </w:t>
      </w:r>
      <w:r w:rsidR="00E107B8">
        <w:t>PTC</w:t>
      </w:r>
      <w:r w:rsidRPr="008A25E7">
        <w:t xml:space="preserve"> systems </w:t>
      </w:r>
      <w:r w:rsidR="000C115B">
        <w:t xml:space="preserve">rely on </w:t>
      </w:r>
      <w:r w:rsidRPr="008A25E7">
        <w:t xml:space="preserve">Time Division Duplexing (TDD), </w:t>
      </w:r>
      <w:r w:rsidR="000C115B">
        <w:t xml:space="preserve">“so all three types of PTC stations (base, mobile, and wayside). . . </w:t>
      </w:r>
      <w:r w:rsidRPr="008A25E7">
        <w:t>transmit on both the base and mobile station frequencies</w:t>
      </w:r>
      <w:r w:rsidR="003E23CD">
        <w:t>.</w:t>
      </w:r>
      <w:r w:rsidR="000C115B">
        <w:t>”</w:t>
      </w:r>
      <w:r>
        <w:rPr>
          <w:rStyle w:val="FootnoteReference"/>
          <w:szCs w:val="22"/>
        </w:rPr>
        <w:footnoteReference w:id="73"/>
      </w:r>
      <w:r w:rsidR="003E23CD">
        <w:t xml:space="preserve">  </w:t>
      </w:r>
      <w:r w:rsidRPr="008A25E7">
        <w:t>When the Bureau granted</w:t>
      </w:r>
      <w:r w:rsidR="00E107B8">
        <w:t xml:space="preserve"> </w:t>
      </w:r>
      <w:r w:rsidRPr="008A25E7">
        <w:t xml:space="preserve">a waiver of this </w:t>
      </w:r>
      <w:r w:rsidR="00256CB7">
        <w:t xml:space="preserve">rule </w:t>
      </w:r>
      <w:r w:rsidR="00E107B8">
        <w:t xml:space="preserve">in the </w:t>
      </w:r>
      <w:r w:rsidRPr="00E107B8" w:rsidR="00E107B8">
        <w:rPr>
          <w:i/>
          <w:iCs/>
        </w:rPr>
        <w:t>Kurian/PTC-220 Order</w:t>
      </w:r>
      <w:r w:rsidRPr="008A25E7">
        <w:t>, it noted that the railroads</w:t>
      </w:r>
      <w:r w:rsidR="00E107B8">
        <w:t>’ operations</w:t>
      </w:r>
      <w:r w:rsidRPr="008A25E7">
        <w:t xml:space="preserve"> would operate under the antenna height and radiated power levels permitted for AMTS stations in their limited geographic area of operations.</w:t>
      </w:r>
      <w:r>
        <w:rPr>
          <w:rStyle w:val="FootnoteReference"/>
          <w:szCs w:val="22"/>
        </w:rPr>
        <w:footnoteReference w:id="74"/>
      </w:r>
      <w:r w:rsidRPr="008A25E7">
        <w:t xml:space="preserve">  </w:t>
      </w:r>
      <w:r w:rsidR="00E107B8">
        <w:t xml:space="preserve">Applying the same rationale here, as </w:t>
      </w:r>
      <w:r w:rsidRPr="008A25E7">
        <w:t xml:space="preserve">PTC-220’s PTC </w:t>
      </w:r>
      <w:r w:rsidR="00D23DDC">
        <w:t xml:space="preserve">and related rail safety </w:t>
      </w:r>
      <w:r w:rsidRPr="008A25E7">
        <w:t>operation</w:t>
      </w:r>
      <w:r w:rsidR="003E23CD">
        <w:t xml:space="preserve">s </w:t>
      </w:r>
      <w:r w:rsidRPr="008A25E7">
        <w:t xml:space="preserve">will </w:t>
      </w:r>
      <w:r w:rsidR="00E107B8">
        <w:t xml:space="preserve">likewise </w:t>
      </w:r>
      <w:r w:rsidRPr="008A25E7">
        <w:t xml:space="preserve">be in limited geographic areas and subject to the same restrictions, </w:t>
      </w:r>
      <w:r w:rsidR="003E23CD">
        <w:t>we</w:t>
      </w:r>
      <w:r w:rsidR="000C115B">
        <w:t xml:space="preserve"> </w:t>
      </w:r>
      <w:r w:rsidRPr="008A25E7">
        <w:t>conclude that a waiver of section 80.385(a)(2) is warranted</w:t>
      </w:r>
      <w:r w:rsidR="005313A6">
        <w:t>.</w:t>
      </w:r>
      <w:r>
        <w:rPr>
          <w:rStyle w:val="FootnoteReference"/>
          <w:szCs w:val="22"/>
        </w:rPr>
        <w:footnoteReference w:id="75"/>
      </w:r>
    </w:p>
    <w:p w:rsidR="00AE4803" w:rsidRPr="008A25E7" w:rsidP="003E23CD" w14:paraId="55FC4557" w14:textId="13972B5D">
      <w:pPr>
        <w:pStyle w:val="ParaNum"/>
      </w:pPr>
      <w:r w:rsidRPr="008A25E7">
        <w:rPr>
          <w:u w:val="single"/>
        </w:rPr>
        <w:t>Section 80.215(h)(5)</w:t>
      </w:r>
      <w:r w:rsidRPr="008A25E7">
        <w:t xml:space="preserve">.  Finally, </w:t>
      </w:r>
      <w:r w:rsidR="008649DE">
        <w:t xml:space="preserve">we address </w:t>
      </w:r>
      <w:r w:rsidRPr="008A25E7">
        <w:t>PTC-220</w:t>
      </w:r>
      <w:r w:rsidR="008649DE">
        <w:t xml:space="preserve">’s </w:t>
      </w:r>
      <w:r w:rsidRPr="008A25E7">
        <w:t>request</w:t>
      </w:r>
      <w:r w:rsidR="008649DE">
        <w:t xml:space="preserve"> for</w:t>
      </w:r>
      <w:r w:rsidRPr="008A25E7">
        <w:t xml:space="preserve"> a limited waiver of section 80.215(h)(5), which requires coast stations’ “transmitter power, as measured at the input terminals to the station antenna, [to] be 50 watts or less.”</w:t>
      </w:r>
      <w:r>
        <w:rPr>
          <w:rStyle w:val="FootnoteReference"/>
          <w:szCs w:val="22"/>
        </w:rPr>
        <w:footnoteReference w:id="76"/>
      </w:r>
      <w:r w:rsidRPr="008A25E7">
        <w:t xml:space="preserve">  PTC-220 states that thousands of existing PTC base stations have a transmitter power output of 75 watts peak envelope power (PEP) or less.</w:t>
      </w:r>
      <w:r>
        <w:rPr>
          <w:rStyle w:val="FootnoteReference"/>
          <w:szCs w:val="22"/>
        </w:rPr>
        <w:footnoteReference w:id="77"/>
      </w:r>
      <w:r w:rsidRPr="008A25E7">
        <w:t xml:space="preserve">  It explains that because these stations have at least 0.6 dB of cable, connector, and filter insertion loss between a transmitter’s output and an antenna’s input terminals, power at the input terminals will not exceed 65 watts PEP.</w:t>
      </w:r>
      <w:r>
        <w:rPr>
          <w:rStyle w:val="FootnoteReference"/>
          <w:szCs w:val="22"/>
        </w:rPr>
        <w:footnoteReference w:id="78"/>
      </w:r>
      <w:r w:rsidRPr="008A25E7">
        <w:t xml:space="preserve">  PTC-220 therefore requests a waiver of </w:t>
      </w:r>
      <w:r w:rsidR="008649DE">
        <w:t xml:space="preserve">the rule </w:t>
      </w:r>
      <w:r w:rsidRPr="008A25E7">
        <w:t>to permit up to 65 watts PEP as measured at the input terminals to a station antenna.</w:t>
      </w:r>
    </w:p>
    <w:p w:rsidR="008649DE" w:rsidP="003E23CD" w14:paraId="40E830DB" w14:textId="77777777">
      <w:pPr>
        <w:pStyle w:val="ParaNum"/>
      </w:pPr>
      <w:r w:rsidRPr="008A25E7">
        <w:t>As PTC-220 explains, power at the input to antenna terminals alone does not determine whether a PTC transmitter has the potential to interfere with other licensees’ operations; rather, the level of radiated power from an antenna determines interference potential.</w:t>
      </w:r>
      <w:r>
        <w:rPr>
          <w:rStyle w:val="FootnoteReference"/>
          <w:szCs w:val="22"/>
        </w:rPr>
        <w:footnoteReference w:id="79"/>
      </w:r>
      <w:r w:rsidRPr="008A25E7">
        <w:t xml:space="preserve">  PTC-220 states that because PTC base stations generally use omnidirectional (or nearly omnidirectional) antennas, most of an antenna’s gain results from focusing the power in the vertical plane.</w:t>
      </w:r>
      <w:r>
        <w:rPr>
          <w:rStyle w:val="FootnoteReference"/>
          <w:szCs w:val="22"/>
        </w:rPr>
        <w:footnoteReference w:id="80"/>
      </w:r>
      <w:r w:rsidRPr="008A25E7">
        <w:t xml:space="preserve">  PTC-220 </w:t>
      </w:r>
      <w:r>
        <w:t xml:space="preserve">adds </w:t>
      </w:r>
      <w:r w:rsidRPr="008A25E7">
        <w:t>that larger antennas could produce more gain so that the same radiated power levels could be achieved with 50 watts at an antenna’s input terminal.</w:t>
      </w:r>
      <w:r>
        <w:rPr>
          <w:rStyle w:val="FootnoteReference"/>
          <w:szCs w:val="22"/>
        </w:rPr>
        <w:footnoteReference w:id="81"/>
      </w:r>
      <w:r>
        <w:t xml:space="preserve">  However, it asserts, in order t</w:t>
      </w:r>
      <w:r w:rsidRPr="008A25E7">
        <w:t xml:space="preserve">o achieve these power levels while adhering to section 80.215(h)(5)’s 50-watt limit, railroads would have to install new, lower power transmitters and new </w:t>
      </w:r>
      <w:r w:rsidRPr="008A25E7">
        <w:t>antennas at thousands of base station sites.</w:t>
      </w:r>
      <w:r>
        <w:rPr>
          <w:rStyle w:val="FootnoteReference"/>
          <w:szCs w:val="22"/>
        </w:rPr>
        <w:footnoteReference w:id="82"/>
      </w:r>
    </w:p>
    <w:p w:rsidR="00BE5E68" w:rsidRPr="001953EC" w:rsidP="00906E60" w14:paraId="41E8FEC3" w14:textId="4386AD21">
      <w:pPr>
        <w:pStyle w:val="ParaNum"/>
        <w:widowControl/>
      </w:pPr>
      <w:r>
        <w:t xml:space="preserve">Applying the same reasoning articulated by the Bureau in the </w:t>
      </w:r>
      <w:r w:rsidRPr="008649DE">
        <w:rPr>
          <w:i/>
          <w:iCs/>
        </w:rPr>
        <w:t>Kurian/PTC-220 Order</w:t>
      </w:r>
      <w:r>
        <w:t xml:space="preserve">, </w:t>
      </w:r>
      <w:r w:rsidRPr="008A25E7" w:rsidR="00AE4803">
        <w:t>we find that</w:t>
      </w:r>
      <w:r w:rsidR="00801B9D">
        <w:t>, under these circumstances,</w:t>
      </w:r>
      <w:r w:rsidRPr="008A25E7" w:rsidR="00AE4803">
        <w:t xml:space="preserve"> strict application of section 80.215(h)(5) to railroads’ PTC </w:t>
      </w:r>
      <w:r w:rsidR="00D23DDC">
        <w:t xml:space="preserve">and related rail safety </w:t>
      </w:r>
      <w:r w:rsidRPr="008A25E7" w:rsidR="00AE4803">
        <w:t>operations is unnecessary and would be unduly burdensome.</w:t>
      </w:r>
      <w:r>
        <w:rPr>
          <w:rStyle w:val="FootnoteReference"/>
          <w:szCs w:val="22"/>
        </w:rPr>
        <w:footnoteReference w:id="83"/>
      </w:r>
      <w:r w:rsidR="00801B9D">
        <w:t xml:space="preserve">  </w:t>
      </w:r>
      <w:r>
        <w:t>A</w:t>
      </w:r>
      <w:r w:rsidRPr="008A25E7" w:rsidR="00AE4803">
        <w:t>ccordingly</w:t>
      </w:r>
      <w:r>
        <w:t>, we</w:t>
      </w:r>
      <w:r w:rsidRPr="008A25E7" w:rsidR="00AE4803">
        <w:t xml:space="preserve"> waive this rule to permit operations at up to 65 watts PEP as measured at the input terminals to a base station antenna.</w:t>
      </w:r>
      <w:r w:rsidRPr="008C3BF7" w:rsidR="008C3BF7">
        <w:rPr>
          <w:szCs w:val="22"/>
        </w:rPr>
        <w:t xml:space="preserve">  </w:t>
      </w:r>
    </w:p>
    <w:p w:rsidR="001953EC" w:rsidRPr="008C3BF7" w:rsidP="008C3BF7" w14:paraId="782FCC69" w14:textId="38FE650B">
      <w:pPr>
        <w:pStyle w:val="ParaNum"/>
      </w:pPr>
      <w:r>
        <w:t xml:space="preserve">Our action today </w:t>
      </w:r>
      <w:r w:rsidRPr="008A25E7">
        <w:t xml:space="preserve">will serve the public interest in rail safety </w:t>
      </w:r>
      <w:r>
        <w:t xml:space="preserve">in AMTS Region 1, covering numerous counties (as specified in the Application) in New Jersey, New York, and Pennsylvania where PTC-220 lacks sufficient spectrum capacity to implement its PTC operations and additional (non-PTC) rail safety systems.  </w:t>
      </w:r>
      <w:r w:rsidRPr="00241421">
        <w:rPr>
          <w:szCs w:val="22"/>
        </w:rPr>
        <w:t xml:space="preserve">In addition, </w:t>
      </w:r>
      <w:r w:rsidR="005F0D51">
        <w:rPr>
          <w:szCs w:val="22"/>
        </w:rPr>
        <w:t>we recognize that</w:t>
      </w:r>
      <w:r w:rsidRPr="00241421">
        <w:rPr>
          <w:szCs w:val="22"/>
        </w:rPr>
        <w:t xml:space="preserve"> passenger and commuter railroads </w:t>
      </w:r>
      <w:r w:rsidR="005F0D51">
        <w:rPr>
          <w:szCs w:val="22"/>
        </w:rPr>
        <w:t>will likely</w:t>
      </w:r>
      <w:r w:rsidRPr="00241421">
        <w:rPr>
          <w:szCs w:val="22"/>
        </w:rPr>
        <w:t xml:space="preserve"> access PTC-220’s spectrum resources via spectrum lease, as Amtrak currently does within AMTS Region 1 through a 220 MHz lease agreement with PTC-220.</w:t>
      </w:r>
      <w:r>
        <w:rPr>
          <w:rStyle w:val="FootnoteReference"/>
          <w:szCs w:val="22"/>
        </w:rPr>
        <w:footnoteReference w:id="84"/>
      </w:r>
      <w:r w:rsidRPr="00241421">
        <w:rPr>
          <w:szCs w:val="22"/>
        </w:rPr>
        <w:t xml:space="preserve">  Consequently, granting the Application to supplement PTC-220’s spectrum, with the accompanying waiver relief, will benefit passenger railroads as well as the PTC-220 member freight railroads.</w:t>
      </w:r>
      <w:r>
        <w:rPr>
          <w:szCs w:val="22"/>
        </w:rPr>
        <w:t xml:space="preserve">  Granting the Application and Waiver Request therefore also </w:t>
      </w:r>
      <w:r w:rsidRPr="00534E7C">
        <w:rPr>
          <w:szCs w:val="22"/>
        </w:rPr>
        <w:t>serv</w:t>
      </w:r>
      <w:r>
        <w:rPr>
          <w:szCs w:val="22"/>
        </w:rPr>
        <w:t>e</w:t>
      </w:r>
      <w:r w:rsidR="005F0D51">
        <w:rPr>
          <w:szCs w:val="22"/>
        </w:rPr>
        <w:t>s</w:t>
      </w:r>
      <w:r w:rsidRPr="00534E7C">
        <w:rPr>
          <w:szCs w:val="22"/>
        </w:rPr>
        <w:t xml:space="preserve"> the Commission’s core policy goals of promoting the safety of life and property.</w:t>
      </w:r>
      <w:r>
        <w:rPr>
          <w:rStyle w:val="FootnoteReference"/>
          <w:szCs w:val="22"/>
        </w:rPr>
        <w:footnoteReference w:id="85"/>
      </w:r>
    </w:p>
    <w:p w:rsidR="00BE5E68" w:rsidP="00214BE2" w14:paraId="22825695" w14:textId="6F230B88">
      <w:pPr>
        <w:pStyle w:val="Heading1"/>
        <w:rPr>
          <w:rFonts w:ascii="Times New Roman" w:hAnsi="Times New Roman"/>
          <w:szCs w:val="22"/>
        </w:rPr>
      </w:pPr>
      <w:bookmarkStart w:id="24" w:name="_Toc432754503"/>
      <w:bookmarkStart w:id="25" w:name="_Toc432767976"/>
      <w:bookmarkStart w:id="26" w:name="_Toc433108658"/>
      <w:bookmarkStart w:id="27" w:name="_Toc433202781"/>
      <w:bookmarkStart w:id="28" w:name="_Toc433264853"/>
      <w:bookmarkStart w:id="29" w:name="_Toc434509981"/>
      <w:bookmarkStart w:id="30" w:name="_Toc434511194"/>
      <w:bookmarkStart w:id="31" w:name="_Toc434582097"/>
      <w:bookmarkStart w:id="32" w:name="_Toc435612730"/>
      <w:bookmarkStart w:id="33" w:name="_Toc437511256"/>
      <w:bookmarkStart w:id="34" w:name="_Toc439765320"/>
      <w:bookmarkStart w:id="35" w:name="_Toc439855366"/>
      <w:bookmarkStart w:id="36" w:name="_Toc441061387"/>
      <w:r>
        <w:rPr>
          <w:rFonts w:ascii="Times New Roman" w:hAnsi="Times New Roman"/>
          <w:szCs w:val="22"/>
        </w:rPr>
        <w:t>CONCLUSION AND ordering clauses</w:t>
      </w:r>
      <w:bookmarkEnd w:id="24"/>
      <w:bookmarkEnd w:id="25"/>
      <w:bookmarkEnd w:id="26"/>
      <w:bookmarkEnd w:id="27"/>
      <w:bookmarkEnd w:id="28"/>
      <w:bookmarkEnd w:id="29"/>
      <w:bookmarkEnd w:id="30"/>
      <w:bookmarkEnd w:id="31"/>
      <w:bookmarkEnd w:id="32"/>
      <w:bookmarkEnd w:id="33"/>
      <w:bookmarkEnd w:id="34"/>
      <w:bookmarkEnd w:id="35"/>
      <w:bookmarkEnd w:id="36"/>
    </w:p>
    <w:p w:rsidR="00B74216" w:rsidRPr="00D610B8" w:rsidP="001E2298" w14:paraId="287BD54A" w14:textId="193EF52A">
      <w:pPr>
        <w:pStyle w:val="ParaNum"/>
      </w:pPr>
      <w:r w:rsidRPr="003D4D32">
        <w:rPr>
          <w:szCs w:val="22"/>
        </w:rPr>
        <w:t xml:space="preserve">For </w:t>
      </w:r>
      <w:r w:rsidR="00B20C0C">
        <w:rPr>
          <w:szCs w:val="22"/>
        </w:rPr>
        <w:t xml:space="preserve">all </w:t>
      </w:r>
      <w:r w:rsidRPr="003D4D32">
        <w:rPr>
          <w:szCs w:val="22"/>
        </w:rPr>
        <w:t xml:space="preserve">the reasons discussed above, we dismiss the Petition and Motion </w:t>
      </w:r>
      <w:r w:rsidR="00D87803">
        <w:rPr>
          <w:szCs w:val="22"/>
        </w:rPr>
        <w:t xml:space="preserve">as </w:t>
      </w:r>
      <w:r w:rsidR="0077033D">
        <w:rPr>
          <w:szCs w:val="22"/>
        </w:rPr>
        <w:t>untimely fil</w:t>
      </w:r>
      <w:r w:rsidR="00D87803">
        <w:rPr>
          <w:szCs w:val="22"/>
        </w:rPr>
        <w:t xml:space="preserve">ed and for </w:t>
      </w:r>
      <w:r w:rsidRPr="003D4D32">
        <w:rPr>
          <w:szCs w:val="22"/>
        </w:rPr>
        <w:t>lack of standing</w:t>
      </w:r>
      <w:r w:rsidR="001E2298">
        <w:rPr>
          <w:szCs w:val="22"/>
        </w:rPr>
        <w:t xml:space="preserve">, and </w:t>
      </w:r>
      <w:r w:rsidR="002C7CB7">
        <w:rPr>
          <w:szCs w:val="22"/>
        </w:rPr>
        <w:t>w</w:t>
      </w:r>
      <w:r w:rsidRPr="003D4D32" w:rsidR="003D4D32">
        <w:rPr>
          <w:szCs w:val="22"/>
        </w:rPr>
        <w:t>e grant the Application</w:t>
      </w:r>
      <w:r w:rsidR="003D4D32">
        <w:rPr>
          <w:szCs w:val="22"/>
        </w:rPr>
        <w:t xml:space="preserve"> and the associated Waiver Request</w:t>
      </w:r>
      <w:r w:rsidRPr="003D4D32" w:rsidR="003D4D32">
        <w:rPr>
          <w:szCs w:val="22"/>
        </w:rPr>
        <w:t>.</w:t>
      </w:r>
      <w:r w:rsidR="00A22C04">
        <w:rPr>
          <w:szCs w:val="22"/>
        </w:rPr>
        <w:t xml:space="preserve">  </w:t>
      </w:r>
      <w:r w:rsidRPr="00D44B09">
        <w:t xml:space="preserve">We emphasize that the waiver relief we grant today will only apply to use of the AMTS spectrum to deploy PTC and related rail safety </w:t>
      </w:r>
      <w:r w:rsidRPr="00D44B09" w:rsidR="009C41C9">
        <w:t>systems</w:t>
      </w:r>
      <w:r w:rsidRPr="00D44B09" w:rsidR="00AE4803">
        <w:t xml:space="preserve"> in </w:t>
      </w:r>
      <w:r w:rsidRPr="00D44B09" w:rsidR="009C41C9">
        <w:t xml:space="preserve">the defined rail corridors in </w:t>
      </w:r>
      <w:r w:rsidRPr="00D44B09" w:rsidR="00AE4803">
        <w:t>AMTS Region 1</w:t>
      </w:r>
      <w:r w:rsidRPr="00D44B09" w:rsidR="009C41C9">
        <w:t xml:space="preserve"> (as specified in the Application), </w:t>
      </w:r>
      <w:r w:rsidRPr="00D44B09" w:rsidR="00221722">
        <w:rPr>
          <w:szCs w:val="22"/>
        </w:rPr>
        <w:t>thereby limiting the area of potential interference</w:t>
      </w:r>
      <w:r w:rsidRPr="00D44B09" w:rsidR="00221722">
        <w:t xml:space="preserve">.  </w:t>
      </w:r>
      <w:r w:rsidRPr="00D44B09" w:rsidR="00055377">
        <w:t xml:space="preserve">We also </w:t>
      </w:r>
      <w:r w:rsidRPr="00D44B09" w:rsidR="00470D23">
        <w:t xml:space="preserve">reiterate that, </w:t>
      </w:r>
      <w:r w:rsidRPr="00D610B8" w:rsidR="00AE4803">
        <w:t>i</w:t>
      </w:r>
      <w:r w:rsidRPr="00D610B8">
        <w:t xml:space="preserve">f PTC-220 assigns, partitions, disaggregates, or leases </w:t>
      </w:r>
      <w:r w:rsidRPr="00D610B8" w:rsidR="009C41C9">
        <w:t xml:space="preserve">to a third party </w:t>
      </w:r>
      <w:r w:rsidRPr="00D610B8">
        <w:t xml:space="preserve">any </w:t>
      </w:r>
      <w:r w:rsidRPr="00D610B8" w:rsidR="009C41C9">
        <w:t xml:space="preserve">of the </w:t>
      </w:r>
      <w:r w:rsidRPr="00D610B8">
        <w:t xml:space="preserve">spectrum to be assigned from </w:t>
      </w:r>
      <w:r w:rsidRPr="00D610B8" w:rsidR="003D4D32">
        <w:t xml:space="preserve">ITMW </w:t>
      </w:r>
      <w:r w:rsidRPr="00D610B8">
        <w:t xml:space="preserve">under Station </w:t>
      </w:r>
      <w:r w:rsidRPr="00D610B8" w:rsidR="003D4D32">
        <w:rPr>
          <w:spacing w:val="-2"/>
        </w:rPr>
        <w:t>WQGF310</w:t>
      </w:r>
      <w:r w:rsidRPr="00D610B8">
        <w:t xml:space="preserve">, the waivers would only apply if that spectrum is used for PTC or related rail safety </w:t>
      </w:r>
      <w:r w:rsidRPr="00D610B8" w:rsidR="009C41C9">
        <w:t>operations</w:t>
      </w:r>
      <w:r w:rsidRPr="00D610B8">
        <w:t>.</w:t>
      </w:r>
    </w:p>
    <w:p w:rsidR="00544FC4" w:rsidRPr="008A7A1C" w:rsidP="003E23CD" w14:paraId="0CA3C934" w14:textId="645C3FB6">
      <w:pPr>
        <w:pStyle w:val="ParaNum"/>
        <w:rPr>
          <w:szCs w:val="22"/>
        </w:rPr>
      </w:pPr>
      <w:r w:rsidRPr="008A7A1C">
        <w:rPr>
          <w:szCs w:val="22"/>
        </w:rPr>
        <w:t>ACCORDINGLY, IT IS ORDERED that, pursuant to sections 4(i) and (j), 303(r), 309, and 310(d) of the Communications Act of 1934, as amended, 47 U.S.C. §§ 154(i), 154(j), 303(r), 309, 310(d), and section</w:t>
      </w:r>
      <w:r>
        <w:rPr>
          <w:szCs w:val="22"/>
        </w:rPr>
        <w:t>s</w:t>
      </w:r>
      <w:r w:rsidRPr="008A7A1C">
        <w:rPr>
          <w:szCs w:val="22"/>
        </w:rPr>
        <w:t xml:space="preserve"> 1.939</w:t>
      </w:r>
      <w:r>
        <w:rPr>
          <w:szCs w:val="22"/>
        </w:rPr>
        <w:t xml:space="preserve"> and 1.948(j)(1)(iii)</w:t>
      </w:r>
      <w:r w:rsidRPr="008A7A1C">
        <w:rPr>
          <w:szCs w:val="22"/>
        </w:rPr>
        <w:t xml:space="preserve"> of the Commission’s rules, 47 CFR §</w:t>
      </w:r>
      <w:r>
        <w:rPr>
          <w:szCs w:val="22"/>
        </w:rPr>
        <w:t>§</w:t>
      </w:r>
      <w:r w:rsidRPr="008A7A1C">
        <w:rPr>
          <w:szCs w:val="22"/>
        </w:rPr>
        <w:t xml:space="preserve"> 1.939</w:t>
      </w:r>
      <w:r>
        <w:rPr>
          <w:szCs w:val="22"/>
        </w:rPr>
        <w:t>, 1.948(j)(1)(iii)</w:t>
      </w:r>
      <w:r w:rsidRPr="008A7A1C">
        <w:rPr>
          <w:szCs w:val="22"/>
        </w:rPr>
        <w:t xml:space="preserve">, the </w:t>
      </w:r>
      <w:r w:rsidR="00E27473">
        <w:rPr>
          <w:szCs w:val="22"/>
        </w:rPr>
        <w:t>P</w:t>
      </w:r>
      <w:r w:rsidRPr="008A7A1C">
        <w:rPr>
          <w:szCs w:val="22"/>
        </w:rPr>
        <w:t xml:space="preserve">etition to </w:t>
      </w:r>
      <w:r w:rsidR="00E27473">
        <w:rPr>
          <w:szCs w:val="22"/>
        </w:rPr>
        <w:t>D</w:t>
      </w:r>
      <w:r w:rsidRPr="008A7A1C">
        <w:rPr>
          <w:szCs w:val="22"/>
        </w:rPr>
        <w:t xml:space="preserve">eny filed on </w:t>
      </w:r>
      <w:r w:rsidR="00E27473">
        <w:rPr>
          <w:spacing w:val="-2"/>
        </w:rPr>
        <w:t>February 10, 2023</w:t>
      </w:r>
      <w:r w:rsidR="003D4D32">
        <w:rPr>
          <w:szCs w:val="22"/>
        </w:rPr>
        <w:t>,</w:t>
      </w:r>
      <w:r w:rsidRPr="008A7A1C">
        <w:rPr>
          <w:szCs w:val="22"/>
        </w:rPr>
        <w:t xml:space="preserve"> </w:t>
      </w:r>
      <w:r>
        <w:rPr>
          <w:szCs w:val="22"/>
        </w:rPr>
        <w:t xml:space="preserve">and the Motion </w:t>
      </w:r>
      <w:r w:rsidR="00E27473">
        <w:rPr>
          <w:szCs w:val="22"/>
        </w:rPr>
        <w:t xml:space="preserve">for Summary Decision </w:t>
      </w:r>
      <w:r>
        <w:rPr>
          <w:szCs w:val="22"/>
        </w:rPr>
        <w:t xml:space="preserve">filed on </w:t>
      </w:r>
      <w:r w:rsidR="00E27473">
        <w:rPr>
          <w:spacing w:val="-2"/>
        </w:rPr>
        <w:t>February 28, 2023</w:t>
      </w:r>
      <w:r w:rsidR="003D4D32">
        <w:rPr>
          <w:szCs w:val="22"/>
        </w:rPr>
        <w:t>,</w:t>
      </w:r>
      <w:r>
        <w:rPr>
          <w:szCs w:val="22"/>
        </w:rPr>
        <w:t xml:space="preserve"> </w:t>
      </w:r>
      <w:r w:rsidRPr="008A7A1C">
        <w:rPr>
          <w:szCs w:val="22"/>
        </w:rPr>
        <w:t xml:space="preserve">by Warren Havens, </w:t>
      </w:r>
      <w:r w:rsidR="00E27473">
        <w:rPr>
          <w:szCs w:val="22"/>
        </w:rPr>
        <w:t>ARE</w:t>
      </w:r>
      <w:r w:rsidRPr="008A7A1C" w:rsidR="00E27473">
        <w:rPr>
          <w:szCs w:val="22"/>
        </w:rPr>
        <w:t xml:space="preserve"> </w:t>
      </w:r>
      <w:r w:rsidRPr="008A7A1C">
        <w:rPr>
          <w:szCs w:val="22"/>
        </w:rPr>
        <w:t xml:space="preserve">DISMISSED. </w:t>
      </w:r>
    </w:p>
    <w:p w:rsidR="00544FC4" w:rsidRPr="008A7A1C" w:rsidP="003E23CD" w14:paraId="026A9607" w14:textId="1CC5340D">
      <w:pPr>
        <w:pStyle w:val="ParaNum"/>
        <w:rPr>
          <w:szCs w:val="22"/>
        </w:rPr>
      </w:pPr>
      <w:r w:rsidRPr="008A7A1C">
        <w:rPr>
          <w:szCs w:val="22"/>
        </w:rPr>
        <w:t xml:space="preserve">IT IS FURTHER ORDERED that, pursuant to sections 4(i) and (j), 303(r), 309, and 310(d) of the Communications Act of 1934, as amended, 47 U.S.C. §§ 154(i), 154(j), 303(r), 309, 310(d), the application filed on </w:t>
      </w:r>
      <w:r w:rsidR="00E27473">
        <w:rPr>
          <w:szCs w:val="22"/>
        </w:rPr>
        <w:t>January 5, 2023</w:t>
      </w:r>
      <w:r w:rsidR="00936386">
        <w:rPr>
          <w:szCs w:val="22"/>
        </w:rPr>
        <w:t>,</w:t>
      </w:r>
      <w:r w:rsidRPr="008A7A1C">
        <w:rPr>
          <w:szCs w:val="22"/>
        </w:rPr>
        <w:t xml:space="preserve"> to assign</w:t>
      </w:r>
      <w:r w:rsidR="00307611">
        <w:t>, through partitioning and disaggregation, portions of the license for Automated Maritime Telecommunications System station WQGF310 (AMT001 – Northern Atlantic)</w:t>
      </w:r>
      <w:r w:rsidR="003D4D32">
        <w:rPr>
          <w:szCs w:val="22"/>
        </w:rPr>
        <w:t xml:space="preserve"> </w:t>
      </w:r>
      <w:r w:rsidRPr="008A7A1C">
        <w:rPr>
          <w:szCs w:val="22"/>
        </w:rPr>
        <w:t xml:space="preserve">from </w:t>
      </w:r>
      <w:r>
        <w:rPr>
          <w:spacing w:val="-2"/>
        </w:rPr>
        <w:t>Intelligent Transportation &amp; Monitoring Wireless LLC</w:t>
      </w:r>
      <w:r w:rsidRPr="008A7A1C">
        <w:rPr>
          <w:szCs w:val="22"/>
        </w:rPr>
        <w:t xml:space="preserve"> to </w:t>
      </w:r>
      <w:r>
        <w:rPr>
          <w:szCs w:val="22"/>
        </w:rPr>
        <w:t>PTC-220</w:t>
      </w:r>
      <w:r w:rsidRPr="008A7A1C">
        <w:rPr>
          <w:szCs w:val="22"/>
        </w:rPr>
        <w:t xml:space="preserve">, LLC, FCC File Number </w:t>
      </w:r>
      <w:r>
        <w:rPr>
          <w:spacing w:val="-2"/>
        </w:rPr>
        <w:t>0010322233</w:t>
      </w:r>
      <w:r w:rsidRPr="008A7A1C">
        <w:rPr>
          <w:szCs w:val="22"/>
        </w:rPr>
        <w:t>, IS GRANTED.</w:t>
      </w:r>
    </w:p>
    <w:p w:rsidR="00A42C73" w:rsidP="00E7229F" w14:paraId="39F8137A" w14:textId="77777777">
      <w:pPr>
        <w:pStyle w:val="ParaNum"/>
        <w:rPr>
          <w:szCs w:val="22"/>
        </w:rPr>
      </w:pPr>
      <w:r w:rsidRPr="00A42C73">
        <w:rPr>
          <w:szCs w:val="22"/>
        </w:rPr>
        <w:t xml:space="preserve">IT IS FURTHER ORDERED that, pursuant to sections 4(i) and (j) of the Communications Act of 1934, as amended, 47 U.S.C. §§ 154(i), 154(j), and sections 1.3 and 1.925 of the Commission’s rules, 47 CFR §§ 1.3, 1.925, the </w:t>
      </w:r>
      <w:r w:rsidRPr="00A42C73" w:rsidR="00F33525">
        <w:rPr>
          <w:szCs w:val="22"/>
        </w:rPr>
        <w:t xml:space="preserve">Waiver Request </w:t>
      </w:r>
      <w:r w:rsidRPr="00A42C73">
        <w:rPr>
          <w:szCs w:val="22"/>
        </w:rPr>
        <w:t xml:space="preserve">filed on </w:t>
      </w:r>
      <w:r w:rsidRPr="00A42C73" w:rsidR="00CA197C">
        <w:rPr>
          <w:szCs w:val="22"/>
        </w:rPr>
        <w:t>January 5, 2023</w:t>
      </w:r>
      <w:r w:rsidRPr="00A42C73" w:rsidR="00307611">
        <w:rPr>
          <w:szCs w:val="22"/>
        </w:rPr>
        <w:t>,</w:t>
      </w:r>
      <w:r w:rsidRPr="00A42C73">
        <w:rPr>
          <w:szCs w:val="22"/>
        </w:rPr>
        <w:t xml:space="preserve"> by PTC-220, LLC, IS GRANTED</w:t>
      </w:r>
      <w:r w:rsidRPr="00A42C73" w:rsidR="00803B06">
        <w:rPr>
          <w:szCs w:val="22"/>
        </w:rPr>
        <w:t xml:space="preserve"> as described herein.</w:t>
      </w:r>
    </w:p>
    <w:p w:rsidR="000F675C" w14:paraId="204A24C6" w14:textId="77777777">
      <w:pPr>
        <w:widowControl/>
        <w:rPr>
          <w:szCs w:val="22"/>
        </w:rPr>
      </w:pPr>
      <w:r>
        <w:rPr>
          <w:szCs w:val="22"/>
        </w:rPr>
        <w:br w:type="page"/>
      </w:r>
    </w:p>
    <w:p w:rsidR="00544FC4" w:rsidRPr="00A42C73" w:rsidP="00E7229F" w14:paraId="5182D3FF" w14:textId="7ABF847A">
      <w:pPr>
        <w:pStyle w:val="ParaNum"/>
        <w:rPr>
          <w:szCs w:val="22"/>
        </w:rPr>
      </w:pPr>
      <w:r w:rsidRPr="00A42C73">
        <w:rPr>
          <w:szCs w:val="22"/>
        </w:rPr>
        <w:t>This action is taken under delegated authority pursuant to sections 0.131 and 0.331 of the Commission’s rules, 47 CFR §§ 0.131, 0.331.</w:t>
      </w:r>
    </w:p>
    <w:p w:rsidR="0085768E" w:rsidRPr="008A25E7" w:rsidP="0085768E" w14:paraId="3A085D1E" w14:textId="77777777">
      <w:pPr>
        <w:tabs>
          <w:tab w:val="left" w:pos="4752"/>
        </w:tabs>
        <w:rPr>
          <w:szCs w:val="22"/>
        </w:rPr>
      </w:pPr>
      <w:r w:rsidRPr="008A25E7">
        <w:rPr>
          <w:szCs w:val="22"/>
        </w:rPr>
        <w:tab/>
        <w:t>FEDERAL COMMUNICATIONS</w:t>
      </w:r>
      <w:r w:rsidRPr="008A25E7">
        <w:rPr>
          <w:b/>
          <w:szCs w:val="22"/>
        </w:rPr>
        <w:t xml:space="preserve"> </w:t>
      </w:r>
      <w:r w:rsidRPr="008A25E7">
        <w:rPr>
          <w:szCs w:val="22"/>
        </w:rPr>
        <w:t>COMMISSION</w:t>
      </w:r>
    </w:p>
    <w:p w:rsidR="0085768E" w:rsidRPr="008A25E7" w:rsidP="0085768E" w14:paraId="6DE91333" w14:textId="77777777">
      <w:pPr>
        <w:tabs>
          <w:tab w:val="left" w:pos="5760"/>
        </w:tabs>
        <w:rPr>
          <w:b/>
          <w:szCs w:val="22"/>
        </w:rPr>
      </w:pPr>
    </w:p>
    <w:p w:rsidR="008B31E3" w:rsidRPr="008A25E7" w:rsidP="0085768E" w14:paraId="0A6E382A" w14:textId="77777777">
      <w:pPr>
        <w:tabs>
          <w:tab w:val="left" w:pos="5760"/>
        </w:tabs>
        <w:rPr>
          <w:b/>
          <w:szCs w:val="22"/>
        </w:rPr>
      </w:pPr>
    </w:p>
    <w:p w:rsidR="0085768E" w:rsidRPr="008A25E7" w:rsidP="0085768E" w14:paraId="3120EE19" w14:textId="77777777">
      <w:pPr>
        <w:tabs>
          <w:tab w:val="left" w:pos="5760"/>
        </w:tabs>
        <w:rPr>
          <w:b/>
          <w:szCs w:val="22"/>
        </w:rPr>
      </w:pPr>
    </w:p>
    <w:p w:rsidR="0085768E" w:rsidRPr="008A25E7" w:rsidP="0085768E" w14:paraId="575B0854" w14:textId="77777777">
      <w:pPr>
        <w:tabs>
          <w:tab w:val="left" w:pos="4752"/>
        </w:tabs>
        <w:rPr>
          <w:szCs w:val="22"/>
        </w:rPr>
      </w:pPr>
      <w:r w:rsidRPr="008A25E7">
        <w:rPr>
          <w:szCs w:val="22"/>
        </w:rPr>
        <w:tab/>
        <w:t xml:space="preserve">Roger S. Noel </w:t>
      </w:r>
    </w:p>
    <w:p w:rsidR="0085768E" w:rsidRPr="008A25E7" w:rsidP="0085768E" w14:paraId="5A5B50C9" w14:textId="77777777">
      <w:pPr>
        <w:tabs>
          <w:tab w:val="left" w:pos="4752"/>
        </w:tabs>
        <w:rPr>
          <w:szCs w:val="22"/>
        </w:rPr>
      </w:pPr>
      <w:r w:rsidRPr="008A25E7">
        <w:rPr>
          <w:szCs w:val="22"/>
        </w:rPr>
        <w:tab/>
        <w:t>Chief, Mobility Division</w:t>
      </w:r>
    </w:p>
    <w:p w:rsidR="0085768E" w:rsidRPr="008A25E7" w:rsidP="0085768E" w14:paraId="7C3719CA" w14:textId="77777777">
      <w:pPr>
        <w:tabs>
          <w:tab w:val="left" w:pos="4752"/>
        </w:tabs>
        <w:rPr>
          <w:szCs w:val="22"/>
        </w:rPr>
      </w:pPr>
      <w:r w:rsidRPr="008A25E7">
        <w:rPr>
          <w:szCs w:val="22"/>
        </w:rPr>
        <w:tab/>
        <w:t xml:space="preserve">Wireless Telecommunications Bureau </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68" w14:paraId="5323F7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61AA" w14:paraId="7FF1F103" w14:textId="77777777">
      <w:pPr>
        <w:rPr>
          <w:sz w:val="20"/>
        </w:rPr>
      </w:pPr>
      <w:r>
        <w:rPr>
          <w:sz w:val="20"/>
        </w:rPr>
        <w:separator/>
      </w:r>
    </w:p>
  </w:footnote>
  <w:footnote w:type="continuationSeparator" w:id="1">
    <w:p w:rsidR="004061AA" w14:paraId="5040B6F5" w14:textId="77777777">
      <w:pPr>
        <w:rPr>
          <w:sz w:val="20"/>
        </w:rPr>
      </w:pPr>
      <w:r>
        <w:rPr>
          <w:sz w:val="20"/>
        </w:rPr>
        <w:separator/>
      </w:r>
    </w:p>
    <w:p w:rsidR="004061AA" w14:paraId="5DB7AB3F" w14:textId="77777777">
      <w:pPr>
        <w:rPr>
          <w:sz w:val="20"/>
        </w:rPr>
      </w:pPr>
      <w:r>
        <w:rPr>
          <w:sz w:val="20"/>
        </w:rPr>
        <w:t>(...continued from previous page)</w:t>
      </w:r>
    </w:p>
  </w:footnote>
  <w:footnote w:type="continuationNotice" w:id="2">
    <w:p w:rsidR="004061AA" w14:paraId="051671B8" w14:textId="77777777">
      <w:pPr>
        <w:jc w:val="right"/>
        <w:rPr>
          <w:sz w:val="20"/>
        </w:rPr>
      </w:pPr>
      <w:r>
        <w:rPr>
          <w:sz w:val="20"/>
        </w:rPr>
        <w:t>(continued....)</w:t>
      </w:r>
    </w:p>
  </w:footnote>
  <w:footnote w:id="3">
    <w:p w:rsidR="00EF3650" w:rsidP="00EF3650" w14:paraId="14B4F997" w14:textId="77777777">
      <w:pPr>
        <w:pStyle w:val="FootnoteText"/>
      </w:pPr>
      <w:r>
        <w:rPr>
          <w:rStyle w:val="FootnoteReference"/>
        </w:rPr>
        <w:footnoteRef/>
      </w:r>
      <w:r>
        <w:t xml:space="preserve"> FCC File No. 0010322233 (filed Jan. 5, 2023) (Application).    </w:t>
      </w:r>
    </w:p>
  </w:footnote>
  <w:footnote w:id="4">
    <w:p w:rsidR="007F6C82" w:rsidP="00EF3650" w14:paraId="34B2865E" w14:textId="4D7CFD68">
      <w:pPr>
        <w:pStyle w:val="FootnoteText"/>
      </w:pPr>
      <w:r>
        <w:rPr>
          <w:rStyle w:val="FootnoteReference"/>
        </w:rPr>
        <w:footnoteRef/>
      </w:r>
      <w:r>
        <w:t xml:space="preserve"> </w:t>
      </w:r>
      <w:r w:rsidRPr="00DA426C">
        <w:rPr>
          <w:i/>
          <w:iCs/>
        </w:rPr>
        <w:t>See</w:t>
      </w:r>
      <w:r>
        <w:t xml:space="preserve"> </w:t>
      </w:r>
      <w:r w:rsidRPr="00BE50EE">
        <w:rPr>
          <w:i/>
          <w:iCs/>
        </w:rPr>
        <w:t>Wireless Telecommunications Bureau Assignment of License Authorization Applications, Transfer of Control of Licensee Applications, and</w:t>
      </w:r>
      <w:r>
        <w:t xml:space="preserve"> </w:t>
      </w:r>
      <w:r w:rsidRPr="00385779">
        <w:rPr>
          <w:i/>
          <w:iCs/>
        </w:rPr>
        <w:t>De Facto</w:t>
      </w:r>
      <w:r>
        <w:t xml:space="preserve"> </w:t>
      </w:r>
      <w:r w:rsidRPr="00BE50EE">
        <w:rPr>
          <w:i/>
          <w:iCs/>
        </w:rPr>
        <w:t>Transfer Lease Applications, and Designated Entity Reportable Eligibility Event Applications Accepted For Filing</w:t>
      </w:r>
      <w:r>
        <w:t xml:space="preserve">, Report No. 17408, at 1 (WTB rel. Jan. 11, 2023),  </w:t>
      </w:r>
      <w:hyperlink r:id="rId1" w:history="1">
        <w:r w:rsidRPr="00BE4CF7">
          <w:rPr>
            <w:rStyle w:val="Hyperlink"/>
          </w:rPr>
          <w:t>https://docs.fcc.gov/public/attachments/DOC-390576A1.pdf</w:t>
        </w:r>
      </w:hyperlink>
      <w:r>
        <w:t>.</w:t>
      </w:r>
      <w:r w:rsidR="0026394A">
        <w:t xml:space="preserve"> </w:t>
      </w:r>
    </w:p>
  </w:footnote>
  <w:footnote w:id="5">
    <w:p w:rsidR="00EF3650" w:rsidP="00EF3650" w14:paraId="58FD82F0" w14:textId="5417C9AF">
      <w:pPr>
        <w:pStyle w:val="FootnoteText"/>
      </w:pPr>
      <w:r>
        <w:rPr>
          <w:rStyle w:val="FootnoteReference"/>
        </w:rPr>
        <w:footnoteRef/>
      </w:r>
      <w:r>
        <w:t xml:space="preserve"> </w:t>
      </w:r>
      <w:r w:rsidRPr="001B459A">
        <w:t xml:space="preserve">Petition </w:t>
      </w:r>
      <w:r w:rsidRPr="001B459A" w:rsidR="00CE4E52">
        <w:t>t</w:t>
      </w:r>
      <w:r w:rsidRPr="001B459A">
        <w:t xml:space="preserve">o Deny or Dismiss </w:t>
      </w:r>
      <w:r w:rsidR="00A27114">
        <w:t>of Warren Havens</w:t>
      </w:r>
      <w:r w:rsidRPr="001B459A">
        <w:t xml:space="preserve">, </w:t>
      </w:r>
      <w:r w:rsidR="00A27114">
        <w:t xml:space="preserve">File No. 0010322233 (filed </w:t>
      </w:r>
      <w:r w:rsidRPr="001B459A">
        <w:t>Feb. 10, 2023</w:t>
      </w:r>
      <w:r w:rsidR="00A27114">
        <w:t>)</w:t>
      </w:r>
      <w:r w:rsidRPr="001B459A">
        <w:t xml:space="preserve">; Motion for Summary Decision </w:t>
      </w:r>
      <w:r w:rsidR="00A27114">
        <w:t>of Warren Havens</w:t>
      </w:r>
      <w:r w:rsidRPr="001B459A">
        <w:t xml:space="preserve">, </w:t>
      </w:r>
      <w:r w:rsidR="00A27114">
        <w:t xml:space="preserve">File No. 0010322233, (filed </w:t>
      </w:r>
      <w:r w:rsidRPr="001B459A">
        <w:t>Feb. 28, 2023</w:t>
      </w:r>
      <w:r w:rsidR="00A27114">
        <w:t>)</w:t>
      </w:r>
      <w:r>
        <w:t xml:space="preserve">.    </w:t>
      </w:r>
    </w:p>
  </w:footnote>
  <w:footnote w:id="6">
    <w:p w:rsidR="006535F6" w:rsidP="00EF3650" w14:paraId="0916AD5C" w14:textId="55B17FB0">
      <w:pPr>
        <w:pStyle w:val="FootnoteText"/>
      </w:pPr>
      <w:r>
        <w:rPr>
          <w:rStyle w:val="FootnoteReference"/>
        </w:rPr>
        <w:footnoteRef/>
      </w:r>
      <w:r>
        <w:t xml:space="preserve"> Opposition to Petition to Deny</w:t>
      </w:r>
      <w:r w:rsidR="00A27114">
        <w:t xml:space="preserve"> of PTC-220</w:t>
      </w:r>
      <w:r>
        <w:t xml:space="preserve">, </w:t>
      </w:r>
      <w:r w:rsidR="00A27114">
        <w:t xml:space="preserve">File No. 0010322233 (filed </w:t>
      </w:r>
      <w:r>
        <w:t>Feb. 21, 2023</w:t>
      </w:r>
      <w:r w:rsidR="00A27114">
        <w:t>)</w:t>
      </w:r>
      <w:r>
        <w:t xml:space="preserve">.  Havens subsequently filed short and long versions of his Reply to the Opposition on February 28, 2023, an Erratum of the short Reply to the Opposition on March 1, 2023, and a “Havens Skybridge” memo, which includes his other filings, on March 2, 2023.  </w:t>
      </w:r>
      <w:r w:rsidRPr="002427E8">
        <w:rPr>
          <w:i/>
          <w:iCs/>
        </w:rPr>
        <w:t>See</w:t>
      </w:r>
      <w:r>
        <w:t xml:space="preserve"> </w:t>
      </w:r>
      <w:r w:rsidR="005531B0">
        <w:t xml:space="preserve">ULS File No. </w:t>
      </w:r>
      <w:r>
        <w:rPr>
          <w:rStyle w:val="text-blue"/>
        </w:rPr>
        <w:t>0010322233</w:t>
      </w:r>
      <w:r w:rsidR="0086032B">
        <w:rPr>
          <w:rStyle w:val="text-blue"/>
        </w:rPr>
        <w:t xml:space="preserve">, </w:t>
      </w:r>
      <w:r>
        <w:rPr>
          <w:rStyle w:val="text-blue"/>
        </w:rPr>
        <w:t>PTC-220, LLC, Pleadings,</w:t>
      </w:r>
      <w:r w:rsidR="0086032B">
        <w:rPr>
          <w:rStyle w:val="text-blue"/>
        </w:rPr>
        <w:t xml:space="preserve"> </w:t>
      </w:r>
      <w:hyperlink r:id="rId2" w:history="1">
        <w:r w:rsidRPr="0027292D" w:rsidR="00505D21">
          <w:rPr>
            <w:rStyle w:val="Hyperlink"/>
          </w:rPr>
          <w:t>http://appsint.fcc.gov/UlsApp/ApplicationSearch/applAdminPleadings.jsp?applID=13755579</w:t>
        </w:r>
      </w:hyperlink>
      <w:r w:rsidR="00505D21">
        <w:t>.</w:t>
      </w:r>
    </w:p>
  </w:footnote>
  <w:footnote w:id="7">
    <w:p w:rsidR="006D593B" w14:paraId="20C7F12B" w14:textId="6999C125">
      <w:pPr>
        <w:pStyle w:val="FootnoteText"/>
      </w:pPr>
      <w:r>
        <w:rPr>
          <w:rStyle w:val="FootnoteReference"/>
        </w:rPr>
        <w:footnoteRef/>
      </w:r>
      <w:r>
        <w:t xml:space="preserve"> In Section III.B below, we address certain conditions that had been imposed on Havens concerning his participation in Commission proceedings.</w:t>
      </w:r>
    </w:p>
  </w:footnote>
  <w:footnote w:id="8">
    <w:p w:rsidR="00EF3650" w:rsidP="00EF3650" w14:paraId="45472A00" w14:textId="0A1066D7">
      <w:pPr>
        <w:pStyle w:val="FootnoteText"/>
      </w:pPr>
      <w:r>
        <w:rPr>
          <w:rStyle w:val="FootnoteReference"/>
        </w:rPr>
        <w:footnoteRef/>
      </w:r>
      <w:r>
        <w:t xml:space="preserve"> </w:t>
      </w:r>
      <w:r w:rsidR="00E445D9">
        <w:t xml:space="preserve">Application, </w:t>
      </w:r>
      <w:r>
        <w:t xml:space="preserve">Request for Waivers for AMTS Spectrum to be Assigned from Call Sign WQGF310, </w:t>
      </w:r>
      <w:r w:rsidR="00E445D9">
        <w:t xml:space="preserve">ULS </w:t>
      </w:r>
      <w:r>
        <w:t xml:space="preserve">File No. 0010322233 </w:t>
      </w:r>
      <w:r w:rsidR="00187E34">
        <w:t>(</w:t>
      </w:r>
      <w:r>
        <w:t>Jan. 5, 2023</w:t>
      </w:r>
      <w:r w:rsidR="00187E34">
        <w:t>) (Waiver Request)</w:t>
      </w:r>
      <w:r>
        <w:t>.</w:t>
      </w:r>
    </w:p>
  </w:footnote>
  <w:footnote w:id="9">
    <w:p w:rsidR="00386942" w:rsidP="00386942" w14:paraId="1B6C4333" w14:textId="4DCE86E8">
      <w:pPr>
        <w:pStyle w:val="FootnoteText"/>
      </w:pPr>
      <w:r>
        <w:rPr>
          <w:rStyle w:val="FootnoteReference"/>
        </w:rPr>
        <w:footnoteRef/>
      </w:r>
      <w:r>
        <w:t xml:space="preserve"> </w:t>
      </w:r>
      <w:bookmarkStart w:id="2" w:name="_Hlk139986162"/>
      <w:r>
        <w:t>Application, Description of the Transaction and Public Interest Statement, at 1</w:t>
      </w:r>
      <w:r w:rsidR="0026394A">
        <w:t xml:space="preserve"> (Public Interest Statement)</w:t>
      </w:r>
      <w:r>
        <w:t>.</w:t>
      </w:r>
      <w:bookmarkEnd w:id="2"/>
    </w:p>
  </w:footnote>
  <w:footnote w:id="10">
    <w:p w:rsidR="00386942" w:rsidP="00386942" w14:paraId="235AB42D" w14:textId="77777777">
      <w:pPr>
        <w:pStyle w:val="FootnoteText"/>
      </w:pPr>
      <w:r>
        <w:rPr>
          <w:rStyle w:val="FootnoteReference"/>
        </w:rPr>
        <w:footnoteRef/>
      </w:r>
      <w:r>
        <w:t xml:space="preserve"> Application, Authorizations to be Assigned.</w:t>
      </w:r>
    </w:p>
  </w:footnote>
  <w:footnote w:id="11">
    <w:p w:rsidR="00386942" w:rsidP="00386942" w14:paraId="69BEE21C" w14:textId="4DB9419C">
      <w:pPr>
        <w:pStyle w:val="FootnoteText"/>
      </w:pPr>
      <w:r>
        <w:rPr>
          <w:rStyle w:val="FootnoteReference"/>
        </w:rPr>
        <w:footnoteRef/>
      </w:r>
      <w:r>
        <w:t xml:space="preserve"> Public Interest Statement at 1 (citing ULS File Nos. 0007586525, 0007703434, 0007780828).</w:t>
      </w:r>
    </w:p>
  </w:footnote>
  <w:footnote w:id="12">
    <w:p w:rsidR="00386942" w:rsidP="00386942" w14:paraId="5AF53C1D" w14:textId="77777777">
      <w:pPr>
        <w:pStyle w:val="FootnoteText"/>
      </w:pPr>
      <w:r>
        <w:rPr>
          <w:rStyle w:val="FootnoteReference"/>
        </w:rPr>
        <w:footnoteRef/>
      </w:r>
      <w:r>
        <w:t xml:space="preserve"> </w:t>
      </w:r>
      <w:r>
        <w:rPr>
          <w:rStyle w:val="Emphasis"/>
        </w:rPr>
        <w:t>See</w:t>
      </w:r>
      <w:r>
        <w:t xml:space="preserve"> Arnold </w:t>
      </w:r>
      <w:r>
        <w:rPr>
          <w:rStyle w:val="cosearchterm"/>
        </w:rPr>
        <w:t>Leong</w:t>
      </w:r>
      <w:r>
        <w:t xml:space="preserve"> v. Warrens Havens, </w:t>
      </w:r>
      <w:r>
        <w:rPr>
          <w:rStyle w:val="Emphasis"/>
        </w:rPr>
        <w:t>et al</w:t>
      </w:r>
      <w:r>
        <w:t xml:space="preserve">., Case No. 2002-070640, </w:t>
      </w:r>
      <w:r>
        <w:rPr>
          <w:rStyle w:val="Emphasis"/>
        </w:rPr>
        <w:t>Order Appointing Receiver After Hearing and Preliminary Injunction</w:t>
      </w:r>
      <w:r>
        <w:t xml:space="preserve"> (Nov. 16, 2015), </w:t>
      </w:r>
      <w:r>
        <w:rPr>
          <w:i/>
          <w:iCs/>
        </w:rPr>
        <w:t>aff’d</w:t>
      </w:r>
      <w:r>
        <w:t xml:space="preserve">, Case No. A147027, 2017 WL 3633282 (Cal. Ct. App. Aug. 23, 2017).  After the California Court of Appeal affirmed the Court’s order appointing the Receiver to take control of these entities, and the Supreme Court of California denied review, the Court’s decision that the Receiver should control the entities became final.  </w:t>
      </w:r>
      <w:r>
        <w:rPr>
          <w:i/>
          <w:iCs/>
        </w:rPr>
        <w:t>See Leong v. Havens</w:t>
      </w:r>
      <w:r>
        <w:t xml:space="preserve">, Case Nos. A149113 </w:t>
      </w:r>
      <w:r w:rsidRPr="003D76A7">
        <w:rPr>
          <w:i/>
          <w:iCs/>
        </w:rPr>
        <w:t>et al.</w:t>
      </w:r>
      <w:r>
        <w:t>, 2019 WL 5557524, at *2 (Cal. Ct. Ap. Oct. 23, 2019).</w:t>
      </w:r>
    </w:p>
  </w:footnote>
  <w:footnote w:id="13">
    <w:p w:rsidR="00C40D74" w:rsidP="00386942" w14:paraId="173B9A82" w14:textId="53FB3AD8">
      <w:pPr>
        <w:pStyle w:val="FootnoteText"/>
      </w:pPr>
      <w:r>
        <w:rPr>
          <w:rStyle w:val="FootnoteReference"/>
        </w:rPr>
        <w:footnoteRef/>
      </w:r>
      <w:r>
        <w:t xml:space="preserve"> </w:t>
      </w:r>
      <w:r>
        <w:rPr>
          <w:rStyle w:val="Emphasis"/>
        </w:rPr>
        <w:t>See</w:t>
      </w:r>
      <w:r>
        <w:t xml:space="preserve"> ULS File Nos. 0007060862, 0007060898, 0007061808, 0007061828, 0007061847, 0007061898 (all filed Dec. 17, 2015).  No petition for reconsideration was filed within the statutorily mandated 30-day period beginning with public notice of the acceptance of the applications, therefore, the Commission’s action is administratively final.  </w:t>
      </w:r>
      <w:r w:rsidRPr="00BD2AE6">
        <w:rPr>
          <w:i/>
          <w:iCs/>
        </w:rPr>
        <w:t>See</w:t>
      </w:r>
      <w:r>
        <w:t xml:space="preserve"> 47 U.S.C. § 405.  Havens, however, has filed numerous pleadings collaterally attacking the acceptance of the applications.  A non-exhaustive list of the pleadings is available at </w:t>
      </w:r>
      <w:hyperlink r:id="rId3" w:history="1">
        <w:r w:rsidRPr="00BE4CF7">
          <w:rPr>
            <w:rStyle w:val="Hyperlink"/>
          </w:rPr>
          <w:t>https://wireless2.fcc.gov/UlsApp/ApplicationSearch/applAdminPleadings.jsp?applID=9367669</w:t>
        </w:r>
      </w:hyperlink>
      <w:r>
        <w:t>.</w:t>
      </w:r>
    </w:p>
  </w:footnote>
  <w:footnote w:id="14">
    <w:p w:rsidR="00386942" w:rsidP="00386942" w14:paraId="3BC0A1FA" w14:textId="630232C8">
      <w:pPr>
        <w:pStyle w:val="FootnoteText"/>
      </w:pPr>
      <w:r>
        <w:rPr>
          <w:rStyle w:val="FootnoteReference"/>
        </w:rPr>
        <w:footnoteRef/>
      </w:r>
      <w:r>
        <w:t xml:space="preserve"> </w:t>
      </w:r>
      <w:r w:rsidRPr="00CC2791">
        <w:rPr>
          <w:i/>
          <w:iCs/>
        </w:rPr>
        <w:t>See</w:t>
      </w:r>
      <w:r>
        <w:t xml:space="preserve"> </w:t>
      </w:r>
      <w:r w:rsidRPr="00CC2791">
        <w:rPr>
          <w:i/>
          <w:iCs/>
        </w:rPr>
        <w:t xml:space="preserve">Skybridge Spectrum Foundation, Telesaurus Holdings GB LLC, Verde Systems LLC, </w:t>
      </w:r>
      <w:r w:rsidRPr="00CC2791" w:rsidR="00EF02B5">
        <w:rPr>
          <w:i/>
          <w:iCs/>
        </w:rPr>
        <w:t>Environment</w:t>
      </w:r>
      <w:r w:rsidR="00EF02B5">
        <w:rPr>
          <w:i/>
          <w:iCs/>
        </w:rPr>
        <w:t>a</w:t>
      </w:r>
      <w:r w:rsidRPr="00CC2791" w:rsidR="00EF02B5">
        <w:rPr>
          <w:i/>
          <w:iCs/>
        </w:rPr>
        <w:t>l</w:t>
      </w:r>
      <w:r w:rsidRPr="00CC2791">
        <w:rPr>
          <w:i/>
          <w:iCs/>
        </w:rPr>
        <w:t xml:space="preserve"> LLC, Environment</w:t>
      </w:r>
      <w:r>
        <w:rPr>
          <w:i/>
          <w:iCs/>
        </w:rPr>
        <w:t>e</w:t>
      </w:r>
      <w:r w:rsidRPr="00CC2791">
        <w:rPr>
          <w:i/>
          <w:iCs/>
        </w:rPr>
        <w:t>l-2 LLC, Intelligent Transportation &amp; Monitoring Wireless LLC, V2G LLC</w:t>
      </w:r>
      <w:r>
        <w:t xml:space="preserve">, EB Docket No. 11-71, Memorandum Opinion and Order, </w:t>
      </w:r>
      <w:r w:rsidR="00446420">
        <w:t>3</w:t>
      </w:r>
      <w:r w:rsidR="00836796">
        <w:t xml:space="preserve">7 </w:t>
      </w:r>
      <w:r w:rsidR="00D6419A">
        <w:t>FCC R</w:t>
      </w:r>
      <w:r w:rsidR="00AE14AB">
        <w:t>cd</w:t>
      </w:r>
      <w:r w:rsidR="005530F7">
        <w:t xml:space="preserve"> </w:t>
      </w:r>
      <w:r w:rsidR="003E3346">
        <w:t>4731</w:t>
      </w:r>
      <w:r w:rsidRPr="00C6323B" w:rsidR="00C6323B">
        <w:t xml:space="preserve"> </w:t>
      </w:r>
      <w:r>
        <w:t>(WTB 2022) (</w:t>
      </w:r>
      <w:r w:rsidRPr="00140300">
        <w:rPr>
          <w:i/>
          <w:iCs/>
        </w:rPr>
        <w:t>Receiver Order</w:t>
      </w:r>
      <w:r>
        <w:t>).</w:t>
      </w:r>
      <w:r w:rsidR="00C6323B">
        <w:t xml:space="preserve">  </w:t>
      </w:r>
      <w:r>
        <w:t xml:space="preserve">Pursuant to the Court’s judgment, these proceeds are to be distributed between Leong and Havens.  We previously ordered that any proceeds intended for Havens be placed into escrow pending the resolution of the Commission’s assessment of Havens’s character qualifications to be a licensee.  </w:t>
      </w:r>
      <w:r>
        <w:rPr>
          <w:i/>
          <w:iCs/>
        </w:rPr>
        <w:t>See id.</w:t>
      </w:r>
      <w:r w:rsidR="00C6323B">
        <w:t xml:space="preserve"> at </w:t>
      </w:r>
      <w:r w:rsidR="00493D6E">
        <w:t>4</w:t>
      </w:r>
      <w:r w:rsidR="003C6B44">
        <w:t>746</w:t>
      </w:r>
      <w:r w:rsidR="00493D6E">
        <w:t xml:space="preserve">, </w:t>
      </w:r>
      <w:r>
        <w:t>para. 34.</w:t>
      </w:r>
      <w:r w:rsidR="009E1C9F">
        <w:t xml:space="preserve">  In view of Havens’s death, we revisit that condition below</w:t>
      </w:r>
      <w:r w:rsidR="004009C9">
        <w:t>.</w:t>
      </w:r>
    </w:p>
  </w:footnote>
  <w:footnote w:id="15">
    <w:p w:rsidR="00386942" w:rsidP="00386942" w14:paraId="6812BD79" w14:textId="5B83F1D8">
      <w:pPr>
        <w:pStyle w:val="FootnoteText"/>
      </w:pPr>
      <w:r>
        <w:rPr>
          <w:rStyle w:val="FootnoteReference"/>
        </w:rPr>
        <w:footnoteRef/>
      </w:r>
      <w:r>
        <w:t xml:space="preserve"> </w:t>
      </w:r>
      <w:r w:rsidRPr="00863933" w:rsidR="00863933">
        <w:rPr>
          <w:i/>
          <w:iCs/>
        </w:rPr>
        <w:t>See</w:t>
      </w:r>
      <w:r w:rsidR="00863933">
        <w:rPr>
          <w:i/>
          <w:iCs/>
        </w:rPr>
        <w:t xml:space="preserve"> </w:t>
      </w:r>
      <w:r w:rsidRPr="00090F74" w:rsidR="00863933">
        <w:t>Rail Safety Improvement Act of 2008</w:t>
      </w:r>
      <w:r w:rsidRPr="006B68D9" w:rsidR="00863933">
        <w:t xml:space="preserve">, </w:t>
      </w:r>
      <w:r w:rsidRPr="006B68D9" w:rsidR="00863933">
        <w:rPr>
          <w:rFonts w:eastAsia="Arial"/>
        </w:rPr>
        <w:t>Pub. L. No. 110-432, § 104, 122 Stat. 4848, 4857 (2008),</w:t>
      </w:r>
      <w:r w:rsidRPr="006B68D9" w:rsidR="00863933">
        <w:rPr>
          <w:rFonts w:eastAsia="Arial"/>
          <w:i/>
          <w:iCs/>
        </w:rPr>
        <w:t xml:space="preserve"> amended by</w:t>
      </w:r>
      <w:r w:rsidRPr="00172A8F" w:rsidR="00863933">
        <w:rPr>
          <w:rFonts w:eastAsia="Arial"/>
        </w:rPr>
        <w:t xml:space="preserve"> </w:t>
      </w:r>
      <w:r w:rsidRPr="00090F74" w:rsidR="00863933">
        <w:rPr>
          <w:rFonts w:eastAsia="Arial"/>
        </w:rPr>
        <w:t>Positive Train Control Enforcement and Implementation Act of 2015</w:t>
      </w:r>
      <w:r w:rsidRPr="00172A8F" w:rsidR="00863933">
        <w:rPr>
          <w:rFonts w:eastAsia="Arial"/>
        </w:rPr>
        <w:t>, Pub. L. No. 114-73, § 1302, 129 Stat. 568, 576 (2015).</w:t>
      </w:r>
      <w:r w:rsidR="00863933">
        <w:rPr>
          <w:rFonts w:eastAsia="Arial"/>
        </w:rPr>
        <w:t xml:space="preserve">  </w:t>
      </w:r>
      <w:r w:rsidR="00EC1B3F">
        <w:t xml:space="preserve">PTC-220’s </w:t>
      </w:r>
      <w:r w:rsidR="007A6D8E">
        <w:t>member railroads</w:t>
      </w:r>
      <w:r w:rsidR="006759A7">
        <w:t xml:space="preserve"> </w:t>
      </w:r>
      <w:r w:rsidR="007A6D8E">
        <w:t>are</w:t>
      </w:r>
      <w:r w:rsidR="00863933">
        <w:t xml:space="preserve">: </w:t>
      </w:r>
      <w:r w:rsidR="007A6D8E">
        <w:t xml:space="preserve"> </w:t>
      </w:r>
      <w:r>
        <w:t xml:space="preserve">BNSF Railway Company, </w:t>
      </w:r>
      <w:r w:rsidR="007A6D8E">
        <w:t xml:space="preserve">Canadian National Railway Company, Canadian Pacific Railway Company, </w:t>
      </w:r>
      <w:r>
        <w:t xml:space="preserve">CSX Corporation, </w:t>
      </w:r>
      <w:r w:rsidR="007A6D8E">
        <w:t xml:space="preserve">Kansas City Southern, </w:t>
      </w:r>
      <w:r>
        <w:t xml:space="preserve">Norfolk Southern Corporation, </w:t>
      </w:r>
      <w:r w:rsidR="007A6D8E">
        <w:t xml:space="preserve">and </w:t>
      </w:r>
      <w:r>
        <w:t>Union Pacific Corporation</w:t>
      </w:r>
      <w:r w:rsidR="007A6D8E">
        <w:t xml:space="preserve">.  </w:t>
      </w:r>
      <w:r w:rsidR="00863933">
        <w:t xml:space="preserve">U.S. </w:t>
      </w:r>
      <w:r w:rsidRPr="00172A8F" w:rsidR="00863933">
        <w:t>railroad</w:t>
      </w:r>
      <w:r w:rsidR="00863933">
        <w:t>s</w:t>
      </w:r>
      <w:r w:rsidRPr="00172A8F" w:rsidR="00863933">
        <w:t xml:space="preserve"> are designated as Class I, II, or III, according to annual revenue criteria</w:t>
      </w:r>
      <w:r w:rsidR="00863933">
        <w:t>.</w:t>
      </w:r>
    </w:p>
  </w:footnote>
  <w:footnote w:id="16">
    <w:p w:rsidR="00840358" w:rsidRPr="00172A8F" w:rsidP="00840358" w14:paraId="09E731B8" w14:textId="7300CF13">
      <w:pPr>
        <w:pStyle w:val="FootnoteText"/>
      </w:pPr>
      <w:r w:rsidRPr="00172A8F">
        <w:rPr>
          <w:rStyle w:val="FootnoteReference"/>
        </w:rPr>
        <w:footnoteRef/>
      </w:r>
      <w:r w:rsidRPr="00172A8F">
        <w:t xml:space="preserve"> </w:t>
      </w:r>
      <w:r w:rsidR="00F15666">
        <w:rPr>
          <w:i/>
          <w:iCs/>
        </w:rPr>
        <w:t xml:space="preserve">See </w:t>
      </w:r>
      <w:r w:rsidRPr="00172A8F">
        <w:t>49 U.S.C. § 20157(i)(5).</w:t>
      </w:r>
      <w:r w:rsidRPr="006B68D9">
        <w:t xml:space="preserve">  The U.S. rail industry chose to implement PTC through wireless networks that use radio spectrum.  These networks have the capacity to enable real-time information s</w:t>
      </w:r>
      <w:r w:rsidRPr="00172A8F">
        <w:t>haring between trains, rail wayside devices, and back office applications, regarding train movement authorities, speed restrictions, train position and speed, and the state of signal and switch devices.</w:t>
      </w:r>
      <w:r w:rsidR="005D0DF0">
        <w:t xml:space="preserve">  To implement PTC, </w:t>
      </w:r>
      <w:r w:rsidRPr="00534E7C" w:rsidR="005D0DF0">
        <w:rPr>
          <w:szCs w:val="22"/>
        </w:rPr>
        <w:t xml:space="preserve">PTC-220 has acquired spectrum </w:t>
      </w:r>
      <w:r w:rsidR="005D0DF0">
        <w:rPr>
          <w:szCs w:val="22"/>
        </w:rPr>
        <w:t xml:space="preserve">both </w:t>
      </w:r>
      <w:r w:rsidRPr="00534E7C" w:rsidR="005D0DF0">
        <w:rPr>
          <w:szCs w:val="22"/>
        </w:rPr>
        <w:t xml:space="preserve">in </w:t>
      </w:r>
      <w:r w:rsidR="005D0DF0">
        <w:rPr>
          <w:szCs w:val="22"/>
        </w:rPr>
        <w:t xml:space="preserve">the 220 MHz Band and, as it is seeking to do here, in the adjacent AMTS Band.  </w:t>
      </w:r>
      <w:r w:rsidRPr="00534E7C" w:rsidR="005D0DF0">
        <w:rPr>
          <w:szCs w:val="22"/>
        </w:rPr>
        <w:t>PTC-220 also leases its spectrum to numerous other railroads, including passenger and commuter railroads, to enable their PTC implementation.</w:t>
      </w:r>
    </w:p>
  </w:footnote>
  <w:footnote w:id="17">
    <w:p w:rsidR="00944F24" w14:paraId="70337510" w14:textId="50B3E363">
      <w:pPr>
        <w:pStyle w:val="FootnoteText"/>
      </w:pPr>
      <w:r>
        <w:rPr>
          <w:rStyle w:val="FootnoteReference"/>
        </w:rPr>
        <w:footnoteRef/>
      </w:r>
      <w:r>
        <w:t xml:space="preserve"> Waiver Request at 2. </w:t>
      </w:r>
    </w:p>
  </w:footnote>
  <w:footnote w:id="18">
    <w:p w:rsidR="008B312C" w14:paraId="6CCD6C9D" w14:textId="6BE506C6">
      <w:pPr>
        <w:pStyle w:val="FootnoteText"/>
      </w:pPr>
      <w:r>
        <w:rPr>
          <w:rStyle w:val="FootnoteReference"/>
        </w:rPr>
        <w:footnoteRef/>
      </w:r>
      <w:r>
        <w:t xml:space="preserve"> </w:t>
      </w:r>
      <w:r w:rsidRPr="009E6CF9" w:rsidR="00886E48">
        <w:rPr>
          <w:i/>
          <w:iCs/>
        </w:rPr>
        <w:t>Id</w:t>
      </w:r>
      <w:r w:rsidR="00886E48">
        <w:t>.</w:t>
      </w:r>
      <w:r>
        <w:t xml:space="preserve"> at 3.</w:t>
      </w:r>
    </w:p>
  </w:footnote>
  <w:footnote w:id="19">
    <w:p w:rsidR="00E445D9" w14:paraId="61E7AC74" w14:textId="0115031E">
      <w:pPr>
        <w:pStyle w:val="FootnoteText"/>
      </w:pPr>
      <w:r>
        <w:rPr>
          <w:rStyle w:val="FootnoteReference"/>
        </w:rPr>
        <w:footnoteRef/>
      </w:r>
      <w:r>
        <w:t xml:space="preserve"> </w:t>
      </w:r>
      <w:r w:rsidRPr="008A25E7">
        <w:rPr>
          <w:szCs w:val="22"/>
        </w:rPr>
        <w:t>The AMTS band includes two spectrum blocks in 10 geographic license areas</w:t>
      </w:r>
      <w:r w:rsidR="00081A11">
        <w:rPr>
          <w:szCs w:val="22"/>
        </w:rPr>
        <w:t>.</w:t>
      </w:r>
      <w:r>
        <w:rPr>
          <w:szCs w:val="22"/>
        </w:rPr>
        <w:t xml:space="preserve"> </w:t>
      </w:r>
      <w:r w:rsidR="00F15666">
        <w:rPr>
          <w:szCs w:val="22"/>
        </w:rPr>
        <w:t xml:space="preserve"> </w:t>
      </w:r>
      <w:r w:rsidR="007F0886">
        <w:rPr>
          <w:i/>
          <w:iCs/>
          <w:szCs w:val="22"/>
        </w:rPr>
        <w:t xml:space="preserve">See </w:t>
      </w:r>
      <w:r w:rsidRPr="00004845" w:rsidR="007F0886">
        <w:t xml:space="preserve">47 CFR § 80.385 (frequencies for AMTS systems).  </w:t>
      </w:r>
      <w:r>
        <w:rPr>
          <w:szCs w:val="22"/>
        </w:rPr>
        <w:t xml:space="preserve">Through prior acquisitions, PTC-220 holds spectrum in AMTS Regions </w:t>
      </w:r>
      <w:r w:rsidR="007F0886">
        <w:rPr>
          <w:szCs w:val="22"/>
        </w:rPr>
        <w:t>2, 3, 4, 5, 6, and 10.  Waiver Request at 1.</w:t>
      </w:r>
    </w:p>
  </w:footnote>
  <w:footnote w:id="20">
    <w:p w:rsidR="009B388D" w14:paraId="1238DB29" w14:textId="7C343F18">
      <w:pPr>
        <w:pStyle w:val="FootnoteText"/>
      </w:pPr>
      <w:r>
        <w:rPr>
          <w:rStyle w:val="FootnoteReference"/>
        </w:rPr>
        <w:footnoteRef/>
      </w:r>
      <w:r>
        <w:t xml:space="preserve"> Waiver Request at 3.  </w:t>
      </w:r>
    </w:p>
  </w:footnote>
  <w:footnote w:id="21">
    <w:p w:rsidR="00035DAA" w:rsidP="00035DAA" w14:paraId="6CD1B51A" w14:textId="77777777">
      <w:pPr>
        <w:pStyle w:val="FootnoteText"/>
      </w:pPr>
      <w:r>
        <w:rPr>
          <w:rStyle w:val="FootnoteReference"/>
        </w:rPr>
        <w:footnoteRef/>
      </w:r>
      <w:r>
        <w:t xml:space="preserve"> Public Interest Statement at 1.</w:t>
      </w:r>
    </w:p>
  </w:footnote>
  <w:footnote w:id="22">
    <w:p w:rsidR="00FA7E79" w14:paraId="5C9ADA69" w14:textId="4AA75D32">
      <w:pPr>
        <w:pStyle w:val="FootnoteText"/>
      </w:pPr>
      <w:r>
        <w:rPr>
          <w:rStyle w:val="FootnoteReference"/>
        </w:rPr>
        <w:footnoteRef/>
      </w:r>
      <w:r>
        <w:t xml:space="preserve"> Waiver Request at 2.  </w:t>
      </w:r>
    </w:p>
  </w:footnote>
  <w:footnote w:id="23">
    <w:p w:rsidR="00C873AB" w:rsidRPr="00E445D9" w14:paraId="504CBAA0" w14:textId="480FDA40">
      <w:pPr>
        <w:pStyle w:val="FootnoteText"/>
      </w:pPr>
      <w:r>
        <w:rPr>
          <w:rStyle w:val="FootnoteReference"/>
        </w:rPr>
        <w:footnoteRef/>
      </w:r>
      <w:r>
        <w:t xml:space="preserve"> </w:t>
      </w:r>
      <w:r w:rsidRPr="00004845" w:rsidR="00F0446A">
        <w:t xml:space="preserve">EOT deployments </w:t>
      </w:r>
      <w:r w:rsidR="00F15666">
        <w:t>“</w:t>
      </w:r>
      <w:r w:rsidRPr="00004845" w:rsidR="00F0446A">
        <w:t xml:space="preserve">typically consist of two units – one located at the rear of the train, which transmits the brake line air pressure information to the locomotive, and one at the front of the train, where the locomotive engineer receives such information.”  </w:t>
      </w:r>
      <w:r w:rsidRPr="00004845" w:rsidR="00F0446A">
        <w:rPr>
          <w:i/>
          <w:iCs/>
        </w:rPr>
        <w:t>Id.</w:t>
      </w:r>
      <w:r w:rsidRPr="00004845" w:rsidR="00F0446A">
        <w:t xml:space="preserve"> at 4.  PTC-220 explains that “[t]he radio link enables the engineer to apply the brakes from both ends of the train simultaneously in an emergency</w:t>
      </w:r>
      <w:r w:rsidR="00F8588A">
        <w:t>[,] which ensures that the entire train applies all of its brakes in an emergency, thus stopping the train faster and more safely.</w:t>
      </w:r>
      <w:r w:rsidRPr="00004845" w:rsidR="00F0446A">
        <w:t xml:space="preserve">”  </w:t>
      </w:r>
      <w:r w:rsidRPr="00004845" w:rsidR="00F0446A">
        <w:rPr>
          <w:i/>
          <w:iCs/>
        </w:rPr>
        <w:t>Id.</w:t>
      </w:r>
      <w:r w:rsidRPr="00004845" w:rsidR="00F0446A">
        <w:t xml:space="preserve">  </w:t>
      </w:r>
      <w:r w:rsidR="00E445D9">
        <w:rPr>
          <w:i/>
          <w:iCs/>
        </w:rPr>
        <w:t xml:space="preserve">See also infra </w:t>
      </w:r>
      <w:r w:rsidR="00E445D9">
        <w:t xml:space="preserve">note </w:t>
      </w:r>
      <w:r w:rsidRPr="00FC7145" w:rsidR="00BF7CD9">
        <w:t>2</w:t>
      </w:r>
      <w:r w:rsidRPr="00FC7145" w:rsidR="007F1A27">
        <w:t>2</w:t>
      </w:r>
      <w:r w:rsidR="00E445D9">
        <w:t>.</w:t>
      </w:r>
    </w:p>
  </w:footnote>
  <w:footnote w:id="24">
    <w:p w:rsidR="00C873AB" w14:paraId="7EB02B42" w14:textId="5208F268">
      <w:pPr>
        <w:pStyle w:val="FootnoteText"/>
      </w:pPr>
      <w:r>
        <w:rPr>
          <w:rStyle w:val="FootnoteReference"/>
        </w:rPr>
        <w:footnoteRef/>
      </w:r>
      <w:r>
        <w:t xml:space="preserve"> </w:t>
      </w:r>
      <w:r w:rsidRPr="00004845" w:rsidR="00F0446A">
        <w:t xml:space="preserve">Distributed power systems involve “placing one or more locomotives within or at the end of a train to reduce in-train stresses related to braking and pulling.”  </w:t>
      </w:r>
      <w:r w:rsidRPr="00004845" w:rsidR="00F0446A">
        <w:rPr>
          <w:i/>
          <w:iCs/>
        </w:rPr>
        <w:t>Id.</w:t>
      </w:r>
      <w:r w:rsidRPr="00004845" w:rsidR="00F0446A">
        <w:t xml:space="preserve"> at 5.  </w:t>
      </w:r>
      <w:r w:rsidR="00F15666">
        <w:t>PTC-220 explains that r</w:t>
      </w:r>
      <w:r w:rsidRPr="00004845" w:rsidR="00F0446A">
        <w:t xml:space="preserve">ailroads currently use 450 MHz band spectrum for </w:t>
      </w:r>
      <w:r w:rsidR="00E445D9">
        <w:t xml:space="preserve">both </w:t>
      </w:r>
      <w:r w:rsidRPr="00004845" w:rsidR="00F0446A">
        <w:t>EOT deployments and distributed power systems, but have found that as trains have become longer, this spectrum does not provide a reliable radio link</w:t>
      </w:r>
      <w:r w:rsidR="00F029CF">
        <w:t>, and when the link is broken, “the two locomotives can lose synchronization, creating potential stresses at the connecting knuckles and increasing the risk that the train will separate.”</w:t>
      </w:r>
      <w:r w:rsidRPr="00004845" w:rsidR="00F0446A">
        <w:t xml:space="preserve">  </w:t>
      </w:r>
      <w:r w:rsidRPr="00004845" w:rsidR="00F0446A">
        <w:rPr>
          <w:i/>
          <w:iCs/>
        </w:rPr>
        <w:t>Id.</w:t>
      </w:r>
      <w:r w:rsidR="00F029CF">
        <w:t xml:space="preserve">  </w:t>
      </w:r>
      <w:r w:rsidRPr="00004845" w:rsidR="00F0446A">
        <w:t>PTC-220 seeks AMTS spectrum</w:t>
      </w:r>
      <w:r w:rsidR="00F029CF">
        <w:t xml:space="preserve">, “which has superior propagation characteristics compared to 450 MHz infrastructure,” </w:t>
      </w:r>
      <w:r w:rsidRPr="00004845" w:rsidR="00F0446A">
        <w:t xml:space="preserve">to provide reliable radio links for these vital safety systems.  </w:t>
      </w:r>
      <w:r w:rsidRPr="00004845" w:rsidR="00F0446A">
        <w:rPr>
          <w:i/>
          <w:iCs/>
        </w:rPr>
        <w:t>Id.</w:t>
      </w:r>
    </w:p>
  </w:footnote>
  <w:footnote w:id="25">
    <w:p w:rsidR="00D034FC" w:rsidRPr="00C873AB" w14:paraId="17CB54B6" w14:textId="56982815">
      <w:pPr>
        <w:pStyle w:val="FootnoteText"/>
      </w:pPr>
      <w:r>
        <w:rPr>
          <w:rStyle w:val="FootnoteReference"/>
        </w:rPr>
        <w:footnoteRef/>
      </w:r>
      <w:r>
        <w:t xml:space="preserve"> </w:t>
      </w:r>
      <w:r w:rsidR="00C873AB">
        <w:t>Waiver Request at 2.</w:t>
      </w:r>
    </w:p>
  </w:footnote>
  <w:footnote w:id="26">
    <w:p w:rsidR="00CB26A0" w14:paraId="65A28631" w14:textId="7BDFE272">
      <w:pPr>
        <w:pStyle w:val="FootnoteText"/>
      </w:pPr>
      <w:r>
        <w:rPr>
          <w:rStyle w:val="FootnoteReference"/>
        </w:rPr>
        <w:footnoteRef/>
      </w:r>
      <w:r>
        <w:t xml:space="preserve"> </w:t>
      </w:r>
      <w:r w:rsidRPr="003C56C2" w:rsidR="003C56C2">
        <w:rPr>
          <w:i/>
          <w:iCs/>
        </w:rPr>
        <w:t>Id</w:t>
      </w:r>
      <w:r w:rsidR="003C56C2">
        <w:t>.</w:t>
      </w:r>
      <w:r>
        <w:t xml:space="preserve"> at </w:t>
      </w:r>
      <w:r w:rsidR="001C322C">
        <w:t>1</w:t>
      </w:r>
      <w:r>
        <w:t xml:space="preserve">.  </w:t>
      </w:r>
      <w:r w:rsidRPr="008A25E7" w:rsidR="00081A11">
        <w:t>The Commission originally intended that AMTS stations would be used to provide service to tugs, barges, and other commercial maritime vessels.</w:t>
      </w:r>
      <w:r w:rsidR="00EC292E">
        <w:t xml:space="preserve">  </w:t>
      </w:r>
      <w:r w:rsidRPr="00EC292E" w:rsidR="00EC292E">
        <w:rPr>
          <w:i/>
          <w:iCs/>
        </w:rPr>
        <w:t>A</w:t>
      </w:r>
      <w:r w:rsidRPr="00004845" w:rsidR="00EC292E">
        <w:rPr>
          <w:i/>
          <w:iCs/>
        </w:rPr>
        <w:t>mendment of Parts 2, 81 and 83 of the Commission's Rules to Allocate Spectrum for an Automated Inland Waterways Communications System along the Mississippi River and Connecting Waterways</w:t>
      </w:r>
      <w:r w:rsidRPr="00004845" w:rsidR="00EC292E">
        <w:t>, GEN Docket No. 80-1, Report and Order, 84 F.C.C.2d 875 (1981).</w:t>
      </w:r>
      <w:r w:rsidR="001E63DE">
        <w:t xml:space="preserve">  </w:t>
      </w:r>
      <w:r w:rsidRPr="008A25E7" w:rsidR="00553680">
        <w:t>The Commission amended the AMTS rules in 1997 to permit AMTS stations to serve fixed, mobile, and handheld units on land</w:t>
      </w:r>
      <w:r w:rsidR="001E63DE">
        <w:t xml:space="preserve">.  </w:t>
      </w:r>
      <w:r w:rsidRPr="00004845" w:rsidR="00A3004C">
        <w:rPr>
          <w:i/>
          <w:iCs/>
          <w:color w:val="3D3D3D"/>
          <w:shd w:val="clear" w:color="auto" w:fill="FFFFFF"/>
        </w:rPr>
        <w:t>Amendment of the Commission's Rules Concerning Maritime Communications</w:t>
      </w:r>
      <w:r w:rsidRPr="00004845" w:rsidR="00A3004C">
        <w:rPr>
          <w:color w:val="3D3D3D"/>
          <w:shd w:val="clear" w:color="auto" w:fill="FFFFFF"/>
        </w:rPr>
        <w:t xml:space="preserve">, </w:t>
      </w:r>
      <w:r w:rsidRPr="00004845" w:rsidR="00A3004C">
        <w:rPr>
          <w:iCs/>
        </w:rPr>
        <w:t>PR Docket No. 92-257</w:t>
      </w:r>
      <w:r w:rsidRPr="00004845" w:rsidR="00A3004C">
        <w:rPr>
          <w:color w:val="3D3D3D"/>
          <w:shd w:val="clear" w:color="auto" w:fill="FFFFFF"/>
        </w:rPr>
        <w:t xml:space="preserve">, </w:t>
      </w:r>
      <w:r w:rsidRPr="00004845" w:rsidR="00A3004C">
        <w:rPr>
          <w:rStyle w:val="Emphasis"/>
          <w:color w:val="3D3D3D"/>
          <w:bdr w:val="none" w:sz="0" w:space="0" w:color="auto" w:frame="1"/>
          <w:shd w:val="clear" w:color="auto" w:fill="FFFFFF"/>
        </w:rPr>
        <w:t>Second Report and Order</w:t>
      </w:r>
      <w:r w:rsidRPr="00004845" w:rsidR="00A3004C">
        <w:rPr>
          <w:i/>
          <w:iCs/>
          <w:color w:val="3D3D3D"/>
          <w:shd w:val="clear" w:color="auto" w:fill="FFFFFF"/>
        </w:rPr>
        <w:t>,</w:t>
      </w:r>
      <w:r w:rsidRPr="00004845" w:rsidR="00A3004C">
        <w:rPr>
          <w:color w:val="3D3D3D"/>
          <w:shd w:val="clear" w:color="auto" w:fill="FFFFFF"/>
        </w:rPr>
        <w:t xml:space="preserve"> </w:t>
      </w:r>
      <w:r w:rsidRPr="00004845" w:rsidR="00A3004C">
        <w:rPr>
          <w:bdr w:val="none" w:sz="0" w:space="0" w:color="auto" w:frame="1"/>
          <w:shd w:val="clear" w:color="auto" w:fill="FFFFFF"/>
        </w:rPr>
        <w:t xml:space="preserve">12 FCC Rcd 16949, 16964-65 paras. 24-25 (1997) </w:t>
      </w:r>
      <w:r w:rsidRPr="00301EB5" w:rsidR="00A3004C">
        <w:rPr>
          <w:bdr w:val="none" w:sz="0" w:space="0" w:color="auto" w:frame="1"/>
          <w:shd w:val="clear" w:color="auto" w:fill="FFFFFF"/>
        </w:rPr>
        <w:t>(</w:t>
      </w:r>
      <w:r w:rsidRPr="00301EB5" w:rsidR="00A3004C">
        <w:rPr>
          <w:i/>
          <w:iCs/>
          <w:bdr w:val="none" w:sz="0" w:space="0" w:color="auto" w:frame="1"/>
          <w:shd w:val="clear" w:color="auto" w:fill="FFFFFF"/>
        </w:rPr>
        <w:t>AMTS Second Report and Order</w:t>
      </w:r>
      <w:r w:rsidRPr="00301EB5" w:rsidR="00A3004C">
        <w:rPr>
          <w:bdr w:val="none" w:sz="0" w:space="0" w:color="auto" w:frame="1"/>
          <w:shd w:val="clear" w:color="auto" w:fill="FFFFFF"/>
        </w:rPr>
        <w:t>)</w:t>
      </w:r>
      <w:r w:rsidRPr="00301EB5" w:rsidR="00A3004C">
        <w:t>.</w:t>
      </w:r>
      <w:r w:rsidR="00651D98">
        <w:t xml:space="preserve">  It</w:t>
      </w:r>
      <w:r w:rsidRPr="008A25E7" w:rsidR="00651D98">
        <w:t xml:space="preserve"> now licenses AMTS stations by geographic area.</w:t>
      </w:r>
      <w:r w:rsidR="00651D98">
        <w:t xml:space="preserve">  </w:t>
      </w:r>
      <w:r w:rsidRPr="00004845" w:rsidR="00651D98">
        <w:rPr>
          <w:i/>
          <w:iCs/>
        </w:rPr>
        <w:t>Amendment of the Commission’s Rules Concerning Maritime Communications</w:t>
      </w:r>
      <w:r w:rsidRPr="00004845" w:rsidR="00651D98">
        <w:t>, PR Docket No. 92-257, Second Memorandum Opinion and Order and Fifth Report and Order, 17 FCC Rcd 6685, 6696</w:t>
      </w:r>
      <w:r w:rsidR="00651D98">
        <w:t>,</w:t>
      </w:r>
      <w:r w:rsidRPr="00004845" w:rsidR="00651D98">
        <w:t xml:space="preserve"> para. 24 (2002).  Incumbent site-based stations are grandfathered and are entitled to protection from a geographic licensee.</w:t>
      </w:r>
      <w:r w:rsidR="007062D3">
        <w:t xml:space="preserve"> </w:t>
      </w:r>
      <w:r w:rsidR="00FB1CDC">
        <w:t xml:space="preserve"> </w:t>
      </w:r>
      <w:r w:rsidR="00FB1CDC">
        <w:rPr>
          <w:i/>
          <w:iCs/>
        </w:rPr>
        <w:t xml:space="preserve">See </w:t>
      </w:r>
      <w:r w:rsidR="00F24983">
        <w:rPr>
          <w:i/>
          <w:iCs/>
        </w:rPr>
        <w:t xml:space="preserve">id. </w:t>
      </w:r>
      <w:r w:rsidRPr="00AF3391" w:rsidR="00F24983">
        <w:t>at 6699</w:t>
      </w:r>
      <w:r w:rsidR="00C71712">
        <w:t>-701</w:t>
      </w:r>
      <w:r w:rsidR="00571520">
        <w:t>, para</w:t>
      </w:r>
      <w:r w:rsidR="00916A72">
        <w:t>s</w:t>
      </w:r>
      <w:r w:rsidR="00571520">
        <w:t xml:space="preserve">. </w:t>
      </w:r>
      <w:r w:rsidR="00916A72">
        <w:t>3</w:t>
      </w:r>
      <w:r w:rsidR="00FD7C99">
        <w:t xml:space="preserve">0-35; </w:t>
      </w:r>
      <w:r w:rsidR="00FB1CDC">
        <w:t xml:space="preserve">47 CFR </w:t>
      </w:r>
      <w:r w:rsidR="008C2531">
        <w:t>§</w:t>
      </w:r>
      <w:r w:rsidR="00AF3391">
        <w:t xml:space="preserve"> </w:t>
      </w:r>
      <w:r w:rsidR="008C2531">
        <w:t>80.773</w:t>
      </w:r>
      <w:r w:rsidR="00865D9D">
        <w:t>.</w:t>
      </w:r>
      <w:r w:rsidR="007062D3">
        <w:t xml:space="preserve"> </w:t>
      </w:r>
    </w:p>
  </w:footnote>
  <w:footnote w:id="27">
    <w:p w:rsidR="00821230" w:rsidRPr="00A04077" w:rsidP="00821230" w14:paraId="497E79C1" w14:textId="6F9423B0">
      <w:pPr>
        <w:pStyle w:val="FootnoteText"/>
      </w:pPr>
      <w:r>
        <w:rPr>
          <w:rStyle w:val="FootnoteReference"/>
        </w:rPr>
        <w:footnoteRef/>
      </w:r>
      <w:r>
        <w:t xml:space="preserve"> </w:t>
      </w:r>
      <w:r w:rsidRPr="00A04077">
        <w:t>47 CFR</w:t>
      </w:r>
      <w:r>
        <w:t xml:space="preserve"> §§ 1.939, 1.948(j)(1)(iii).</w:t>
      </w:r>
    </w:p>
  </w:footnote>
  <w:footnote w:id="28">
    <w:p w:rsidR="00821230" w:rsidP="00821230" w14:paraId="1411C7B1" w14:textId="6C179E8C">
      <w:pPr>
        <w:pStyle w:val="FootnoteText"/>
      </w:pPr>
      <w:r>
        <w:rPr>
          <w:rStyle w:val="FootnoteReference"/>
        </w:rPr>
        <w:footnoteRef/>
      </w:r>
      <w:r>
        <w:t xml:space="preserve"> </w:t>
      </w:r>
      <w:r w:rsidRPr="00F10CC5">
        <w:rPr>
          <w:i/>
          <w:iCs/>
        </w:rPr>
        <w:t>See</w:t>
      </w:r>
      <w:r>
        <w:t xml:space="preserve"> </w:t>
      </w:r>
      <w:r w:rsidRPr="00F10CC5">
        <w:rPr>
          <w:i/>
          <w:iCs/>
        </w:rPr>
        <w:t>Wireless Co., L.P</w:t>
      </w:r>
      <w:r w:rsidRPr="00F10CC5">
        <w:t xml:space="preserve">., </w:t>
      </w:r>
      <w:r w:rsidRPr="00F10CC5">
        <w:rPr>
          <w:i/>
          <w:iCs/>
        </w:rPr>
        <w:t>et al</w:t>
      </w:r>
      <w:r w:rsidRPr="00F10CC5">
        <w:t>., Order, 10 FCC Rcd 13233, 13235</w:t>
      </w:r>
      <w:r w:rsidR="001E63DE">
        <w:t xml:space="preserve">, para. </w:t>
      </w:r>
      <w:r w:rsidRPr="00F10CC5">
        <w:t>7 (WTB 1995) (</w:t>
      </w:r>
      <w:r w:rsidRPr="00F10CC5">
        <w:rPr>
          <w:i/>
          <w:iCs/>
        </w:rPr>
        <w:t>Wireless Co</w:t>
      </w:r>
      <w:r w:rsidRPr="00F10CC5">
        <w:t xml:space="preserve">.), </w:t>
      </w:r>
      <w:r w:rsidRPr="00F10CC5">
        <w:rPr>
          <w:i/>
          <w:iCs/>
        </w:rPr>
        <w:t>citing</w:t>
      </w:r>
      <w:r w:rsidRPr="00F10CC5">
        <w:t xml:space="preserve"> </w:t>
      </w:r>
      <w:r w:rsidRPr="00F10CC5">
        <w:rPr>
          <w:i/>
          <w:iCs/>
        </w:rPr>
        <w:t>Sierra Club v. Morton</w:t>
      </w:r>
      <w:r w:rsidRPr="00F10CC5">
        <w:t>, 405 U.S. 727, 733 (1972).</w:t>
      </w:r>
    </w:p>
  </w:footnote>
  <w:footnote w:id="29">
    <w:p w:rsidR="00821230" w:rsidP="00821230" w14:paraId="09269E55" w14:textId="4D4CD77B">
      <w:pPr>
        <w:pStyle w:val="FootnoteText"/>
      </w:pPr>
      <w:r>
        <w:rPr>
          <w:rStyle w:val="FootnoteReference"/>
        </w:rPr>
        <w:footnoteRef/>
      </w:r>
      <w:r>
        <w:t xml:space="preserve"> </w:t>
      </w:r>
      <w:r w:rsidRPr="00F223EE">
        <w:rPr>
          <w:i/>
          <w:iCs/>
        </w:rPr>
        <w:t>C</w:t>
      </w:r>
      <w:r>
        <w:rPr>
          <w:rStyle w:val="Emphasis"/>
        </w:rPr>
        <w:t>onference Group, LLC v. FCC</w:t>
      </w:r>
      <w:r>
        <w:t xml:space="preserve">, 720 F.3d 956 (D.C. Cir. 2013), </w:t>
      </w:r>
      <w:r>
        <w:rPr>
          <w:rStyle w:val="Emphasis"/>
        </w:rPr>
        <w:t xml:space="preserve">citing </w:t>
      </w:r>
      <w:r w:rsidRPr="00AD5661">
        <w:rPr>
          <w:rStyle w:val="Emphasis"/>
        </w:rPr>
        <w:t>Lujan v. Defenders of Wildlife</w:t>
      </w:r>
      <w:r w:rsidRPr="00F223EE">
        <w:t>, 504 U.S. 555, 560 (1992)</w:t>
      </w:r>
      <w:r w:rsidR="001E63DE">
        <w:t xml:space="preserve"> (</w:t>
      </w:r>
      <w:r w:rsidRPr="001E63DE" w:rsidR="001E63DE">
        <w:rPr>
          <w:i/>
          <w:iCs/>
        </w:rPr>
        <w:t>Lujan</w:t>
      </w:r>
      <w:r w:rsidR="001E63DE">
        <w:t>)</w:t>
      </w:r>
      <w:r>
        <w:t>.</w:t>
      </w:r>
    </w:p>
  </w:footnote>
  <w:footnote w:id="30">
    <w:p w:rsidR="00821230" w:rsidP="00821230" w14:paraId="2994CBDE" w14:textId="6A17F465">
      <w:pPr>
        <w:pStyle w:val="FootnoteText"/>
      </w:pPr>
      <w:r>
        <w:rPr>
          <w:rStyle w:val="FootnoteReference"/>
        </w:rPr>
        <w:footnoteRef/>
      </w:r>
      <w:r>
        <w:t xml:space="preserve"> </w:t>
      </w:r>
      <w:r w:rsidRPr="006E3497">
        <w:rPr>
          <w:i/>
          <w:iCs/>
        </w:rPr>
        <w:t>Wireless Co.</w:t>
      </w:r>
      <w:r w:rsidRPr="006E3497">
        <w:t>, 10 FCC Rcd at 13235</w:t>
      </w:r>
      <w:r w:rsidR="001E63DE">
        <w:t>,</w:t>
      </w:r>
      <w:r w:rsidRPr="006E3497">
        <w:t xml:space="preserve"> </w:t>
      </w:r>
      <w:r w:rsidR="001E63DE">
        <w:t>para.</w:t>
      </w:r>
      <w:r w:rsidRPr="006E3497">
        <w:t xml:space="preserve"> 7.</w:t>
      </w:r>
    </w:p>
  </w:footnote>
  <w:footnote w:id="31">
    <w:p w:rsidR="00821230" w:rsidRPr="00E672C0" w:rsidP="00821230" w14:paraId="4C5DC4D6" w14:textId="77777777">
      <w:pPr>
        <w:pStyle w:val="FootnoteText"/>
        <w:rPr>
          <w:i/>
          <w:iCs/>
        </w:rPr>
      </w:pPr>
      <w:r>
        <w:rPr>
          <w:rStyle w:val="FootnoteReference"/>
        </w:rPr>
        <w:footnoteRef/>
      </w:r>
      <w:r>
        <w:t xml:space="preserve"> </w:t>
      </w:r>
      <w:r>
        <w:rPr>
          <w:i/>
          <w:iCs/>
        </w:rPr>
        <w:t>Id.</w:t>
      </w:r>
    </w:p>
  </w:footnote>
  <w:footnote w:id="32">
    <w:p w:rsidR="00821230" w:rsidP="00821230" w14:paraId="445520A1" w14:textId="2FA4E344">
      <w:pPr>
        <w:pStyle w:val="FootnoteText"/>
      </w:pPr>
      <w:r>
        <w:rPr>
          <w:rStyle w:val="FootnoteReference"/>
        </w:rPr>
        <w:footnoteRef/>
      </w:r>
      <w:r>
        <w:t xml:space="preserve"> </w:t>
      </w:r>
      <w:r>
        <w:rPr>
          <w:i/>
          <w:iCs/>
        </w:rPr>
        <w:t>See T-Mobile License LLC</w:t>
      </w:r>
      <w:r>
        <w:t>, 29 FCC Rcd 6350, 6355</w:t>
      </w:r>
      <w:r w:rsidR="001E63DE">
        <w:t xml:space="preserve">, para. </w:t>
      </w:r>
      <w:r>
        <w:t xml:space="preserve">12 (2014); </w:t>
      </w:r>
      <w:r>
        <w:rPr>
          <w:i/>
          <w:iCs/>
        </w:rPr>
        <w:t>see also Lujan</w:t>
      </w:r>
      <w:r>
        <w:t>, 504 U.S. at 561 (explaining that, in the parallel context of a party invoking federal judicial jurisdiction, “[t]he party invoking . . . jurisdiction bears the burden of establishing [the] elements” of standing).</w:t>
      </w:r>
    </w:p>
  </w:footnote>
  <w:footnote w:id="33">
    <w:p w:rsidR="00821230" w:rsidRPr="005D5E0C" w:rsidP="00821230" w14:paraId="10D1A6FE" w14:textId="1C6ECD62">
      <w:pPr>
        <w:pStyle w:val="FootnoteText"/>
      </w:pPr>
      <w:r>
        <w:rPr>
          <w:rStyle w:val="FootnoteReference"/>
        </w:rPr>
        <w:footnoteRef/>
      </w:r>
      <w:r>
        <w:t xml:space="preserve"> </w:t>
      </w:r>
      <w:r>
        <w:rPr>
          <w:i/>
          <w:iCs/>
        </w:rPr>
        <w:t xml:space="preserve">See supra </w:t>
      </w:r>
      <w:r w:rsidRPr="00D472F2">
        <w:t xml:space="preserve">para. </w:t>
      </w:r>
      <w:r w:rsidR="004D5EFF">
        <w:t>3</w:t>
      </w:r>
      <w:r w:rsidRPr="00D472F2" w:rsidR="004D5EFF">
        <w:t xml:space="preserve"> </w:t>
      </w:r>
      <w:r w:rsidRPr="00D472F2" w:rsidR="001E63DE">
        <w:t>and</w:t>
      </w:r>
      <w:r w:rsidRPr="00D472F2">
        <w:t xml:space="preserve"> notes </w:t>
      </w:r>
      <w:r w:rsidR="006B5E4E">
        <w:t>10, 11</w:t>
      </w:r>
      <w:r w:rsidRPr="00D472F2">
        <w:t>.</w:t>
      </w:r>
      <w:r w:rsidR="001E63DE">
        <w:rPr>
          <w:b/>
          <w:bCs/>
        </w:rPr>
        <w:t xml:space="preserve"> </w:t>
      </w:r>
    </w:p>
  </w:footnote>
  <w:footnote w:id="34">
    <w:p w:rsidR="00821230" w:rsidP="00821230" w14:paraId="56002455" w14:textId="77777777">
      <w:pPr>
        <w:pStyle w:val="FootnoteText"/>
      </w:pPr>
      <w:r>
        <w:rPr>
          <w:rStyle w:val="FootnoteReference"/>
        </w:rPr>
        <w:footnoteRef/>
      </w:r>
      <w:r>
        <w:t xml:space="preserve"> </w:t>
      </w:r>
      <w:r>
        <w:rPr>
          <w:i/>
          <w:iCs/>
        </w:rPr>
        <w:t>Cf. Kapur v. FCC</w:t>
      </w:r>
      <w:r>
        <w:t xml:space="preserve">, 991 F.3d 193, 197 (D.C. Cir. 2021) (petitioners lacked standing when, even if they prevailed on all claims, they would at best wind up minority owners of a license-holding entity, without power to prevent an equivalent license transfer in the future). </w:t>
      </w:r>
    </w:p>
  </w:footnote>
  <w:footnote w:id="35">
    <w:p w:rsidR="00821230" w:rsidP="00821230" w14:paraId="5E7EA459" w14:textId="77777777">
      <w:pPr>
        <w:pStyle w:val="FootnoteText"/>
      </w:pPr>
      <w:r>
        <w:rPr>
          <w:rStyle w:val="FootnoteReference"/>
        </w:rPr>
        <w:footnoteRef/>
      </w:r>
      <w:r>
        <w:t xml:space="preserve"> </w:t>
      </w:r>
      <w:r>
        <w:rPr>
          <w:i/>
          <w:iCs/>
        </w:rPr>
        <w:t xml:space="preserve">See, e.g., </w:t>
      </w:r>
      <w:r>
        <w:t>Petition at 26-27, 29, 31-34.</w:t>
      </w:r>
    </w:p>
  </w:footnote>
  <w:footnote w:id="36">
    <w:p w:rsidR="00821230" w:rsidP="00821230" w14:paraId="3B73D182" w14:textId="77777777">
      <w:pPr>
        <w:pStyle w:val="FootnoteText"/>
      </w:pPr>
      <w:r>
        <w:rPr>
          <w:rStyle w:val="FootnoteReference"/>
        </w:rPr>
        <w:footnoteRef/>
      </w:r>
      <w:r>
        <w:t xml:space="preserve"> </w:t>
      </w:r>
      <w:r w:rsidRPr="008B76CC">
        <w:rPr>
          <w:i/>
          <w:iCs/>
        </w:rPr>
        <w:t>Choctaw Holdings LLC</w:t>
      </w:r>
      <w:r w:rsidRPr="008B76CC">
        <w:t>, Order, 33 FCC Rcd 1783, 1787, para.</w:t>
      </w:r>
      <w:r>
        <w:t xml:space="preserve"> </w:t>
      </w:r>
      <w:r w:rsidRPr="008B76CC">
        <w:t>16 (WTB MD 2018) (</w:t>
      </w:r>
      <w:r>
        <w:rPr>
          <w:i/>
          <w:iCs/>
        </w:rPr>
        <w:t>Choctaw</w:t>
      </w:r>
      <w:r w:rsidRPr="008B76CC">
        <w:t>)</w:t>
      </w:r>
      <w:r>
        <w:t xml:space="preserve">, </w:t>
      </w:r>
      <w:r w:rsidRPr="00046B07">
        <w:rPr>
          <w:i/>
          <w:iCs/>
        </w:rPr>
        <w:t xml:space="preserve">recon. </w:t>
      </w:r>
      <w:r>
        <w:rPr>
          <w:i/>
          <w:iCs/>
        </w:rPr>
        <w:t>p</w:t>
      </w:r>
      <w:r w:rsidRPr="00046B07">
        <w:rPr>
          <w:i/>
          <w:iCs/>
        </w:rPr>
        <w:t>ending</w:t>
      </w:r>
      <w:r>
        <w:rPr>
          <w:rStyle w:val="Emphasis"/>
        </w:rPr>
        <w:t>.</w:t>
      </w:r>
    </w:p>
  </w:footnote>
  <w:footnote w:id="37">
    <w:p w:rsidR="00821230" w:rsidRPr="00493742" w:rsidP="7AD6FBA1" w14:paraId="74324FEC" w14:textId="299BE9D5">
      <w:pPr>
        <w:pStyle w:val="FootnoteText"/>
      </w:pPr>
      <w:r w:rsidRPr="7AD6FBA1">
        <w:rPr>
          <w:rStyle w:val="FootnoteReference"/>
        </w:rPr>
        <w:footnoteRef/>
      </w:r>
      <w:r w:rsidRPr="7AD6FBA1" w:rsidR="7F5DF6CA">
        <w:t xml:space="preserve"> </w:t>
      </w:r>
      <w:r w:rsidRPr="7F5DF6CA" w:rsidR="7F5DF6CA">
        <w:rPr>
          <w:i/>
          <w:iCs/>
        </w:rPr>
        <w:t>Verde Systems, LLC, Assignor, WEC Business Solutions</w:t>
      </w:r>
      <w:r w:rsidRPr="00493742" w:rsidR="7F5DF6CA">
        <w:rPr>
          <w:i/>
          <w:iCs/>
        </w:rPr>
        <w:t>, LLC, Assignee, Application to Assign the Licenses for AMTS Stations WQCP808 and WQCP815</w:t>
      </w:r>
      <w:r w:rsidRPr="00493742" w:rsidR="7F5DF6CA">
        <w:t xml:space="preserve">, Order, </w:t>
      </w:r>
      <w:bookmarkStart w:id="18" w:name="_Hlk146621611"/>
      <w:r w:rsidRPr="00493742" w:rsidR="7F5DF6CA">
        <w:t xml:space="preserve">DA 23-215, </w:t>
      </w:r>
      <w:r w:rsidRPr="00A158BE" w:rsidR="003F631C">
        <w:rPr>
          <w:color w:val="3D3D3D"/>
          <w:shd w:val="clear" w:color="auto" w:fill="FFFFFF"/>
        </w:rPr>
        <w:t>2023 WL 2559888</w:t>
      </w:r>
      <w:bookmarkEnd w:id="18"/>
      <w:r w:rsidR="00FE00C9">
        <w:rPr>
          <w:color w:val="3D3D3D"/>
          <w:shd w:val="clear" w:color="auto" w:fill="FFFFFF"/>
        </w:rPr>
        <w:t>,</w:t>
      </w:r>
      <w:r w:rsidR="007C0FBE">
        <w:rPr>
          <w:color w:val="3D3D3D"/>
          <w:shd w:val="clear" w:color="auto" w:fill="FFFFFF"/>
        </w:rPr>
        <w:t xml:space="preserve"> at *3, </w:t>
      </w:r>
      <w:r w:rsidRPr="00493742" w:rsidR="7F5DF6CA">
        <w:t>paras. 8-11 (WTB MD Mar. 14,</w:t>
      </w:r>
      <w:r w:rsidR="00A158BE">
        <w:t xml:space="preserve"> </w:t>
      </w:r>
      <w:r w:rsidRPr="00493742" w:rsidR="7F5DF6CA">
        <w:t>2023)</w:t>
      </w:r>
      <w:r w:rsidR="00C125B5">
        <w:t xml:space="preserve"> </w:t>
      </w:r>
      <w:r w:rsidR="00D7556E">
        <w:t>(</w:t>
      </w:r>
      <w:bookmarkStart w:id="19" w:name="_Hlk146621581"/>
      <w:r w:rsidRPr="00D7556E" w:rsidR="00D7556E">
        <w:rPr>
          <w:i/>
          <w:iCs/>
        </w:rPr>
        <w:t>Verde/WEC Order</w:t>
      </w:r>
      <w:bookmarkEnd w:id="19"/>
      <w:r w:rsidR="00D7556E">
        <w:t>)</w:t>
      </w:r>
      <w:r w:rsidRPr="00493742" w:rsidR="7F5DF6CA">
        <w:t>.</w:t>
      </w:r>
    </w:p>
  </w:footnote>
  <w:footnote w:id="38">
    <w:p w:rsidR="001F16DF" w14:paraId="6368FB20" w14:textId="2148EA36">
      <w:pPr>
        <w:pStyle w:val="FootnoteText"/>
      </w:pPr>
      <w:r>
        <w:rPr>
          <w:rStyle w:val="FootnoteReference"/>
        </w:rPr>
        <w:footnoteRef/>
      </w:r>
      <w:r>
        <w:t xml:space="preserve"> </w:t>
      </w:r>
      <w:r w:rsidRPr="006B68D9">
        <w:rPr>
          <w:i/>
          <w:iCs/>
        </w:rPr>
        <w:t xml:space="preserve">See </w:t>
      </w:r>
      <w:r w:rsidRPr="006B68D9">
        <w:t>47 U.S.C. § 151 (establishing the Commission for the “purpose of promoting safety of life and property through the use of wire and radio communications”).</w:t>
      </w:r>
    </w:p>
  </w:footnote>
  <w:footnote w:id="39">
    <w:p w:rsidR="009D4DBD" w:rsidRPr="00493742" w:rsidP="009D4DBD" w14:paraId="61098298" w14:textId="5A57465E">
      <w:pPr>
        <w:pStyle w:val="FootnoteText"/>
      </w:pPr>
      <w:r w:rsidRPr="00493742">
        <w:rPr>
          <w:rStyle w:val="FootnoteReference"/>
        </w:rPr>
        <w:footnoteRef/>
      </w:r>
      <w:r w:rsidRPr="00493742">
        <w:t xml:space="preserve"> </w:t>
      </w:r>
      <w:bookmarkStart w:id="20" w:name="_Hlk146017769"/>
      <w:r w:rsidRPr="00493742">
        <w:rPr>
          <w:i/>
          <w:iCs/>
        </w:rPr>
        <w:t>Receiver Order</w:t>
      </w:r>
      <w:r w:rsidRPr="00493742" w:rsidR="003C3D60">
        <w:t>, 37 FCC Rcd</w:t>
      </w:r>
      <w:r w:rsidRPr="00493742" w:rsidR="00DD60E8">
        <w:t xml:space="preserve"> </w:t>
      </w:r>
      <w:r w:rsidRPr="00493742" w:rsidR="00891312">
        <w:t xml:space="preserve">at </w:t>
      </w:r>
      <w:r w:rsidRPr="00493742" w:rsidR="000B6C70">
        <w:t>4731</w:t>
      </w:r>
      <w:r w:rsidRPr="00493742" w:rsidR="00DA2E87">
        <w:t>,</w:t>
      </w:r>
      <w:r w:rsidRPr="00493742" w:rsidR="00A25937">
        <w:t xml:space="preserve"> </w:t>
      </w:r>
      <w:r w:rsidRPr="00493742" w:rsidR="001667A6">
        <w:t>4745</w:t>
      </w:r>
      <w:r w:rsidR="006D6A83">
        <w:t>-</w:t>
      </w:r>
      <w:r w:rsidRPr="00493742" w:rsidR="001667A6">
        <w:t>46</w:t>
      </w:r>
      <w:r w:rsidRPr="00493742" w:rsidR="00C6323B">
        <w:t xml:space="preserve">, </w:t>
      </w:r>
      <w:r w:rsidRPr="00493742">
        <w:t>paras. 2, 32-35.</w:t>
      </w:r>
      <w:r w:rsidRPr="00493742" w:rsidR="00DE38D3">
        <w:t xml:space="preserve">  </w:t>
      </w:r>
      <w:bookmarkEnd w:id="20"/>
      <w:r w:rsidRPr="00673BAA" w:rsidR="00673BAA">
        <w:t>The Commission had previously ordered a separate</w:t>
      </w:r>
      <w:r w:rsidR="00EC6D68">
        <w:t>d</w:t>
      </w:r>
      <w:r w:rsidRPr="00673BAA" w:rsidR="00673BAA">
        <w:t xml:space="preserve"> staff within the Enforcement Bureau to conduct an inquiry into Havens’s character qualifications in view of his misconduct in a hearing proceeding in which Havens was a party. </w:t>
      </w:r>
      <w:r w:rsidR="00EC6D68">
        <w:t xml:space="preserve"> </w:t>
      </w:r>
      <w:r w:rsidRPr="00695D38" w:rsidR="00EC6D68">
        <w:rPr>
          <w:i/>
          <w:iCs/>
        </w:rPr>
        <w:t>See</w:t>
      </w:r>
      <w:r w:rsidR="003C1962">
        <w:rPr>
          <w:i/>
          <w:iCs/>
        </w:rPr>
        <w:t xml:space="preserve"> </w:t>
      </w:r>
      <w:bookmarkStart w:id="21" w:name="_Hlk146120301"/>
      <w:r w:rsidR="003C1962">
        <w:rPr>
          <w:i/>
          <w:iCs/>
        </w:rPr>
        <w:t xml:space="preserve">Maritime Communications/Land Mobile LLC, </w:t>
      </w:r>
      <w:r w:rsidR="003C1962">
        <w:t>EB Docket 11-71, Memorandum Opinion and Order, 33 FCC Rcd 11,822, 11,848-49</w:t>
      </w:r>
      <w:r w:rsidR="009A20F8">
        <w:t>,</w:t>
      </w:r>
      <w:r w:rsidR="003C1962">
        <w:t xml:space="preserve"> para. 88 (2018).</w:t>
      </w:r>
      <w:bookmarkEnd w:id="21"/>
      <w:r w:rsidRPr="00673BAA" w:rsidR="00673BAA">
        <w:t xml:space="preserve">  </w:t>
      </w:r>
    </w:p>
  </w:footnote>
  <w:footnote w:id="40">
    <w:p w:rsidR="00B53988" w14:paraId="38EDBE1D" w14:textId="2FF0CF35">
      <w:pPr>
        <w:pStyle w:val="FootnoteText"/>
      </w:pPr>
      <w:r>
        <w:rPr>
          <w:rStyle w:val="FootnoteReference"/>
        </w:rPr>
        <w:footnoteRef/>
      </w:r>
      <w:r>
        <w:t xml:space="preserve"> </w:t>
      </w:r>
      <w:r w:rsidRPr="00493742" w:rsidR="003C1962">
        <w:rPr>
          <w:i/>
          <w:iCs/>
        </w:rPr>
        <w:t>Receiver Order</w:t>
      </w:r>
      <w:r w:rsidRPr="00493742" w:rsidR="003C1962">
        <w:t>, 37 FCC Rcd</w:t>
      </w:r>
      <w:r w:rsidRPr="00493742">
        <w:t xml:space="preserve"> at 4745</w:t>
      </w:r>
      <w:r>
        <w:t>-</w:t>
      </w:r>
      <w:r w:rsidRPr="00493742">
        <w:t>46, para.</w:t>
      </w:r>
      <w:r>
        <w:t xml:space="preserve"> 32</w:t>
      </w:r>
      <w:r w:rsidR="00CD0AA1">
        <w:t xml:space="preserve"> (noting</w:t>
      </w:r>
      <w:r w:rsidR="00BC79CA">
        <w:t>, however,</w:t>
      </w:r>
      <w:r w:rsidR="00CD0AA1">
        <w:t xml:space="preserve"> that</w:t>
      </w:r>
      <w:r w:rsidR="0078337F">
        <w:t xml:space="preserve"> based on the record in that proceeding, </w:t>
      </w:r>
      <w:r w:rsidR="003C1962">
        <w:t>it appeared</w:t>
      </w:r>
      <w:r w:rsidR="00C125B5">
        <w:t xml:space="preserve"> </w:t>
      </w:r>
      <w:r w:rsidR="0078337F">
        <w:t>Havens</w:t>
      </w:r>
      <w:r w:rsidR="00BC79CA">
        <w:t xml:space="preserve"> would not </w:t>
      </w:r>
      <w:r w:rsidR="0043520C">
        <w:t>play a role in the operation of the licenses)</w:t>
      </w:r>
      <w:r>
        <w:t>.</w:t>
      </w:r>
    </w:p>
  </w:footnote>
  <w:footnote w:id="41">
    <w:p w:rsidR="00BC00F7" w14:paraId="7B3C9CDA" w14:textId="78D28156">
      <w:pPr>
        <w:pStyle w:val="FootnoteText"/>
      </w:pPr>
      <w:r>
        <w:rPr>
          <w:rStyle w:val="FootnoteReference"/>
        </w:rPr>
        <w:footnoteRef/>
      </w:r>
      <w:r>
        <w:t xml:space="preserve"> </w:t>
      </w:r>
      <w:bookmarkStart w:id="22" w:name="_Hlk146018121"/>
      <w:r w:rsidR="004724AF">
        <w:rPr>
          <w:i/>
          <w:iCs/>
        </w:rPr>
        <w:t>Id.</w:t>
      </w:r>
      <w:r w:rsidRPr="00493742">
        <w:t xml:space="preserve"> at 4746, para. </w:t>
      </w:r>
      <w:bookmarkEnd w:id="22"/>
      <w:r w:rsidRPr="00493742">
        <w:t>3</w:t>
      </w:r>
      <w:r w:rsidR="00B53988">
        <w:t>4</w:t>
      </w:r>
      <w:r w:rsidRPr="00493742">
        <w:t xml:space="preserve">.  </w:t>
      </w:r>
    </w:p>
  </w:footnote>
  <w:footnote w:id="42">
    <w:p w:rsidR="00D57CE7" w:rsidP="00D57CE7" w14:paraId="3C2136F0" w14:textId="77777777">
      <w:pPr>
        <w:pStyle w:val="FootnoteText"/>
      </w:pPr>
      <w:r>
        <w:rPr>
          <w:rStyle w:val="FootnoteReference"/>
        </w:rPr>
        <w:footnoteRef/>
      </w:r>
      <w:r>
        <w:t xml:space="preserve"> </w:t>
      </w:r>
      <w:r>
        <w:rPr>
          <w:i/>
          <w:iCs/>
        </w:rPr>
        <w:t xml:space="preserve">See, e.g., </w:t>
      </w:r>
      <w:r w:rsidRPr="00140300">
        <w:rPr>
          <w:i/>
          <w:iCs/>
        </w:rPr>
        <w:t>Federal Broadcasting System, Inc., For Renewal of License and Involuntary Transfer of Control of Station WSAY Rochester, New York; Niagara Broadcasting System, For Renewal of License and Involuntary Assignment of License of Station WNIA Cheektowaga, New York</w:t>
      </w:r>
      <w:r>
        <w:t>, Docket Nos. 20791, 20792, Memorandum Opinion and Order, 75 F.C.C.2d 615, 619, para. 8 (FCC 1980).</w:t>
      </w:r>
    </w:p>
  </w:footnote>
  <w:footnote w:id="43">
    <w:p w:rsidR="00C125B5" w:rsidRPr="00D7556E" w14:paraId="7C10FE9F" w14:textId="3C78010B">
      <w:pPr>
        <w:pStyle w:val="FootnoteText"/>
      </w:pPr>
      <w:r>
        <w:rPr>
          <w:rStyle w:val="FootnoteReference"/>
        </w:rPr>
        <w:footnoteRef/>
      </w:r>
      <w:r>
        <w:t xml:space="preserve"> </w:t>
      </w:r>
      <w:r w:rsidRPr="00D7556E" w:rsidR="00D7556E">
        <w:rPr>
          <w:i/>
          <w:iCs/>
        </w:rPr>
        <w:t>Verde/WEC Order</w:t>
      </w:r>
      <w:r w:rsidR="00D7556E">
        <w:t xml:space="preserve">, </w:t>
      </w:r>
      <w:r w:rsidRPr="00AB6B70" w:rsidR="00AB6B70">
        <w:rPr>
          <w:i/>
          <w:iCs/>
        </w:rPr>
        <w:t>supra</w:t>
      </w:r>
      <w:r w:rsidR="00AB6B70">
        <w:t xml:space="preserve"> note 35</w:t>
      </w:r>
      <w:r w:rsidR="00BF2DBD">
        <w:rPr>
          <w:color w:val="3D3D3D"/>
          <w:shd w:val="clear" w:color="auto" w:fill="FFFFFF"/>
        </w:rPr>
        <w:t xml:space="preserve">; </w:t>
      </w:r>
      <w:r w:rsidR="00676798">
        <w:rPr>
          <w:color w:val="3D3D3D"/>
          <w:shd w:val="clear" w:color="auto" w:fill="FFFFFF"/>
        </w:rPr>
        <w:t xml:space="preserve">Application of Verde Systems LLC and Pacific Gas and Electric Company, File </w:t>
      </w:r>
      <w:r w:rsidR="00643FB8">
        <w:rPr>
          <w:color w:val="3D3D3D"/>
          <w:shd w:val="clear" w:color="auto" w:fill="FFFFFF"/>
        </w:rPr>
        <w:t>No. 0010611959 (filed Aug. 16, 2023)</w:t>
      </w:r>
      <w:r w:rsidR="006D7BC4">
        <w:rPr>
          <w:color w:val="3D3D3D"/>
          <w:shd w:val="clear" w:color="auto" w:fill="FFFFFF"/>
        </w:rPr>
        <w:t xml:space="preserve">; </w:t>
      </w:r>
      <w:r w:rsidR="003542F6">
        <w:rPr>
          <w:color w:val="3D3D3D"/>
          <w:shd w:val="clear" w:color="auto" w:fill="FFFFFF"/>
        </w:rPr>
        <w:t>Application of Environmentel-2 LLC and Pacific Gas and Electric Company, File No. 00106119</w:t>
      </w:r>
      <w:r w:rsidR="001C084D">
        <w:rPr>
          <w:color w:val="3D3D3D"/>
          <w:shd w:val="clear" w:color="auto" w:fill="FFFFFF"/>
        </w:rPr>
        <w:t>82</w:t>
      </w:r>
      <w:r w:rsidR="003542F6">
        <w:rPr>
          <w:color w:val="3D3D3D"/>
          <w:shd w:val="clear" w:color="auto" w:fill="FFFFFF"/>
        </w:rPr>
        <w:t xml:space="preserve"> (filed Aug. 16, 2023)</w:t>
      </w:r>
      <w:r w:rsidR="001C084D">
        <w:rPr>
          <w:color w:val="3D3D3D"/>
          <w:shd w:val="clear" w:color="auto" w:fill="FFFFFF"/>
        </w:rPr>
        <w:t xml:space="preserve">; </w:t>
      </w:r>
      <w:r w:rsidR="00392874">
        <w:rPr>
          <w:color w:val="3D3D3D"/>
          <w:shd w:val="clear" w:color="auto" w:fill="FFFFFF"/>
        </w:rPr>
        <w:t xml:space="preserve">Application of Environmentel LLC and </w:t>
      </w:r>
      <w:r w:rsidR="00164F5B">
        <w:rPr>
          <w:color w:val="3D3D3D"/>
          <w:shd w:val="clear" w:color="auto" w:fill="FFFFFF"/>
        </w:rPr>
        <w:t>Eversource Energy Service</w:t>
      </w:r>
      <w:r w:rsidR="00392874">
        <w:rPr>
          <w:color w:val="3D3D3D"/>
          <w:shd w:val="clear" w:color="auto" w:fill="FFFFFF"/>
        </w:rPr>
        <w:t xml:space="preserve"> Company, File No. 0010</w:t>
      </w:r>
      <w:r w:rsidR="00164F5B">
        <w:rPr>
          <w:color w:val="3D3D3D"/>
          <w:shd w:val="clear" w:color="auto" w:fill="FFFFFF"/>
        </w:rPr>
        <w:t>315</w:t>
      </w:r>
      <w:r w:rsidR="008352FF">
        <w:rPr>
          <w:color w:val="3D3D3D"/>
          <w:shd w:val="clear" w:color="auto" w:fill="FFFFFF"/>
        </w:rPr>
        <w:t>252</w:t>
      </w:r>
      <w:r w:rsidR="00392874">
        <w:rPr>
          <w:color w:val="3D3D3D"/>
          <w:shd w:val="clear" w:color="auto" w:fill="FFFFFF"/>
        </w:rPr>
        <w:t xml:space="preserve"> (filed Jan. 1</w:t>
      </w:r>
      <w:r w:rsidR="001E4830">
        <w:rPr>
          <w:color w:val="3D3D3D"/>
          <w:shd w:val="clear" w:color="auto" w:fill="FFFFFF"/>
        </w:rPr>
        <w:t>3</w:t>
      </w:r>
      <w:r w:rsidR="00392874">
        <w:rPr>
          <w:color w:val="3D3D3D"/>
          <w:shd w:val="clear" w:color="auto" w:fill="FFFFFF"/>
        </w:rPr>
        <w:t>, 2023</w:t>
      </w:r>
      <w:r w:rsidR="001E4830">
        <w:rPr>
          <w:color w:val="3D3D3D"/>
          <w:shd w:val="clear" w:color="auto" w:fill="FFFFFF"/>
        </w:rPr>
        <w:t>, amended Jan. 18, 2023</w:t>
      </w:r>
      <w:r w:rsidR="00392874">
        <w:rPr>
          <w:color w:val="3D3D3D"/>
          <w:shd w:val="clear" w:color="auto" w:fill="FFFFFF"/>
        </w:rPr>
        <w:t>)</w:t>
      </w:r>
      <w:r w:rsidR="008352FF">
        <w:rPr>
          <w:color w:val="3D3D3D"/>
          <w:shd w:val="clear" w:color="auto" w:fill="FFFFFF"/>
        </w:rPr>
        <w:t xml:space="preserve">; </w:t>
      </w:r>
      <w:r w:rsidR="00C97E98">
        <w:rPr>
          <w:color w:val="3D3D3D"/>
          <w:shd w:val="clear" w:color="auto" w:fill="FFFFFF"/>
        </w:rPr>
        <w:t>Application of Intelligent Transportation &amp; Monitoring Wireless LLC and Eversource Energy Service Company, File No. 00103</w:t>
      </w:r>
      <w:r w:rsidR="00DD0488">
        <w:rPr>
          <w:color w:val="3D3D3D"/>
          <w:shd w:val="clear" w:color="auto" w:fill="FFFFFF"/>
        </w:rPr>
        <w:t>15258</w:t>
      </w:r>
      <w:r w:rsidR="00C97E98">
        <w:rPr>
          <w:color w:val="3D3D3D"/>
          <w:shd w:val="clear" w:color="auto" w:fill="FFFFFF"/>
        </w:rPr>
        <w:t xml:space="preserve"> (</w:t>
      </w:r>
      <w:r w:rsidR="001E4830">
        <w:rPr>
          <w:color w:val="3D3D3D"/>
          <w:shd w:val="clear" w:color="auto" w:fill="FFFFFF"/>
        </w:rPr>
        <w:t>filed Jan. 13, 2023, amended Jan. 18, 2023</w:t>
      </w:r>
      <w:r w:rsidR="00C97E98">
        <w:rPr>
          <w:color w:val="3D3D3D"/>
          <w:shd w:val="clear" w:color="auto" w:fill="FFFFFF"/>
        </w:rPr>
        <w:t>)</w:t>
      </w:r>
      <w:r w:rsidR="00F33E53">
        <w:rPr>
          <w:color w:val="3D3D3D"/>
          <w:shd w:val="clear" w:color="auto" w:fill="FFFFFF"/>
        </w:rPr>
        <w:t>; Application of Environmentel-2 LLC and Oncor Electric Delivery Company LLC, File No. 0009970606 (filed Mar. 31, 2022</w:t>
      </w:r>
      <w:r w:rsidR="001E4830">
        <w:rPr>
          <w:color w:val="3D3D3D"/>
          <w:shd w:val="clear" w:color="auto" w:fill="FFFFFF"/>
        </w:rPr>
        <w:t>, amended Apr. 12, 2022</w:t>
      </w:r>
      <w:r w:rsidR="00F33E53">
        <w:rPr>
          <w:color w:val="3D3D3D"/>
          <w:shd w:val="clear" w:color="auto" w:fill="FFFFFF"/>
        </w:rPr>
        <w:t xml:space="preserve">); Application of Verde Systems LLC </w:t>
      </w:r>
      <w:r w:rsidR="008D4732">
        <w:rPr>
          <w:color w:val="3D3D3D"/>
          <w:shd w:val="clear" w:color="auto" w:fill="FFFFFF"/>
        </w:rPr>
        <w:t>and Oncor Electric Delivery Company LLC</w:t>
      </w:r>
      <w:r w:rsidR="00F33E53">
        <w:rPr>
          <w:color w:val="3D3D3D"/>
          <w:shd w:val="clear" w:color="auto" w:fill="FFFFFF"/>
        </w:rPr>
        <w:t>, File No. 0009976971 (</w:t>
      </w:r>
      <w:r w:rsidR="00890477">
        <w:rPr>
          <w:color w:val="3D3D3D"/>
          <w:shd w:val="clear" w:color="auto" w:fill="FFFFFF"/>
        </w:rPr>
        <w:t>filed Mar. 31, 2022, amended Apr. 12, 2022</w:t>
      </w:r>
      <w:r w:rsidR="00F33E53">
        <w:rPr>
          <w:color w:val="3D3D3D"/>
          <w:shd w:val="clear" w:color="auto" w:fill="FFFFFF"/>
        </w:rPr>
        <w:t>).</w:t>
      </w:r>
    </w:p>
  </w:footnote>
  <w:footnote w:id="44">
    <w:p w:rsidR="00016B50" w:rsidRPr="00550B90" w:rsidP="00016B50" w14:paraId="62BEC23E" w14:textId="0AF32587">
      <w:pPr>
        <w:pStyle w:val="FootnoteText"/>
      </w:pPr>
      <w:r w:rsidRPr="00004845">
        <w:rPr>
          <w:rStyle w:val="FootnoteReference"/>
        </w:rPr>
        <w:footnoteRef/>
      </w:r>
      <w:r w:rsidRPr="00004845">
        <w:t xml:space="preserve"> 47 CFR § 80.92(a).</w:t>
      </w:r>
    </w:p>
  </w:footnote>
  <w:footnote w:id="45">
    <w:p w:rsidR="00016B50" w:rsidRPr="00004845" w:rsidP="00016B50" w14:paraId="5710C0DC" w14:textId="5BDD7D6D">
      <w:pPr>
        <w:pStyle w:val="FootnoteText"/>
      </w:pPr>
      <w:r w:rsidRPr="00004845">
        <w:rPr>
          <w:rStyle w:val="FootnoteReference"/>
        </w:rPr>
        <w:footnoteRef/>
      </w:r>
      <w:r w:rsidRPr="00004845">
        <w:t xml:space="preserve"> </w:t>
      </w:r>
      <w:r w:rsidRPr="009F48B6" w:rsidR="009F48B6">
        <w:rPr>
          <w:i/>
          <w:iCs/>
        </w:rPr>
        <w:t>Id</w:t>
      </w:r>
      <w:r w:rsidR="009F48B6">
        <w:t>.</w:t>
      </w:r>
      <w:r w:rsidRPr="00004845">
        <w:t xml:space="preserve"> § 80.105.</w:t>
      </w:r>
      <w:r w:rsidR="00DC2A76">
        <w:t xml:space="preserve"> </w:t>
      </w:r>
      <w:r w:rsidR="00550B90">
        <w:t xml:space="preserve"> </w:t>
      </w:r>
      <w:r w:rsidRPr="00004845" w:rsidR="009E1B70">
        <w:t xml:space="preserve">The AMTS rules define two station classes: </w:t>
      </w:r>
      <w:r w:rsidR="00983C0F">
        <w:t xml:space="preserve"> </w:t>
      </w:r>
      <w:r w:rsidRPr="00004845" w:rsidR="009E1B70">
        <w:t xml:space="preserve">coast stations and ship stations.  </w:t>
      </w:r>
      <w:r w:rsidRPr="009F48B6" w:rsidR="009F48B6">
        <w:rPr>
          <w:i/>
          <w:iCs/>
        </w:rPr>
        <w:t>Id</w:t>
      </w:r>
      <w:r w:rsidR="009F48B6">
        <w:t>.</w:t>
      </w:r>
      <w:r w:rsidRPr="00004845" w:rsidR="009E1B70">
        <w:t xml:space="preserve"> § 80.5 (defining a coast station as a “land station in the maritime mobile service” and a ship station as a “mobile station in the maritime mobile service located on-board a vessel which is not permanently moored”).  </w:t>
      </w:r>
      <w:r w:rsidR="00553680">
        <w:t>As noted above, t</w:t>
      </w:r>
      <w:r w:rsidRPr="00004845" w:rsidR="009E1B70">
        <w:t xml:space="preserve">he Commission amended the AMTS rules in 1997 to permit AMTS stations to serve fixed, mobile, and handheld units on land, in addition to marine vessels.  </w:t>
      </w:r>
      <w:r w:rsidRPr="00301EB5" w:rsidR="009E1B70">
        <w:rPr>
          <w:rStyle w:val="Emphasis"/>
          <w:color w:val="3D3D3D"/>
          <w:bdr w:val="none" w:sz="0" w:space="0" w:color="auto" w:frame="1"/>
          <w:shd w:val="clear" w:color="auto" w:fill="FFFFFF"/>
        </w:rPr>
        <w:t>AMTS Second Report and</w:t>
      </w:r>
      <w:r w:rsidRPr="00004845" w:rsidR="009E1B70">
        <w:rPr>
          <w:rStyle w:val="Emphasis"/>
          <w:color w:val="3D3D3D"/>
          <w:bdr w:val="none" w:sz="0" w:space="0" w:color="auto" w:frame="1"/>
          <w:shd w:val="clear" w:color="auto" w:fill="FFFFFF"/>
        </w:rPr>
        <w:t xml:space="preserve"> Order</w:t>
      </w:r>
      <w:r w:rsidRPr="00004845" w:rsidR="009E1B70">
        <w:rPr>
          <w:color w:val="3D3D3D"/>
          <w:shd w:val="clear" w:color="auto" w:fill="FFFFFF"/>
        </w:rPr>
        <w:t xml:space="preserve">, </w:t>
      </w:r>
      <w:r w:rsidRPr="00004845" w:rsidR="009E1B70">
        <w:rPr>
          <w:bdr w:val="none" w:sz="0" w:space="0" w:color="auto" w:frame="1"/>
          <w:shd w:val="clear" w:color="auto" w:fill="FFFFFF"/>
        </w:rPr>
        <w:t>12 FCC Rcd 16949, 16964-65</w:t>
      </w:r>
      <w:r w:rsidR="00A42C73">
        <w:rPr>
          <w:bdr w:val="none" w:sz="0" w:space="0" w:color="auto" w:frame="1"/>
          <w:shd w:val="clear" w:color="auto" w:fill="FFFFFF"/>
        </w:rPr>
        <w:t>,</w:t>
      </w:r>
      <w:r w:rsidRPr="00004845" w:rsidR="009E1B70">
        <w:rPr>
          <w:bdr w:val="none" w:sz="0" w:space="0" w:color="auto" w:frame="1"/>
          <w:shd w:val="clear" w:color="auto" w:fill="FFFFFF"/>
        </w:rPr>
        <w:t xml:space="preserve"> paras. 24-25</w:t>
      </w:r>
      <w:r w:rsidRPr="00004845" w:rsidR="009E1B70">
        <w:t xml:space="preserve">.  </w:t>
      </w:r>
      <w:r w:rsidR="00553680">
        <w:t xml:space="preserve">The Commission </w:t>
      </w:r>
      <w:r w:rsidRPr="00004845" w:rsidR="009E1B70">
        <w:t>regulate</w:t>
      </w:r>
      <w:r w:rsidR="00553680">
        <w:t>s</w:t>
      </w:r>
      <w:r w:rsidRPr="00004845" w:rsidR="009E1B70">
        <w:t xml:space="preserve"> PTC base and wayside stations as AMTS coast stations for licensing purposes</w:t>
      </w:r>
      <w:r w:rsidR="00983C0F">
        <w:t xml:space="preserve"> b</w:t>
      </w:r>
      <w:r w:rsidRPr="00004845" w:rsidR="00983C0F">
        <w:t>ecause they are both fixed stations</w:t>
      </w:r>
      <w:r w:rsidR="00983C0F">
        <w:t xml:space="preserve">; </w:t>
      </w:r>
      <w:r w:rsidR="00553680">
        <w:t xml:space="preserve">it </w:t>
      </w:r>
      <w:r w:rsidRPr="00004845" w:rsidR="009E1B70">
        <w:t>regulate</w:t>
      </w:r>
      <w:r w:rsidR="00553680">
        <w:t>s</w:t>
      </w:r>
      <w:r w:rsidRPr="00004845" w:rsidR="009E1B70">
        <w:t xml:space="preserve"> locomotive stations as AMTS ship stations for licensing purposes</w:t>
      </w:r>
      <w:r w:rsidR="00983C0F">
        <w:t xml:space="preserve"> </w:t>
      </w:r>
      <w:r w:rsidRPr="00004845" w:rsidR="00983C0F">
        <w:t>because they are mobile</w:t>
      </w:r>
      <w:r w:rsidRPr="00004845" w:rsidR="009E1B70">
        <w:t>.</w:t>
      </w:r>
    </w:p>
  </w:footnote>
  <w:footnote w:id="46">
    <w:p w:rsidR="00016B50" w:rsidRPr="00004845" w:rsidP="00016B50" w14:paraId="38C3A551" w14:textId="6E1549C8">
      <w:pPr>
        <w:pStyle w:val="FootnoteText"/>
      </w:pPr>
      <w:r w:rsidRPr="00004845">
        <w:rPr>
          <w:rStyle w:val="FootnoteReference"/>
        </w:rPr>
        <w:footnoteRef/>
      </w:r>
      <w:r w:rsidRPr="00004845">
        <w:t xml:space="preserve"> </w:t>
      </w:r>
      <w:r w:rsidR="00DC2A76">
        <w:t xml:space="preserve">47 CFR </w:t>
      </w:r>
      <w:r w:rsidRPr="00004845">
        <w:t>§ 80.106.</w:t>
      </w:r>
      <w:r w:rsidR="00DC2A76">
        <w:t xml:space="preserve">  </w:t>
      </w:r>
    </w:p>
  </w:footnote>
  <w:footnote w:id="47">
    <w:p w:rsidR="00016B50" w:rsidRPr="00004845" w:rsidP="00016B50" w14:paraId="44A9F5C2" w14:textId="079C2BC8">
      <w:pPr>
        <w:pStyle w:val="FootnoteText"/>
      </w:pPr>
      <w:r w:rsidRPr="00004845">
        <w:rPr>
          <w:rStyle w:val="FootnoteReference"/>
        </w:rPr>
        <w:footnoteRef/>
      </w:r>
      <w:r w:rsidRPr="00004845">
        <w:t xml:space="preserve"> </w:t>
      </w:r>
      <w:r w:rsidRPr="00004845">
        <w:rPr>
          <w:i/>
          <w:iCs/>
        </w:rPr>
        <w:t xml:space="preserve">Id. </w:t>
      </w:r>
      <w:r w:rsidRPr="00004845">
        <w:t>§ 80.123(a).</w:t>
      </w:r>
      <w:r w:rsidR="00DC2A76">
        <w:t xml:space="preserve">  </w:t>
      </w:r>
    </w:p>
  </w:footnote>
  <w:footnote w:id="48">
    <w:p w:rsidR="00016B50" w:rsidRPr="00004845" w:rsidP="00016B50" w14:paraId="4745EB71" w14:textId="72A6C58B">
      <w:pPr>
        <w:pStyle w:val="FootnoteText"/>
      </w:pPr>
      <w:r w:rsidRPr="00004845">
        <w:rPr>
          <w:rStyle w:val="FootnoteReference"/>
        </w:rPr>
        <w:footnoteRef/>
      </w:r>
      <w:r w:rsidRPr="00004845">
        <w:t xml:space="preserve"> </w:t>
      </w:r>
      <w:r w:rsidRPr="00004845">
        <w:rPr>
          <w:i/>
          <w:iCs/>
        </w:rPr>
        <w:t xml:space="preserve">Id. </w:t>
      </w:r>
      <w:r w:rsidRPr="00004845">
        <w:t>§ 80.123(b).</w:t>
      </w:r>
    </w:p>
  </w:footnote>
  <w:footnote w:id="49">
    <w:p w:rsidR="00016B50" w:rsidRPr="00004845" w:rsidP="00016B50" w14:paraId="60663154" w14:textId="51E8633B">
      <w:pPr>
        <w:pStyle w:val="FootnoteText"/>
      </w:pPr>
      <w:r w:rsidRPr="00004845">
        <w:rPr>
          <w:rStyle w:val="FootnoteReference"/>
        </w:rPr>
        <w:footnoteRef/>
      </w:r>
      <w:r w:rsidRPr="00004845">
        <w:t xml:space="preserve"> </w:t>
      </w:r>
      <w:r w:rsidRPr="00004845">
        <w:rPr>
          <w:i/>
          <w:iCs/>
        </w:rPr>
        <w:t xml:space="preserve">Id. </w:t>
      </w:r>
      <w:r w:rsidRPr="00004845">
        <w:t>§ 80.123(f).</w:t>
      </w:r>
      <w:r w:rsidR="00550B90">
        <w:t xml:space="preserve"> </w:t>
      </w:r>
    </w:p>
  </w:footnote>
  <w:footnote w:id="50">
    <w:p w:rsidR="00016B50" w:rsidRPr="00E329A5" w:rsidP="00016B50" w14:paraId="6F41511C" w14:textId="26BB4F76">
      <w:pPr>
        <w:pStyle w:val="FootnoteText"/>
      </w:pPr>
      <w:r w:rsidRPr="00E329A5">
        <w:rPr>
          <w:rStyle w:val="FootnoteReference"/>
        </w:rPr>
        <w:footnoteRef/>
      </w:r>
      <w:r w:rsidRPr="00E329A5">
        <w:t xml:space="preserve"> </w:t>
      </w:r>
      <w:r w:rsidRPr="00E329A5">
        <w:rPr>
          <w:i/>
          <w:iCs/>
        </w:rPr>
        <w:t xml:space="preserve">Id. </w:t>
      </w:r>
      <w:r w:rsidRPr="00E329A5">
        <w:t>§ 80.385(a)(2)</w:t>
      </w:r>
      <w:r w:rsidRPr="00E329A5" w:rsidR="001C322C">
        <w:t>.</w:t>
      </w:r>
    </w:p>
  </w:footnote>
  <w:footnote w:id="51">
    <w:p w:rsidR="001C322C" w:rsidRPr="00E329A5" w:rsidP="001C322C" w14:paraId="1C17E511" w14:textId="77777777">
      <w:pPr>
        <w:pStyle w:val="FootnoteText"/>
      </w:pPr>
      <w:r w:rsidRPr="00E329A5">
        <w:rPr>
          <w:rStyle w:val="FootnoteReference"/>
        </w:rPr>
        <w:footnoteRef/>
      </w:r>
      <w:r w:rsidRPr="00E329A5">
        <w:t xml:space="preserve"> </w:t>
      </w:r>
      <w:r w:rsidRPr="00E329A5">
        <w:rPr>
          <w:i/>
          <w:iCs/>
        </w:rPr>
        <w:t>Id.</w:t>
      </w:r>
      <w:r w:rsidRPr="00E329A5">
        <w:t xml:space="preserve"> § 80.215(h)(5).</w:t>
      </w:r>
    </w:p>
  </w:footnote>
  <w:footnote w:id="52">
    <w:p w:rsidR="001C322C" w:rsidRPr="00E329A5" w:rsidP="001C322C" w14:paraId="496A2B44" w14:textId="24EB07A8">
      <w:pPr>
        <w:pStyle w:val="FootnoteText"/>
      </w:pPr>
      <w:r w:rsidRPr="00E329A5">
        <w:rPr>
          <w:rStyle w:val="FootnoteReference"/>
        </w:rPr>
        <w:footnoteRef/>
      </w:r>
      <w:r w:rsidRPr="00E329A5">
        <w:t xml:space="preserve"> </w:t>
      </w:r>
      <w:r w:rsidRPr="00E329A5">
        <w:rPr>
          <w:i/>
          <w:iCs/>
        </w:rPr>
        <w:t xml:space="preserve">See </w:t>
      </w:r>
      <w:r w:rsidRPr="00E329A5">
        <w:t>Waiver Request at 7-11</w:t>
      </w:r>
      <w:r w:rsidRPr="00E329A5" w:rsidR="00A3488A">
        <w:t xml:space="preserve">; 47 CFR </w:t>
      </w:r>
      <w:r w:rsidRPr="00E329A5" w:rsidR="0017597C">
        <w:t>1.925(b)(3).</w:t>
      </w:r>
    </w:p>
  </w:footnote>
  <w:footnote w:id="53">
    <w:p w:rsidR="001C322C" w:rsidRPr="002731F0" w:rsidP="001C322C" w14:paraId="090A9F5B" w14:textId="158A0D00">
      <w:pPr>
        <w:widowControl/>
        <w:spacing w:after="120"/>
        <w:rPr>
          <w:sz w:val="20"/>
        </w:rPr>
      </w:pPr>
      <w:r w:rsidRPr="00E329A5">
        <w:rPr>
          <w:rStyle w:val="FootnoteReference"/>
        </w:rPr>
        <w:footnoteRef/>
      </w:r>
      <w:r w:rsidRPr="00E329A5">
        <w:rPr>
          <w:sz w:val="20"/>
        </w:rPr>
        <w:t xml:space="preserve"> Waiver Request at 1</w:t>
      </w:r>
      <w:r w:rsidR="00F1261F">
        <w:rPr>
          <w:sz w:val="20"/>
        </w:rPr>
        <w:t>, n.2</w:t>
      </w:r>
      <w:r w:rsidR="000C63F5">
        <w:rPr>
          <w:sz w:val="20"/>
        </w:rPr>
        <w:t xml:space="preserve"> </w:t>
      </w:r>
      <w:r w:rsidRPr="00E329A5" w:rsidR="00770446">
        <w:rPr>
          <w:sz w:val="20"/>
        </w:rPr>
        <w:t>(citing</w:t>
      </w:r>
      <w:r w:rsidR="00F1261F">
        <w:rPr>
          <w:sz w:val="20"/>
        </w:rPr>
        <w:t xml:space="preserve"> </w:t>
      </w:r>
      <w:r w:rsidRPr="00E329A5" w:rsidR="003321D8">
        <w:rPr>
          <w:i/>
          <w:iCs/>
          <w:sz w:val="20"/>
        </w:rPr>
        <w:t>Application of Thomas K. Kuria</w:t>
      </w:r>
      <w:r w:rsidR="00226206">
        <w:rPr>
          <w:i/>
          <w:iCs/>
          <w:sz w:val="20"/>
        </w:rPr>
        <w:t>n</w:t>
      </w:r>
      <w:r w:rsidRPr="00E329A5" w:rsidR="003321D8">
        <w:rPr>
          <w:i/>
          <w:iCs/>
          <w:sz w:val="20"/>
        </w:rPr>
        <w:t xml:space="preserve"> For Partitioning and Disaggregation of License for Automated Maritime Telecommunications System Station WQCP809 to PTC-220, LLC</w:t>
      </w:r>
      <w:r w:rsidRPr="00E329A5" w:rsidR="003321D8">
        <w:rPr>
          <w:sz w:val="20"/>
        </w:rPr>
        <w:t xml:space="preserve">, Order, </w:t>
      </w:r>
      <w:r w:rsidR="005F24ED">
        <w:rPr>
          <w:sz w:val="20"/>
        </w:rPr>
        <w:t xml:space="preserve">35 FCC Rcd 13105 </w:t>
      </w:r>
      <w:r w:rsidRPr="00E329A5" w:rsidR="003321D8">
        <w:rPr>
          <w:sz w:val="20"/>
        </w:rPr>
        <w:t>(WTB MD 2020) (</w:t>
      </w:r>
      <w:r w:rsidRPr="00E329A5" w:rsidR="003321D8">
        <w:rPr>
          <w:i/>
          <w:iCs/>
          <w:sz w:val="20"/>
        </w:rPr>
        <w:t>Kurian/PTC-220 Order</w:t>
      </w:r>
      <w:r w:rsidRPr="00E329A5" w:rsidR="003321D8">
        <w:rPr>
          <w:sz w:val="20"/>
        </w:rPr>
        <w:t>)</w:t>
      </w:r>
      <w:r w:rsidRPr="00E329A5" w:rsidR="0017597C">
        <w:rPr>
          <w:sz w:val="20"/>
        </w:rPr>
        <w:t>)</w:t>
      </w:r>
      <w:r w:rsidRPr="00E329A5" w:rsidR="003321D8">
        <w:rPr>
          <w:sz w:val="20"/>
        </w:rPr>
        <w:t>.</w:t>
      </w:r>
    </w:p>
  </w:footnote>
  <w:footnote w:id="54">
    <w:p w:rsidR="00A217D4" w14:paraId="08D8B2E7" w14:textId="0EBB0318">
      <w:pPr>
        <w:pStyle w:val="FootnoteText"/>
      </w:pPr>
      <w:r>
        <w:rPr>
          <w:rStyle w:val="FootnoteReference"/>
        </w:rPr>
        <w:footnoteRef/>
      </w:r>
      <w:r>
        <w:t xml:space="preserve"> </w:t>
      </w:r>
      <w:r w:rsidRPr="00DA3AFD" w:rsidR="00DA3AFD">
        <w:rPr>
          <w:i/>
          <w:iCs/>
        </w:rPr>
        <w:t>Id.</w:t>
      </w:r>
      <w:r w:rsidR="00DA3AFD">
        <w:t xml:space="preserve"> at </w:t>
      </w:r>
      <w:r w:rsidR="000C63F5">
        <w:t>7</w:t>
      </w:r>
      <w:r w:rsidR="00F1261F">
        <w:t>, n.20</w:t>
      </w:r>
      <w:r w:rsidR="00DA3AFD">
        <w:t xml:space="preserve"> </w:t>
      </w:r>
      <w:r w:rsidR="000C63F5">
        <w:t xml:space="preserve">(citing, </w:t>
      </w:r>
      <w:r w:rsidR="00F1261F">
        <w:t xml:space="preserve">e.g., </w:t>
      </w:r>
      <w:r w:rsidRPr="00004845" w:rsidR="00A36A4B">
        <w:rPr>
          <w:i/>
          <w:iCs/>
        </w:rPr>
        <w:t>Maritime Communications/Land Mobile, LLC and Southern California Regional Rail Authority File Applications to Modify License and Assign Spectrum for Positive Train Control Use, and Request Part 80 Waivers</w:t>
      </w:r>
      <w:r w:rsidRPr="00004845" w:rsidR="00A36A4B">
        <w:t>, WT Docket No. 10-83, Order, 31 FCC Rcd 9826 (WTB 2016) (</w:t>
      </w:r>
      <w:r w:rsidRPr="00004845" w:rsidR="00A36A4B">
        <w:rPr>
          <w:i/>
          <w:iCs/>
        </w:rPr>
        <w:t xml:space="preserve">SCRRA </w:t>
      </w:r>
      <w:r w:rsidR="00A36A4B">
        <w:rPr>
          <w:i/>
          <w:iCs/>
        </w:rPr>
        <w:t xml:space="preserve">2016 </w:t>
      </w:r>
      <w:r w:rsidRPr="00004845" w:rsidR="00A36A4B">
        <w:rPr>
          <w:i/>
          <w:iCs/>
        </w:rPr>
        <w:t>Order</w:t>
      </w:r>
      <w:r w:rsidRPr="00004845" w:rsidR="00A36A4B">
        <w:t>)</w:t>
      </w:r>
      <w:r w:rsidR="00A36A4B">
        <w:t xml:space="preserve">; </w:t>
      </w:r>
      <w:r w:rsidRPr="00F94D47" w:rsidR="00A36A4B">
        <w:rPr>
          <w:i/>
        </w:rPr>
        <w:t>National Railroad Passenger Corporation (d/b/a Amtrak), Request for Waiver of Certain Part 80 Automated Maritime Telecommunications</w:t>
      </w:r>
      <w:r w:rsidRPr="00004845" w:rsidR="00A36A4B">
        <w:rPr>
          <w:i/>
        </w:rPr>
        <w:t xml:space="preserve"> System Rules to Implement Positive Train Control</w:t>
      </w:r>
      <w:r w:rsidRPr="00004845" w:rsidR="00A36A4B">
        <w:t xml:space="preserve">, </w:t>
      </w:r>
      <w:r w:rsidR="00B600EA">
        <w:t xml:space="preserve">WT Docket No. </w:t>
      </w:r>
      <w:r w:rsidR="00220D62">
        <w:t>1</w:t>
      </w:r>
      <w:r w:rsidR="00E92213">
        <w:t xml:space="preserve">1-27, </w:t>
      </w:r>
      <w:r w:rsidRPr="00004845" w:rsidR="00A36A4B">
        <w:t>Order, 30 FCC Rcd 2038, 2041, para. 11 (WTB MD 2015) (</w:t>
      </w:r>
      <w:r w:rsidRPr="00004845" w:rsidR="00A36A4B">
        <w:rPr>
          <w:i/>
        </w:rPr>
        <w:t xml:space="preserve">Amtrak </w:t>
      </w:r>
      <w:r w:rsidR="00A36A4B">
        <w:rPr>
          <w:i/>
        </w:rPr>
        <w:t xml:space="preserve">2015 </w:t>
      </w:r>
      <w:r w:rsidRPr="00004845" w:rsidR="00A36A4B">
        <w:rPr>
          <w:i/>
        </w:rPr>
        <w:t>Order</w:t>
      </w:r>
      <w:r w:rsidRPr="00004845" w:rsidR="00A36A4B">
        <w:t>)</w:t>
      </w:r>
      <w:r w:rsidR="00F1261F">
        <w:t>.</w:t>
      </w:r>
      <w:r w:rsidR="00A36A4B">
        <w:t xml:space="preserve">   </w:t>
      </w:r>
    </w:p>
  </w:footnote>
  <w:footnote w:id="55">
    <w:p w:rsidR="0041047E" w:rsidRPr="003757C0" w14:paraId="62F45ABA" w14:textId="17056396">
      <w:pPr>
        <w:pStyle w:val="FootnoteText"/>
      </w:pPr>
      <w:r>
        <w:rPr>
          <w:rStyle w:val="FootnoteReference"/>
        </w:rPr>
        <w:footnoteRef/>
      </w:r>
      <w:r>
        <w:t xml:space="preserve"> </w:t>
      </w:r>
      <w:r w:rsidRPr="007132D2" w:rsidR="007132D2">
        <w:rPr>
          <w:i/>
          <w:iCs/>
        </w:rPr>
        <w:t>Id.</w:t>
      </w:r>
      <w:r w:rsidR="007132D2">
        <w:t xml:space="preserve"> </w:t>
      </w:r>
      <w:r w:rsidR="00363937">
        <w:t>at 1</w:t>
      </w:r>
      <w:r w:rsidR="000C63F5">
        <w:t>, n.2</w:t>
      </w:r>
      <w:r w:rsidR="001679D9">
        <w:t xml:space="preserve"> </w:t>
      </w:r>
      <w:r w:rsidR="00363937">
        <w:t>(citing</w:t>
      </w:r>
      <w:r w:rsidR="00A217D4">
        <w:t xml:space="preserve">, e.g., </w:t>
      </w:r>
      <w:r w:rsidRPr="002731F0" w:rsidR="00301EB5">
        <w:rPr>
          <w:i/>
          <w:iCs/>
        </w:rPr>
        <w:t>PTC-220, LLC</w:t>
      </w:r>
      <w:r w:rsidR="00850EB6">
        <w:rPr>
          <w:i/>
          <w:iCs/>
        </w:rPr>
        <w:t>,</w:t>
      </w:r>
      <w:r w:rsidRPr="002731F0" w:rsidR="00301EB5">
        <w:rPr>
          <w:i/>
          <w:iCs/>
        </w:rPr>
        <w:t xml:space="preserve"> Modification of Licenses for Automated Maritime Telecommunications System Stations WRDI936, WRDH825, WRDH826, and WRDH972</w:t>
      </w:r>
      <w:r w:rsidRPr="002731F0" w:rsidR="00301EB5">
        <w:t xml:space="preserve">, </w:t>
      </w:r>
      <w:r w:rsidRPr="003757C0" w:rsidR="00301EB5">
        <w:t xml:space="preserve">Order, </w:t>
      </w:r>
      <w:r w:rsidRPr="0035490B" w:rsidR="00631642">
        <w:rPr>
          <w:color w:val="3D3D3D"/>
          <w:shd w:val="clear" w:color="auto" w:fill="FFFFFF"/>
        </w:rPr>
        <w:t>36 FCC Rcd 18183</w:t>
      </w:r>
      <w:r w:rsidRPr="003757C0" w:rsidR="00631642">
        <w:t xml:space="preserve">, 18187, 18189-91, </w:t>
      </w:r>
      <w:r w:rsidRPr="003757C0" w:rsidR="00301EB5">
        <w:t>paras. 16, 20-27 (WTB MD 2021)</w:t>
      </w:r>
      <w:r w:rsidRPr="003757C0" w:rsidR="0081337A">
        <w:t xml:space="preserve"> </w:t>
      </w:r>
      <w:r w:rsidRPr="003757C0" w:rsidR="00301EB5">
        <w:t>(waiving the same eight rules for which PTC-220 seeks waiver relief here)</w:t>
      </w:r>
      <w:r w:rsidRPr="003757C0" w:rsidR="0081337A">
        <w:t xml:space="preserve"> (</w:t>
      </w:r>
      <w:r w:rsidRPr="003757C0" w:rsidR="0081337A">
        <w:rPr>
          <w:i/>
          <w:iCs/>
        </w:rPr>
        <w:t>PTC-220 Modification Order for WRDI936 et al.</w:t>
      </w:r>
      <w:r w:rsidRPr="003757C0" w:rsidR="0081337A">
        <w:t>)</w:t>
      </w:r>
      <w:r w:rsidRPr="003757C0" w:rsidR="00363937">
        <w:t>)</w:t>
      </w:r>
      <w:r w:rsidRPr="003757C0" w:rsidR="00DA3AFD">
        <w:t>.</w:t>
      </w:r>
    </w:p>
  </w:footnote>
  <w:footnote w:id="56">
    <w:p w:rsidR="00781BF7" w14:paraId="6146CEEB" w14:textId="737220F1">
      <w:pPr>
        <w:pStyle w:val="FootnoteText"/>
      </w:pPr>
      <w:r>
        <w:rPr>
          <w:rStyle w:val="FootnoteReference"/>
        </w:rPr>
        <w:footnoteRef/>
      </w:r>
      <w:r>
        <w:t xml:space="preserve"> 47 CFR </w:t>
      </w:r>
      <w:r w:rsidR="00E95FA0">
        <w:t>§ 1.925(b)(3).</w:t>
      </w:r>
    </w:p>
  </w:footnote>
  <w:footnote w:id="57">
    <w:p w:rsidR="00394396" w:rsidRPr="00F94D47" w:rsidP="00394396" w14:paraId="0F100831" w14:textId="3B3BB8A0">
      <w:pPr>
        <w:pStyle w:val="FootnoteText"/>
      </w:pPr>
      <w:r w:rsidRPr="00004845">
        <w:rPr>
          <w:rStyle w:val="FootnoteReference"/>
        </w:rPr>
        <w:footnoteRef/>
      </w:r>
      <w:r w:rsidRPr="00004845">
        <w:t xml:space="preserve"> </w:t>
      </w:r>
      <w:r w:rsidRPr="007D1186" w:rsidR="007D1186">
        <w:rPr>
          <w:i/>
          <w:iCs/>
        </w:rPr>
        <w:t>Id</w:t>
      </w:r>
      <w:r w:rsidR="007D1186">
        <w:t>.</w:t>
      </w:r>
      <w:r w:rsidRPr="00004845">
        <w:t xml:space="preserve"> § 1.3.</w:t>
      </w:r>
      <w:r w:rsidR="00B66261">
        <w:t xml:space="preserve">  </w:t>
      </w:r>
      <w:r w:rsidRPr="008A25E7" w:rsidR="00B66261">
        <w:rPr>
          <w:szCs w:val="22"/>
        </w:rPr>
        <w:t xml:space="preserve">Further, when the Commission amended its rules to permit AMTS stations to provide service to units on land, it stated that the following factors would be considered in evaluating requests for waiver of AMTS rules:  (a) whether the applicant will provide priority to maritime communications; (b) the distance of a proposed land mobile radio operation from the nearest navigable waterways; (c) the magnitude of divergence sought from specific Part 80 technical requirements; (d) whether alternative spectrum that could accommodate the proposed private </w:t>
      </w:r>
      <w:r w:rsidRPr="00F94D47" w:rsidR="00B66261">
        <w:rPr>
          <w:szCs w:val="22"/>
        </w:rPr>
        <w:t xml:space="preserve">land mobile radio (PLMR) or other land mobile radio service is unavailable or unsuitable for that purpose; and (e) whether grant of the waiver would benefit public safety or homeland security (including support of critical infrastructure).  </w:t>
      </w:r>
      <w:r w:rsidRPr="00F94D47" w:rsidR="00B66261">
        <w:rPr>
          <w:i/>
        </w:rPr>
        <w:t>Maritel, Inc. and Mobex Network Services, LLC</w:t>
      </w:r>
      <w:r w:rsidRPr="00F94D47" w:rsidR="00B66261">
        <w:t>, Report and Order, 22 FCC Rcd 8971, 8986-87, para. 26 (2007)</w:t>
      </w:r>
      <w:r w:rsidRPr="00F94D47" w:rsidR="00F94D47">
        <w:t>.</w:t>
      </w:r>
    </w:p>
  </w:footnote>
  <w:footnote w:id="58">
    <w:p w:rsidR="007E19CA" w:rsidRPr="007E19CA" w14:paraId="45A65CB6" w14:textId="45E06B1C">
      <w:pPr>
        <w:pStyle w:val="FootnoteText"/>
      </w:pPr>
      <w:r>
        <w:rPr>
          <w:rStyle w:val="FootnoteReference"/>
        </w:rPr>
        <w:footnoteRef/>
      </w:r>
      <w:r>
        <w:t xml:space="preserve"> </w:t>
      </w:r>
      <w:r>
        <w:rPr>
          <w:i/>
          <w:iCs/>
        </w:rPr>
        <w:t xml:space="preserve">See </w:t>
      </w:r>
      <w:r w:rsidRPr="00FC7145">
        <w:rPr>
          <w:i/>
          <w:iCs/>
        </w:rPr>
        <w:t xml:space="preserve">supra </w:t>
      </w:r>
      <w:r w:rsidRPr="00FC7145" w:rsidR="00E57727">
        <w:t>para. 15</w:t>
      </w:r>
      <w:r w:rsidR="00E57727">
        <w:rPr>
          <w:b/>
          <w:bCs/>
        </w:rPr>
        <w:t>.</w:t>
      </w:r>
    </w:p>
  </w:footnote>
  <w:footnote w:id="59">
    <w:p w:rsidR="008E238F" w:rsidRPr="006A2B8C" w:rsidP="008E238F" w14:paraId="4B378AD8" w14:textId="46517482">
      <w:pPr>
        <w:pStyle w:val="FootnoteText"/>
      </w:pPr>
      <w:r w:rsidRPr="00F94D47">
        <w:rPr>
          <w:rStyle w:val="FootnoteReference"/>
        </w:rPr>
        <w:footnoteRef/>
      </w:r>
      <w:r w:rsidRPr="00F94D47">
        <w:t xml:space="preserve"> </w:t>
      </w:r>
      <w:r w:rsidRPr="00004845" w:rsidR="007132D2">
        <w:rPr>
          <w:i/>
          <w:iCs/>
        </w:rPr>
        <w:t xml:space="preserve">SCRRA </w:t>
      </w:r>
      <w:r w:rsidR="007132D2">
        <w:rPr>
          <w:i/>
          <w:iCs/>
        </w:rPr>
        <w:t xml:space="preserve">2016 </w:t>
      </w:r>
      <w:r w:rsidRPr="00004845" w:rsidR="007132D2">
        <w:rPr>
          <w:i/>
          <w:iCs/>
        </w:rPr>
        <w:t>Order</w:t>
      </w:r>
      <w:r w:rsidR="007132D2">
        <w:t xml:space="preserve">, </w:t>
      </w:r>
      <w:r w:rsidRPr="00004845">
        <w:t xml:space="preserve">31 FCC Rcd </w:t>
      </w:r>
      <w:r w:rsidR="00C7142A">
        <w:t xml:space="preserve">at 9835-40, paras. 27-40 (waiving 47 CFR §§ 80.92(a), 80.105, </w:t>
      </w:r>
      <w:r w:rsidR="00023195">
        <w:t xml:space="preserve">80.106, </w:t>
      </w:r>
      <w:r w:rsidR="00C7142A">
        <w:t>80.123(a)-(c) and</w:t>
      </w:r>
      <w:r w:rsidR="00023195">
        <w:t xml:space="preserve"> </w:t>
      </w:r>
      <w:r w:rsidR="00C7142A">
        <w:t xml:space="preserve">(f), and </w:t>
      </w:r>
      <w:r w:rsidRPr="006A2B8C" w:rsidR="00C7142A">
        <w:t xml:space="preserve">80.385(a)(2), to facilitate PTC deployment); </w:t>
      </w:r>
      <w:r w:rsidRPr="006A2B8C" w:rsidR="00C7142A">
        <w:rPr>
          <w:i/>
        </w:rPr>
        <w:t>Amtrak 2015 Order</w:t>
      </w:r>
      <w:r w:rsidRPr="006A2B8C" w:rsidR="00C7142A">
        <w:rPr>
          <w:iCs/>
        </w:rPr>
        <w:t xml:space="preserve">, </w:t>
      </w:r>
      <w:r w:rsidRPr="006A2B8C" w:rsidR="00C7142A">
        <w:t xml:space="preserve">30 FCC Rcd at 2040-43, paras. </w:t>
      </w:r>
      <w:r w:rsidRPr="006A2B8C" w:rsidR="00023195">
        <w:t>8-14 (same)</w:t>
      </w:r>
      <w:r w:rsidRPr="006A2B8C" w:rsidR="00C7142A">
        <w:t xml:space="preserve">.  </w:t>
      </w:r>
      <w:r w:rsidRPr="006A2B8C" w:rsidR="00E95FA0">
        <w:rPr>
          <w:szCs w:val="22"/>
        </w:rPr>
        <w:t xml:space="preserve">Moreover, </w:t>
      </w:r>
      <w:r w:rsidRPr="006A2B8C" w:rsidR="0081337A">
        <w:rPr>
          <w:szCs w:val="22"/>
        </w:rPr>
        <w:t xml:space="preserve">as also noted by PTC-220, </w:t>
      </w:r>
      <w:r w:rsidRPr="006A2B8C" w:rsidR="00E95FA0">
        <w:rPr>
          <w:szCs w:val="22"/>
        </w:rPr>
        <w:t>the Bureau has granted waivers of these part 80 rules</w:t>
      </w:r>
      <w:r w:rsidRPr="006A2B8C" w:rsidR="005E3516">
        <w:rPr>
          <w:szCs w:val="22"/>
        </w:rPr>
        <w:t xml:space="preserve"> in connection with granting modifications of AMTS licenses held by PTC-220</w:t>
      </w:r>
      <w:r w:rsidRPr="006A2B8C" w:rsidR="00E95FA0">
        <w:rPr>
          <w:szCs w:val="22"/>
        </w:rPr>
        <w:t>.</w:t>
      </w:r>
      <w:r w:rsidRPr="006A2B8C" w:rsidR="00290885">
        <w:rPr>
          <w:szCs w:val="22"/>
        </w:rPr>
        <w:t xml:space="preserve">  </w:t>
      </w:r>
      <w:r w:rsidRPr="006A2B8C" w:rsidR="0081337A">
        <w:rPr>
          <w:i/>
          <w:iCs/>
          <w:szCs w:val="22"/>
        </w:rPr>
        <w:t>See</w:t>
      </w:r>
      <w:r w:rsidRPr="006A2B8C" w:rsidR="009874C4">
        <w:rPr>
          <w:i/>
          <w:iCs/>
          <w:szCs w:val="22"/>
        </w:rPr>
        <w:t xml:space="preserve"> generally</w:t>
      </w:r>
      <w:r w:rsidRPr="006A2B8C" w:rsidR="0081337A">
        <w:rPr>
          <w:i/>
          <w:iCs/>
          <w:szCs w:val="22"/>
        </w:rPr>
        <w:t xml:space="preserve">, e.g., </w:t>
      </w:r>
      <w:r w:rsidRPr="006A2B8C" w:rsidR="0081337A">
        <w:rPr>
          <w:i/>
          <w:iCs/>
        </w:rPr>
        <w:t>PTC-220 Modification Order for WRDI936 et al.</w:t>
      </w:r>
      <w:r w:rsidRPr="006A2B8C" w:rsidR="00591A53">
        <w:t>,</w:t>
      </w:r>
      <w:r w:rsidRPr="006A2B8C" w:rsidR="0081337A">
        <w:t xml:space="preserve"> </w:t>
      </w:r>
      <w:r w:rsidRPr="003757C0" w:rsidR="00182FD2">
        <w:t>36 FCC Rcd 18183</w:t>
      </w:r>
      <w:r w:rsidRPr="006A2B8C" w:rsidR="00591A53">
        <w:t xml:space="preserve"> </w:t>
      </w:r>
      <w:r w:rsidRPr="006A2B8C" w:rsidR="00E71C2E">
        <w:t>(waiving</w:t>
      </w:r>
      <w:r w:rsidRPr="006A2B8C" w:rsidR="00154A56">
        <w:t xml:space="preserve">, </w:t>
      </w:r>
      <w:r w:rsidRPr="006A2B8C" w:rsidR="005E3516">
        <w:t xml:space="preserve">to </w:t>
      </w:r>
      <w:r w:rsidRPr="006A2B8C" w:rsidR="00154A56">
        <w:t xml:space="preserve">facilitate </w:t>
      </w:r>
      <w:r w:rsidRPr="006A2B8C" w:rsidR="005E3516">
        <w:t xml:space="preserve">use of AMTS spectrum for </w:t>
      </w:r>
      <w:r w:rsidRPr="006A2B8C" w:rsidR="00154A56">
        <w:t xml:space="preserve">both </w:t>
      </w:r>
      <w:r w:rsidRPr="006A2B8C" w:rsidR="005E3516">
        <w:t>PTC and additional (non-PTC) rail safety systems</w:t>
      </w:r>
      <w:r w:rsidRPr="006A2B8C" w:rsidR="00154A56">
        <w:t>, the same eight rules for which PTC-220 seeks waivers here)</w:t>
      </w:r>
      <w:r w:rsidRPr="006A2B8C" w:rsidR="00E71C2E">
        <w:t>.</w:t>
      </w:r>
      <w:r w:rsidRPr="006A2B8C" w:rsidR="007132D2">
        <w:rPr>
          <w:szCs w:val="22"/>
        </w:rPr>
        <w:t xml:space="preserve">  </w:t>
      </w:r>
      <w:r w:rsidRPr="006A2B8C" w:rsidR="00E95FA0">
        <w:rPr>
          <w:szCs w:val="22"/>
        </w:rPr>
        <w:t xml:space="preserve"> </w:t>
      </w:r>
      <w:r w:rsidRPr="006A2B8C">
        <w:t xml:space="preserve">  </w:t>
      </w:r>
    </w:p>
  </w:footnote>
  <w:footnote w:id="60">
    <w:p w:rsidR="00D05360" w:rsidP="00D05360" w14:paraId="099467BC" w14:textId="394A9EB3">
      <w:pPr>
        <w:pStyle w:val="FootnoteText"/>
      </w:pPr>
      <w:r w:rsidRPr="006A2B8C">
        <w:rPr>
          <w:rStyle w:val="FootnoteReference"/>
        </w:rPr>
        <w:footnoteRef/>
      </w:r>
      <w:r w:rsidRPr="006A2B8C">
        <w:t xml:space="preserve"> 47 CFR § 1.3</w:t>
      </w:r>
      <w:r w:rsidRPr="006A2B8C" w:rsidR="00931A6D">
        <w:t xml:space="preserve">; </w:t>
      </w:r>
      <w:r w:rsidRPr="006A2B8C" w:rsidR="00563A70">
        <w:rPr>
          <w:i/>
          <w:iCs/>
        </w:rPr>
        <w:t>Kurian/PTC-220 Order</w:t>
      </w:r>
      <w:r w:rsidRPr="006A2B8C" w:rsidR="00563A70">
        <w:t>, 35 FCC Rcd at</w:t>
      </w:r>
      <w:r w:rsidR="00563A70">
        <w:t xml:space="preserve"> </w:t>
      </w:r>
      <w:r w:rsidR="00931A6D">
        <w:t xml:space="preserve">13117, para. 38 </w:t>
      </w:r>
      <w:r w:rsidR="00BB402B">
        <w:t>(citing same).</w:t>
      </w:r>
      <w:r>
        <w:t xml:space="preserve"> </w:t>
      </w:r>
    </w:p>
  </w:footnote>
  <w:footnote w:id="61">
    <w:p w:rsidR="00A93509" w14:paraId="12C270F0" w14:textId="0D2D8A29">
      <w:pPr>
        <w:pStyle w:val="FootnoteText"/>
      </w:pPr>
      <w:r>
        <w:rPr>
          <w:rStyle w:val="FootnoteReference"/>
        </w:rPr>
        <w:footnoteRef/>
      </w:r>
      <w:r>
        <w:t xml:space="preserve"> </w:t>
      </w:r>
      <w:r w:rsidRPr="006B68D9" w:rsidR="00762650">
        <w:rPr>
          <w:i/>
          <w:iCs/>
        </w:rPr>
        <w:t xml:space="preserve">See </w:t>
      </w:r>
      <w:r w:rsidR="00155F19">
        <w:rPr>
          <w:i/>
          <w:iCs/>
        </w:rPr>
        <w:t xml:space="preserve">supra </w:t>
      </w:r>
      <w:r w:rsidR="00155F19">
        <w:t xml:space="preserve">note 36. </w:t>
      </w:r>
    </w:p>
  </w:footnote>
  <w:footnote w:id="62">
    <w:p w:rsidR="007E19CA" w:rsidRPr="007E19CA" w14:paraId="79D02BFE" w14:textId="646D644B">
      <w:pPr>
        <w:pStyle w:val="FootnoteText"/>
      </w:pPr>
      <w:r>
        <w:rPr>
          <w:rStyle w:val="FootnoteReference"/>
        </w:rPr>
        <w:footnoteRef/>
      </w:r>
      <w:r>
        <w:t xml:space="preserve"> </w:t>
      </w:r>
      <w:r>
        <w:rPr>
          <w:i/>
          <w:iCs/>
        </w:rPr>
        <w:t xml:space="preserve">See </w:t>
      </w:r>
      <w:r>
        <w:t xml:space="preserve">Waiver Request at </w:t>
      </w:r>
      <w:r w:rsidR="007C0E68">
        <w:t>7.</w:t>
      </w:r>
    </w:p>
  </w:footnote>
  <w:footnote w:id="63">
    <w:p w:rsidR="006A65C6" w:rsidRPr="00004845" w:rsidP="006A65C6" w14:paraId="54AA0DCB" w14:textId="65B12C86">
      <w:pPr>
        <w:pStyle w:val="FootnoteText"/>
      </w:pPr>
      <w:r w:rsidRPr="00004845">
        <w:rPr>
          <w:rStyle w:val="FootnoteReference"/>
        </w:rPr>
        <w:footnoteRef/>
      </w:r>
      <w:r w:rsidRPr="00004845">
        <w:t xml:space="preserve"> </w:t>
      </w:r>
      <w:r>
        <w:rPr>
          <w:i/>
          <w:iCs/>
        </w:rPr>
        <w:t>See Kurian/PTC-220 Order</w:t>
      </w:r>
      <w:r w:rsidR="007E19CA">
        <w:t xml:space="preserve">, 35 FCC Rcd at 13114-15, para. 30 </w:t>
      </w:r>
      <w:r>
        <w:t xml:space="preserve">(citing </w:t>
      </w:r>
      <w:r w:rsidRPr="00004845">
        <w:t>47 CFR § 1.925(b)(3)(i)</w:t>
      </w:r>
      <w:r>
        <w:t>)</w:t>
      </w:r>
      <w:r w:rsidRPr="00004845">
        <w:t>.</w:t>
      </w:r>
    </w:p>
  </w:footnote>
  <w:footnote w:id="64">
    <w:p w:rsidR="00AE4803" w:rsidRPr="009F262A" w:rsidP="00AE4803" w14:paraId="23A96848" w14:textId="4B1C457A">
      <w:pPr>
        <w:pStyle w:val="FootnoteText"/>
      </w:pPr>
      <w:r w:rsidRPr="00004845">
        <w:rPr>
          <w:rStyle w:val="FootnoteReference"/>
        </w:rPr>
        <w:footnoteRef/>
      </w:r>
      <w:r w:rsidRPr="00004845">
        <w:t xml:space="preserve"> </w:t>
      </w:r>
      <w:r w:rsidR="00B7691A">
        <w:rPr>
          <w:i/>
          <w:iCs/>
        </w:rPr>
        <w:t>See id</w:t>
      </w:r>
      <w:r w:rsidRPr="00004845" w:rsidR="00B7691A">
        <w:t>.</w:t>
      </w:r>
      <w:r w:rsidR="00A164D5">
        <w:t xml:space="preserve"> at 13115,</w:t>
      </w:r>
      <w:r w:rsidR="003A6ADE">
        <w:t xml:space="preserve"> para. 31.</w:t>
      </w:r>
      <w:r w:rsidR="00B7691A">
        <w:t xml:space="preserve"> </w:t>
      </w:r>
    </w:p>
  </w:footnote>
  <w:footnote w:id="65">
    <w:p w:rsidR="009513D9" w14:paraId="4A444BFF" w14:textId="40EF4077">
      <w:pPr>
        <w:pStyle w:val="FootnoteText"/>
      </w:pPr>
      <w:r>
        <w:rPr>
          <w:rStyle w:val="FootnoteReference"/>
        </w:rPr>
        <w:footnoteRef/>
      </w:r>
      <w:r>
        <w:t xml:space="preserve"> </w:t>
      </w:r>
      <w:r w:rsidR="00C26952">
        <w:rPr>
          <w:i/>
          <w:iCs/>
        </w:rPr>
        <w:t>See id.</w:t>
      </w:r>
    </w:p>
  </w:footnote>
  <w:footnote w:id="66">
    <w:p w:rsidR="009513D9" w:rsidRPr="00004845" w:rsidP="009513D9" w14:paraId="173A5528" w14:textId="3E5DD487">
      <w:pPr>
        <w:pStyle w:val="FootnoteText"/>
      </w:pPr>
      <w:r w:rsidRPr="00004845">
        <w:rPr>
          <w:rStyle w:val="FootnoteReference"/>
        </w:rPr>
        <w:footnoteRef/>
      </w:r>
      <w:r w:rsidRPr="00004845">
        <w:t xml:space="preserve"> </w:t>
      </w:r>
      <w:r w:rsidR="00C26952">
        <w:rPr>
          <w:i/>
          <w:iCs/>
        </w:rPr>
        <w:t xml:space="preserve">See id. </w:t>
      </w:r>
      <w:r>
        <w:t>(</w:t>
      </w:r>
      <w:r w:rsidR="00672ED5">
        <w:t>finding that “</w:t>
      </w:r>
      <w:r w:rsidRPr="008A25E7" w:rsidR="00672ED5">
        <w:t>strict application of sections 80.105 and 80.123(b) to PTC operations would be contrary to the public interest in rail safety</w:t>
      </w:r>
      <w:r w:rsidR="00672ED5">
        <w:t xml:space="preserve">,” </w:t>
      </w:r>
      <w:r w:rsidR="008C0D47">
        <w:t xml:space="preserve">citing </w:t>
      </w:r>
      <w:r w:rsidRPr="00004845" w:rsidR="008C0D47">
        <w:t>47 CFR § 1.925(b)(3)(ii)</w:t>
      </w:r>
      <w:r>
        <w:t>).</w:t>
      </w:r>
    </w:p>
  </w:footnote>
  <w:footnote w:id="67">
    <w:p w:rsidR="00AE4803" w:rsidRPr="00004845" w:rsidP="00AE4803" w14:paraId="2E0E4C13" w14:textId="6F3C6CD9">
      <w:pPr>
        <w:pStyle w:val="FootnoteText"/>
      </w:pPr>
      <w:r w:rsidRPr="00004845">
        <w:rPr>
          <w:rStyle w:val="FootnoteReference"/>
        </w:rPr>
        <w:footnoteRef/>
      </w:r>
      <w:r w:rsidRPr="00004845">
        <w:t xml:space="preserve"> </w:t>
      </w:r>
      <w:r w:rsidR="00C26952">
        <w:rPr>
          <w:i/>
          <w:iCs/>
        </w:rPr>
        <w:t>See id</w:t>
      </w:r>
      <w:r w:rsidR="00A164D5">
        <w:rPr>
          <w:i/>
          <w:iCs/>
        </w:rPr>
        <w:t>.</w:t>
      </w:r>
      <w:r w:rsidRPr="00A164D5" w:rsidR="00C26952">
        <w:t>,</w:t>
      </w:r>
      <w:r w:rsidR="00C26952">
        <w:t xml:space="preserve"> para. 32</w:t>
      </w:r>
      <w:r w:rsidR="00A164D5">
        <w:t>.</w:t>
      </w:r>
    </w:p>
  </w:footnote>
  <w:footnote w:id="68">
    <w:p w:rsidR="00AE4803" w:rsidRPr="00004845" w:rsidP="00AE4803" w14:paraId="2BB92D93" w14:textId="3F2B161B">
      <w:pPr>
        <w:pStyle w:val="FootnoteText"/>
      </w:pPr>
      <w:r w:rsidRPr="00004845">
        <w:rPr>
          <w:rStyle w:val="FootnoteReference"/>
        </w:rPr>
        <w:footnoteRef/>
      </w:r>
      <w:r w:rsidRPr="00004845">
        <w:t xml:space="preserve"> </w:t>
      </w:r>
      <w:r w:rsidR="00C26952">
        <w:rPr>
          <w:i/>
          <w:iCs/>
        </w:rPr>
        <w:t>See id.</w:t>
      </w:r>
      <w:r w:rsidR="00C26952">
        <w:t xml:space="preserve"> </w:t>
      </w:r>
      <w:r w:rsidR="006D2F68">
        <w:t xml:space="preserve">(citing </w:t>
      </w:r>
      <w:r w:rsidRPr="00004845">
        <w:t>47 CFR § 1.925(b)(3)(ii)</w:t>
      </w:r>
      <w:r w:rsidR="005E3ADE">
        <w:t xml:space="preserve"> (also finding that,</w:t>
      </w:r>
      <w:r w:rsidRPr="008A25E7" w:rsidR="005E3ADE">
        <w:t xml:space="preserve"> </w:t>
      </w:r>
      <w:r w:rsidR="005E3ADE">
        <w:t>“</w:t>
      </w:r>
      <w:r w:rsidRPr="008A25E7" w:rsidR="005E3ADE">
        <w:t>considering the unique circumstances of U.S. railroads’ PTC deployments, application of section 80.106 to their PTC operations would be contrary to the public interest in rail safety</w:t>
      </w:r>
      <w:r w:rsidR="005E3ADE">
        <w:t>”).</w:t>
      </w:r>
      <w:r w:rsidRPr="00004845">
        <w:t xml:space="preserve">  </w:t>
      </w:r>
    </w:p>
  </w:footnote>
  <w:footnote w:id="69">
    <w:p w:rsidR="00AE4803" w:rsidRPr="00004845" w:rsidP="00AE4803" w14:paraId="2726C250" w14:textId="6642EF4D">
      <w:pPr>
        <w:pStyle w:val="FootnoteText"/>
      </w:pPr>
      <w:r w:rsidRPr="00004845">
        <w:rPr>
          <w:rStyle w:val="FootnoteReference"/>
        </w:rPr>
        <w:footnoteRef/>
      </w:r>
      <w:r w:rsidRPr="00004845">
        <w:t xml:space="preserve"> </w:t>
      </w:r>
      <w:r w:rsidRPr="00C26952" w:rsidR="00C26952">
        <w:rPr>
          <w:i/>
        </w:rPr>
        <w:t>See id.</w:t>
      </w:r>
      <w:r w:rsidR="00C26952">
        <w:rPr>
          <w:iCs/>
        </w:rPr>
        <w:t xml:space="preserve"> at</w:t>
      </w:r>
      <w:r w:rsidRPr="00D3377F" w:rsidR="00912CCE">
        <w:rPr>
          <w:iCs/>
        </w:rPr>
        <w:t xml:space="preserve"> </w:t>
      </w:r>
      <w:r w:rsidRPr="00D3377F" w:rsidR="00D3377F">
        <w:rPr>
          <w:iCs/>
        </w:rPr>
        <w:t>13115-16,</w:t>
      </w:r>
      <w:r w:rsidR="00D3377F">
        <w:rPr>
          <w:i/>
        </w:rPr>
        <w:t xml:space="preserve"> </w:t>
      </w:r>
      <w:r w:rsidR="00E96D67">
        <w:rPr>
          <w:iCs/>
        </w:rPr>
        <w:t>para</w:t>
      </w:r>
      <w:r w:rsidR="00C26952">
        <w:rPr>
          <w:iCs/>
        </w:rPr>
        <w:t>.</w:t>
      </w:r>
      <w:r w:rsidR="00E96D67">
        <w:rPr>
          <w:iCs/>
        </w:rPr>
        <w:t xml:space="preserve"> 33</w:t>
      </w:r>
      <w:r w:rsidR="00C26952">
        <w:rPr>
          <w:iCs/>
        </w:rPr>
        <w:t>.</w:t>
      </w:r>
      <w:r w:rsidR="00E96D67">
        <w:rPr>
          <w:iCs/>
        </w:rPr>
        <w:t xml:space="preserve"> </w:t>
      </w:r>
    </w:p>
  </w:footnote>
  <w:footnote w:id="70">
    <w:p w:rsidR="00E96D67" w14:paraId="0589D631" w14:textId="2EF36A07">
      <w:pPr>
        <w:pStyle w:val="FootnoteText"/>
      </w:pPr>
      <w:r>
        <w:rPr>
          <w:rStyle w:val="FootnoteReference"/>
        </w:rPr>
        <w:footnoteRef/>
      </w:r>
      <w:r>
        <w:t xml:space="preserve"> </w:t>
      </w:r>
      <w:r w:rsidRPr="00C26952" w:rsidR="00C26952">
        <w:rPr>
          <w:i/>
        </w:rPr>
        <w:t>See id.</w:t>
      </w:r>
      <w:r>
        <w:t xml:space="preserve"> </w:t>
      </w:r>
      <w:r>
        <w:rPr>
          <w:iCs/>
        </w:rPr>
        <w:t>(citing 4</w:t>
      </w:r>
      <w:r w:rsidRPr="00004845">
        <w:t>7 CFR § 1.925(b)(3)(ii)</w:t>
      </w:r>
      <w:r>
        <w:t>, “</w:t>
      </w:r>
      <w:r w:rsidRPr="008A25E7">
        <w:t>considering the unique circumstances U.S. railroads face in complying with the federal PTC mandate</w:t>
      </w:r>
      <w:r>
        <w:t xml:space="preserve">” and finding that </w:t>
      </w:r>
      <w:r w:rsidRPr="008A25E7">
        <w:t>application of section 80.123(a) to</w:t>
      </w:r>
      <w:r>
        <w:t xml:space="preserve"> </w:t>
      </w:r>
      <w:r w:rsidRPr="008A25E7">
        <w:t xml:space="preserve">PTC operations </w:t>
      </w:r>
      <w:r>
        <w:t>“</w:t>
      </w:r>
      <w:r w:rsidRPr="008A25E7">
        <w:t>is unnecessary and would be unduly burdensome</w:t>
      </w:r>
      <w:r>
        <w:t>”).</w:t>
      </w:r>
    </w:p>
  </w:footnote>
  <w:footnote w:id="71">
    <w:p w:rsidR="008701C8" w:rsidP="008701C8" w14:paraId="508B94F4" w14:textId="3F1E5AB7">
      <w:pPr>
        <w:pStyle w:val="FootnoteText"/>
        <w:rPr>
          <w:rFonts w:eastAsiaTheme="minorHAnsi"/>
        </w:rPr>
      </w:pPr>
      <w:r>
        <w:rPr>
          <w:rStyle w:val="FootnoteReference"/>
        </w:rPr>
        <w:footnoteRef/>
      </w:r>
      <w:r>
        <w:t xml:space="preserve"> </w:t>
      </w:r>
      <w:r w:rsidRPr="00C26952" w:rsidR="00C26952">
        <w:rPr>
          <w:i/>
        </w:rPr>
        <w:t>See id.</w:t>
      </w:r>
      <w:r w:rsidR="00C26952">
        <w:rPr>
          <w:iCs/>
        </w:rPr>
        <w:t xml:space="preserve"> at</w:t>
      </w:r>
      <w:r w:rsidR="00C26952">
        <w:rPr>
          <w:i/>
        </w:rPr>
        <w:t xml:space="preserve"> </w:t>
      </w:r>
      <w:r w:rsidR="00002F80">
        <w:rPr>
          <w:iCs/>
        </w:rPr>
        <w:t xml:space="preserve">13116, </w:t>
      </w:r>
      <w:r w:rsidR="00C26952">
        <w:rPr>
          <w:iCs/>
        </w:rPr>
        <w:t>para.</w:t>
      </w:r>
      <w:r w:rsidR="00C26952">
        <w:t xml:space="preserve"> </w:t>
      </w:r>
      <w:r w:rsidR="00F85670">
        <w:t>34</w:t>
      </w:r>
      <w:r w:rsidR="00C26952">
        <w:t>.</w:t>
      </w:r>
    </w:p>
  </w:footnote>
  <w:footnote w:id="72">
    <w:p w:rsidR="00E96D67" w:rsidRPr="00774750" w14:paraId="1134E476" w14:textId="6D654D9A">
      <w:pPr>
        <w:pStyle w:val="FootnoteText"/>
      </w:pPr>
      <w:r>
        <w:rPr>
          <w:rStyle w:val="FootnoteReference"/>
        </w:rPr>
        <w:footnoteRef/>
      </w:r>
      <w:r>
        <w:t xml:space="preserve"> </w:t>
      </w:r>
      <w:r w:rsidR="00981538">
        <w:rPr>
          <w:i/>
          <w:iCs/>
        </w:rPr>
        <w:t>See id.</w:t>
      </w:r>
      <w:r w:rsidR="00774750">
        <w:t xml:space="preserve"> (citing </w:t>
      </w:r>
      <w:r w:rsidRPr="00004845" w:rsidR="00774750">
        <w:t>47 CFR § 1.925(b)(3)(ii)</w:t>
      </w:r>
      <w:r w:rsidR="00774750">
        <w:t>).</w:t>
      </w:r>
    </w:p>
  </w:footnote>
  <w:footnote w:id="73">
    <w:p w:rsidR="00AE4803" w:rsidRPr="00004845" w:rsidP="00AE4803" w14:paraId="58120893" w14:textId="4A490EA4">
      <w:pPr>
        <w:pStyle w:val="FootnoteText"/>
      </w:pPr>
      <w:r w:rsidRPr="00004845">
        <w:rPr>
          <w:rStyle w:val="FootnoteReference"/>
        </w:rPr>
        <w:footnoteRef/>
      </w:r>
      <w:r w:rsidRPr="00004845">
        <w:t xml:space="preserve"> </w:t>
      </w:r>
      <w:r w:rsidRPr="000C115B" w:rsidR="000C115B">
        <w:t>Waiver Request at 10.</w:t>
      </w:r>
    </w:p>
  </w:footnote>
  <w:footnote w:id="74">
    <w:p w:rsidR="00AE4803" w:rsidRPr="00004845" w:rsidP="00AE4803" w14:paraId="46DFD561" w14:textId="0747CFDD">
      <w:pPr>
        <w:pStyle w:val="FootnoteText"/>
      </w:pPr>
      <w:r w:rsidRPr="00004845">
        <w:rPr>
          <w:rStyle w:val="FootnoteReference"/>
        </w:rPr>
        <w:footnoteRef/>
      </w:r>
      <w:r w:rsidRPr="00004845">
        <w:t xml:space="preserve"> </w:t>
      </w:r>
      <w:r w:rsidR="00D2054F">
        <w:rPr>
          <w:i/>
          <w:iCs/>
        </w:rPr>
        <w:t xml:space="preserve">See </w:t>
      </w:r>
      <w:r w:rsidR="00E107B8">
        <w:rPr>
          <w:i/>
        </w:rPr>
        <w:t xml:space="preserve">Kurian/PTC-220 Order, </w:t>
      </w:r>
      <w:r w:rsidR="00E107B8">
        <w:rPr>
          <w:iCs/>
        </w:rPr>
        <w:t xml:space="preserve">35 </w:t>
      </w:r>
      <w:r w:rsidRPr="00004845">
        <w:t>FCC</w:t>
      </w:r>
      <w:r w:rsidR="00981538">
        <w:t xml:space="preserve"> Rcd </w:t>
      </w:r>
      <w:r w:rsidRPr="00004845">
        <w:t xml:space="preserve">at </w:t>
      </w:r>
      <w:r w:rsidR="00E107B8">
        <w:t>13116, para. 35.</w:t>
      </w:r>
    </w:p>
  </w:footnote>
  <w:footnote w:id="75">
    <w:p w:rsidR="00AE4803" w:rsidRPr="00004845" w:rsidP="00AE4803" w14:paraId="1409CC3F" w14:textId="3BCCD22F">
      <w:pPr>
        <w:pStyle w:val="FootnoteText"/>
        <w:tabs>
          <w:tab w:val="left" w:pos="3120"/>
        </w:tabs>
      </w:pPr>
      <w:r w:rsidRPr="00004845">
        <w:rPr>
          <w:rStyle w:val="FootnoteReference"/>
        </w:rPr>
        <w:footnoteRef/>
      </w:r>
      <w:r w:rsidRPr="00004845">
        <w:t xml:space="preserve"> </w:t>
      </w:r>
      <w:r w:rsidRPr="005313A6" w:rsidR="005313A6">
        <w:rPr>
          <w:i/>
          <w:iCs/>
        </w:rPr>
        <w:t>See id.</w:t>
      </w:r>
      <w:r w:rsidR="005313A6">
        <w:t xml:space="preserve"> (citing </w:t>
      </w:r>
      <w:r w:rsidRPr="00004845">
        <w:t>47 CFR § 1.925(b)(3)(ii)</w:t>
      </w:r>
      <w:r w:rsidR="005313A6">
        <w:t xml:space="preserve"> and finding that, </w:t>
      </w:r>
      <w:r w:rsidRPr="008A25E7" w:rsidR="005313A6">
        <w:t>considering the unique circumstances U.S. railroads face in complying with the federal PTC mandate, strict application of section 80.385(a)(2) would be contrary to the public interest</w:t>
      </w:r>
      <w:r w:rsidR="005313A6">
        <w:t>).</w:t>
      </w:r>
      <w:r w:rsidRPr="00004845">
        <w:tab/>
      </w:r>
    </w:p>
  </w:footnote>
  <w:footnote w:id="76">
    <w:p w:rsidR="00AE4803" w:rsidRPr="00004845" w:rsidP="00AE4803" w14:paraId="56ED56D7" w14:textId="2EB5D5B6">
      <w:pPr>
        <w:pStyle w:val="FootnoteText"/>
      </w:pPr>
      <w:r w:rsidRPr="00004845">
        <w:rPr>
          <w:rStyle w:val="FootnoteReference"/>
        </w:rPr>
        <w:footnoteRef/>
      </w:r>
      <w:r w:rsidRPr="00004845">
        <w:t xml:space="preserve"> Waiver Request at </w:t>
      </w:r>
      <w:r w:rsidR="007C55F4">
        <w:t>10-11; 47 CFR § 80.215(h)(5)</w:t>
      </w:r>
      <w:r w:rsidR="008649DE">
        <w:t>.</w:t>
      </w:r>
    </w:p>
  </w:footnote>
  <w:footnote w:id="77">
    <w:p w:rsidR="00AE4803" w:rsidRPr="007C55F4" w:rsidP="00AE4803" w14:paraId="6A295AA8" w14:textId="17BC5281">
      <w:pPr>
        <w:pStyle w:val="FootnoteText"/>
      </w:pPr>
      <w:r w:rsidRPr="00004845">
        <w:rPr>
          <w:rStyle w:val="FootnoteReference"/>
        </w:rPr>
        <w:footnoteRef/>
      </w:r>
      <w:r w:rsidRPr="00004845">
        <w:t xml:space="preserve"> </w:t>
      </w:r>
      <w:r w:rsidR="007C55F4">
        <w:t>Waiver Request at 10.</w:t>
      </w:r>
    </w:p>
  </w:footnote>
  <w:footnote w:id="78">
    <w:p w:rsidR="00AE4803" w:rsidRPr="007C55F4" w:rsidP="00AE4803" w14:paraId="4F87D617" w14:textId="0DC39EB3">
      <w:pPr>
        <w:pStyle w:val="FootnoteText"/>
      </w:pPr>
      <w:r w:rsidRPr="00004845">
        <w:rPr>
          <w:rStyle w:val="FootnoteReference"/>
        </w:rPr>
        <w:footnoteRef/>
      </w:r>
      <w:r w:rsidRPr="00004845">
        <w:t xml:space="preserve"> </w:t>
      </w:r>
      <w:r w:rsidRPr="00004845">
        <w:rPr>
          <w:i/>
          <w:iCs/>
        </w:rPr>
        <w:t>Id.</w:t>
      </w:r>
      <w:r w:rsidR="007C55F4">
        <w:rPr>
          <w:i/>
          <w:iCs/>
        </w:rPr>
        <w:t xml:space="preserve"> </w:t>
      </w:r>
    </w:p>
  </w:footnote>
  <w:footnote w:id="79">
    <w:p w:rsidR="00AE4803" w:rsidRPr="00004845" w:rsidP="00AE4803" w14:paraId="292D2240" w14:textId="65CF84C0">
      <w:pPr>
        <w:pStyle w:val="FootnoteText"/>
      </w:pPr>
      <w:r w:rsidRPr="00004845">
        <w:rPr>
          <w:rStyle w:val="FootnoteReference"/>
        </w:rPr>
        <w:footnoteRef/>
      </w:r>
      <w:r w:rsidRPr="00004845">
        <w:t xml:space="preserve"> </w:t>
      </w:r>
      <w:r w:rsidRPr="00004845">
        <w:rPr>
          <w:i/>
          <w:iCs/>
        </w:rPr>
        <w:t xml:space="preserve">Id. </w:t>
      </w:r>
      <w:r w:rsidR="007C55F4">
        <w:t xml:space="preserve">at 10-11 </w:t>
      </w:r>
      <w:r w:rsidRPr="00004845">
        <w:t>(noting “it is the gain of the antenna and the input power that determine the magnitude, direction and breadth of the radiated power, but ultimately only radiated power can cause interference”).</w:t>
      </w:r>
    </w:p>
  </w:footnote>
  <w:footnote w:id="80">
    <w:p w:rsidR="00AE4803" w:rsidRPr="00004845" w:rsidP="00AE4803" w14:paraId="4387A853" w14:textId="495B787C">
      <w:pPr>
        <w:pStyle w:val="FootnoteText"/>
      </w:pPr>
      <w:r w:rsidRPr="00004845">
        <w:rPr>
          <w:rStyle w:val="FootnoteReference"/>
        </w:rPr>
        <w:footnoteRef/>
      </w:r>
      <w:r w:rsidRPr="00004845">
        <w:t xml:space="preserve"> </w:t>
      </w:r>
      <w:r w:rsidRPr="00004845">
        <w:rPr>
          <w:i/>
          <w:iCs/>
        </w:rPr>
        <w:t>Id.</w:t>
      </w:r>
      <w:r w:rsidRPr="00004845">
        <w:t xml:space="preserve"> </w:t>
      </w:r>
      <w:r w:rsidR="007C55F4">
        <w:t>at 11.</w:t>
      </w:r>
    </w:p>
  </w:footnote>
  <w:footnote w:id="81">
    <w:p w:rsidR="00AE4803" w:rsidRPr="00004845" w:rsidP="00AE4803" w14:paraId="46513F09" w14:textId="77777777">
      <w:pPr>
        <w:pStyle w:val="FootnoteText"/>
      </w:pPr>
      <w:r w:rsidRPr="00004845">
        <w:rPr>
          <w:rStyle w:val="FootnoteReference"/>
        </w:rPr>
        <w:footnoteRef/>
      </w:r>
      <w:r w:rsidRPr="00004845">
        <w:t xml:space="preserve"> </w:t>
      </w:r>
      <w:r w:rsidRPr="00004845">
        <w:rPr>
          <w:i/>
          <w:iCs/>
        </w:rPr>
        <w:t>Id.</w:t>
      </w:r>
    </w:p>
  </w:footnote>
  <w:footnote w:id="82">
    <w:p w:rsidR="00AE4803" w:rsidRPr="00004845" w:rsidP="00AE4803" w14:paraId="35EC0FAA" w14:textId="77777777">
      <w:pPr>
        <w:pStyle w:val="FootnoteText"/>
      </w:pPr>
      <w:r w:rsidRPr="00004845">
        <w:rPr>
          <w:rStyle w:val="FootnoteReference"/>
        </w:rPr>
        <w:footnoteRef/>
      </w:r>
      <w:r w:rsidRPr="00004845">
        <w:t xml:space="preserve"> </w:t>
      </w:r>
      <w:r w:rsidRPr="00004845">
        <w:rPr>
          <w:i/>
          <w:iCs/>
        </w:rPr>
        <w:t>Id.</w:t>
      </w:r>
    </w:p>
  </w:footnote>
  <w:footnote w:id="83">
    <w:p w:rsidR="00AE4803" w:rsidRPr="00004845" w:rsidP="00AE4803" w14:paraId="3C21CCF7" w14:textId="1B1AFC35">
      <w:pPr>
        <w:pStyle w:val="FootnoteText"/>
      </w:pPr>
      <w:r w:rsidRPr="00004845">
        <w:rPr>
          <w:rStyle w:val="FootnoteReference"/>
        </w:rPr>
        <w:footnoteRef/>
      </w:r>
      <w:r w:rsidR="00D2054F">
        <w:rPr>
          <w:i/>
          <w:iCs/>
        </w:rPr>
        <w:t xml:space="preserve"> See </w:t>
      </w:r>
      <w:r w:rsidR="00D2054F">
        <w:rPr>
          <w:i/>
        </w:rPr>
        <w:t xml:space="preserve">Kurian/PTC-220 Order, </w:t>
      </w:r>
      <w:r w:rsidR="00D2054F">
        <w:rPr>
          <w:iCs/>
        </w:rPr>
        <w:t xml:space="preserve">35 </w:t>
      </w:r>
      <w:r w:rsidRPr="00004845" w:rsidR="00D2054F">
        <w:t>FCC</w:t>
      </w:r>
      <w:r w:rsidR="00D2054F">
        <w:t xml:space="preserve"> Rcd </w:t>
      </w:r>
      <w:r w:rsidRPr="00004845" w:rsidR="00D2054F">
        <w:t xml:space="preserve">at </w:t>
      </w:r>
      <w:r w:rsidR="00D2054F">
        <w:t xml:space="preserve">13117, </w:t>
      </w:r>
      <w:r w:rsidR="00801B9D">
        <w:t>para. 37 (citing 47 CFR § 1.925(b)(3)(ii))</w:t>
      </w:r>
      <w:r w:rsidR="00EB6B6E">
        <w:t>.</w:t>
      </w:r>
    </w:p>
  </w:footnote>
  <w:footnote w:id="84">
    <w:p w:rsidR="001953EC" w:rsidRPr="00FB52DC" w:rsidP="001953EC" w14:paraId="3F22ED6A" w14:textId="77777777">
      <w:pPr>
        <w:pStyle w:val="FootnoteText"/>
      </w:pPr>
      <w:r>
        <w:rPr>
          <w:rStyle w:val="FootnoteReference"/>
        </w:rPr>
        <w:footnoteRef/>
      </w:r>
      <w:r>
        <w:t xml:space="preserve"> </w:t>
      </w:r>
      <w:r>
        <w:rPr>
          <w:i/>
          <w:iCs/>
        </w:rPr>
        <w:t xml:space="preserve">See </w:t>
      </w:r>
      <w:r>
        <w:t>Waiver Request at 3 (citing ULS Lease ID L000040744).</w:t>
      </w:r>
    </w:p>
  </w:footnote>
  <w:footnote w:id="85">
    <w:p w:rsidR="001953EC" w:rsidRPr="00762650" w:rsidP="001953EC" w14:paraId="39FACF94" w14:textId="53A0A25E">
      <w:pPr>
        <w:pStyle w:val="FootnoteText"/>
      </w:pPr>
      <w:r>
        <w:rPr>
          <w:rStyle w:val="FootnoteReference"/>
        </w:rPr>
        <w:footnoteRef/>
      </w:r>
      <w:r>
        <w:t xml:space="preserve"> </w:t>
      </w:r>
      <w:r>
        <w:rPr>
          <w:i/>
          <w:iCs/>
        </w:rPr>
        <w:t xml:space="preserve">See supra </w:t>
      </w:r>
      <w:r>
        <w:t xml:space="preserve">note </w:t>
      </w:r>
      <w:r w:rsidR="004D42B5">
        <w:t>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68" w:rsidP="00741EB9" w14:paraId="7DB3DD6A" w14:textId="60C61D98">
    <w:pPr>
      <w:pStyle w:val="Header"/>
    </w:pPr>
    <w:r>
      <w:tab/>
      <w:t>Federal Communications Commission</w:t>
    </w:r>
    <w:r>
      <w:tab/>
    </w:r>
    <w:r w:rsidR="002C41A1">
      <w:t>DA</w:t>
    </w:r>
    <w:r>
      <w:t xml:space="preserve"> </w:t>
    </w:r>
    <w:r w:rsidR="002C41A1">
      <w:t>2</w:t>
    </w:r>
    <w:r w:rsidR="00AF6CF6">
      <w:t>3</w:t>
    </w:r>
    <w:r>
      <w:t>-</w:t>
    </w:r>
    <w:r w:rsidR="00032AD3">
      <w:t>928</w:t>
    </w:r>
  </w:p>
  <w:p w:rsidR="00BE5E68" w:rsidP="00741EB9" w14:paraId="784222B7" w14:textId="0858674A">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BE5E68" w:rsidP="00741EB9" w14:paraId="1C3AC6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68" w:rsidP="00741EB9" w14:paraId="5069DF4C" w14:textId="43BAB1EE">
    <w:pPr>
      <w:pStyle w:val="Header"/>
    </w:pPr>
  </w:p>
  <w:p w:rsidR="00741EB9" w:rsidP="00741EB9" w14:paraId="349B412E" w14:textId="511516C7">
    <w:pPr>
      <w:pStyle w:val="Header"/>
    </w:pPr>
    <w:r>
      <w:tab/>
      <w:t>Federal Communications Commission</w:t>
    </w:r>
    <w:r>
      <w:tab/>
      <w:t>DA 23-</w:t>
    </w:r>
    <w:r w:rsidR="00032AD3">
      <w:t>928</w:t>
    </w:r>
  </w:p>
  <w:p w:rsidR="00BE5E68" w:rsidP="00741EB9" w14:paraId="08A834C3" w14:textId="0D0E225D">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4514311"/>
    <w:multiLevelType w:val="hybridMultilevel"/>
    <w:tmpl w:val="D2EE71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 w:numId="8">
    <w:abstractNumId w:val="5"/>
  </w:num>
  <w:num w:numId="9">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7A"/>
    <w:rsid w:val="00000C86"/>
    <w:rsid w:val="0000117C"/>
    <w:rsid w:val="000021E0"/>
    <w:rsid w:val="00002F80"/>
    <w:rsid w:val="00003F4F"/>
    <w:rsid w:val="00004845"/>
    <w:rsid w:val="00006083"/>
    <w:rsid w:val="00007498"/>
    <w:rsid w:val="00007611"/>
    <w:rsid w:val="00010F49"/>
    <w:rsid w:val="0001108C"/>
    <w:rsid w:val="00011292"/>
    <w:rsid w:val="00011334"/>
    <w:rsid w:val="0001427B"/>
    <w:rsid w:val="00015677"/>
    <w:rsid w:val="00016B50"/>
    <w:rsid w:val="00017E81"/>
    <w:rsid w:val="00017FD8"/>
    <w:rsid w:val="00021533"/>
    <w:rsid w:val="00023195"/>
    <w:rsid w:val="000235F5"/>
    <w:rsid w:val="00032AD3"/>
    <w:rsid w:val="00032E96"/>
    <w:rsid w:val="00034F39"/>
    <w:rsid w:val="00035DAA"/>
    <w:rsid w:val="000377D7"/>
    <w:rsid w:val="00043248"/>
    <w:rsid w:val="00045000"/>
    <w:rsid w:val="0004568C"/>
    <w:rsid w:val="00045966"/>
    <w:rsid w:val="00046B07"/>
    <w:rsid w:val="00051FDB"/>
    <w:rsid w:val="000549A2"/>
    <w:rsid w:val="00055377"/>
    <w:rsid w:val="00055930"/>
    <w:rsid w:val="000566BE"/>
    <w:rsid w:val="00060190"/>
    <w:rsid w:val="0006234B"/>
    <w:rsid w:val="00063E30"/>
    <w:rsid w:val="00064738"/>
    <w:rsid w:val="00064946"/>
    <w:rsid w:val="00066952"/>
    <w:rsid w:val="000670E8"/>
    <w:rsid w:val="0007012D"/>
    <w:rsid w:val="00072A8A"/>
    <w:rsid w:val="0007439B"/>
    <w:rsid w:val="00074457"/>
    <w:rsid w:val="00074DE8"/>
    <w:rsid w:val="00076DBA"/>
    <w:rsid w:val="000773DA"/>
    <w:rsid w:val="0007751E"/>
    <w:rsid w:val="000779D3"/>
    <w:rsid w:val="00081A11"/>
    <w:rsid w:val="00084A4B"/>
    <w:rsid w:val="00084D7C"/>
    <w:rsid w:val="00084EC3"/>
    <w:rsid w:val="00090F74"/>
    <w:rsid w:val="0009379F"/>
    <w:rsid w:val="000966DE"/>
    <w:rsid w:val="00096B11"/>
    <w:rsid w:val="00096C8C"/>
    <w:rsid w:val="00096EC4"/>
    <w:rsid w:val="000A0156"/>
    <w:rsid w:val="000A2940"/>
    <w:rsid w:val="000A3244"/>
    <w:rsid w:val="000A46A6"/>
    <w:rsid w:val="000B0B54"/>
    <w:rsid w:val="000B1963"/>
    <w:rsid w:val="000B1C98"/>
    <w:rsid w:val="000B2217"/>
    <w:rsid w:val="000B5E61"/>
    <w:rsid w:val="000B6C70"/>
    <w:rsid w:val="000C115B"/>
    <w:rsid w:val="000C1176"/>
    <w:rsid w:val="000C2FF2"/>
    <w:rsid w:val="000C4174"/>
    <w:rsid w:val="000C587D"/>
    <w:rsid w:val="000C5D02"/>
    <w:rsid w:val="000C63F5"/>
    <w:rsid w:val="000C7C01"/>
    <w:rsid w:val="000D26AD"/>
    <w:rsid w:val="000D306F"/>
    <w:rsid w:val="000D3C31"/>
    <w:rsid w:val="000D4949"/>
    <w:rsid w:val="000D6DA6"/>
    <w:rsid w:val="000D7FA5"/>
    <w:rsid w:val="000E01D4"/>
    <w:rsid w:val="000E229A"/>
    <w:rsid w:val="000E3118"/>
    <w:rsid w:val="000E7787"/>
    <w:rsid w:val="000F0F1A"/>
    <w:rsid w:val="000F39C8"/>
    <w:rsid w:val="000F3BCF"/>
    <w:rsid w:val="000F5000"/>
    <w:rsid w:val="000F5B0A"/>
    <w:rsid w:val="000F675C"/>
    <w:rsid w:val="000F7168"/>
    <w:rsid w:val="000F7B93"/>
    <w:rsid w:val="00100423"/>
    <w:rsid w:val="0011154E"/>
    <w:rsid w:val="00111968"/>
    <w:rsid w:val="00112967"/>
    <w:rsid w:val="00112B7A"/>
    <w:rsid w:val="00114E07"/>
    <w:rsid w:val="001156DC"/>
    <w:rsid w:val="00121DE6"/>
    <w:rsid w:val="001244F4"/>
    <w:rsid w:val="00125D1F"/>
    <w:rsid w:val="001270F2"/>
    <w:rsid w:val="00127E94"/>
    <w:rsid w:val="00130D36"/>
    <w:rsid w:val="00131FC6"/>
    <w:rsid w:val="001362DD"/>
    <w:rsid w:val="00137675"/>
    <w:rsid w:val="00140300"/>
    <w:rsid w:val="001403E0"/>
    <w:rsid w:val="00141EAF"/>
    <w:rsid w:val="001429D3"/>
    <w:rsid w:val="00143281"/>
    <w:rsid w:val="001437D2"/>
    <w:rsid w:val="00143D4E"/>
    <w:rsid w:val="00144764"/>
    <w:rsid w:val="00145A3C"/>
    <w:rsid w:val="001468E6"/>
    <w:rsid w:val="00146A04"/>
    <w:rsid w:val="001508D3"/>
    <w:rsid w:val="00152187"/>
    <w:rsid w:val="00154A56"/>
    <w:rsid w:val="00154B64"/>
    <w:rsid w:val="001555A2"/>
    <w:rsid w:val="00155F19"/>
    <w:rsid w:val="00156B9C"/>
    <w:rsid w:val="00157897"/>
    <w:rsid w:val="001626D4"/>
    <w:rsid w:val="0016372E"/>
    <w:rsid w:val="00164F5B"/>
    <w:rsid w:val="001666C4"/>
    <w:rsid w:val="001667A6"/>
    <w:rsid w:val="00166A52"/>
    <w:rsid w:val="001679D9"/>
    <w:rsid w:val="00172622"/>
    <w:rsid w:val="0017263C"/>
    <w:rsid w:val="00172A8F"/>
    <w:rsid w:val="00173432"/>
    <w:rsid w:val="00174B62"/>
    <w:rsid w:val="0017597C"/>
    <w:rsid w:val="00182FD2"/>
    <w:rsid w:val="001830C8"/>
    <w:rsid w:val="00187E34"/>
    <w:rsid w:val="0019209E"/>
    <w:rsid w:val="00192D89"/>
    <w:rsid w:val="00194660"/>
    <w:rsid w:val="001953EC"/>
    <w:rsid w:val="00195DD2"/>
    <w:rsid w:val="00196C7E"/>
    <w:rsid w:val="0019789F"/>
    <w:rsid w:val="001A04B8"/>
    <w:rsid w:val="001A24F6"/>
    <w:rsid w:val="001A31C0"/>
    <w:rsid w:val="001A6577"/>
    <w:rsid w:val="001B0E58"/>
    <w:rsid w:val="001B1F02"/>
    <w:rsid w:val="001B459A"/>
    <w:rsid w:val="001B61AE"/>
    <w:rsid w:val="001B6F09"/>
    <w:rsid w:val="001B71D3"/>
    <w:rsid w:val="001B7CD9"/>
    <w:rsid w:val="001C084D"/>
    <w:rsid w:val="001C09A8"/>
    <w:rsid w:val="001C09BD"/>
    <w:rsid w:val="001C322C"/>
    <w:rsid w:val="001C33D4"/>
    <w:rsid w:val="001C3ABB"/>
    <w:rsid w:val="001C5455"/>
    <w:rsid w:val="001C54AD"/>
    <w:rsid w:val="001C7734"/>
    <w:rsid w:val="001D4622"/>
    <w:rsid w:val="001D46CB"/>
    <w:rsid w:val="001D505C"/>
    <w:rsid w:val="001D5D14"/>
    <w:rsid w:val="001D681E"/>
    <w:rsid w:val="001D69FD"/>
    <w:rsid w:val="001E038E"/>
    <w:rsid w:val="001E1DA6"/>
    <w:rsid w:val="001E2298"/>
    <w:rsid w:val="001E2F17"/>
    <w:rsid w:val="001E3FBD"/>
    <w:rsid w:val="001E4830"/>
    <w:rsid w:val="001E5294"/>
    <w:rsid w:val="001E63DE"/>
    <w:rsid w:val="001F1326"/>
    <w:rsid w:val="001F16DF"/>
    <w:rsid w:val="001F28A1"/>
    <w:rsid w:val="001F4954"/>
    <w:rsid w:val="001F4A01"/>
    <w:rsid w:val="001F7A64"/>
    <w:rsid w:val="0020112F"/>
    <w:rsid w:val="00201960"/>
    <w:rsid w:val="00201DC6"/>
    <w:rsid w:val="00204EA0"/>
    <w:rsid w:val="00205510"/>
    <w:rsid w:val="00210885"/>
    <w:rsid w:val="00212E29"/>
    <w:rsid w:val="002135C7"/>
    <w:rsid w:val="00213797"/>
    <w:rsid w:val="002143E5"/>
    <w:rsid w:val="00214A43"/>
    <w:rsid w:val="00214BE2"/>
    <w:rsid w:val="002163F3"/>
    <w:rsid w:val="00220D62"/>
    <w:rsid w:val="00221722"/>
    <w:rsid w:val="00222004"/>
    <w:rsid w:val="00226206"/>
    <w:rsid w:val="00226579"/>
    <w:rsid w:val="00230354"/>
    <w:rsid w:val="00231A29"/>
    <w:rsid w:val="00236CAB"/>
    <w:rsid w:val="00240A99"/>
    <w:rsid w:val="00241421"/>
    <w:rsid w:val="002415EA"/>
    <w:rsid w:val="002427E8"/>
    <w:rsid w:val="00242A87"/>
    <w:rsid w:val="00244B1A"/>
    <w:rsid w:val="00247769"/>
    <w:rsid w:val="00247892"/>
    <w:rsid w:val="0025174F"/>
    <w:rsid w:val="002518CB"/>
    <w:rsid w:val="00252707"/>
    <w:rsid w:val="002529A9"/>
    <w:rsid w:val="00252F2F"/>
    <w:rsid w:val="00253104"/>
    <w:rsid w:val="00253428"/>
    <w:rsid w:val="00253CAB"/>
    <w:rsid w:val="00255190"/>
    <w:rsid w:val="00256225"/>
    <w:rsid w:val="00256CB7"/>
    <w:rsid w:val="00257E5A"/>
    <w:rsid w:val="00260714"/>
    <w:rsid w:val="00260FFC"/>
    <w:rsid w:val="0026394A"/>
    <w:rsid w:val="002659BC"/>
    <w:rsid w:val="0026638A"/>
    <w:rsid w:val="0026720E"/>
    <w:rsid w:val="00267C9D"/>
    <w:rsid w:val="00267EFC"/>
    <w:rsid w:val="00270211"/>
    <w:rsid w:val="0027227F"/>
    <w:rsid w:val="0027292D"/>
    <w:rsid w:val="002731F0"/>
    <w:rsid w:val="00274157"/>
    <w:rsid w:val="00274543"/>
    <w:rsid w:val="00274C0E"/>
    <w:rsid w:val="002773E2"/>
    <w:rsid w:val="00281476"/>
    <w:rsid w:val="0028155F"/>
    <w:rsid w:val="00283EC0"/>
    <w:rsid w:val="00284084"/>
    <w:rsid w:val="002840DA"/>
    <w:rsid w:val="00284F3F"/>
    <w:rsid w:val="002857F1"/>
    <w:rsid w:val="00287597"/>
    <w:rsid w:val="00290702"/>
    <w:rsid w:val="00290885"/>
    <w:rsid w:val="00293C8A"/>
    <w:rsid w:val="00294125"/>
    <w:rsid w:val="00297081"/>
    <w:rsid w:val="00297C5E"/>
    <w:rsid w:val="002A2C14"/>
    <w:rsid w:val="002A4EE0"/>
    <w:rsid w:val="002B2F0B"/>
    <w:rsid w:val="002B5E43"/>
    <w:rsid w:val="002B6104"/>
    <w:rsid w:val="002B6F5C"/>
    <w:rsid w:val="002C0537"/>
    <w:rsid w:val="002C41A1"/>
    <w:rsid w:val="002C4E02"/>
    <w:rsid w:val="002C505D"/>
    <w:rsid w:val="002C7CB7"/>
    <w:rsid w:val="002D47E1"/>
    <w:rsid w:val="002D4BFC"/>
    <w:rsid w:val="002D553A"/>
    <w:rsid w:val="002D68FE"/>
    <w:rsid w:val="002D701F"/>
    <w:rsid w:val="002E0A13"/>
    <w:rsid w:val="002E0F19"/>
    <w:rsid w:val="002E1949"/>
    <w:rsid w:val="002E24D5"/>
    <w:rsid w:val="002E2C2B"/>
    <w:rsid w:val="002E3406"/>
    <w:rsid w:val="002E6E64"/>
    <w:rsid w:val="002E79AF"/>
    <w:rsid w:val="002F0934"/>
    <w:rsid w:val="00301EB5"/>
    <w:rsid w:val="003020B7"/>
    <w:rsid w:val="00302A01"/>
    <w:rsid w:val="00302B47"/>
    <w:rsid w:val="00304450"/>
    <w:rsid w:val="0030475D"/>
    <w:rsid w:val="0030484C"/>
    <w:rsid w:val="00304877"/>
    <w:rsid w:val="00305205"/>
    <w:rsid w:val="00305AC2"/>
    <w:rsid w:val="00307435"/>
    <w:rsid w:val="00307611"/>
    <w:rsid w:val="0031110F"/>
    <w:rsid w:val="00311C34"/>
    <w:rsid w:val="003137EF"/>
    <w:rsid w:val="00316FD1"/>
    <w:rsid w:val="0032024B"/>
    <w:rsid w:val="0032306A"/>
    <w:rsid w:val="00323F7F"/>
    <w:rsid w:val="003255D5"/>
    <w:rsid w:val="00327EDB"/>
    <w:rsid w:val="00330215"/>
    <w:rsid w:val="003321D8"/>
    <w:rsid w:val="00333AAA"/>
    <w:rsid w:val="0033456E"/>
    <w:rsid w:val="0033532B"/>
    <w:rsid w:val="00337B08"/>
    <w:rsid w:val="00340D22"/>
    <w:rsid w:val="00342AF9"/>
    <w:rsid w:val="00342E03"/>
    <w:rsid w:val="0034338C"/>
    <w:rsid w:val="0034580B"/>
    <w:rsid w:val="00350011"/>
    <w:rsid w:val="00351230"/>
    <w:rsid w:val="0035172C"/>
    <w:rsid w:val="0035332B"/>
    <w:rsid w:val="003542F6"/>
    <w:rsid w:val="003546DE"/>
    <w:rsid w:val="0035490B"/>
    <w:rsid w:val="00354E1B"/>
    <w:rsid w:val="00355314"/>
    <w:rsid w:val="00356091"/>
    <w:rsid w:val="00356DF2"/>
    <w:rsid w:val="00360169"/>
    <w:rsid w:val="003604C8"/>
    <w:rsid w:val="00363798"/>
    <w:rsid w:val="00363937"/>
    <w:rsid w:val="00365228"/>
    <w:rsid w:val="00370BB1"/>
    <w:rsid w:val="0037382D"/>
    <w:rsid w:val="003757C0"/>
    <w:rsid w:val="003764B3"/>
    <w:rsid w:val="00380037"/>
    <w:rsid w:val="003807E1"/>
    <w:rsid w:val="00380A93"/>
    <w:rsid w:val="003810C6"/>
    <w:rsid w:val="00381339"/>
    <w:rsid w:val="00384BB8"/>
    <w:rsid w:val="00385779"/>
    <w:rsid w:val="003862E1"/>
    <w:rsid w:val="00386942"/>
    <w:rsid w:val="00386EA8"/>
    <w:rsid w:val="00387B07"/>
    <w:rsid w:val="00390E49"/>
    <w:rsid w:val="003913E5"/>
    <w:rsid w:val="00392320"/>
    <w:rsid w:val="003927B0"/>
    <w:rsid w:val="00392874"/>
    <w:rsid w:val="00392F97"/>
    <w:rsid w:val="00394396"/>
    <w:rsid w:val="003A06C6"/>
    <w:rsid w:val="003A203E"/>
    <w:rsid w:val="003A20BA"/>
    <w:rsid w:val="003A2315"/>
    <w:rsid w:val="003A28BE"/>
    <w:rsid w:val="003A324C"/>
    <w:rsid w:val="003A6070"/>
    <w:rsid w:val="003A62DE"/>
    <w:rsid w:val="003A6ADE"/>
    <w:rsid w:val="003B1781"/>
    <w:rsid w:val="003B1831"/>
    <w:rsid w:val="003B5905"/>
    <w:rsid w:val="003B709D"/>
    <w:rsid w:val="003C1962"/>
    <w:rsid w:val="003C1FFA"/>
    <w:rsid w:val="003C293B"/>
    <w:rsid w:val="003C32CF"/>
    <w:rsid w:val="003C37A2"/>
    <w:rsid w:val="003C3985"/>
    <w:rsid w:val="003C3D60"/>
    <w:rsid w:val="003C4095"/>
    <w:rsid w:val="003C4985"/>
    <w:rsid w:val="003C56C2"/>
    <w:rsid w:val="003C6B44"/>
    <w:rsid w:val="003D08C2"/>
    <w:rsid w:val="003D0F58"/>
    <w:rsid w:val="003D279D"/>
    <w:rsid w:val="003D301D"/>
    <w:rsid w:val="003D33F8"/>
    <w:rsid w:val="003D4D32"/>
    <w:rsid w:val="003D76A7"/>
    <w:rsid w:val="003E0ADE"/>
    <w:rsid w:val="003E1307"/>
    <w:rsid w:val="003E1500"/>
    <w:rsid w:val="003E19AD"/>
    <w:rsid w:val="003E23CD"/>
    <w:rsid w:val="003E3346"/>
    <w:rsid w:val="003E6720"/>
    <w:rsid w:val="003E6A14"/>
    <w:rsid w:val="003E715A"/>
    <w:rsid w:val="003F2015"/>
    <w:rsid w:val="003F2C63"/>
    <w:rsid w:val="003F388D"/>
    <w:rsid w:val="003F5F81"/>
    <w:rsid w:val="003F631C"/>
    <w:rsid w:val="003F68FE"/>
    <w:rsid w:val="003F6978"/>
    <w:rsid w:val="004009C9"/>
    <w:rsid w:val="004010F7"/>
    <w:rsid w:val="00403E9E"/>
    <w:rsid w:val="00404BAE"/>
    <w:rsid w:val="004061AA"/>
    <w:rsid w:val="0041047E"/>
    <w:rsid w:val="00411D7B"/>
    <w:rsid w:val="00415D04"/>
    <w:rsid w:val="00417132"/>
    <w:rsid w:val="004178D5"/>
    <w:rsid w:val="00417F8F"/>
    <w:rsid w:val="00417FD5"/>
    <w:rsid w:val="00420A1D"/>
    <w:rsid w:val="0042131F"/>
    <w:rsid w:val="0042180B"/>
    <w:rsid w:val="004228F1"/>
    <w:rsid w:val="0042598E"/>
    <w:rsid w:val="004267AD"/>
    <w:rsid w:val="00434B77"/>
    <w:rsid w:val="0043520C"/>
    <w:rsid w:val="00437D4C"/>
    <w:rsid w:val="004441D2"/>
    <w:rsid w:val="00445BD1"/>
    <w:rsid w:val="00445BE3"/>
    <w:rsid w:val="00446420"/>
    <w:rsid w:val="0044682E"/>
    <w:rsid w:val="0044697F"/>
    <w:rsid w:val="00447007"/>
    <w:rsid w:val="00447625"/>
    <w:rsid w:val="004478F7"/>
    <w:rsid w:val="00452351"/>
    <w:rsid w:val="004529FE"/>
    <w:rsid w:val="0045347B"/>
    <w:rsid w:val="0045350B"/>
    <w:rsid w:val="004543D7"/>
    <w:rsid w:val="004552B1"/>
    <w:rsid w:val="00461718"/>
    <w:rsid w:val="004625AC"/>
    <w:rsid w:val="00462DE0"/>
    <w:rsid w:val="0046375B"/>
    <w:rsid w:val="00464384"/>
    <w:rsid w:val="00470D23"/>
    <w:rsid w:val="004724AF"/>
    <w:rsid w:val="0047351C"/>
    <w:rsid w:val="00473694"/>
    <w:rsid w:val="00473E09"/>
    <w:rsid w:val="00474C8C"/>
    <w:rsid w:val="0047642A"/>
    <w:rsid w:val="004803EA"/>
    <w:rsid w:val="004813E9"/>
    <w:rsid w:val="0048244D"/>
    <w:rsid w:val="00483B1A"/>
    <w:rsid w:val="00484568"/>
    <w:rsid w:val="0048550F"/>
    <w:rsid w:val="0048626F"/>
    <w:rsid w:val="00487D8E"/>
    <w:rsid w:val="00490D40"/>
    <w:rsid w:val="0049202C"/>
    <w:rsid w:val="00492440"/>
    <w:rsid w:val="00493331"/>
    <w:rsid w:val="00493742"/>
    <w:rsid w:val="00493C3F"/>
    <w:rsid w:val="00493D6E"/>
    <w:rsid w:val="00494321"/>
    <w:rsid w:val="00494DED"/>
    <w:rsid w:val="004961DD"/>
    <w:rsid w:val="004A183C"/>
    <w:rsid w:val="004B0520"/>
    <w:rsid w:val="004B431C"/>
    <w:rsid w:val="004B4C7E"/>
    <w:rsid w:val="004B5437"/>
    <w:rsid w:val="004B733E"/>
    <w:rsid w:val="004B78BA"/>
    <w:rsid w:val="004C2C60"/>
    <w:rsid w:val="004C3BC4"/>
    <w:rsid w:val="004C4191"/>
    <w:rsid w:val="004C628C"/>
    <w:rsid w:val="004D0706"/>
    <w:rsid w:val="004D1350"/>
    <w:rsid w:val="004D1913"/>
    <w:rsid w:val="004D27E0"/>
    <w:rsid w:val="004D42B5"/>
    <w:rsid w:val="004D475A"/>
    <w:rsid w:val="004D5EFF"/>
    <w:rsid w:val="004D7C11"/>
    <w:rsid w:val="004E1184"/>
    <w:rsid w:val="004E23B1"/>
    <w:rsid w:val="004E39A5"/>
    <w:rsid w:val="004E3F0B"/>
    <w:rsid w:val="004E4EC3"/>
    <w:rsid w:val="004E5428"/>
    <w:rsid w:val="004E61D6"/>
    <w:rsid w:val="004F0DF5"/>
    <w:rsid w:val="004F242E"/>
    <w:rsid w:val="004F2E12"/>
    <w:rsid w:val="004F3BB2"/>
    <w:rsid w:val="004F4A67"/>
    <w:rsid w:val="004F6C2D"/>
    <w:rsid w:val="005000CC"/>
    <w:rsid w:val="0050099C"/>
    <w:rsid w:val="00502EB3"/>
    <w:rsid w:val="00503397"/>
    <w:rsid w:val="00504798"/>
    <w:rsid w:val="005059C4"/>
    <w:rsid w:val="00505D21"/>
    <w:rsid w:val="00506850"/>
    <w:rsid w:val="0051012A"/>
    <w:rsid w:val="0051166F"/>
    <w:rsid w:val="00513555"/>
    <w:rsid w:val="00513982"/>
    <w:rsid w:val="00514D4E"/>
    <w:rsid w:val="00515B8B"/>
    <w:rsid w:val="005164B0"/>
    <w:rsid w:val="00517BC6"/>
    <w:rsid w:val="00520A14"/>
    <w:rsid w:val="00523484"/>
    <w:rsid w:val="00526491"/>
    <w:rsid w:val="005264EE"/>
    <w:rsid w:val="00530C90"/>
    <w:rsid w:val="005313A6"/>
    <w:rsid w:val="00534E7C"/>
    <w:rsid w:val="00536084"/>
    <w:rsid w:val="0053610D"/>
    <w:rsid w:val="0053771E"/>
    <w:rsid w:val="0054022D"/>
    <w:rsid w:val="005408A3"/>
    <w:rsid w:val="005420A0"/>
    <w:rsid w:val="00544440"/>
    <w:rsid w:val="005445AF"/>
    <w:rsid w:val="00544FC4"/>
    <w:rsid w:val="00547D08"/>
    <w:rsid w:val="00547EF6"/>
    <w:rsid w:val="00550B90"/>
    <w:rsid w:val="005523E4"/>
    <w:rsid w:val="005530F7"/>
    <w:rsid w:val="005531B0"/>
    <w:rsid w:val="00553680"/>
    <w:rsid w:val="00561CF7"/>
    <w:rsid w:val="0056225F"/>
    <w:rsid w:val="00563A70"/>
    <w:rsid w:val="00565D75"/>
    <w:rsid w:val="00570238"/>
    <w:rsid w:val="00571520"/>
    <w:rsid w:val="0057429C"/>
    <w:rsid w:val="0057439D"/>
    <w:rsid w:val="005744AC"/>
    <w:rsid w:val="0057602E"/>
    <w:rsid w:val="0057612C"/>
    <w:rsid w:val="005762B1"/>
    <w:rsid w:val="0058588C"/>
    <w:rsid w:val="00587FEE"/>
    <w:rsid w:val="00590121"/>
    <w:rsid w:val="00591815"/>
    <w:rsid w:val="00591A53"/>
    <w:rsid w:val="00591D4D"/>
    <w:rsid w:val="005923C4"/>
    <w:rsid w:val="00597795"/>
    <w:rsid w:val="00597D46"/>
    <w:rsid w:val="005A1118"/>
    <w:rsid w:val="005A14C1"/>
    <w:rsid w:val="005A7FF2"/>
    <w:rsid w:val="005B2128"/>
    <w:rsid w:val="005B56FA"/>
    <w:rsid w:val="005B5BCC"/>
    <w:rsid w:val="005B6121"/>
    <w:rsid w:val="005B65F2"/>
    <w:rsid w:val="005B77B5"/>
    <w:rsid w:val="005B7942"/>
    <w:rsid w:val="005C047E"/>
    <w:rsid w:val="005C5070"/>
    <w:rsid w:val="005C669C"/>
    <w:rsid w:val="005C70EA"/>
    <w:rsid w:val="005D0411"/>
    <w:rsid w:val="005D0DF0"/>
    <w:rsid w:val="005D5E0C"/>
    <w:rsid w:val="005D7528"/>
    <w:rsid w:val="005D7A97"/>
    <w:rsid w:val="005E1257"/>
    <w:rsid w:val="005E3516"/>
    <w:rsid w:val="005E3ADE"/>
    <w:rsid w:val="005E4809"/>
    <w:rsid w:val="005E6103"/>
    <w:rsid w:val="005E6688"/>
    <w:rsid w:val="005F0D51"/>
    <w:rsid w:val="005F14B2"/>
    <w:rsid w:val="005F1C81"/>
    <w:rsid w:val="005F24ED"/>
    <w:rsid w:val="005F3516"/>
    <w:rsid w:val="005F3EF6"/>
    <w:rsid w:val="005F48DC"/>
    <w:rsid w:val="005F4AF3"/>
    <w:rsid w:val="005F6F13"/>
    <w:rsid w:val="0060127D"/>
    <w:rsid w:val="006017C5"/>
    <w:rsid w:val="00603508"/>
    <w:rsid w:val="00605E3C"/>
    <w:rsid w:val="006067AC"/>
    <w:rsid w:val="006074D4"/>
    <w:rsid w:val="00607558"/>
    <w:rsid w:val="006113E9"/>
    <w:rsid w:val="0061147A"/>
    <w:rsid w:val="0061276A"/>
    <w:rsid w:val="00612DBC"/>
    <w:rsid w:val="006139CF"/>
    <w:rsid w:val="00613D6B"/>
    <w:rsid w:val="00621FFA"/>
    <w:rsid w:val="00624791"/>
    <w:rsid w:val="00625360"/>
    <w:rsid w:val="0062553F"/>
    <w:rsid w:val="006300A0"/>
    <w:rsid w:val="00631642"/>
    <w:rsid w:val="00631E8C"/>
    <w:rsid w:val="00632492"/>
    <w:rsid w:val="00633FCE"/>
    <w:rsid w:val="00634E11"/>
    <w:rsid w:val="00636E89"/>
    <w:rsid w:val="006371BB"/>
    <w:rsid w:val="0064344B"/>
    <w:rsid w:val="00643FB8"/>
    <w:rsid w:val="006442B2"/>
    <w:rsid w:val="0064539B"/>
    <w:rsid w:val="00645451"/>
    <w:rsid w:val="00651D98"/>
    <w:rsid w:val="0065346E"/>
    <w:rsid w:val="006535F6"/>
    <w:rsid w:val="0065381D"/>
    <w:rsid w:val="00653BBE"/>
    <w:rsid w:val="00655E1D"/>
    <w:rsid w:val="00657195"/>
    <w:rsid w:val="00660002"/>
    <w:rsid w:val="00663359"/>
    <w:rsid w:val="00663832"/>
    <w:rsid w:val="00666097"/>
    <w:rsid w:val="00666FEA"/>
    <w:rsid w:val="00667A33"/>
    <w:rsid w:val="00667DB3"/>
    <w:rsid w:val="00671F83"/>
    <w:rsid w:val="00672B89"/>
    <w:rsid w:val="00672ED5"/>
    <w:rsid w:val="00673258"/>
    <w:rsid w:val="00673BAA"/>
    <w:rsid w:val="00673F64"/>
    <w:rsid w:val="006759A7"/>
    <w:rsid w:val="00676798"/>
    <w:rsid w:val="0067760B"/>
    <w:rsid w:val="00677A75"/>
    <w:rsid w:val="00680102"/>
    <w:rsid w:val="00680DAE"/>
    <w:rsid w:val="00681025"/>
    <w:rsid w:val="006810FE"/>
    <w:rsid w:val="00683621"/>
    <w:rsid w:val="00684CBA"/>
    <w:rsid w:val="00685AF3"/>
    <w:rsid w:val="00686BA9"/>
    <w:rsid w:val="00691675"/>
    <w:rsid w:val="00691BDB"/>
    <w:rsid w:val="00695D38"/>
    <w:rsid w:val="006964B4"/>
    <w:rsid w:val="0069661F"/>
    <w:rsid w:val="0069675C"/>
    <w:rsid w:val="006977DD"/>
    <w:rsid w:val="006A0D96"/>
    <w:rsid w:val="006A2B8C"/>
    <w:rsid w:val="006A3BC1"/>
    <w:rsid w:val="006A5BE9"/>
    <w:rsid w:val="006A65C6"/>
    <w:rsid w:val="006B0421"/>
    <w:rsid w:val="006B2D75"/>
    <w:rsid w:val="006B5E4E"/>
    <w:rsid w:val="006B627A"/>
    <w:rsid w:val="006B68D9"/>
    <w:rsid w:val="006C03A0"/>
    <w:rsid w:val="006C0DE7"/>
    <w:rsid w:val="006C3812"/>
    <w:rsid w:val="006C6F5E"/>
    <w:rsid w:val="006D06D5"/>
    <w:rsid w:val="006D0996"/>
    <w:rsid w:val="006D1C77"/>
    <w:rsid w:val="006D2F68"/>
    <w:rsid w:val="006D3120"/>
    <w:rsid w:val="006D524A"/>
    <w:rsid w:val="006D593B"/>
    <w:rsid w:val="006D6092"/>
    <w:rsid w:val="006D6A83"/>
    <w:rsid w:val="006D7BC4"/>
    <w:rsid w:val="006E14BB"/>
    <w:rsid w:val="006E3497"/>
    <w:rsid w:val="006E35F0"/>
    <w:rsid w:val="006F0107"/>
    <w:rsid w:val="006F0447"/>
    <w:rsid w:val="006F49D8"/>
    <w:rsid w:val="006F4E7F"/>
    <w:rsid w:val="0070124C"/>
    <w:rsid w:val="00701645"/>
    <w:rsid w:val="007027C0"/>
    <w:rsid w:val="00702CBE"/>
    <w:rsid w:val="007059C0"/>
    <w:rsid w:val="007062D3"/>
    <w:rsid w:val="007063F6"/>
    <w:rsid w:val="007074FD"/>
    <w:rsid w:val="00707E82"/>
    <w:rsid w:val="00710658"/>
    <w:rsid w:val="00710F17"/>
    <w:rsid w:val="00711F10"/>
    <w:rsid w:val="00712148"/>
    <w:rsid w:val="00712EAB"/>
    <w:rsid w:val="007132D2"/>
    <w:rsid w:val="00713A10"/>
    <w:rsid w:val="00713A1D"/>
    <w:rsid w:val="00716F72"/>
    <w:rsid w:val="007216E1"/>
    <w:rsid w:val="00722A5C"/>
    <w:rsid w:val="007230E7"/>
    <w:rsid w:val="00723677"/>
    <w:rsid w:val="007238DF"/>
    <w:rsid w:val="007251DF"/>
    <w:rsid w:val="0073285C"/>
    <w:rsid w:val="007330BB"/>
    <w:rsid w:val="0073432F"/>
    <w:rsid w:val="007362BC"/>
    <w:rsid w:val="007364A3"/>
    <w:rsid w:val="00737CE0"/>
    <w:rsid w:val="00741EB9"/>
    <w:rsid w:val="00742217"/>
    <w:rsid w:val="00745516"/>
    <w:rsid w:val="0074652C"/>
    <w:rsid w:val="007524E9"/>
    <w:rsid w:val="00754CD4"/>
    <w:rsid w:val="00760115"/>
    <w:rsid w:val="00761425"/>
    <w:rsid w:val="00762650"/>
    <w:rsid w:val="00766950"/>
    <w:rsid w:val="007677DF"/>
    <w:rsid w:val="0077033D"/>
    <w:rsid w:val="00770446"/>
    <w:rsid w:val="00770E52"/>
    <w:rsid w:val="007721BC"/>
    <w:rsid w:val="0077245C"/>
    <w:rsid w:val="0077259B"/>
    <w:rsid w:val="00774750"/>
    <w:rsid w:val="00776134"/>
    <w:rsid w:val="00776B12"/>
    <w:rsid w:val="007775BA"/>
    <w:rsid w:val="00780C5D"/>
    <w:rsid w:val="00781BF7"/>
    <w:rsid w:val="0078337F"/>
    <w:rsid w:val="00784044"/>
    <w:rsid w:val="007847AB"/>
    <w:rsid w:val="00787111"/>
    <w:rsid w:val="00787C0E"/>
    <w:rsid w:val="00790803"/>
    <w:rsid w:val="00791EF5"/>
    <w:rsid w:val="007920A1"/>
    <w:rsid w:val="00795955"/>
    <w:rsid w:val="007978D7"/>
    <w:rsid w:val="00797D1B"/>
    <w:rsid w:val="007A1D1C"/>
    <w:rsid w:val="007A6100"/>
    <w:rsid w:val="007A6D8E"/>
    <w:rsid w:val="007B0104"/>
    <w:rsid w:val="007B0460"/>
    <w:rsid w:val="007B0928"/>
    <w:rsid w:val="007B2049"/>
    <w:rsid w:val="007B337C"/>
    <w:rsid w:val="007B3814"/>
    <w:rsid w:val="007B4C43"/>
    <w:rsid w:val="007B555C"/>
    <w:rsid w:val="007B5669"/>
    <w:rsid w:val="007B5881"/>
    <w:rsid w:val="007B6692"/>
    <w:rsid w:val="007C04EA"/>
    <w:rsid w:val="007C097B"/>
    <w:rsid w:val="007C0E68"/>
    <w:rsid w:val="007C0FBE"/>
    <w:rsid w:val="007C4741"/>
    <w:rsid w:val="007C55F4"/>
    <w:rsid w:val="007C5F8D"/>
    <w:rsid w:val="007C5F9E"/>
    <w:rsid w:val="007C7012"/>
    <w:rsid w:val="007C7512"/>
    <w:rsid w:val="007D1186"/>
    <w:rsid w:val="007D45B2"/>
    <w:rsid w:val="007D4CAC"/>
    <w:rsid w:val="007D69A5"/>
    <w:rsid w:val="007D71D1"/>
    <w:rsid w:val="007E07D7"/>
    <w:rsid w:val="007E19CA"/>
    <w:rsid w:val="007E2BBC"/>
    <w:rsid w:val="007E2CDC"/>
    <w:rsid w:val="007E67E8"/>
    <w:rsid w:val="007F0886"/>
    <w:rsid w:val="007F1A27"/>
    <w:rsid w:val="007F21A8"/>
    <w:rsid w:val="007F2645"/>
    <w:rsid w:val="007F291E"/>
    <w:rsid w:val="007F4DA5"/>
    <w:rsid w:val="007F6395"/>
    <w:rsid w:val="007F6C82"/>
    <w:rsid w:val="00801B9D"/>
    <w:rsid w:val="00801E8D"/>
    <w:rsid w:val="0080237F"/>
    <w:rsid w:val="00803B06"/>
    <w:rsid w:val="00803C23"/>
    <w:rsid w:val="00803C51"/>
    <w:rsid w:val="00807CA6"/>
    <w:rsid w:val="00811382"/>
    <w:rsid w:val="0081337A"/>
    <w:rsid w:val="008146B0"/>
    <w:rsid w:val="00815FCD"/>
    <w:rsid w:val="008169A3"/>
    <w:rsid w:val="00820390"/>
    <w:rsid w:val="00821230"/>
    <w:rsid w:val="00821462"/>
    <w:rsid w:val="0082201D"/>
    <w:rsid w:val="00823ADA"/>
    <w:rsid w:val="00823EC5"/>
    <w:rsid w:val="0082415F"/>
    <w:rsid w:val="008275B9"/>
    <w:rsid w:val="0083113D"/>
    <w:rsid w:val="00831430"/>
    <w:rsid w:val="00834FF8"/>
    <w:rsid w:val="008352FF"/>
    <w:rsid w:val="00835E5B"/>
    <w:rsid w:val="00836796"/>
    <w:rsid w:val="00837E75"/>
    <w:rsid w:val="00840358"/>
    <w:rsid w:val="008435E8"/>
    <w:rsid w:val="00843EFE"/>
    <w:rsid w:val="0084537E"/>
    <w:rsid w:val="0084661C"/>
    <w:rsid w:val="00850EB6"/>
    <w:rsid w:val="008537A8"/>
    <w:rsid w:val="0085406E"/>
    <w:rsid w:val="008548C1"/>
    <w:rsid w:val="00854ADE"/>
    <w:rsid w:val="008558C1"/>
    <w:rsid w:val="00855B6C"/>
    <w:rsid w:val="00855BA4"/>
    <w:rsid w:val="0085633E"/>
    <w:rsid w:val="0085699C"/>
    <w:rsid w:val="008574EA"/>
    <w:rsid w:val="0085768E"/>
    <w:rsid w:val="0086032B"/>
    <w:rsid w:val="0086124B"/>
    <w:rsid w:val="00862719"/>
    <w:rsid w:val="00863310"/>
    <w:rsid w:val="00863933"/>
    <w:rsid w:val="008649DE"/>
    <w:rsid w:val="00864ADB"/>
    <w:rsid w:val="00864F46"/>
    <w:rsid w:val="00865D9D"/>
    <w:rsid w:val="008670C1"/>
    <w:rsid w:val="00870050"/>
    <w:rsid w:val="008701C8"/>
    <w:rsid w:val="008722B9"/>
    <w:rsid w:val="00876E07"/>
    <w:rsid w:val="00880903"/>
    <w:rsid w:val="00880AA2"/>
    <w:rsid w:val="0088194F"/>
    <w:rsid w:val="00882F8B"/>
    <w:rsid w:val="00883A20"/>
    <w:rsid w:val="008848A0"/>
    <w:rsid w:val="00886894"/>
    <w:rsid w:val="00886E48"/>
    <w:rsid w:val="00890477"/>
    <w:rsid w:val="00890610"/>
    <w:rsid w:val="00891312"/>
    <w:rsid w:val="008917FB"/>
    <w:rsid w:val="00891885"/>
    <w:rsid w:val="00893F25"/>
    <w:rsid w:val="00894E4A"/>
    <w:rsid w:val="008978D0"/>
    <w:rsid w:val="008A02F4"/>
    <w:rsid w:val="008A0AFA"/>
    <w:rsid w:val="008A238E"/>
    <w:rsid w:val="008A25E7"/>
    <w:rsid w:val="008A445B"/>
    <w:rsid w:val="008A4981"/>
    <w:rsid w:val="008A5A88"/>
    <w:rsid w:val="008A7A1C"/>
    <w:rsid w:val="008B312C"/>
    <w:rsid w:val="008B31E3"/>
    <w:rsid w:val="008B4ACD"/>
    <w:rsid w:val="008B76CC"/>
    <w:rsid w:val="008C06F8"/>
    <w:rsid w:val="008C0D47"/>
    <w:rsid w:val="008C17A3"/>
    <w:rsid w:val="008C2531"/>
    <w:rsid w:val="008C3972"/>
    <w:rsid w:val="008C3BDA"/>
    <w:rsid w:val="008C3BF7"/>
    <w:rsid w:val="008C6C8F"/>
    <w:rsid w:val="008C7536"/>
    <w:rsid w:val="008C7556"/>
    <w:rsid w:val="008C77ED"/>
    <w:rsid w:val="008D15AB"/>
    <w:rsid w:val="008D395E"/>
    <w:rsid w:val="008D4732"/>
    <w:rsid w:val="008D7473"/>
    <w:rsid w:val="008E05EB"/>
    <w:rsid w:val="008E238F"/>
    <w:rsid w:val="008E2F57"/>
    <w:rsid w:val="008E43A7"/>
    <w:rsid w:val="008E47CF"/>
    <w:rsid w:val="008E5284"/>
    <w:rsid w:val="008E6558"/>
    <w:rsid w:val="008F14BD"/>
    <w:rsid w:val="008F1651"/>
    <w:rsid w:val="008F3EDF"/>
    <w:rsid w:val="008F76F3"/>
    <w:rsid w:val="008F7F23"/>
    <w:rsid w:val="00900CD0"/>
    <w:rsid w:val="00901863"/>
    <w:rsid w:val="00906E60"/>
    <w:rsid w:val="00912131"/>
    <w:rsid w:val="009125A4"/>
    <w:rsid w:val="00912CCE"/>
    <w:rsid w:val="00916A72"/>
    <w:rsid w:val="00921FA6"/>
    <w:rsid w:val="00924A7D"/>
    <w:rsid w:val="00925950"/>
    <w:rsid w:val="009301C4"/>
    <w:rsid w:val="00930A4D"/>
    <w:rsid w:val="00931A6D"/>
    <w:rsid w:val="00933288"/>
    <w:rsid w:val="00933B27"/>
    <w:rsid w:val="00933E53"/>
    <w:rsid w:val="00934A2E"/>
    <w:rsid w:val="00936386"/>
    <w:rsid w:val="0093709C"/>
    <w:rsid w:val="0093751F"/>
    <w:rsid w:val="00937F89"/>
    <w:rsid w:val="00940584"/>
    <w:rsid w:val="009413EF"/>
    <w:rsid w:val="009416CA"/>
    <w:rsid w:val="009422D1"/>
    <w:rsid w:val="0094233F"/>
    <w:rsid w:val="009425FB"/>
    <w:rsid w:val="00944E93"/>
    <w:rsid w:val="00944F24"/>
    <w:rsid w:val="009460A8"/>
    <w:rsid w:val="009467C4"/>
    <w:rsid w:val="009505F8"/>
    <w:rsid w:val="009513D9"/>
    <w:rsid w:val="009534E2"/>
    <w:rsid w:val="00954733"/>
    <w:rsid w:val="009548A4"/>
    <w:rsid w:val="009549EC"/>
    <w:rsid w:val="00955749"/>
    <w:rsid w:val="00955907"/>
    <w:rsid w:val="00956D96"/>
    <w:rsid w:val="009608B9"/>
    <w:rsid w:val="00962396"/>
    <w:rsid w:val="00964713"/>
    <w:rsid w:val="00970BBD"/>
    <w:rsid w:val="0097152D"/>
    <w:rsid w:val="009731D2"/>
    <w:rsid w:val="009732B7"/>
    <w:rsid w:val="009742A6"/>
    <w:rsid w:val="009744E1"/>
    <w:rsid w:val="009769F2"/>
    <w:rsid w:val="00981538"/>
    <w:rsid w:val="00983C0F"/>
    <w:rsid w:val="00983E41"/>
    <w:rsid w:val="009874C4"/>
    <w:rsid w:val="00990A3F"/>
    <w:rsid w:val="00994094"/>
    <w:rsid w:val="00994296"/>
    <w:rsid w:val="00995EB9"/>
    <w:rsid w:val="00996C27"/>
    <w:rsid w:val="009978F8"/>
    <w:rsid w:val="009A0C4E"/>
    <w:rsid w:val="009A1909"/>
    <w:rsid w:val="009A20F8"/>
    <w:rsid w:val="009A3F9D"/>
    <w:rsid w:val="009A4046"/>
    <w:rsid w:val="009A40D1"/>
    <w:rsid w:val="009A6B38"/>
    <w:rsid w:val="009B165B"/>
    <w:rsid w:val="009B2B10"/>
    <w:rsid w:val="009B388D"/>
    <w:rsid w:val="009B3950"/>
    <w:rsid w:val="009B4C53"/>
    <w:rsid w:val="009B68D9"/>
    <w:rsid w:val="009B7945"/>
    <w:rsid w:val="009C0F4C"/>
    <w:rsid w:val="009C1899"/>
    <w:rsid w:val="009C221B"/>
    <w:rsid w:val="009C2FB4"/>
    <w:rsid w:val="009C3432"/>
    <w:rsid w:val="009C41C9"/>
    <w:rsid w:val="009C55E3"/>
    <w:rsid w:val="009C5668"/>
    <w:rsid w:val="009C6611"/>
    <w:rsid w:val="009D15ED"/>
    <w:rsid w:val="009D26A5"/>
    <w:rsid w:val="009D3326"/>
    <w:rsid w:val="009D4085"/>
    <w:rsid w:val="009D4DBD"/>
    <w:rsid w:val="009D701E"/>
    <w:rsid w:val="009E1B70"/>
    <w:rsid w:val="009E1C9F"/>
    <w:rsid w:val="009E6CF9"/>
    <w:rsid w:val="009E7C6C"/>
    <w:rsid w:val="009F012E"/>
    <w:rsid w:val="009F229D"/>
    <w:rsid w:val="009F262A"/>
    <w:rsid w:val="009F2750"/>
    <w:rsid w:val="009F2E34"/>
    <w:rsid w:val="009F301E"/>
    <w:rsid w:val="009F3DA5"/>
    <w:rsid w:val="009F48B6"/>
    <w:rsid w:val="009F4995"/>
    <w:rsid w:val="009F4CFB"/>
    <w:rsid w:val="009F717A"/>
    <w:rsid w:val="00A00D4B"/>
    <w:rsid w:val="00A00DAF"/>
    <w:rsid w:val="00A0114E"/>
    <w:rsid w:val="00A0236E"/>
    <w:rsid w:val="00A034EA"/>
    <w:rsid w:val="00A03E59"/>
    <w:rsid w:val="00A04077"/>
    <w:rsid w:val="00A04672"/>
    <w:rsid w:val="00A04C77"/>
    <w:rsid w:val="00A05816"/>
    <w:rsid w:val="00A05B29"/>
    <w:rsid w:val="00A1187D"/>
    <w:rsid w:val="00A11F01"/>
    <w:rsid w:val="00A1366E"/>
    <w:rsid w:val="00A13680"/>
    <w:rsid w:val="00A14FAD"/>
    <w:rsid w:val="00A158BE"/>
    <w:rsid w:val="00A15B43"/>
    <w:rsid w:val="00A15F61"/>
    <w:rsid w:val="00A164D5"/>
    <w:rsid w:val="00A210CD"/>
    <w:rsid w:val="00A217D4"/>
    <w:rsid w:val="00A21DFF"/>
    <w:rsid w:val="00A2266C"/>
    <w:rsid w:val="00A22C04"/>
    <w:rsid w:val="00A2574E"/>
    <w:rsid w:val="00A25937"/>
    <w:rsid w:val="00A27114"/>
    <w:rsid w:val="00A27B18"/>
    <w:rsid w:val="00A3004C"/>
    <w:rsid w:val="00A31862"/>
    <w:rsid w:val="00A31B2B"/>
    <w:rsid w:val="00A3488A"/>
    <w:rsid w:val="00A34BDD"/>
    <w:rsid w:val="00A35228"/>
    <w:rsid w:val="00A36A4B"/>
    <w:rsid w:val="00A37007"/>
    <w:rsid w:val="00A40F18"/>
    <w:rsid w:val="00A41203"/>
    <w:rsid w:val="00A42836"/>
    <w:rsid w:val="00A42C73"/>
    <w:rsid w:val="00A4358D"/>
    <w:rsid w:val="00A4446F"/>
    <w:rsid w:val="00A4449F"/>
    <w:rsid w:val="00A46244"/>
    <w:rsid w:val="00A50A10"/>
    <w:rsid w:val="00A53544"/>
    <w:rsid w:val="00A554DF"/>
    <w:rsid w:val="00A579EC"/>
    <w:rsid w:val="00A57D96"/>
    <w:rsid w:val="00A60321"/>
    <w:rsid w:val="00A60B6F"/>
    <w:rsid w:val="00A61CCD"/>
    <w:rsid w:val="00A652B1"/>
    <w:rsid w:val="00A673BD"/>
    <w:rsid w:val="00A70150"/>
    <w:rsid w:val="00A72058"/>
    <w:rsid w:val="00A73363"/>
    <w:rsid w:val="00A753AB"/>
    <w:rsid w:val="00A75A0E"/>
    <w:rsid w:val="00A80E4E"/>
    <w:rsid w:val="00A82218"/>
    <w:rsid w:val="00A84E84"/>
    <w:rsid w:val="00A85DE3"/>
    <w:rsid w:val="00A86467"/>
    <w:rsid w:val="00A87337"/>
    <w:rsid w:val="00A90ECF"/>
    <w:rsid w:val="00A9141E"/>
    <w:rsid w:val="00A91CB1"/>
    <w:rsid w:val="00A922E7"/>
    <w:rsid w:val="00A93509"/>
    <w:rsid w:val="00A94438"/>
    <w:rsid w:val="00AA45AD"/>
    <w:rsid w:val="00AA52E8"/>
    <w:rsid w:val="00AA64D1"/>
    <w:rsid w:val="00AA7FF9"/>
    <w:rsid w:val="00AB290A"/>
    <w:rsid w:val="00AB4ED2"/>
    <w:rsid w:val="00AB67AE"/>
    <w:rsid w:val="00AB6B70"/>
    <w:rsid w:val="00AB735A"/>
    <w:rsid w:val="00AB7B77"/>
    <w:rsid w:val="00AC4859"/>
    <w:rsid w:val="00AC4C57"/>
    <w:rsid w:val="00AC79BE"/>
    <w:rsid w:val="00AD18F1"/>
    <w:rsid w:val="00AD47FB"/>
    <w:rsid w:val="00AD5661"/>
    <w:rsid w:val="00AD60E1"/>
    <w:rsid w:val="00AD75B0"/>
    <w:rsid w:val="00AE0A27"/>
    <w:rsid w:val="00AE14AB"/>
    <w:rsid w:val="00AE1D96"/>
    <w:rsid w:val="00AE39A8"/>
    <w:rsid w:val="00AE4661"/>
    <w:rsid w:val="00AE4803"/>
    <w:rsid w:val="00AE4A80"/>
    <w:rsid w:val="00AE675D"/>
    <w:rsid w:val="00AE6F8F"/>
    <w:rsid w:val="00AE7061"/>
    <w:rsid w:val="00AF013A"/>
    <w:rsid w:val="00AF036F"/>
    <w:rsid w:val="00AF04CF"/>
    <w:rsid w:val="00AF0739"/>
    <w:rsid w:val="00AF19C6"/>
    <w:rsid w:val="00AF3391"/>
    <w:rsid w:val="00AF4437"/>
    <w:rsid w:val="00AF6CF6"/>
    <w:rsid w:val="00AF77CA"/>
    <w:rsid w:val="00AF7DF7"/>
    <w:rsid w:val="00B00B20"/>
    <w:rsid w:val="00B00C08"/>
    <w:rsid w:val="00B04BBE"/>
    <w:rsid w:val="00B05962"/>
    <w:rsid w:val="00B07DCC"/>
    <w:rsid w:val="00B101E6"/>
    <w:rsid w:val="00B16EBD"/>
    <w:rsid w:val="00B16FF5"/>
    <w:rsid w:val="00B17E5A"/>
    <w:rsid w:val="00B209BA"/>
    <w:rsid w:val="00B20C0C"/>
    <w:rsid w:val="00B222EC"/>
    <w:rsid w:val="00B24F3A"/>
    <w:rsid w:val="00B3161E"/>
    <w:rsid w:val="00B3211C"/>
    <w:rsid w:val="00B32E0D"/>
    <w:rsid w:val="00B34055"/>
    <w:rsid w:val="00B347CC"/>
    <w:rsid w:val="00B364FB"/>
    <w:rsid w:val="00B36C73"/>
    <w:rsid w:val="00B37DCE"/>
    <w:rsid w:val="00B37E63"/>
    <w:rsid w:val="00B41264"/>
    <w:rsid w:val="00B42AF2"/>
    <w:rsid w:val="00B44973"/>
    <w:rsid w:val="00B45BFB"/>
    <w:rsid w:val="00B47800"/>
    <w:rsid w:val="00B5002A"/>
    <w:rsid w:val="00B5079F"/>
    <w:rsid w:val="00B50DAD"/>
    <w:rsid w:val="00B52F2C"/>
    <w:rsid w:val="00B53988"/>
    <w:rsid w:val="00B53C87"/>
    <w:rsid w:val="00B56346"/>
    <w:rsid w:val="00B600EA"/>
    <w:rsid w:val="00B615FF"/>
    <w:rsid w:val="00B61A2A"/>
    <w:rsid w:val="00B65DF2"/>
    <w:rsid w:val="00B66261"/>
    <w:rsid w:val="00B66E74"/>
    <w:rsid w:val="00B66F6D"/>
    <w:rsid w:val="00B70DBC"/>
    <w:rsid w:val="00B724EB"/>
    <w:rsid w:val="00B74216"/>
    <w:rsid w:val="00B743FD"/>
    <w:rsid w:val="00B751CB"/>
    <w:rsid w:val="00B7691A"/>
    <w:rsid w:val="00B773DC"/>
    <w:rsid w:val="00B7761A"/>
    <w:rsid w:val="00B77FD5"/>
    <w:rsid w:val="00B818E8"/>
    <w:rsid w:val="00B81EAD"/>
    <w:rsid w:val="00B829A3"/>
    <w:rsid w:val="00B82DB8"/>
    <w:rsid w:val="00B869C3"/>
    <w:rsid w:val="00B87902"/>
    <w:rsid w:val="00B87E70"/>
    <w:rsid w:val="00B92281"/>
    <w:rsid w:val="00B93198"/>
    <w:rsid w:val="00B93E1E"/>
    <w:rsid w:val="00B94A34"/>
    <w:rsid w:val="00B95EBC"/>
    <w:rsid w:val="00B96839"/>
    <w:rsid w:val="00BA01EF"/>
    <w:rsid w:val="00BA2575"/>
    <w:rsid w:val="00BA27BE"/>
    <w:rsid w:val="00BA2B85"/>
    <w:rsid w:val="00BA567B"/>
    <w:rsid w:val="00BA582D"/>
    <w:rsid w:val="00BA65AA"/>
    <w:rsid w:val="00BA73FF"/>
    <w:rsid w:val="00BA76EF"/>
    <w:rsid w:val="00BA7877"/>
    <w:rsid w:val="00BB123C"/>
    <w:rsid w:val="00BB3489"/>
    <w:rsid w:val="00BB402B"/>
    <w:rsid w:val="00BB5ED5"/>
    <w:rsid w:val="00BB7195"/>
    <w:rsid w:val="00BB7536"/>
    <w:rsid w:val="00BC00F7"/>
    <w:rsid w:val="00BC3EB0"/>
    <w:rsid w:val="00BC79CA"/>
    <w:rsid w:val="00BD0307"/>
    <w:rsid w:val="00BD0824"/>
    <w:rsid w:val="00BD2AE6"/>
    <w:rsid w:val="00BD724F"/>
    <w:rsid w:val="00BD7FDE"/>
    <w:rsid w:val="00BE17B4"/>
    <w:rsid w:val="00BE18DD"/>
    <w:rsid w:val="00BE198E"/>
    <w:rsid w:val="00BE1A7A"/>
    <w:rsid w:val="00BE3F01"/>
    <w:rsid w:val="00BE4CF7"/>
    <w:rsid w:val="00BE4DA3"/>
    <w:rsid w:val="00BE50EE"/>
    <w:rsid w:val="00BE5E68"/>
    <w:rsid w:val="00BE60EA"/>
    <w:rsid w:val="00BE6EAF"/>
    <w:rsid w:val="00BF1FC6"/>
    <w:rsid w:val="00BF2767"/>
    <w:rsid w:val="00BF2DBD"/>
    <w:rsid w:val="00BF3CE9"/>
    <w:rsid w:val="00BF43A2"/>
    <w:rsid w:val="00BF4BBE"/>
    <w:rsid w:val="00BF537C"/>
    <w:rsid w:val="00BF7CD9"/>
    <w:rsid w:val="00C00DA0"/>
    <w:rsid w:val="00C00DB6"/>
    <w:rsid w:val="00C033D7"/>
    <w:rsid w:val="00C04052"/>
    <w:rsid w:val="00C04455"/>
    <w:rsid w:val="00C0505B"/>
    <w:rsid w:val="00C061E0"/>
    <w:rsid w:val="00C11571"/>
    <w:rsid w:val="00C125B5"/>
    <w:rsid w:val="00C12822"/>
    <w:rsid w:val="00C12CDE"/>
    <w:rsid w:val="00C16161"/>
    <w:rsid w:val="00C213AD"/>
    <w:rsid w:val="00C227CA"/>
    <w:rsid w:val="00C23449"/>
    <w:rsid w:val="00C23C2C"/>
    <w:rsid w:val="00C2484E"/>
    <w:rsid w:val="00C2565F"/>
    <w:rsid w:val="00C25EE6"/>
    <w:rsid w:val="00C26105"/>
    <w:rsid w:val="00C26952"/>
    <w:rsid w:val="00C27B78"/>
    <w:rsid w:val="00C374E4"/>
    <w:rsid w:val="00C40D74"/>
    <w:rsid w:val="00C441EE"/>
    <w:rsid w:val="00C460FF"/>
    <w:rsid w:val="00C50D00"/>
    <w:rsid w:val="00C52FBC"/>
    <w:rsid w:val="00C550F2"/>
    <w:rsid w:val="00C62830"/>
    <w:rsid w:val="00C6291B"/>
    <w:rsid w:val="00C62CF9"/>
    <w:rsid w:val="00C6323B"/>
    <w:rsid w:val="00C63678"/>
    <w:rsid w:val="00C65800"/>
    <w:rsid w:val="00C666A2"/>
    <w:rsid w:val="00C667C6"/>
    <w:rsid w:val="00C66E9E"/>
    <w:rsid w:val="00C678F5"/>
    <w:rsid w:val="00C67E63"/>
    <w:rsid w:val="00C705A5"/>
    <w:rsid w:val="00C7142A"/>
    <w:rsid w:val="00C71712"/>
    <w:rsid w:val="00C71E57"/>
    <w:rsid w:val="00C75506"/>
    <w:rsid w:val="00C77A7B"/>
    <w:rsid w:val="00C8068F"/>
    <w:rsid w:val="00C83AD0"/>
    <w:rsid w:val="00C83B03"/>
    <w:rsid w:val="00C85C4D"/>
    <w:rsid w:val="00C86C35"/>
    <w:rsid w:val="00C87383"/>
    <w:rsid w:val="00C873AB"/>
    <w:rsid w:val="00C87B86"/>
    <w:rsid w:val="00C90D3A"/>
    <w:rsid w:val="00C91644"/>
    <w:rsid w:val="00C919F2"/>
    <w:rsid w:val="00C93289"/>
    <w:rsid w:val="00C93747"/>
    <w:rsid w:val="00C93F1A"/>
    <w:rsid w:val="00C97315"/>
    <w:rsid w:val="00C97E98"/>
    <w:rsid w:val="00CA197C"/>
    <w:rsid w:val="00CA1B89"/>
    <w:rsid w:val="00CA3D97"/>
    <w:rsid w:val="00CA58A9"/>
    <w:rsid w:val="00CA59CB"/>
    <w:rsid w:val="00CA79F7"/>
    <w:rsid w:val="00CB1185"/>
    <w:rsid w:val="00CB15E9"/>
    <w:rsid w:val="00CB26A0"/>
    <w:rsid w:val="00CB29FA"/>
    <w:rsid w:val="00CB30E2"/>
    <w:rsid w:val="00CB4079"/>
    <w:rsid w:val="00CB44CA"/>
    <w:rsid w:val="00CC0A53"/>
    <w:rsid w:val="00CC2791"/>
    <w:rsid w:val="00CC4888"/>
    <w:rsid w:val="00CC52DD"/>
    <w:rsid w:val="00CD0383"/>
    <w:rsid w:val="00CD0774"/>
    <w:rsid w:val="00CD0AA1"/>
    <w:rsid w:val="00CD1754"/>
    <w:rsid w:val="00CD224E"/>
    <w:rsid w:val="00CD3C73"/>
    <w:rsid w:val="00CD7987"/>
    <w:rsid w:val="00CE037D"/>
    <w:rsid w:val="00CE03F0"/>
    <w:rsid w:val="00CE334F"/>
    <w:rsid w:val="00CE337D"/>
    <w:rsid w:val="00CE38D3"/>
    <w:rsid w:val="00CE4E52"/>
    <w:rsid w:val="00CE4F96"/>
    <w:rsid w:val="00CE505E"/>
    <w:rsid w:val="00CE58AB"/>
    <w:rsid w:val="00CE5CE7"/>
    <w:rsid w:val="00CE657E"/>
    <w:rsid w:val="00CF01B9"/>
    <w:rsid w:val="00CF0D9D"/>
    <w:rsid w:val="00CF18E2"/>
    <w:rsid w:val="00CF1941"/>
    <w:rsid w:val="00CF1991"/>
    <w:rsid w:val="00CF3666"/>
    <w:rsid w:val="00D003CA"/>
    <w:rsid w:val="00D00EA3"/>
    <w:rsid w:val="00D01B68"/>
    <w:rsid w:val="00D034FC"/>
    <w:rsid w:val="00D03A05"/>
    <w:rsid w:val="00D05360"/>
    <w:rsid w:val="00D06015"/>
    <w:rsid w:val="00D0643E"/>
    <w:rsid w:val="00D0667E"/>
    <w:rsid w:val="00D078AC"/>
    <w:rsid w:val="00D07AC8"/>
    <w:rsid w:val="00D1030D"/>
    <w:rsid w:val="00D111D7"/>
    <w:rsid w:val="00D13FFD"/>
    <w:rsid w:val="00D14C06"/>
    <w:rsid w:val="00D1580D"/>
    <w:rsid w:val="00D16CDD"/>
    <w:rsid w:val="00D1768D"/>
    <w:rsid w:val="00D2054F"/>
    <w:rsid w:val="00D20A67"/>
    <w:rsid w:val="00D20AF1"/>
    <w:rsid w:val="00D23015"/>
    <w:rsid w:val="00D238C8"/>
    <w:rsid w:val="00D23DDC"/>
    <w:rsid w:val="00D24A39"/>
    <w:rsid w:val="00D24C82"/>
    <w:rsid w:val="00D30348"/>
    <w:rsid w:val="00D309FD"/>
    <w:rsid w:val="00D317A6"/>
    <w:rsid w:val="00D322A0"/>
    <w:rsid w:val="00D32FA2"/>
    <w:rsid w:val="00D3377F"/>
    <w:rsid w:val="00D35938"/>
    <w:rsid w:val="00D36544"/>
    <w:rsid w:val="00D42BC6"/>
    <w:rsid w:val="00D43286"/>
    <w:rsid w:val="00D448E7"/>
    <w:rsid w:val="00D44B09"/>
    <w:rsid w:val="00D464C6"/>
    <w:rsid w:val="00D467F9"/>
    <w:rsid w:val="00D472F2"/>
    <w:rsid w:val="00D529E1"/>
    <w:rsid w:val="00D53459"/>
    <w:rsid w:val="00D534B8"/>
    <w:rsid w:val="00D56BD7"/>
    <w:rsid w:val="00D575A7"/>
    <w:rsid w:val="00D57CE7"/>
    <w:rsid w:val="00D60D0C"/>
    <w:rsid w:val="00D610B8"/>
    <w:rsid w:val="00D62AD7"/>
    <w:rsid w:val="00D6419A"/>
    <w:rsid w:val="00D64744"/>
    <w:rsid w:val="00D653D8"/>
    <w:rsid w:val="00D65E73"/>
    <w:rsid w:val="00D70269"/>
    <w:rsid w:val="00D70691"/>
    <w:rsid w:val="00D7308A"/>
    <w:rsid w:val="00D74411"/>
    <w:rsid w:val="00D7556E"/>
    <w:rsid w:val="00D76472"/>
    <w:rsid w:val="00D76882"/>
    <w:rsid w:val="00D8006B"/>
    <w:rsid w:val="00D80805"/>
    <w:rsid w:val="00D84474"/>
    <w:rsid w:val="00D85BEA"/>
    <w:rsid w:val="00D87803"/>
    <w:rsid w:val="00D902CF"/>
    <w:rsid w:val="00D91386"/>
    <w:rsid w:val="00D91B5D"/>
    <w:rsid w:val="00D93A5E"/>
    <w:rsid w:val="00DA0929"/>
    <w:rsid w:val="00DA0E73"/>
    <w:rsid w:val="00DA1829"/>
    <w:rsid w:val="00DA2558"/>
    <w:rsid w:val="00DA266C"/>
    <w:rsid w:val="00DA2E87"/>
    <w:rsid w:val="00DA31C5"/>
    <w:rsid w:val="00DA3AFD"/>
    <w:rsid w:val="00DA426C"/>
    <w:rsid w:val="00DA47F0"/>
    <w:rsid w:val="00DA4E1C"/>
    <w:rsid w:val="00DB4904"/>
    <w:rsid w:val="00DC1889"/>
    <w:rsid w:val="00DC1DE6"/>
    <w:rsid w:val="00DC21A8"/>
    <w:rsid w:val="00DC2A76"/>
    <w:rsid w:val="00DC3AB7"/>
    <w:rsid w:val="00DC3CB7"/>
    <w:rsid w:val="00DC5DE1"/>
    <w:rsid w:val="00DC643B"/>
    <w:rsid w:val="00DD0488"/>
    <w:rsid w:val="00DD2514"/>
    <w:rsid w:val="00DD4317"/>
    <w:rsid w:val="00DD55E0"/>
    <w:rsid w:val="00DD60E8"/>
    <w:rsid w:val="00DD6B65"/>
    <w:rsid w:val="00DD78B2"/>
    <w:rsid w:val="00DD7A45"/>
    <w:rsid w:val="00DE017D"/>
    <w:rsid w:val="00DE1B9D"/>
    <w:rsid w:val="00DE38D3"/>
    <w:rsid w:val="00DE58D7"/>
    <w:rsid w:val="00DE5936"/>
    <w:rsid w:val="00DE7DDA"/>
    <w:rsid w:val="00DF1E51"/>
    <w:rsid w:val="00DF69E3"/>
    <w:rsid w:val="00E014A2"/>
    <w:rsid w:val="00E01614"/>
    <w:rsid w:val="00E04894"/>
    <w:rsid w:val="00E06CD3"/>
    <w:rsid w:val="00E107B8"/>
    <w:rsid w:val="00E125EC"/>
    <w:rsid w:val="00E13EAE"/>
    <w:rsid w:val="00E14019"/>
    <w:rsid w:val="00E15784"/>
    <w:rsid w:val="00E161AC"/>
    <w:rsid w:val="00E161D2"/>
    <w:rsid w:val="00E16B9D"/>
    <w:rsid w:val="00E174E1"/>
    <w:rsid w:val="00E17BAE"/>
    <w:rsid w:val="00E2003C"/>
    <w:rsid w:val="00E20490"/>
    <w:rsid w:val="00E20E3B"/>
    <w:rsid w:val="00E27473"/>
    <w:rsid w:val="00E31525"/>
    <w:rsid w:val="00E32253"/>
    <w:rsid w:val="00E329A5"/>
    <w:rsid w:val="00E3407E"/>
    <w:rsid w:val="00E34348"/>
    <w:rsid w:val="00E403CB"/>
    <w:rsid w:val="00E40680"/>
    <w:rsid w:val="00E4157C"/>
    <w:rsid w:val="00E42113"/>
    <w:rsid w:val="00E42829"/>
    <w:rsid w:val="00E438A2"/>
    <w:rsid w:val="00E43E8F"/>
    <w:rsid w:val="00E445D9"/>
    <w:rsid w:val="00E4564F"/>
    <w:rsid w:val="00E465D9"/>
    <w:rsid w:val="00E46A58"/>
    <w:rsid w:val="00E51B53"/>
    <w:rsid w:val="00E542E0"/>
    <w:rsid w:val="00E551A6"/>
    <w:rsid w:val="00E55845"/>
    <w:rsid w:val="00E57707"/>
    <w:rsid w:val="00E57727"/>
    <w:rsid w:val="00E606C2"/>
    <w:rsid w:val="00E60B99"/>
    <w:rsid w:val="00E610D0"/>
    <w:rsid w:val="00E6254A"/>
    <w:rsid w:val="00E6311E"/>
    <w:rsid w:val="00E63437"/>
    <w:rsid w:val="00E65CC8"/>
    <w:rsid w:val="00E672C0"/>
    <w:rsid w:val="00E71B97"/>
    <w:rsid w:val="00E71C2E"/>
    <w:rsid w:val="00E71E7C"/>
    <w:rsid w:val="00E7229F"/>
    <w:rsid w:val="00E753A5"/>
    <w:rsid w:val="00E76CA9"/>
    <w:rsid w:val="00E77392"/>
    <w:rsid w:val="00E77A76"/>
    <w:rsid w:val="00E813F0"/>
    <w:rsid w:val="00E81EAE"/>
    <w:rsid w:val="00E91A71"/>
    <w:rsid w:val="00E91CEC"/>
    <w:rsid w:val="00E92213"/>
    <w:rsid w:val="00E9282D"/>
    <w:rsid w:val="00E93DAC"/>
    <w:rsid w:val="00E952FA"/>
    <w:rsid w:val="00E95E3F"/>
    <w:rsid w:val="00E95F51"/>
    <w:rsid w:val="00E95FA0"/>
    <w:rsid w:val="00E96D67"/>
    <w:rsid w:val="00EA059F"/>
    <w:rsid w:val="00EA0ECD"/>
    <w:rsid w:val="00EA1166"/>
    <w:rsid w:val="00EA1E65"/>
    <w:rsid w:val="00EA293D"/>
    <w:rsid w:val="00EA3E59"/>
    <w:rsid w:val="00EA41E2"/>
    <w:rsid w:val="00EA445E"/>
    <w:rsid w:val="00EA56B5"/>
    <w:rsid w:val="00EA5E5C"/>
    <w:rsid w:val="00EA7E4B"/>
    <w:rsid w:val="00EB1529"/>
    <w:rsid w:val="00EB1CA9"/>
    <w:rsid w:val="00EB362D"/>
    <w:rsid w:val="00EB4195"/>
    <w:rsid w:val="00EB4B2B"/>
    <w:rsid w:val="00EB674A"/>
    <w:rsid w:val="00EB6B6E"/>
    <w:rsid w:val="00EC149E"/>
    <w:rsid w:val="00EC17E1"/>
    <w:rsid w:val="00EC1B3F"/>
    <w:rsid w:val="00EC292E"/>
    <w:rsid w:val="00EC2A5A"/>
    <w:rsid w:val="00EC2F39"/>
    <w:rsid w:val="00EC33D1"/>
    <w:rsid w:val="00EC4314"/>
    <w:rsid w:val="00EC6D68"/>
    <w:rsid w:val="00ED053A"/>
    <w:rsid w:val="00ED1016"/>
    <w:rsid w:val="00ED10B8"/>
    <w:rsid w:val="00ED2A14"/>
    <w:rsid w:val="00ED37AC"/>
    <w:rsid w:val="00ED44B0"/>
    <w:rsid w:val="00ED5762"/>
    <w:rsid w:val="00ED6918"/>
    <w:rsid w:val="00ED6C19"/>
    <w:rsid w:val="00ED7437"/>
    <w:rsid w:val="00EE08F5"/>
    <w:rsid w:val="00EE0CBE"/>
    <w:rsid w:val="00EE1E4E"/>
    <w:rsid w:val="00EE5BCB"/>
    <w:rsid w:val="00EE7EF8"/>
    <w:rsid w:val="00EF02B5"/>
    <w:rsid w:val="00EF22DD"/>
    <w:rsid w:val="00EF3650"/>
    <w:rsid w:val="00EF5B98"/>
    <w:rsid w:val="00EF73F0"/>
    <w:rsid w:val="00EF79B4"/>
    <w:rsid w:val="00F0071F"/>
    <w:rsid w:val="00F008C6"/>
    <w:rsid w:val="00F00C3D"/>
    <w:rsid w:val="00F029CF"/>
    <w:rsid w:val="00F0446A"/>
    <w:rsid w:val="00F1068F"/>
    <w:rsid w:val="00F10CC5"/>
    <w:rsid w:val="00F1261F"/>
    <w:rsid w:val="00F14C79"/>
    <w:rsid w:val="00F14E49"/>
    <w:rsid w:val="00F15666"/>
    <w:rsid w:val="00F21A07"/>
    <w:rsid w:val="00F223EE"/>
    <w:rsid w:val="00F238AA"/>
    <w:rsid w:val="00F23954"/>
    <w:rsid w:val="00F245A1"/>
    <w:rsid w:val="00F24983"/>
    <w:rsid w:val="00F25292"/>
    <w:rsid w:val="00F30801"/>
    <w:rsid w:val="00F33525"/>
    <w:rsid w:val="00F33E53"/>
    <w:rsid w:val="00F34526"/>
    <w:rsid w:val="00F3507C"/>
    <w:rsid w:val="00F35DC2"/>
    <w:rsid w:val="00F4008F"/>
    <w:rsid w:val="00F42571"/>
    <w:rsid w:val="00F436FE"/>
    <w:rsid w:val="00F46118"/>
    <w:rsid w:val="00F50F1C"/>
    <w:rsid w:val="00F51B94"/>
    <w:rsid w:val="00F52A31"/>
    <w:rsid w:val="00F53CF2"/>
    <w:rsid w:val="00F544ED"/>
    <w:rsid w:val="00F63A8E"/>
    <w:rsid w:val="00F6440B"/>
    <w:rsid w:val="00F65491"/>
    <w:rsid w:val="00F71763"/>
    <w:rsid w:val="00F71E91"/>
    <w:rsid w:val="00F72E84"/>
    <w:rsid w:val="00F74537"/>
    <w:rsid w:val="00F80F7A"/>
    <w:rsid w:val="00F81641"/>
    <w:rsid w:val="00F82575"/>
    <w:rsid w:val="00F85670"/>
    <w:rsid w:val="00F8588A"/>
    <w:rsid w:val="00F85D7A"/>
    <w:rsid w:val="00F92796"/>
    <w:rsid w:val="00F94D47"/>
    <w:rsid w:val="00F96185"/>
    <w:rsid w:val="00F970B3"/>
    <w:rsid w:val="00FA3291"/>
    <w:rsid w:val="00FA3A47"/>
    <w:rsid w:val="00FA4306"/>
    <w:rsid w:val="00FA4AF8"/>
    <w:rsid w:val="00FA4BA7"/>
    <w:rsid w:val="00FA7E79"/>
    <w:rsid w:val="00FB0B40"/>
    <w:rsid w:val="00FB1CDC"/>
    <w:rsid w:val="00FB23F9"/>
    <w:rsid w:val="00FB52DC"/>
    <w:rsid w:val="00FB58EE"/>
    <w:rsid w:val="00FB6532"/>
    <w:rsid w:val="00FB6660"/>
    <w:rsid w:val="00FC0574"/>
    <w:rsid w:val="00FC07E1"/>
    <w:rsid w:val="00FC2CD3"/>
    <w:rsid w:val="00FC4CFB"/>
    <w:rsid w:val="00FC50D5"/>
    <w:rsid w:val="00FC51B7"/>
    <w:rsid w:val="00FC56D7"/>
    <w:rsid w:val="00FC6082"/>
    <w:rsid w:val="00FC677A"/>
    <w:rsid w:val="00FC679B"/>
    <w:rsid w:val="00FC7145"/>
    <w:rsid w:val="00FC79FC"/>
    <w:rsid w:val="00FC7C75"/>
    <w:rsid w:val="00FD0778"/>
    <w:rsid w:val="00FD1E93"/>
    <w:rsid w:val="00FD392B"/>
    <w:rsid w:val="00FD7C99"/>
    <w:rsid w:val="00FE00C9"/>
    <w:rsid w:val="00FE291A"/>
    <w:rsid w:val="00FE2B5A"/>
    <w:rsid w:val="00FE61A4"/>
    <w:rsid w:val="00FE73F9"/>
    <w:rsid w:val="00FE75E7"/>
    <w:rsid w:val="00FF1574"/>
    <w:rsid w:val="00FF19B4"/>
    <w:rsid w:val="00FF24F5"/>
    <w:rsid w:val="00FF4769"/>
    <w:rsid w:val="00FF6431"/>
    <w:rsid w:val="00FF78A5"/>
    <w:rsid w:val="14429A1B"/>
    <w:rsid w:val="22860741"/>
    <w:rsid w:val="2B4A47E0"/>
    <w:rsid w:val="395FCC8F"/>
    <w:rsid w:val="3E335585"/>
    <w:rsid w:val="4D7B1C75"/>
    <w:rsid w:val="608EC16D"/>
    <w:rsid w:val="6B2EEF16"/>
    <w:rsid w:val="6BF56CAD"/>
    <w:rsid w:val="751A9598"/>
    <w:rsid w:val="7AD6FBA1"/>
    <w:rsid w:val="7F5DF6C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E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AE"/>
    <w:pPr>
      <w:widowControl w:val="0"/>
    </w:pPr>
    <w:rPr>
      <w:snapToGrid w:val="0"/>
      <w:kern w:val="28"/>
      <w:sz w:val="22"/>
    </w:rPr>
  </w:style>
  <w:style w:type="paragraph" w:styleId="Heading1">
    <w:name w:val="heading 1"/>
    <w:basedOn w:val="Normal"/>
    <w:next w:val="ParaNum"/>
    <w:qFormat/>
    <w:rsid w:val="00680DA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80DAE"/>
    <w:pPr>
      <w:keepNext/>
      <w:numPr>
        <w:ilvl w:val="1"/>
        <w:numId w:val="1"/>
      </w:numPr>
      <w:spacing w:after="120"/>
      <w:outlineLvl w:val="1"/>
    </w:pPr>
    <w:rPr>
      <w:b/>
    </w:rPr>
  </w:style>
  <w:style w:type="paragraph" w:styleId="Heading3">
    <w:name w:val="heading 3"/>
    <w:basedOn w:val="Normal"/>
    <w:next w:val="ParaNum"/>
    <w:qFormat/>
    <w:rsid w:val="00680DAE"/>
    <w:pPr>
      <w:keepNext/>
      <w:numPr>
        <w:ilvl w:val="2"/>
        <w:numId w:val="1"/>
      </w:numPr>
      <w:tabs>
        <w:tab w:val="left" w:pos="2160"/>
      </w:tabs>
      <w:spacing w:after="120"/>
      <w:outlineLvl w:val="2"/>
    </w:pPr>
    <w:rPr>
      <w:b/>
    </w:rPr>
  </w:style>
  <w:style w:type="paragraph" w:styleId="Heading4">
    <w:name w:val="heading 4"/>
    <w:basedOn w:val="Normal"/>
    <w:next w:val="ParaNum"/>
    <w:qFormat/>
    <w:rsid w:val="00680DAE"/>
    <w:pPr>
      <w:keepNext/>
      <w:numPr>
        <w:ilvl w:val="3"/>
        <w:numId w:val="1"/>
      </w:numPr>
      <w:tabs>
        <w:tab w:val="left" w:pos="2880"/>
      </w:tabs>
      <w:spacing w:after="120"/>
      <w:outlineLvl w:val="3"/>
    </w:pPr>
    <w:rPr>
      <w:b/>
    </w:rPr>
  </w:style>
  <w:style w:type="paragraph" w:styleId="Heading5">
    <w:name w:val="heading 5"/>
    <w:basedOn w:val="Normal"/>
    <w:next w:val="ParaNum"/>
    <w:qFormat/>
    <w:rsid w:val="00680DAE"/>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680DAE"/>
    <w:pPr>
      <w:numPr>
        <w:ilvl w:val="5"/>
        <w:numId w:val="1"/>
      </w:numPr>
      <w:tabs>
        <w:tab w:val="left" w:pos="4320"/>
      </w:tabs>
      <w:spacing w:after="120"/>
      <w:outlineLvl w:val="5"/>
    </w:pPr>
    <w:rPr>
      <w:b/>
    </w:rPr>
  </w:style>
  <w:style w:type="paragraph" w:styleId="Heading7">
    <w:name w:val="heading 7"/>
    <w:basedOn w:val="Normal"/>
    <w:next w:val="ParaNum"/>
    <w:qFormat/>
    <w:rsid w:val="00680DA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680DAE"/>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680DA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0D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0DA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680DAE"/>
    <w:pPr>
      <w:numPr>
        <w:numId w:val="2"/>
      </w:numPr>
      <w:tabs>
        <w:tab w:val="clear" w:pos="1080"/>
        <w:tab w:val="num" w:pos="1440"/>
      </w:tabs>
      <w:spacing w:after="120"/>
    </w:pPr>
  </w:style>
  <w:style w:type="paragraph" w:styleId="FootnoteText">
    <w:name w:val="footnote text"/>
    <w:aliases w:val="Footnote Text Char Char,Footnote Text Char Char Char1 Char Char Char Char1,Footnote Text Char2,Footnote Text Char2 Char Char,Footnote Text Char2 Char Char Char Char1,Footnote Text Char3,Footnote Text Char3 Char Char Char1,f,fn,fn Char,ft"/>
    <w:link w:val="FootnoteTextChar"/>
    <w:rsid w:val="00680DAE"/>
    <w:pPr>
      <w:spacing w:after="120"/>
    </w:pPr>
  </w:style>
  <w:style w:type="paragraph" w:customStyle="1" w:styleId="Bullet">
    <w:name w:val="Bullet"/>
    <w:basedOn w:val="Normal"/>
    <w:rsid w:val="00680DAE"/>
    <w:pPr>
      <w:tabs>
        <w:tab w:val="left" w:pos="2160"/>
      </w:tabs>
      <w:spacing w:after="220"/>
      <w:ind w:left="2160" w:hanging="720"/>
    </w:pPr>
  </w:style>
  <w:style w:type="paragraph" w:styleId="BlockText">
    <w:name w:val="Block Text"/>
    <w:basedOn w:val="Normal"/>
    <w:rsid w:val="00680DAE"/>
    <w:pPr>
      <w:spacing w:after="240"/>
      <w:ind w:left="1440" w:right="1440"/>
    </w:pPr>
  </w:style>
  <w:style w:type="paragraph" w:customStyle="1" w:styleId="TableFormat">
    <w:name w:val="TableFormat"/>
    <w:basedOn w:val="Bullet"/>
    <w:rsid w:val="00680DAE"/>
    <w:pPr>
      <w:tabs>
        <w:tab w:val="clear" w:pos="2160"/>
        <w:tab w:val="left" w:pos="5040"/>
      </w:tabs>
      <w:ind w:left="5040" w:hanging="3600"/>
    </w:pPr>
  </w:style>
  <w:style w:type="character" w:styleId="FootnoteReference">
    <w:name w:val="footnote reference"/>
    <w:aliases w:val="(NECG) Footnote Reference,Appel note de bas de p,FR,Footnote Reference/,Style 12,Style 124,Style 13,Style 17,Style 3,Style 4,Style 6,fr,o"/>
    <w:rsid w:val="00680DAE"/>
    <w:rPr>
      <w:rFonts w:ascii="Times New Roman" w:hAnsi="Times New Roman"/>
      <w:dstrike w:val="0"/>
      <w:color w:val="auto"/>
      <w:sz w:val="20"/>
      <w:vertAlign w:val="superscript"/>
    </w:rPr>
  </w:style>
  <w:style w:type="paragraph" w:styleId="Header">
    <w:name w:val="header"/>
    <w:basedOn w:val="Normal"/>
    <w:autoRedefine/>
    <w:rsid w:val="00680DAE"/>
    <w:pPr>
      <w:tabs>
        <w:tab w:val="center" w:pos="4680"/>
        <w:tab w:val="right" w:pos="9360"/>
      </w:tabs>
    </w:pPr>
    <w:rPr>
      <w:b/>
    </w:rPr>
  </w:style>
  <w:style w:type="paragraph" w:styleId="Footer">
    <w:name w:val="footer"/>
    <w:basedOn w:val="Normal"/>
    <w:link w:val="FooterChar"/>
    <w:uiPriority w:val="99"/>
    <w:rsid w:val="00680DAE"/>
    <w:pPr>
      <w:tabs>
        <w:tab w:val="center" w:pos="4320"/>
        <w:tab w:val="right" w:pos="8640"/>
      </w:tabs>
    </w:pPr>
  </w:style>
  <w:style w:type="paragraph" w:styleId="TOC2">
    <w:name w:val="toc 2"/>
    <w:basedOn w:val="Normal"/>
    <w:next w:val="Normal"/>
    <w:rsid w:val="00680DAE"/>
    <w:pPr>
      <w:tabs>
        <w:tab w:val="left" w:pos="720"/>
        <w:tab w:val="right" w:leader="dot" w:pos="9360"/>
      </w:tabs>
      <w:suppressAutoHyphens/>
      <w:ind w:left="720" w:right="720" w:hanging="360"/>
    </w:pPr>
    <w:rPr>
      <w:noProof/>
    </w:rPr>
  </w:style>
  <w:style w:type="paragraph" w:customStyle="1" w:styleId="NumberedList">
    <w:name w:val="Numbered List"/>
    <w:basedOn w:val="Normal"/>
    <w:pPr>
      <w:spacing w:after="220"/>
    </w:pPr>
  </w:style>
  <w:style w:type="paragraph" w:styleId="TOC1">
    <w:name w:val="toc 1"/>
    <w:basedOn w:val="Normal"/>
    <w:next w:val="Normal"/>
    <w:rsid w:val="00680DAE"/>
    <w:pPr>
      <w:tabs>
        <w:tab w:val="left" w:pos="360"/>
        <w:tab w:val="right" w:leader="dot" w:pos="9360"/>
      </w:tabs>
      <w:suppressAutoHyphens/>
      <w:ind w:left="360" w:right="720" w:hanging="360"/>
    </w:pPr>
    <w:rPr>
      <w:caps/>
      <w:noProof/>
    </w:rPr>
  </w:style>
  <w:style w:type="paragraph" w:styleId="TOC3">
    <w:name w:val="toc 3"/>
    <w:basedOn w:val="Normal"/>
    <w:next w:val="Normal"/>
    <w:rsid w:val="00680D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0D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0D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0D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0D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0D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0DAE"/>
    <w:pPr>
      <w:tabs>
        <w:tab w:val="left" w:pos="3240"/>
        <w:tab w:val="right" w:leader="dot" w:pos="9360"/>
      </w:tabs>
      <w:suppressAutoHyphens/>
      <w:ind w:left="3240" w:hanging="360"/>
    </w:pPr>
    <w:rPr>
      <w:noProof/>
    </w:rPr>
  </w:style>
  <w:style w:type="character" w:styleId="PageNumber">
    <w:name w:val="page number"/>
    <w:basedOn w:val="DefaultParagraphFont"/>
    <w:rsid w:val="00680DAE"/>
  </w:style>
  <w:style w:type="paragraph" w:styleId="Title">
    <w:name w:val="Title"/>
    <w:basedOn w:val="Normal"/>
    <w:qFormat/>
    <w:pPr>
      <w:jc w:val="center"/>
    </w:pPr>
    <w:rPr>
      <w:b/>
    </w:rPr>
  </w:style>
  <w:style w:type="paragraph" w:styleId="EndnoteText">
    <w:name w:val="endnote text"/>
    <w:basedOn w:val="Normal"/>
    <w:link w:val="EndnoteTextChar"/>
    <w:semiHidden/>
    <w:rsid w:val="00680DAE"/>
    <w:rPr>
      <w:sz w:val="20"/>
    </w:rPr>
  </w:style>
  <w:style w:type="character" w:styleId="EndnoteReference">
    <w:name w:val="endnote reference"/>
    <w:semiHidden/>
    <w:rsid w:val="00680DAE"/>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sid w:val="00680DAE"/>
    <w:rPr>
      <w:color w:val="0000FF"/>
      <w:u w:val="single"/>
    </w:rPr>
  </w:style>
  <w:style w:type="character" w:customStyle="1" w:styleId="FootnoteTextChar">
    <w:name w:val="Footnote Text Char"/>
    <w:aliases w:val="Footnote Text Char Char Char1,Footnote Text Char2 Char Char Char Char1 Char1,Footnote Text Char2 Char Char Char1,Footnote Text Char2 Char1,Footnote Text Char3 Char Char Char1 Char1,f Char1,fn Char Char,fn Char1,ft Char1"/>
    <w:link w:val="FootnoteText"/>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ALTS FOOTNOTE Char,Footnote Text Char Char Char Char Char,Footnote Text Char1 Char,Footnote Text Char1 Char Char Char Char Char Char Char,Footnote Text Char1 Char2 Char Char Char Char,Footnote Text Char3 Char,ft Char"/>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FootnoteTextCharChar1">
    <w:name w:val="Footnote Text Char Char1"/>
    <w:aliases w:val="Footnote Text Char Char4 Char1 Char1,Footnote Text Char4 Char1 Char Char1 Char Char1,Footnote Text Char4 Char1 Char1,Footnote Text Char5 Char1 Char Char Char1,Footnote Text Char6 Char,f Char,ft Char Char Char"/>
    <w:semiHidden/>
    <w:locked/>
    <w:rPr>
      <w:rFonts w:cs="Times New Roman"/>
      <w:lang w:val="en-US" w:eastAsia="en-US" w:bidi="ar-SA"/>
    </w:rPr>
  </w:style>
  <w:style w:type="paragraph" w:styleId="ListParagraph">
    <w:name w:val="List Paragraph"/>
    <w:basedOn w:val="Normal"/>
    <w:uiPriority w:val="34"/>
    <w:qFormat/>
    <w:pPr>
      <w:ind w:left="720"/>
    </w:pPr>
  </w:style>
  <w:style w:type="character" w:customStyle="1" w:styleId="cosearchterm7">
    <w:name w:val="co_searchterm7"/>
    <w:rPr>
      <w:b/>
      <w:bCs/>
      <w:color w:val="252525"/>
    </w:rPr>
  </w:style>
  <w:style w:type="paragraph" w:styleId="TOAHeading">
    <w:name w:val="toa heading"/>
    <w:basedOn w:val="Normal"/>
    <w:next w:val="Normal"/>
    <w:semiHidden/>
    <w:rsid w:val="00680DAE"/>
    <w:pPr>
      <w:tabs>
        <w:tab w:val="right" w:pos="9360"/>
      </w:tabs>
      <w:suppressAutoHyphens/>
    </w:pPr>
  </w:style>
  <w:style w:type="character" w:customStyle="1" w:styleId="EquationCaption">
    <w:name w:val="_Equation Caption"/>
    <w:rsid w:val="00680DAE"/>
  </w:style>
  <w:style w:type="paragraph" w:customStyle="1" w:styleId="Paratitle">
    <w:name w:val="Para title"/>
    <w:basedOn w:val="Normal"/>
    <w:rsid w:val="00680DAE"/>
    <w:pPr>
      <w:tabs>
        <w:tab w:val="center" w:pos="9270"/>
      </w:tabs>
      <w:spacing w:after="240"/>
    </w:pPr>
    <w:rPr>
      <w:spacing w:val="-2"/>
    </w:rPr>
  </w:style>
  <w:style w:type="paragraph" w:customStyle="1" w:styleId="TOCTitle">
    <w:name w:val="TOC Title"/>
    <w:basedOn w:val="Normal"/>
    <w:rsid w:val="00680D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0DAE"/>
    <w:pPr>
      <w:jc w:val="center"/>
    </w:pPr>
    <w:rPr>
      <w:rFonts w:ascii="Times New Roman Bold" w:hAnsi="Times New Roman Bold"/>
      <w:b/>
      <w:bCs/>
      <w:caps/>
      <w:szCs w:val="22"/>
    </w:rPr>
  </w:style>
  <w:style w:type="character" w:customStyle="1" w:styleId="CommentTextChar">
    <w:name w:val="Comment Text Char"/>
    <w:link w:val="CommentText"/>
    <w:semiHidden/>
    <w:rPr>
      <w:snapToGrid w:val="0"/>
      <w:kern w:val="28"/>
    </w:rPr>
  </w:style>
  <w:style w:type="paragraph" w:styleId="NormalWeb">
    <w:name w:val="Normal (Web)"/>
    <w:basedOn w:val="Normal"/>
    <w:uiPriority w:val="99"/>
    <w:unhideWhenUsed/>
    <w:pPr>
      <w:widowControl/>
      <w:spacing w:before="100" w:beforeAutospacing="1" w:after="100" w:afterAutospacing="1"/>
    </w:pPr>
    <w:rPr>
      <w:snapToGrid/>
      <w:kern w:val="0"/>
      <w:sz w:val="24"/>
      <w:szCs w:val="24"/>
    </w:rPr>
  </w:style>
  <w:style w:type="paragraph" w:styleId="Revision">
    <w:name w:val="Revision"/>
    <w:hidden/>
    <w:uiPriority w:val="99"/>
    <w:semiHidden/>
    <w:rPr>
      <w:snapToGrid w:val="0"/>
      <w:kern w:val="28"/>
      <w:sz w:val="22"/>
    </w:rPr>
  </w:style>
  <w:style w:type="character" w:customStyle="1" w:styleId="FooterChar">
    <w:name w:val="Footer Char"/>
    <w:link w:val="Footer"/>
    <w:uiPriority w:val="99"/>
    <w:rsid w:val="00680DAE"/>
    <w:rPr>
      <w:snapToGrid w:val="0"/>
      <w:kern w:val="28"/>
      <w:sz w:val="22"/>
    </w:rPr>
  </w:style>
  <w:style w:type="character" w:customStyle="1" w:styleId="ParaNumChar">
    <w:name w:val="ParaNum Char"/>
    <w:link w:val="ParaNum"/>
    <w:rsid w:val="0085768E"/>
    <w:rPr>
      <w:snapToGrid w:val="0"/>
      <w:kern w:val="28"/>
      <w:sz w:val="22"/>
    </w:rPr>
  </w:style>
  <w:style w:type="character" w:customStyle="1" w:styleId="EndnoteTextChar">
    <w:name w:val="Endnote Text Char"/>
    <w:link w:val="EndnoteText"/>
    <w:semiHidden/>
    <w:rsid w:val="0082201D"/>
    <w:rPr>
      <w:snapToGrid w:val="0"/>
      <w:kern w:val="28"/>
    </w:rPr>
  </w:style>
  <w:style w:type="character" w:styleId="UnresolvedMention">
    <w:name w:val="Unresolved Mention"/>
    <w:basedOn w:val="DefaultParagraphFont"/>
    <w:uiPriority w:val="99"/>
    <w:semiHidden/>
    <w:unhideWhenUsed/>
    <w:rsid w:val="00D53459"/>
    <w:rPr>
      <w:color w:val="605E5C"/>
      <w:shd w:val="clear" w:color="auto" w:fill="E1DFDD"/>
    </w:rPr>
  </w:style>
  <w:style w:type="character" w:customStyle="1" w:styleId="FootnoteTextChar1">
    <w:name w:val="Footnote Text Char1"/>
    <w:aliases w:val="Footnote Text Char Char Char,Footnote Text Char Char Char1 Char Char Char Char1 Char,Footnote Text Char2 Char,Footnote Text Char2 Char Char Char,Footnote Text Char2 Char Char Char Char1 Char,Footnote Text Char3 Char Char Char1 Char"/>
    <w:uiPriority w:val="99"/>
    <w:rsid w:val="00901863"/>
  </w:style>
  <w:style w:type="character" w:customStyle="1" w:styleId="markedcontent">
    <w:name w:val="markedcontent"/>
    <w:basedOn w:val="DefaultParagraphFont"/>
    <w:rsid w:val="007920A1"/>
  </w:style>
  <w:style w:type="character" w:customStyle="1" w:styleId="text-blue">
    <w:name w:val="text-blue"/>
    <w:basedOn w:val="DefaultParagraphFont"/>
    <w:rsid w:val="00EF3650"/>
  </w:style>
  <w:style w:type="character" w:customStyle="1" w:styleId="cosearchterm">
    <w:name w:val="co_searchterm"/>
    <w:basedOn w:val="DefaultParagraphFont"/>
    <w:rsid w:val="00386942"/>
  </w:style>
  <w:style w:type="character" w:customStyle="1" w:styleId="cf01">
    <w:name w:val="cf01"/>
    <w:basedOn w:val="DefaultParagraphFont"/>
    <w:rsid w:val="006571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0576A1.pdf" TargetMode="External" /><Relationship Id="rId2" Type="http://schemas.openxmlformats.org/officeDocument/2006/relationships/hyperlink" Target="http://appsint.fcc.gov/UlsApp/ApplicationSearch/applAdminPleadings.jsp?applID=13755579" TargetMode="External" /><Relationship Id="rId3" Type="http://schemas.openxmlformats.org/officeDocument/2006/relationships/hyperlink" Target="https://wireless2.fcc.gov/UlsApp/ApplicationSearch/applAdminPleadings.jsp?applID=936766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