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CCCF77E" w14:textId="21CCD669">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ab/>
      </w:r>
    </w:p>
    <w:p w:rsidR="00843299" w:rsidRPr="00843299" w:rsidP="00843299" w14:paraId="4CF06208" w14:textId="7705F26A">
      <w:pPr>
        <w:rPr>
          <w:sz w:val="20"/>
          <w:szCs w:val="22"/>
        </w:rPr>
        <w:sectPr w:rsidSect="00843299">
          <w:footerReference w:type="even" r:id="rId8"/>
          <w:footerReference w:type="default" r:id="rId9"/>
          <w:headerReference w:type="first" r:id="rId10"/>
          <w:type w:val="continuous"/>
          <w:pgSz w:w="12240" w:h="15840" w:code="1"/>
          <w:pgMar w:top="720" w:right="720" w:bottom="1440" w:left="720" w:header="720" w:footer="1440" w:gutter="0"/>
          <w:cols w:space="720"/>
          <w:titlePg/>
        </w:sectPr>
      </w:pPr>
    </w:p>
    <w:p w:rsidR="00843299" w:rsidRPr="00843299" w:rsidP="00546375" w14:paraId="3CEDA087" w14:textId="24992938">
      <w:pPr>
        <w:widowControl w:val="0"/>
        <w:ind w:left="7200"/>
        <w:rPr>
          <w:b/>
          <w:snapToGrid w:val="0"/>
          <w:kern w:val="28"/>
          <w:szCs w:val="22"/>
        </w:rPr>
      </w:pPr>
      <w:bookmarkStart w:id="1" w:name="_Hlk26280526"/>
      <w:bookmarkStart w:id="2" w:name="_Hlk64383480"/>
      <w:r>
        <w:rPr>
          <w:b/>
          <w:snapToGrid w:val="0"/>
          <w:kern w:val="28"/>
          <w:szCs w:val="22"/>
        </w:rPr>
        <w:t xml:space="preserve">            </w:t>
      </w:r>
      <w:r w:rsidRPr="00843299">
        <w:rPr>
          <w:b/>
          <w:snapToGrid w:val="0"/>
          <w:kern w:val="28"/>
          <w:szCs w:val="22"/>
        </w:rPr>
        <w:t>DA 23-</w:t>
      </w:r>
      <w:r>
        <w:rPr>
          <w:b/>
          <w:snapToGrid w:val="0"/>
          <w:kern w:val="28"/>
          <w:szCs w:val="22"/>
        </w:rPr>
        <w:t>929</w:t>
      </w:r>
    </w:p>
    <w:p w:rsidR="00843299" w:rsidRPr="00843299" w:rsidP="00843299" w14:paraId="033429CC" w14:textId="77777777">
      <w:pPr>
        <w:widowControl w:val="0"/>
        <w:jc w:val="right"/>
        <w:rPr>
          <w:b/>
          <w:snapToGrid w:val="0"/>
          <w:kern w:val="28"/>
          <w:szCs w:val="22"/>
        </w:rPr>
      </w:pPr>
      <w:r w:rsidRPr="00843299">
        <w:rPr>
          <w:b/>
          <w:snapToGrid w:val="0"/>
          <w:kern w:val="28"/>
          <w:szCs w:val="22"/>
        </w:rPr>
        <w:t xml:space="preserve">Released: </w:t>
      </w:r>
      <w:bookmarkStart w:id="3" w:name="_Hlk146895823"/>
      <w:r w:rsidRPr="00843299">
        <w:rPr>
          <w:b/>
          <w:snapToGrid w:val="0"/>
          <w:kern w:val="28"/>
          <w:szCs w:val="22"/>
        </w:rPr>
        <w:t xml:space="preserve"> October </w:t>
      </w:r>
      <w:bookmarkEnd w:id="3"/>
      <w:r w:rsidRPr="00843299">
        <w:rPr>
          <w:b/>
          <w:snapToGrid w:val="0"/>
          <w:kern w:val="28"/>
          <w:szCs w:val="22"/>
        </w:rPr>
        <w:t>3, 2023</w:t>
      </w:r>
    </w:p>
    <w:p w:rsidR="00843299" w:rsidRPr="00843299" w:rsidP="00843299" w14:paraId="033426EB" w14:textId="77777777">
      <w:pPr>
        <w:widowControl w:val="0"/>
        <w:spacing w:before="60"/>
        <w:jc w:val="center"/>
        <w:rPr>
          <w:b/>
          <w:snapToGrid w:val="0"/>
          <w:kern w:val="28"/>
          <w:szCs w:val="22"/>
        </w:rPr>
      </w:pPr>
    </w:p>
    <w:p w:rsidR="00843299" w:rsidRPr="00843299" w:rsidP="00843299" w14:paraId="02C5B482" w14:textId="77777777">
      <w:pPr>
        <w:jc w:val="center"/>
        <w:rPr>
          <w:b/>
          <w:bCs/>
          <w:szCs w:val="22"/>
        </w:rPr>
      </w:pPr>
      <w:r w:rsidRPr="00843299">
        <w:rPr>
          <w:b/>
          <w:bCs/>
          <w:szCs w:val="22"/>
        </w:rPr>
        <w:t xml:space="preserve">DOMESTIC </w:t>
      </w:r>
      <w:r w:rsidRPr="00843299">
        <w:rPr>
          <w:b/>
          <w:bCs/>
          <w:caps/>
          <w:szCs w:val="22"/>
        </w:rPr>
        <w:t>SECTION</w:t>
      </w:r>
      <w:r w:rsidRPr="00843299">
        <w:rPr>
          <w:b/>
          <w:bCs/>
          <w:szCs w:val="22"/>
        </w:rPr>
        <w:t xml:space="preserve"> 214 APPLICATION FILED </w:t>
      </w:r>
    </w:p>
    <w:p w:rsidR="00843299" w:rsidRPr="00843299" w:rsidP="00843299" w14:paraId="75AA8D00" w14:textId="77777777">
      <w:pPr>
        <w:jc w:val="center"/>
        <w:rPr>
          <w:b/>
          <w:bCs/>
          <w:szCs w:val="22"/>
        </w:rPr>
      </w:pPr>
      <w:r w:rsidRPr="00843299">
        <w:rPr>
          <w:b/>
          <w:bCs/>
          <w:szCs w:val="22"/>
        </w:rPr>
        <w:t xml:space="preserve">FOR THE ACQUISITION OF CERTAIN ASSETS OF </w:t>
      </w:r>
    </w:p>
    <w:p w:rsidR="00843299" w:rsidRPr="00843299" w:rsidP="00843299" w14:paraId="2AF030E7" w14:textId="77777777">
      <w:pPr>
        <w:jc w:val="center"/>
        <w:rPr>
          <w:b/>
          <w:bCs/>
          <w:szCs w:val="22"/>
        </w:rPr>
      </w:pPr>
      <w:r w:rsidRPr="00843299">
        <w:rPr>
          <w:b/>
          <w:bCs/>
          <w:szCs w:val="22"/>
        </w:rPr>
        <w:t>UNITED TELEPHONE ASSOCIATION, INC. TO PANHANDLE TELEPHONE COOPERATIVE, INC.</w:t>
      </w:r>
    </w:p>
    <w:p w:rsidR="00843299" w:rsidRPr="00843299" w:rsidP="00843299" w14:paraId="5B90E103" w14:textId="77777777">
      <w:pPr>
        <w:rPr>
          <w:b/>
          <w:bCs/>
          <w:szCs w:val="22"/>
        </w:rPr>
      </w:pPr>
    </w:p>
    <w:p w:rsidR="00843299" w:rsidRPr="00843299" w:rsidP="00843299" w14:paraId="60151AC9" w14:textId="77777777">
      <w:pPr>
        <w:jc w:val="center"/>
        <w:rPr>
          <w:b/>
          <w:bCs/>
          <w:szCs w:val="22"/>
        </w:rPr>
      </w:pPr>
    </w:p>
    <w:p w:rsidR="00843299" w:rsidRPr="00843299" w:rsidP="00843299" w14:paraId="24B18409" w14:textId="77777777">
      <w:pPr>
        <w:jc w:val="center"/>
        <w:rPr>
          <w:b/>
          <w:szCs w:val="22"/>
        </w:rPr>
      </w:pPr>
      <w:r w:rsidRPr="00843299">
        <w:rPr>
          <w:b/>
          <w:szCs w:val="22"/>
        </w:rPr>
        <w:t>NON-STREAMLINED PLEADING CYCLE ESTABLISHED</w:t>
      </w:r>
    </w:p>
    <w:p w:rsidR="00843299" w:rsidRPr="00843299" w:rsidP="00843299" w14:paraId="49232024" w14:textId="77777777">
      <w:pPr>
        <w:jc w:val="center"/>
        <w:rPr>
          <w:b/>
          <w:szCs w:val="22"/>
        </w:rPr>
      </w:pPr>
    </w:p>
    <w:p w:rsidR="00843299" w:rsidRPr="00843299" w:rsidP="00843299" w14:paraId="6394DADF" w14:textId="77777777">
      <w:pPr>
        <w:widowControl w:val="0"/>
        <w:spacing w:before="60"/>
        <w:jc w:val="center"/>
        <w:rPr>
          <w:b/>
          <w:snapToGrid w:val="0"/>
          <w:kern w:val="28"/>
          <w:szCs w:val="22"/>
        </w:rPr>
      </w:pPr>
      <w:r w:rsidRPr="00843299">
        <w:rPr>
          <w:b/>
          <w:snapToGrid w:val="0"/>
          <w:kern w:val="28"/>
          <w:szCs w:val="22"/>
        </w:rPr>
        <w:t>WC Docket No. 23-255</w:t>
      </w:r>
    </w:p>
    <w:p w:rsidR="00843299" w:rsidRPr="00843299" w:rsidP="00843299" w14:paraId="609D7606" w14:textId="77777777">
      <w:pPr>
        <w:rPr>
          <w:b/>
          <w:szCs w:val="22"/>
        </w:rPr>
      </w:pPr>
    </w:p>
    <w:p w:rsidR="00843299" w:rsidRPr="00843299" w:rsidP="00843299" w14:paraId="13C5BC4B" w14:textId="77777777">
      <w:pPr>
        <w:rPr>
          <w:b/>
          <w:szCs w:val="22"/>
        </w:rPr>
      </w:pPr>
      <w:r w:rsidRPr="00843299">
        <w:rPr>
          <w:b/>
          <w:szCs w:val="22"/>
        </w:rPr>
        <w:t xml:space="preserve">Comments Due:  </w:t>
      </w:r>
      <w:r w:rsidRPr="00843299">
        <w:rPr>
          <w:b/>
          <w:snapToGrid w:val="0"/>
          <w:kern w:val="28"/>
          <w:szCs w:val="22"/>
        </w:rPr>
        <w:t>October</w:t>
      </w:r>
      <w:r w:rsidRPr="00843299">
        <w:rPr>
          <w:b/>
          <w:szCs w:val="22"/>
        </w:rPr>
        <w:t xml:space="preserve"> 17, 2023 </w:t>
      </w:r>
    </w:p>
    <w:p w:rsidR="00843299" w:rsidRPr="00843299" w:rsidP="00843299" w14:paraId="23D5433E" w14:textId="77777777">
      <w:pPr>
        <w:rPr>
          <w:b/>
          <w:szCs w:val="22"/>
        </w:rPr>
      </w:pPr>
      <w:r w:rsidRPr="00843299">
        <w:rPr>
          <w:b/>
          <w:szCs w:val="22"/>
        </w:rPr>
        <w:t xml:space="preserve">Reply Comment Due:  October 24, 2023 </w:t>
      </w:r>
    </w:p>
    <w:p w:rsidR="00843299" w:rsidRPr="00843299" w:rsidP="00843299" w14:paraId="47816BA1" w14:textId="77777777">
      <w:pPr>
        <w:rPr>
          <w:b/>
          <w:szCs w:val="22"/>
        </w:rPr>
      </w:pPr>
    </w:p>
    <w:p w:rsidR="00843299" w:rsidRPr="00843299" w:rsidP="00843299" w14:paraId="4B0ACB9D" w14:textId="77777777">
      <w:pPr>
        <w:autoSpaceDE w:val="0"/>
        <w:autoSpaceDN w:val="0"/>
        <w:adjustRightInd w:val="0"/>
        <w:spacing w:after="120"/>
        <w:ind w:firstLine="720"/>
        <w:rPr>
          <w:szCs w:val="22"/>
        </w:rPr>
      </w:pPr>
      <w:r w:rsidRPr="00843299">
        <w:rPr>
          <w:szCs w:val="22"/>
        </w:rPr>
        <w:t>By this Public Notice, the Wireline Competition Bureau seeks comment from interested parties on an application filed by United Telephone Association, Inc. (United) and Panhandle Telephone Cooperative, Inc. (PTCI) (collectively, Applicants), pursuant to section 214 of the Communications Act of 1934, as amended, and sections 63.03-04 of the Commission’s rules,</w:t>
      </w:r>
      <w:r>
        <w:rPr>
          <w:szCs w:val="22"/>
          <w:vertAlign w:val="superscript"/>
        </w:rPr>
        <w:footnoteReference w:id="3"/>
      </w:r>
      <w:r w:rsidRPr="00843299">
        <w:rPr>
          <w:szCs w:val="22"/>
        </w:rPr>
        <w:t xml:space="preserve"> requesting authority to assign substantially all of the assets held by United in the South Englewood telephone exchange (Exchange) from United to PTCI.</w:t>
      </w:r>
      <w:r>
        <w:rPr>
          <w:szCs w:val="22"/>
          <w:vertAlign w:val="superscript"/>
        </w:rPr>
        <w:footnoteReference w:id="4"/>
      </w:r>
    </w:p>
    <w:p w:rsidR="00843299" w:rsidRPr="00843299" w:rsidP="00843299" w14:paraId="783234DA" w14:textId="77777777">
      <w:pPr>
        <w:autoSpaceDE w:val="0"/>
        <w:autoSpaceDN w:val="0"/>
        <w:adjustRightInd w:val="0"/>
        <w:spacing w:after="120"/>
        <w:ind w:firstLine="720"/>
        <w:rPr>
          <w:szCs w:val="22"/>
        </w:rPr>
      </w:pPr>
      <w:r w:rsidRPr="00843299">
        <w:rPr>
          <w:szCs w:val="22"/>
        </w:rPr>
        <w:t>United, a member-owned Kansas corporation, is a rate-of-return regulated incumbent local exchange carrier (LEC) providing “the latest technologies and services to our customers, from residential landline, wireless phone and Internet, to Streaming TV and Enterprise Business Solutions.”</w:t>
      </w:r>
      <w:r>
        <w:rPr>
          <w:szCs w:val="22"/>
          <w:vertAlign w:val="superscript"/>
        </w:rPr>
        <w:footnoteReference w:id="5"/>
      </w:r>
      <w:r w:rsidRPr="00843299">
        <w:rPr>
          <w:szCs w:val="22"/>
        </w:rPr>
        <w:t xml:space="preserve">  United, a designated Eligible Telecommunications Carrier (ETC), receives high-cost </w:t>
      </w:r>
      <w:r w:rsidRPr="00843299">
        <w:rPr>
          <w:szCs w:val="22"/>
        </w:rPr>
        <w:t>universal service support through the Connect America Fund Broadband Loop Support (CAF BLS), High-Cost Loop Support (HCLS), Connect America Fund Intercarrier Compensation (CAF ICC), and Mobility Fund support mechanisms.</w:t>
      </w:r>
      <w:r>
        <w:rPr>
          <w:szCs w:val="22"/>
          <w:vertAlign w:val="superscript"/>
        </w:rPr>
        <w:footnoteReference w:id="6"/>
      </w:r>
      <w:r w:rsidRPr="00843299">
        <w:rPr>
          <w:szCs w:val="22"/>
        </w:rPr>
        <w:t xml:space="preserve">  Aside from serving seven counties in western Kansas,</w:t>
      </w:r>
      <w:r>
        <w:rPr>
          <w:szCs w:val="22"/>
          <w:vertAlign w:val="superscript"/>
        </w:rPr>
        <w:footnoteReference w:id="7"/>
      </w:r>
      <w:r w:rsidRPr="00843299">
        <w:rPr>
          <w:szCs w:val="22"/>
        </w:rPr>
        <w:t xml:space="preserve"> United serves the South Englewood Exchange in Oklahoma, with approximately 31 lines in what had formerly been known as the Ditch Valley Exchange.</w:t>
      </w:r>
      <w:r>
        <w:rPr>
          <w:szCs w:val="22"/>
          <w:vertAlign w:val="superscript"/>
        </w:rPr>
        <w:footnoteReference w:id="8"/>
      </w:r>
      <w:r w:rsidRPr="00843299">
        <w:rPr>
          <w:szCs w:val="22"/>
        </w:rPr>
        <w:t xml:space="preserve">  As a cooperative corporation, United is owned by its member subscribers, and no individual or entity directly or indirectly owns at least ten percent of the equity of United.</w:t>
      </w:r>
      <w:r>
        <w:rPr>
          <w:szCs w:val="22"/>
          <w:vertAlign w:val="superscript"/>
        </w:rPr>
        <w:footnoteReference w:id="9"/>
      </w:r>
      <w:r w:rsidRPr="00843299">
        <w:rPr>
          <w:szCs w:val="22"/>
        </w:rPr>
        <w:t xml:space="preserve">  United has the following board members, all of whom are U.S. citizens, and none of whom own more than 10% stock in any telecommunications company:  Darren Batman; Harry Walker; Kim Unruh; Larry Ackerman; Lee Ann Seiler; Richard Fleming; Sandra Coast; Todd Houseman; and William Neier.</w:t>
      </w:r>
      <w:r>
        <w:rPr>
          <w:szCs w:val="22"/>
          <w:vertAlign w:val="superscript"/>
        </w:rPr>
        <w:footnoteReference w:id="10"/>
      </w:r>
      <w:r w:rsidRPr="00843299">
        <w:rPr>
          <w:szCs w:val="22"/>
        </w:rPr>
        <w:t xml:space="preserve">  </w:t>
      </w:r>
    </w:p>
    <w:p w:rsidR="00843299" w:rsidRPr="00843299" w:rsidP="00843299" w14:paraId="392281D6" w14:textId="77777777">
      <w:pPr>
        <w:autoSpaceDE w:val="0"/>
        <w:autoSpaceDN w:val="0"/>
        <w:adjustRightInd w:val="0"/>
        <w:spacing w:before="120" w:after="120"/>
        <w:ind w:firstLine="720"/>
        <w:rPr>
          <w:szCs w:val="22"/>
        </w:rPr>
      </w:pPr>
      <w:bookmarkStart w:id="4" w:name="_Hlk141089901"/>
      <w:r w:rsidRPr="00843299">
        <w:rPr>
          <w:szCs w:val="22"/>
        </w:rPr>
        <w:t xml:space="preserve">PTCI, a member-owned Oklahoma corporation, </w:t>
      </w:r>
      <w:bookmarkEnd w:id="4"/>
      <w:r w:rsidRPr="00843299">
        <w:rPr>
          <w:szCs w:val="22"/>
        </w:rPr>
        <w:t>is a rate-of-return regulated incumbent LEC offering broadband, voice, and mobile wireless services in the Oklahoma Panhandle.</w:t>
      </w:r>
      <w:r>
        <w:rPr>
          <w:szCs w:val="22"/>
          <w:vertAlign w:val="superscript"/>
        </w:rPr>
        <w:footnoteReference w:id="11"/>
      </w:r>
      <w:r w:rsidRPr="00843299">
        <w:rPr>
          <w:szCs w:val="22"/>
        </w:rPr>
        <w:t xml:space="preserve">  PTCI provides local exchange, interexchange, and broadband services in each of their Oklahoma exchanges.</w:t>
      </w:r>
      <w:r>
        <w:rPr>
          <w:szCs w:val="22"/>
          <w:vertAlign w:val="superscript"/>
        </w:rPr>
        <w:footnoteReference w:id="12"/>
      </w:r>
      <w:r w:rsidRPr="00843299">
        <w:rPr>
          <w:szCs w:val="22"/>
        </w:rPr>
        <w:t xml:space="preserve">  PTCI, a designated ETC, receives high-cost universal service support through the CAF BLS, HCLS, and CAF ICC support mechanisms.</w:t>
      </w:r>
      <w:r>
        <w:rPr>
          <w:szCs w:val="22"/>
          <w:vertAlign w:val="superscript"/>
        </w:rPr>
        <w:footnoteReference w:id="13"/>
      </w:r>
      <w:r w:rsidRPr="00843299">
        <w:rPr>
          <w:szCs w:val="22"/>
        </w:rPr>
        <w:t xml:space="preserve">  As a cooperative corporation, PTCI is owned by its member subscribers, and no single member-subscriber owns or controls more than 10 percent of PTCI.</w:t>
      </w:r>
      <w:r>
        <w:rPr>
          <w:szCs w:val="22"/>
          <w:vertAlign w:val="superscript"/>
        </w:rPr>
        <w:footnoteReference w:id="14"/>
      </w:r>
      <w:r w:rsidRPr="00843299">
        <w:rPr>
          <w:szCs w:val="22"/>
        </w:rPr>
        <w:t xml:space="preserve">  PTCI has the following board members, all of whom are U.S. citizens, and none of whom own more than 10% stock in any telecommunications company:  Charles Russell; Dennis Zimmerman; Earl Wells; Jana Wallace; Larry January; Lonnie Bailey; Milton Headrick; Robert Thrash; Roger Edenborough; Rowdy McBee; and Scott Martin.</w:t>
      </w:r>
      <w:r>
        <w:rPr>
          <w:szCs w:val="22"/>
          <w:vertAlign w:val="superscript"/>
        </w:rPr>
        <w:footnoteReference w:id="15"/>
      </w:r>
      <w:r w:rsidRPr="00843299">
        <w:rPr>
          <w:szCs w:val="22"/>
        </w:rPr>
        <w:t xml:space="preserve"> Applicants state that “neither </w:t>
      </w:r>
      <w:r w:rsidRPr="00843299">
        <w:rPr>
          <w:szCs w:val="22"/>
        </w:rPr>
        <w:t>PTCI nor any of its affiliates, hold a 10% or greater interest in any other provider of domestic telecommunications services.”</w:t>
      </w:r>
      <w:r>
        <w:rPr>
          <w:szCs w:val="22"/>
          <w:vertAlign w:val="superscript"/>
        </w:rPr>
        <w:footnoteReference w:id="16"/>
      </w:r>
      <w:r w:rsidRPr="00843299">
        <w:rPr>
          <w:szCs w:val="22"/>
        </w:rPr>
        <w:t xml:space="preserve">  </w:t>
      </w:r>
    </w:p>
    <w:p w:rsidR="00843299" w:rsidRPr="00843299" w:rsidP="00843299" w14:paraId="7BDBC548" w14:textId="77777777">
      <w:pPr>
        <w:autoSpaceDE w:val="0"/>
        <w:autoSpaceDN w:val="0"/>
        <w:adjustRightInd w:val="0"/>
        <w:spacing w:before="120" w:after="120"/>
        <w:ind w:firstLine="720"/>
        <w:rPr>
          <w:szCs w:val="22"/>
        </w:rPr>
      </w:pPr>
      <w:r w:rsidRPr="00843299">
        <w:rPr>
          <w:szCs w:val="22"/>
        </w:rPr>
        <w:t>Pursuant to the terms of the proposed transaction, PTCI will acquire substantially all of the assets held by United in the Exchange, including, but not limited to, its telecommunications facilities, customer databases, and associated contracts.</w:t>
      </w:r>
      <w:r>
        <w:rPr>
          <w:szCs w:val="22"/>
          <w:vertAlign w:val="superscript"/>
        </w:rPr>
        <w:footnoteReference w:id="17"/>
      </w:r>
      <w:r w:rsidRPr="00843299">
        <w:rPr>
          <w:szCs w:val="22"/>
        </w:rPr>
        <w:t xml:space="preserve">  The sale of assets will be transparent to the customers of United and PTCI.</w:t>
      </w:r>
      <w:r>
        <w:rPr>
          <w:szCs w:val="22"/>
          <w:vertAlign w:val="superscript"/>
        </w:rPr>
        <w:footnoteReference w:id="18"/>
      </w:r>
      <w:r w:rsidRPr="00843299">
        <w:rPr>
          <w:szCs w:val="22"/>
        </w:rPr>
        <w:t xml:space="preserve">  Applicants assert the transaction is in the public interest as customers will receive superior service; the transaction will not harm competition or the Universal Service Fund; and PTCI has a proven record of investing in rural networks and communities and of providing high quality telecommunications services to rural areas in Oklahoma.</w:t>
      </w:r>
      <w:r>
        <w:rPr>
          <w:szCs w:val="22"/>
          <w:vertAlign w:val="superscript"/>
        </w:rPr>
        <w:footnoteReference w:id="19"/>
      </w:r>
      <w:r w:rsidRPr="00843299">
        <w:rPr>
          <w:szCs w:val="22"/>
        </w:rPr>
        <w:t xml:space="preserve">  Additionally, there is no overlap of exchanges or service areas between PTCI and United and their affiliates.</w:t>
      </w:r>
      <w:r>
        <w:rPr>
          <w:szCs w:val="22"/>
          <w:vertAlign w:val="superscript"/>
        </w:rPr>
        <w:footnoteReference w:id="20"/>
      </w:r>
      <w:r w:rsidRPr="00843299">
        <w:rPr>
          <w:szCs w:val="22"/>
        </w:rPr>
        <w:t xml:space="preserve">  </w:t>
      </w:r>
    </w:p>
    <w:p w:rsidR="00843299" w:rsidRPr="00843299" w:rsidP="00843299" w14:paraId="392C537E" w14:textId="77777777">
      <w:pPr>
        <w:autoSpaceDE w:val="0"/>
        <w:autoSpaceDN w:val="0"/>
        <w:adjustRightInd w:val="0"/>
        <w:spacing w:after="120"/>
        <w:ind w:firstLine="720"/>
        <w:rPr>
          <w:bCs/>
          <w:snapToGrid w:val="0"/>
          <w:color w:val="000000"/>
          <w:kern w:val="28"/>
          <w:szCs w:val="22"/>
        </w:rPr>
      </w:pPr>
      <w:r w:rsidRPr="00843299">
        <w:rPr>
          <w:bCs/>
          <w:snapToGrid w:val="0"/>
          <w:color w:val="000000"/>
          <w:kern w:val="28"/>
          <w:szCs w:val="22"/>
        </w:rPr>
        <w:t>Applicants do not request streamlined treatment of this Application.</w:t>
      </w:r>
      <w:r>
        <w:rPr>
          <w:bCs/>
          <w:snapToGrid w:val="0"/>
          <w:color w:val="000000"/>
          <w:kern w:val="28"/>
          <w:szCs w:val="22"/>
          <w:vertAlign w:val="superscript"/>
        </w:rPr>
        <w:footnoteReference w:id="21"/>
      </w:r>
      <w:r w:rsidRPr="00843299">
        <w:rPr>
          <w:bCs/>
          <w:snapToGrid w:val="0"/>
          <w:color w:val="000000"/>
          <w:kern w:val="28"/>
          <w:szCs w:val="22"/>
        </w:rPr>
        <w:t xml:space="preserve">  Because the proposed transaction is more complex than those accepted for streamlined treatment, and in order to analyze whether the proposed transaction would serve the public interest, we accept the Application for non-streamlined processing.</w:t>
      </w:r>
      <w:r>
        <w:rPr>
          <w:bCs/>
          <w:snapToGrid w:val="0"/>
          <w:color w:val="000000"/>
          <w:kern w:val="28"/>
          <w:szCs w:val="22"/>
          <w:vertAlign w:val="superscript"/>
        </w:rPr>
        <w:footnoteReference w:id="22"/>
      </w:r>
    </w:p>
    <w:p w:rsidR="00843299" w:rsidRPr="00843299" w:rsidP="00843299" w14:paraId="748BD7D2" w14:textId="77777777">
      <w:pPr>
        <w:ind w:left="720"/>
        <w:rPr>
          <w:szCs w:val="22"/>
        </w:rPr>
      </w:pPr>
      <w:r w:rsidRPr="00843299">
        <w:rPr>
          <w:szCs w:val="22"/>
        </w:rPr>
        <w:t xml:space="preserve">Domestic Section 214 Application Filed for the Assignment of Assets of </w:t>
      </w:r>
    </w:p>
    <w:p w:rsidR="00843299" w:rsidRPr="00843299" w:rsidP="00843299" w14:paraId="33E38555" w14:textId="77777777">
      <w:pPr>
        <w:ind w:left="720"/>
        <w:rPr>
          <w:szCs w:val="22"/>
        </w:rPr>
      </w:pPr>
      <w:r w:rsidRPr="00843299">
        <w:rPr>
          <w:szCs w:val="22"/>
        </w:rPr>
        <w:t xml:space="preserve">United Telephone Association, Inc. to Panhandle Telephone Cooperative, Inc., </w:t>
      </w:r>
    </w:p>
    <w:p w:rsidR="00843299" w:rsidRPr="00843299" w:rsidP="00843299" w14:paraId="3A7ED30A" w14:textId="77777777">
      <w:pPr>
        <w:ind w:left="720"/>
        <w:rPr>
          <w:szCs w:val="22"/>
        </w:rPr>
      </w:pPr>
      <w:r w:rsidRPr="00843299">
        <w:rPr>
          <w:szCs w:val="22"/>
        </w:rPr>
        <w:t>WC Docket No. 23-255 (filed July 25, 2023).</w:t>
      </w:r>
    </w:p>
    <w:p w:rsidR="00843299" w:rsidRPr="00843299" w:rsidP="00843299" w14:paraId="2E72F336" w14:textId="77777777">
      <w:pPr>
        <w:widowControl w:val="0"/>
        <w:rPr>
          <w:snapToGrid w:val="0"/>
          <w:kern w:val="28"/>
          <w:szCs w:val="22"/>
        </w:rPr>
      </w:pPr>
    </w:p>
    <w:p w:rsidR="00843299" w:rsidRPr="00843299" w:rsidP="00843299" w14:paraId="0AE92A86" w14:textId="77777777">
      <w:pPr>
        <w:keepNext/>
        <w:autoSpaceDE w:val="0"/>
        <w:autoSpaceDN w:val="0"/>
        <w:adjustRightInd w:val="0"/>
        <w:spacing w:after="120"/>
        <w:rPr>
          <w:szCs w:val="22"/>
        </w:rPr>
      </w:pPr>
      <w:r w:rsidRPr="00843299">
        <w:rPr>
          <w:b/>
          <w:szCs w:val="22"/>
          <w:u w:val="single"/>
        </w:rPr>
        <w:t>GENERAL INFORMATION</w:t>
      </w:r>
    </w:p>
    <w:p w:rsidR="00843299" w:rsidRPr="00843299" w:rsidP="00843299" w14:paraId="2E110A3B" w14:textId="77777777">
      <w:pPr>
        <w:autoSpaceDE w:val="0"/>
        <w:autoSpaceDN w:val="0"/>
        <w:adjustRightInd w:val="0"/>
        <w:spacing w:after="120"/>
        <w:ind w:firstLine="720"/>
        <w:rPr>
          <w:szCs w:val="22"/>
        </w:rPr>
      </w:pPr>
      <w:r w:rsidRPr="00843299">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843299" w:rsidRPr="00843299" w:rsidP="00843299" w14:paraId="5EC25212" w14:textId="77777777">
      <w:pPr>
        <w:autoSpaceDE w:val="0"/>
        <w:autoSpaceDN w:val="0"/>
        <w:adjustRightInd w:val="0"/>
        <w:spacing w:after="120"/>
        <w:ind w:firstLine="720"/>
        <w:rPr>
          <w:szCs w:val="22"/>
        </w:rPr>
      </w:pPr>
      <w:r w:rsidRPr="00843299">
        <w:rPr>
          <w:szCs w:val="22"/>
        </w:rPr>
        <w:t xml:space="preserve">Interested parties may file comments </w:t>
      </w:r>
      <w:r w:rsidRPr="00843299">
        <w:rPr>
          <w:b/>
          <w:szCs w:val="22"/>
        </w:rPr>
        <w:t>on or before October 17, 2023</w:t>
      </w:r>
      <w:r w:rsidRPr="00843299">
        <w:rPr>
          <w:szCs w:val="22"/>
        </w:rPr>
        <w:t xml:space="preserve">, and reply comments </w:t>
      </w:r>
      <w:r w:rsidRPr="00843299">
        <w:rPr>
          <w:b/>
          <w:szCs w:val="22"/>
        </w:rPr>
        <w:t>on or before October 24, 2023</w:t>
      </w:r>
      <w:r w:rsidRPr="00843299">
        <w:rPr>
          <w:szCs w:val="22"/>
        </w:rPr>
        <w:t>.  Comments may be filed using the Commission’s Electronic Comment Filing System (ECFS) or by paper.  </w:t>
      </w:r>
    </w:p>
    <w:p w:rsidR="00843299" w:rsidRPr="00843299" w:rsidP="00843299" w14:paraId="5FD3782B" w14:textId="77777777">
      <w:pPr>
        <w:widowControl w:val="0"/>
        <w:numPr>
          <w:ilvl w:val="0"/>
          <w:numId w:val="20"/>
        </w:numPr>
        <w:autoSpaceDE w:val="0"/>
        <w:autoSpaceDN w:val="0"/>
        <w:adjustRightInd w:val="0"/>
        <w:spacing w:after="120"/>
        <w:rPr>
          <w:szCs w:val="22"/>
        </w:rPr>
      </w:pPr>
      <w:r w:rsidRPr="00843299">
        <w:rPr>
          <w:szCs w:val="22"/>
        </w:rPr>
        <w:t>Electronic Filers:  Comments may be filed electronically by accessing ECFS at </w:t>
      </w:r>
      <w:hyperlink r:id="rId11" w:history="1">
        <w:r w:rsidRPr="00843299">
          <w:rPr>
            <w:color w:val="0000FF"/>
            <w:szCs w:val="22"/>
            <w:u w:val="single"/>
          </w:rPr>
          <w:t>http://apps.fcc.gov/ecfs/</w:t>
        </w:r>
      </w:hyperlink>
      <w:r w:rsidRPr="00843299">
        <w:rPr>
          <w:szCs w:val="22"/>
          <w:u w:val="single"/>
        </w:rPr>
        <w:t xml:space="preserve"> </w:t>
      </w:r>
      <w:r w:rsidRPr="00843299">
        <w:rPr>
          <w:szCs w:val="22"/>
        </w:rPr>
        <w:t>.</w:t>
      </w:r>
    </w:p>
    <w:p w:rsidR="0005430A" w:rsidRPr="00843299" w:rsidP="0005430A" w14:paraId="374ABC07" w14:textId="68C52142">
      <w:pPr>
        <w:widowControl w:val="0"/>
        <w:numPr>
          <w:ilvl w:val="0"/>
          <w:numId w:val="21"/>
        </w:numPr>
        <w:autoSpaceDE w:val="0"/>
        <w:autoSpaceDN w:val="0"/>
        <w:adjustRightInd w:val="0"/>
        <w:spacing w:after="120"/>
        <w:rPr>
          <w:szCs w:val="22"/>
        </w:rPr>
      </w:pPr>
      <w:r w:rsidRPr="00843299">
        <w:rPr>
          <w:i/>
          <w:iCs/>
          <w:szCs w:val="22"/>
        </w:rPr>
        <w:t>Paper Filers</w:t>
      </w:r>
      <w:r w:rsidRPr="00843299">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43299" w:rsidRPr="00843299" w:rsidP="00843299" w14:paraId="36F488B9" w14:textId="77777777">
      <w:pPr>
        <w:widowControl w:val="0"/>
        <w:numPr>
          <w:ilvl w:val="1"/>
          <w:numId w:val="21"/>
        </w:numPr>
        <w:autoSpaceDE w:val="0"/>
        <w:autoSpaceDN w:val="0"/>
        <w:adjustRightInd w:val="0"/>
        <w:spacing w:after="120"/>
        <w:rPr>
          <w:szCs w:val="22"/>
        </w:rPr>
      </w:pPr>
      <w:r w:rsidRPr="00843299">
        <w:rPr>
          <w:szCs w:val="22"/>
        </w:rPr>
        <w:t>Filings can be sent by commercial overnight courier or by first-class or overnight U.S. Postal Service mail.</w:t>
      </w:r>
      <w:r>
        <w:rPr>
          <w:szCs w:val="22"/>
          <w:vertAlign w:val="superscript"/>
        </w:rPr>
        <w:footnoteReference w:id="23"/>
      </w:r>
      <w:r w:rsidRPr="00843299">
        <w:rPr>
          <w:szCs w:val="22"/>
        </w:rPr>
        <w:t xml:space="preserve">  All filings must be addressed to the Commission’s </w:t>
      </w:r>
      <w:r w:rsidRPr="00843299">
        <w:rPr>
          <w:szCs w:val="22"/>
        </w:rPr>
        <w:t>Secretary, Office of the Secretary, Federal Communications Commission.</w:t>
      </w:r>
    </w:p>
    <w:p w:rsidR="00843299" w:rsidRPr="00843299" w:rsidP="00843299" w14:paraId="5E2DFEF1" w14:textId="77777777">
      <w:pPr>
        <w:widowControl w:val="0"/>
        <w:numPr>
          <w:ilvl w:val="1"/>
          <w:numId w:val="21"/>
        </w:numPr>
        <w:autoSpaceDE w:val="0"/>
        <w:autoSpaceDN w:val="0"/>
        <w:adjustRightInd w:val="0"/>
        <w:spacing w:after="120"/>
        <w:rPr>
          <w:szCs w:val="22"/>
        </w:rPr>
      </w:pPr>
      <w:r w:rsidRPr="00843299">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843299" w:rsidRPr="00843299" w:rsidP="00843299" w14:paraId="259A464F" w14:textId="77777777">
      <w:pPr>
        <w:autoSpaceDE w:val="0"/>
        <w:autoSpaceDN w:val="0"/>
        <w:adjustRightInd w:val="0"/>
        <w:spacing w:after="120"/>
        <w:ind w:firstLine="720"/>
        <w:rPr>
          <w:szCs w:val="22"/>
        </w:rPr>
      </w:pPr>
      <w:r w:rsidRPr="00843299">
        <w:rPr>
          <w:szCs w:val="22"/>
        </w:rPr>
        <w:t>People with Disabilities:  We ask that requests for accommodations be made as soon as possible in order to allow the agency to satisfy such requests whenever possible.  Send an email to </w:t>
      </w:r>
      <w:hyperlink r:id="rId12" w:tgtFrame="_blank" w:history="1">
        <w:r w:rsidRPr="00843299">
          <w:rPr>
            <w:color w:val="0000FF"/>
            <w:szCs w:val="22"/>
            <w:u w:val="single"/>
          </w:rPr>
          <w:t>fcc504@fcc.gov</w:t>
        </w:r>
      </w:hyperlink>
      <w:r w:rsidRPr="00843299">
        <w:rPr>
          <w:szCs w:val="22"/>
        </w:rPr>
        <w:t> or call the Consumer and Governmental Affairs Bureau at (202) 418-0530.</w:t>
      </w:r>
    </w:p>
    <w:p w:rsidR="00843299" w:rsidRPr="00843299" w:rsidP="00843299" w14:paraId="2A88079D" w14:textId="77777777">
      <w:pPr>
        <w:autoSpaceDE w:val="0"/>
        <w:autoSpaceDN w:val="0"/>
        <w:adjustRightInd w:val="0"/>
        <w:spacing w:after="120"/>
        <w:ind w:firstLine="720"/>
        <w:rPr>
          <w:b/>
          <w:szCs w:val="22"/>
        </w:rPr>
      </w:pPr>
      <w:r w:rsidRPr="00843299">
        <w:rPr>
          <w:b/>
          <w:szCs w:val="22"/>
        </w:rPr>
        <w:t>In addition, e-mail one copy of each pleading to each of the following:</w:t>
      </w:r>
    </w:p>
    <w:p w:rsidR="00843299" w:rsidRPr="00843299" w:rsidP="00843299" w14:paraId="3F98CD61" w14:textId="77777777">
      <w:pPr>
        <w:widowControl w:val="0"/>
        <w:numPr>
          <w:ilvl w:val="0"/>
          <w:numId w:val="18"/>
        </w:numPr>
        <w:autoSpaceDE w:val="0"/>
        <w:autoSpaceDN w:val="0"/>
        <w:adjustRightInd w:val="0"/>
        <w:spacing w:after="120"/>
        <w:rPr>
          <w:szCs w:val="22"/>
        </w:rPr>
      </w:pPr>
      <w:r w:rsidRPr="00843299">
        <w:rPr>
          <w:szCs w:val="22"/>
        </w:rPr>
        <w:t xml:space="preserve">Tracey Wilson, Competition Policy Division, Wireline Competition Bureau, </w:t>
      </w:r>
      <w:hyperlink r:id="rId13" w:history="1">
        <w:r w:rsidRPr="00843299">
          <w:rPr>
            <w:color w:val="0000FF"/>
            <w:szCs w:val="22"/>
            <w:u w:val="single"/>
          </w:rPr>
          <w:t>tracey.wilson@fcc.gov</w:t>
        </w:r>
      </w:hyperlink>
      <w:r w:rsidRPr="00843299">
        <w:rPr>
          <w:szCs w:val="22"/>
        </w:rPr>
        <w:t xml:space="preserve">;  </w:t>
      </w:r>
    </w:p>
    <w:p w:rsidR="00843299" w:rsidRPr="00843299" w:rsidP="00843299" w14:paraId="640BD6AE" w14:textId="77777777">
      <w:pPr>
        <w:widowControl w:val="0"/>
        <w:numPr>
          <w:ilvl w:val="0"/>
          <w:numId w:val="18"/>
        </w:numPr>
        <w:autoSpaceDE w:val="0"/>
        <w:autoSpaceDN w:val="0"/>
        <w:adjustRightInd w:val="0"/>
        <w:spacing w:after="120"/>
        <w:rPr>
          <w:szCs w:val="22"/>
        </w:rPr>
      </w:pPr>
      <w:r w:rsidRPr="00843299">
        <w:rPr>
          <w:szCs w:val="22"/>
        </w:rPr>
        <w:t xml:space="preserve">Megan Danner, Competition Policy Division, Wireline Competition Bureau, </w:t>
      </w:r>
      <w:hyperlink r:id="rId14" w:history="1">
        <w:r w:rsidRPr="00843299">
          <w:rPr>
            <w:color w:val="0000FF"/>
            <w:szCs w:val="22"/>
            <w:u w:val="single"/>
          </w:rPr>
          <w:t>megan.danner@fcc.gov</w:t>
        </w:r>
      </w:hyperlink>
      <w:r w:rsidRPr="00843299">
        <w:rPr>
          <w:szCs w:val="22"/>
        </w:rPr>
        <w:t>; and</w:t>
      </w:r>
    </w:p>
    <w:p w:rsidR="00843299" w:rsidRPr="00843299" w:rsidP="00843299" w14:paraId="3537C640" w14:textId="77777777">
      <w:pPr>
        <w:widowControl w:val="0"/>
        <w:numPr>
          <w:ilvl w:val="0"/>
          <w:numId w:val="18"/>
        </w:numPr>
        <w:autoSpaceDE w:val="0"/>
        <w:autoSpaceDN w:val="0"/>
        <w:adjustRightInd w:val="0"/>
        <w:spacing w:after="120"/>
        <w:rPr>
          <w:szCs w:val="22"/>
        </w:rPr>
      </w:pPr>
      <w:r w:rsidRPr="00843299">
        <w:rPr>
          <w:szCs w:val="22"/>
        </w:rPr>
        <w:t xml:space="preserve">Jim Bird, Office of General Counsel, </w:t>
      </w:r>
      <w:hyperlink r:id="rId15">
        <w:r w:rsidRPr="00843299">
          <w:rPr>
            <w:color w:val="0000FF"/>
            <w:szCs w:val="22"/>
            <w:u w:val="single"/>
          </w:rPr>
          <w:t>jim.bird@fcc.gov</w:t>
        </w:r>
      </w:hyperlink>
      <w:r w:rsidRPr="00843299">
        <w:rPr>
          <w:szCs w:val="22"/>
        </w:rPr>
        <w:t>.</w:t>
      </w:r>
    </w:p>
    <w:p w:rsidR="00843299" w:rsidRPr="00843299" w:rsidP="00843299" w14:paraId="37BD5473" w14:textId="77777777">
      <w:pPr>
        <w:autoSpaceDE w:val="0"/>
        <w:autoSpaceDN w:val="0"/>
        <w:adjustRightInd w:val="0"/>
        <w:spacing w:after="120"/>
        <w:ind w:firstLine="720"/>
        <w:rPr>
          <w:szCs w:val="22"/>
        </w:rPr>
      </w:pPr>
      <w:r w:rsidRPr="00843299">
        <w:rPr>
          <w:szCs w:val="22"/>
        </w:rPr>
        <w:t xml:space="preserve">The proceeding in this Notice shall be treated as a “permit-but-disclose” proceeding in accordance with the Commission’s </w:t>
      </w:r>
      <w:r w:rsidRPr="00843299">
        <w:rPr>
          <w:i/>
          <w:szCs w:val="22"/>
        </w:rPr>
        <w:t>ex parte</w:t>
      </w:r>
      <w:r w:rsidRPr="00843299">
        <w:rPr>
          <w:szCs w:val="22"/>
        </w:rPr>
        <w:t xml:space="preserve"> rules.  Persons making </w:t>
      </w:r>
      <w:r w:rsidRPr="00843299">
        <w:rPr>
          <w:i/>
          <w:szCs w:val="22"/>
        </w:rPr>
        <w:t>ex parte</w:t>
      </w:r>
      <w:r w:rsidRPr="00843299">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299">
        <w:rPr>
          <w:i/>
          <w:szCs w:val="22"/>
        </w:rPr>
        <w:t>ex parte</w:t>
      </w:r>
      <w:r w:rsidRPr="00843299">
        <w:rPr>
          <w:szCs w:val="22"/>
        </w:rPr>
        <w:t xml:space="preserve"> presentations are reminded that memoranda summarizing the presentation must (1) list all persons attending or otherwise participating in the meeting at which the </w:t>
      </w:r>
      <w:r w:rsidRPr="00843299">
        <w:rPr>
          <w:i/>
          <w:szCs w:val="22"/>
        </w:rPr>
        <w:t>ex parte</w:t>
      </w:r>
      <w:r w:rsidRPr="00843299">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299">
        <w:rPr>
          <w:i/>
          <w:szCs w:val="22"/>
        </w:rPr>
        <w:t>ex parte</w:t>
      </w:r>
      <w:r w:rsidRPr="00843299">
        <w:rPr>
          <w:szCs w:val="22"/>
        </w:rPr>
        <w:t xml:space="preserve"> meetings are deemed to be written </w:t>
      </w:r>
      <w:r w:rsidRPr="00843299">
        <w:rPr>
          <w:i/>
          <w:szCs w:val="22"/>
        </w:rPr>
        <w:t>ex parte</w:t>
      </w:r>
      <w:r w:rsidRPr="00843299">
        <w:rPr>
          <w:szCs w:val="22"/>
        </w:rPr>
        <w:t xml:space="preserve"> presentations and must be filed consistent with rule 1.1206(b), 47 CFR § 1.1206(b).  Participants in this proceeding should familiarize themselves with the Commission’s </w:t>
      </w:r>
      <w:r w:rsidRPr="00843299">
        <w:rPr>
          <w:i/>
          <w:szCs w:val="22"/>
        </w:rPr>
        <w:t>ex parte</w:t>
      </w:r>
      <w:r w:rsidRPr="00843299">
        <w:rPr>
          <w:szCs w:val="22"/>
        </w:rPr>
        <w:t xml:space="preserve"> rules.</w:t>
      </w:r>
    </w:p>
    <w:p w:rsidR="00843299" w:rsidP="00843299" w14:paraId="755D9963" w14:textId="77777777">
      <w:pPr>
        <w:autoSpaceDE w:val="0"/>
        <w:autoSpaceDN w:val="0"/>
        <w:adjustRightInd w:val="0"/>
        <w:spacing w:after="120"/>
        <w:ind w:firstLine="720"/>
        <w:rPr>
          <w:szCs w:val="22"/>
        </w:rPr>
      </w:pPr>
      <w:r w:rsidRPr="00843299">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24"/>
      </w:r>
      <w:r w:rsidRPr="00843299">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  </w:t>
      </w:r>
    </w:p>
    <w:p w:rsidR="00544DC1" w:rsidP="00843299" w14:paraId="32AD0A5E" w14:textId="77777777">
      <w:pPr>
        <w:autoSpaceDE w:val="0"/>
        <w:autoSpaceDN w:val="0"/>
        <w:adjustRightInd w:val="0"/>
        <w:spacing w:after="120"/>
        <w:ind w:firstLine="720"/>
        <w:rPr>
          <w:szCs w:val="22"/>
        </w:rPr>
      </w:pPr>
    </w:p>
    <w:p w:rsidR="00544DC1" w:rsidRPr="00843299" w:rsidP="00843299" w14:paraId="74A2FDD8" w14:textId="77777777">
      <w:pPr>
        <w:autoSpaceDE w:val="0"/>
        <w:autoSpaceDN w:val="0"/>
        <w:adjustRightInd w:val="0"/>
        <w:spacing w:after="120"/>
        <w:ind w:firstLine="720"/>
        <w:rPr>
          <w:szCs w:val="22"/>
        </w:rPr>
      </w:pPr>
    </w:p>
    <w:p w:rsidR="00843299" w:rsidRPr="00843299" w:rsidP="00843299" w14:paraId="22D27476" w14:textId="6DDC9075">
      <w:pPr>
        <w:autoSpaceDE w:val="0"/>
        <w:autoSpaceDN w:val="0"/>
        <w:adjustRightInd w:val="0"/>
        <w:spacing w:after="120"/>
        <w:ind w:firstLine="720"/>
        <w:rPr>
          <w:szCs w:val="22"/>
        </w:rPr>
      </w:pPr>
      <w:r w:rsidRPr="00843299">
        <w:rPr>
          <w:szCs w:val="22"/>
        </w:rPr>
        <w:t xml:space="preserve">For further information, please contact </w:t>
      </w:r>
      <w:r w:rsidR="00EC5F92">
        <w:rPr>
          <w:szCs w:val="22"/>
        </w:rPr>
        <w:t>Tracey Wilson</w:t>
      </w:r>
      <w:r w:rsidRPr="00843299">
        <w:rPr>
          <w:szCs w:val="22"/>
        </w:rPr>
        <w:t xml:space="preserve"> at (202) 418-1</w:t>
      </w:r>
      <w:r w:rsidR="00EC5F92">
        <w:rPr>
          <w:szCs w:val="22"/>
        </w:rPr>
        <w:t>394</w:t>
      </w:r>
      <w:r w:rsidRPr="00843299">
        <w:rPr>
          <w:szCs w:val="22"/>
        </w:rPr>
        <w:t xml:space="preserve"> or Megan Danner at (202) 418-1151.</w:t>
      </w:r>
    </w:p>
    <w:p w:rsidR="00843299" w:rsidRPr="00843299" w:rsidP="00843299" w14:paraId="7ECA9254" w14:textId="77777777">
      <w:pPr>
        <w:autoSpaceDE w:val="0"/>
        <w:autoSpaceDN w:val="0"/>
        <w:adjustRightInd w:val="0"/>
        <w:spacing w:after="120"/>
        <w:rPr>
          <w:szCs w:val="22"/>
        </w:rPr>
      </w:pPr>
    </w:p>
    <w:p w:rsidR="00843299" w:rsidRPr="00843299" w:rsidP="00843299" w14:paraId="3C5C9AF3" w14:textId="77777777">
      <w:pPr>
        <w:autoSpaceDE w:val="0"/>
        <w:autoSpaceDN w:val="0"/>
        <w:adjustRightInd w:val="0"/>
        <w:rPr>
          <w:szCs w:val="22"/>
        </w:rPr>
      </w:pPr>
    </w:p>
    <w:p w:rsidR="00843299" w:rsidRPr="00843299" w:rsidP="00843299" w14:paraId="47B12EA0" w14:textId="77777777">
      <w:pPr>
        <w:autoSpaceDE w:val="0"/>
        <w:autoSpaceDN w:val="0"/>
        <w:adjustRightInd w:val="0"/>
        <w:jc w:val="center"/>
        <w:rPr>
          <w:color w:val="000000"/>
          <w:szCs w:val="22"/>
        </w:rPr>
      </w:pPr>
      <w:r w:rsidRPr="00843299">
        <w:rPr>
          <w:b/>
          <w:szCs w:val="22"/>
        </w:rPr>
        <w:t>-FCC-</w:t>
      </w:r>
      <w:bookmarkEnd w:id="1"/>
      <w:bookmarkEnd w:id="2"/>
    </w:p>
    <w:p w:rsidR="00843299" w:rsidRPr="00926DD3" w:rsidP="001B15F0" w14:paraId="5BE7ED7B" w14:textId="77777777">
      <w:pPr>
        <w:ind w:left="7200"/>
        <w:rPr>
          <w:b/>
          <w:bCs/>
          <w:color w:val="000000"/>
          <w:szCs w:val="22"/>
        </w:rPr>
      </w:pPr>
    </w:p>
    <w:sectPr>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C0734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828BE">
      <w:rPr>
        <w:rStyle w:val="PageNumber"/>
      </w:rPr>
      <w:fldChar w:fldCharType="separate"/>
    </w:r>
    <w:r>
      <w:rPr>
        <w:rStyle w:val="PageNumber"/>
      </w:rPr>
      <w:fldChar w:fldCharType="end"/>
    </w:r>
  </w:p>
  <w:p w:rsidR="00E7033D" w14:paraId="7B64AD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EACF2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2BDE66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299" w14:paraId="1167980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3299" w14:paraId="4E40040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299" w14:paraId="10E7284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3299" w14:paraId="0F021C2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51571D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2BC493F" w14:textId="77777777"/>
  <w:p w:rsidR="00E7033D" w14:paraId="6C52EC6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59EF" w14:paraId="74B65DE4" w14:textId="77777777">
      <w:r>
        <w:separator/>
      </w:r>
    </w:p>
  </w:footnote>
  <w:footnote w:type="continuationSeparator" w:id="1">
    <w:p w:rsidR="008A59EF" w14:paraId="2242C17C" w14:textId="77777777">
      <w:r>
        <w:continuationSeparator/>
      </w:r>
    </w:p>
  </w:footnote>
  <w:footnote w:type="continuationNotice" w:id="2">
    <w:p w:rsidR="008A59EF" w14:paraId="4CA682B7" w14:textId="77777777"/>
  </w:footnote>
  <w:footnote w:id="3">
    <w:p w:rsidR="00843299" w:rsidRPr="00991782" w:rsidP="00843299" w14:paraId="73567B80" w14:textId="77777777">
      <w:pPr>
        <w:spacing w:before="120" w:after="120"/>
        <w:rPr>
          <w:sz w:val="20"/>
        </w:rPr>
      </w:pPr>
      <w:r w:rsidRPr="00D32439">
        <w:rPr>
          <w:rStyle w:val="FootnoteReference"/>
        </w:rPr>
        <w:footnoteRef/>
      </w:r>
      <w:r w:rsidRPr="00D32439">
        <w:t xml:space="preserve"> </w:t>
      </w:r>
      <w:r w:rsidRPr="00991782">
        <w:rPr>
          <w:i/>
          <w:sz w:val="20"/>
        </w:rPr>
        <w:t>See</w:t>
      </w:r>
      <w:r w:rsidRPr="00991782">
        <w:rPr>
          <w:sz w:val="20"/>
        </w:rPr>
        <w:t xml:space="preserve"> 47 U.S.C. § 214; 47 CFR §§ 63.03-04.</w:t>
      </w:r>
    </w:p>
  </w:footnote>
  <w:footnote w:id="4">
    <w:p w:rsidR="00843299" w:rsidRPr="00AD71C9" w:rsidP="00843299" w14:paraId="57CCD35C" w14:textId="77777777">
      <w:pPr>
        <w:pStyle w:val="FootnoteText"/>
        <w:spacing w:before="120" w:after="120"/>
      </w:pPr>
      <w:r w:rsidRPr="00991782">
        <w:rPr>
          <w:rStyle w:val="FootnoteReference"/>
          <w:sz w:val="20"/>
        </w:rPr>
        <w:footnoteRef/>
      </w:r>
      <w:r w:rsidRPr="00991782">
        <w:rPr>
          <w:sz w:val="20"/>
        </w:rPr>
        <w:t xml:space="preserve"> </w:t>
      </w:r>
      <w:r w:rsidRPr="00991782">
        <w:rPr>
          <w:i/>
          <w:iCs/>
          <w:sz w:val="20"/>
        </w:rPr>
        <w:t>See Application for the Assignment of Assets of United Telephone Association, Inc. to Panhandle Telephone Cooperative, Inc., Pursuant to Section 214 of the Communications Act of 1934, as Amended</w:t>
      </w:r>
      <w:r w:rsidRPr="00991782">
        <w:rPr>
          <w:sz w:val="20"/>
        </w:rPr>
        <w:t>, WC Docket No. 23-255 (filed July 25, 2023) (Application).  Applicants also filed a petition for waiver of the Commission’s Study Area Boundary freeze and a waiver of sections 51.909 and 51.917 of the Commission’s rules.  Application at 7.  On September 28, 2023, Applicants filed a supplement to their Application.  Letter from Michael R. Bennet, Counsel for PTCI, and Tony S. Lee, Counsel for United, to Marlene H. Dortch, Secretary, FCC, WC Docket No. 23-255 (filed Sept. 28, 2023) (Supplement).  Any action on this domestic section 214 application is without prejudice to Commission action on other related, pending applications or petitions for waiver.</w:t>
      </w:r>
      <w:r w:rsidRPr="00E93B00">
        <w:t xml:space="preserve"> </w:t>
      </w:r>
      <w:r>
        <w:t xml:space="preserve"> </w:t>
      </w:r>
    </w:p>
  </w:footnote>
  <w:footnote w:id="5">
    <w:p w:rsidR="00843299" w:rsidRPr="00843299" w:rsidP="00843299" w14:paraId="67D565FB" w14:textId="77777777">
      <w:pPr>
        <w:pStyle w:val="FootnoteText"/>
        <w:spacing w:before="120" w:after="120"/>
        <w:rPr>
          <w:sz w:val="20"/>
        </w:rPr>
      </w:pPr>
      <w:r w:rsidRPr="00911C17">
        <w:rPr>
          <w:rStyle w:val="FootnoteReference"/>
        </w:rPr>
        <w:footnoteRef/>
      </w:r>
      <w:r w:rsidRPr="00911C17">
        <w:t xml:space="preserve"> </w:t>
      </w:r>
      <w:r w:rsidRPr="00843299">
        <w:rPr>
          <w:sz w:val="20"/>
        </w:rPr>
        <w:t>Application at 2, 5-6.</w:t>
      </w:r>
    </w:p>
  </w:footnote>
  <w:footnote w:id="6">
    <w:p w:rsidR="00843299" w:rsidRPr="00843299" w:rsidP="00843299" w14:paraId="00B64E2A" w14:textId="77777777">
      <w:pPr>
        <w:pStyle w:val="FootnoteText"/>
        <w:spacing w:before="120" w:after="120"/>
        <w:rPr>
          <w:sz w:val="20"/>
        </w:rPr>
      </w:pPr>
      <w:r w:rsidRPr="00843299">
        <w:rPr>
          <w:rStyle w:val="FootnoteReference"/>
          <w:sz w:val="20"/>
        </w:rPr>
        <w:footnoteRef/>
      </w:r>
      <w:r w:rsidRPr="00843299">
        <w:rPr>
          <w:sz w:val="20"/>
        </w:rPr>
        <w:t xml:space="preserve"> </w:t>
      </w:r>
      <w:r w:rsidRPr="00843299">
        <w:rPr>
          <w:i/>
          <w:iCs/>
          <w:sz w:val="20"/>
        </w:rPr>
        <w:t>Id</w:t>
      </w:r>
      <w:r w:rsidRPr="00843299">
        <w:rPr>
          <w:sz w:val="20"/>
        </w:rPr>
        <w:t xml:space="preserve">. at 4.  United also participates in the Lifeline program and the Affordable Connectivity Program, and the programs will continue to be available post consummation of the transaction.  </w:t>
      </w:r>
      <w:r w:rsidRPr="00843299">
        <w:rPr>
          <w:i/>
          <w:iCs/>
          <w:sz w:val="20"/>
        </w:rPr>
        <w:t>Id</w:t>
      </w:r>
      <w:r w:rsidRPr="00843299">
        <w:rPr>
          <w:sz w:val="20"/>
        </w:rPr>
        <w:t xml:space="preserve">.  United’s study area code (SAC) is 411841.  </w:t>
      </w:r>
      <w:r w:rsidRPr="00843299">
        <w:rPr>
          <w:i/>
          <w:iCs/>
          <w:sz w:val="20"/>
        </w:rPr>
        <w:t>Id</w:t>
      </w:r>
      <w:r w:rsidRPr="00843299">
        <w:rPr>
          <w:sz w:val="20"/>
        </w:rPr>
        <w:t xml:space="preserve">. </w:t>
      </w:r>
    </w:p>
  </w:footnote>
  <w:footnote w:id="7">
    <w:p w:rsidR="00843299" w:rsidRPr="00843299" w:rsidP="00843299" w14:paraId="6CE15E06" w14:textId="77777777">
      <w:pPr>
        <w:pStyle w:val="FootnoteText"/>
        <w:spacing w:before="120" w:after="120"/>
        <w:rPr>
          <w:sz w:val="20"/>
        </w:rPr>
      </w:pPr>
      <w:r w:rsidRPr="00E93B00">
        <w:rPr>
          <w:rStyle w:val="FootnoteReference"/>
        </w:rPr>
        <w:footnoteRef/>
      </w:r>
      <w:r w:rsidRPr="00E93B00">
        <w:t xml:space="preserve"> </w:t>
      </w:r>
      <w:r w:rsidRPr="00843299">
        <w:rPr>
          <w:i/>
          <w:iCs/>
          <w:sz w:val="20"/>
        </w:rPr>
        <w:t>Id</w:t>
      </w:r>
      <w:r w:rsidRPr="00843299">
        <w:rPr>
          <w:sz w:val="20"/>
        </w:rPr>
        <w:t xml:space="preserve">. at 1-2, 6.  United and its wireline affiliate, United Communications Association, Inc. (UCA), serve the following exchanges in Kansas:  Ashland, Cimarron, Copeland, Englewood, Ensign, Ford-Kingsdown, Hanston, Ingalls, Montezuma, Spearville, and Garden City, Sublette, Liberal, Fowler, Minneola, Bucklin, Coldwater, Dodge City, Meade, Protection, Kinsley, Plains, Jetmore, and Scott City.  </w:t>
      </w:r>
      <w:r w:rsidRPr="00843299">
        <w:rPr>
          <w:i/>
          <w:iCs/>
          <w:sz w:val="20"/>
        </w:rPr>
        <w:t>Id</w:t>
      </w:r>
      <w:r w:rsidRPr="00843299">
        <w:rPr>
          <w:sz w:val="20"/>
        </w:rPr>
        <w:t xml:space="preserve">. at 7.  UCA provides Voice over Internet Protocol, interexchange, video, and data services.  </w:t>
      </w:r>
      <w:r w:rsidRPr="00843299">
        <w:rPr>
          <w:i/>
          <w:iCs/>
          <w:sz w:val="20"/>
        </w:rPr>
        <w:t>Id</w:t>
      </w:r>
      <w:r w:rsidRPr="00843299">
        <w:rPr>
          <w:sz w:val="20"/>
        </w:rPr>
        <w:t xml:space="preserve">. at 9; Supplement at 1 (clarifying that UCA is not part of the transaction with PTCI).  United’s wholly owned subsidiary, United Wireless Communications, Inc. (UWC), provides wireless telecommunications services.  </w:t>
      </w:r>
      <w:r w:rsidRPr="00843299">
        <w:rPr>
          <w:i/>
          <w:iCs/>
          <w:sz w:val="20"/>
        </w:rPr>
        <w:t>Id</w:t>
      </w:r>
      <w:r w:rsidRPr="00843299">
        <w:rPr>
          <w:sz w:val="20"/>
        </w:rPr>
        <w:t xml:space="preserve">.; Supplement at 1 (clarifying that UWC is not part of the transaction with PTCI). </w:t>
      </w:r>
    </w:p>
  </w:footnote>
  <w:footnote w:id="8">
    <w:p w:rsidR="00843299" w:rsidRPr="00843299" w:rsidP="00843299" w14:paraId="1CE0F1F0" w14:textId="77777777">
      <w:pPr>
        <w:pStyle w:val="FootnoteText"/>
        <w:spacing w:before="120" w:after="120"/>
        <w:rPr>
          <w:sz w:val="20"/>
        </w:rPr>
      </w:pPr>
      <w:r w:rsidRPr="00843299">
        <w:rPr>
          <w:rStyle w:val="FootnoteReference"/>
          <w:sz w:val="20"/>
        </w:rPr>
        <w:footnoteRef/>
      </w:r>
      <w:r w:rsidRPr="00843299">
        <w:rPr>
          <w:sz w:val="20"/>
        </w:rPr>
        <w:t xml:space="preserve"> Application at 1-2.</w:t>
      </w:r>
    </w:p>
  </w:footnote>
  <w:footnote w:id="9">
    <w:p w:rsidR="00843299" w:rsidRPr="00843299" w:rsidP="00843299" w14:paraId="7CAE3676" w14:textId="77777777">
      <w:pPr>
        <w:pStyle w:val="FootnoteText"/>
        <w:spacing w:before="120" w:after="120"/>
        <w:rPr>
          <w:sz w:val="20"/>
        </w:rPr>
      </w:pPr>
      <w:r w:rsidRPr="00843299">
        <w:rPr>
          <w:rStyle w:val="FootnoteReference"/>
          <w:sz w:val="20"/>
        </w:rPr>
        <w:footnoteRef/>
      </w:r>
      <w:r w:rsidRPr="00843299">
        <w:rPr>
          <w:sz w:val="20"/>
        </w:rPr>
        <w:t xml:space="preserve"> </w:t>
      </w:r>
      <w:r w:rsidRPr="00843299">
        <w:rPr>
          <w:i/>
          <w:iCs/>
          <w:sz w:val="20"/>
        </w:rPr>
        <w:t>Id</w:t>
      </w:r>
      <w:r w:rsidRPr="00843299">
        <w:rPr>
          <w:sz w:val="20"/>
        </w:rPr>
        <w:t xml:space="preserve">. at 2.  </w:t>
      </w:r>
    </w:p>
  </w:footnote>
  <w:footnote w:id="10">
    <w:p w:rsidR="00843299" w:rsidRPr="00843299" w:rsidP="00843299" w14:paraId="426C4880" w14:textId="77777777">
      <w:pPr>
        <w:pStyle w:val="FootnoteText"/>
        <w:spacing w:before="120" w:after="120"/>
        <w:rPr>
          <w:sz w:val="20"/>
        </w:rPr>
      </w:pPr>
      <w:r w:rsidRPr="00843299">
        <w:rPr>
          <w:rStyle w:val="FootnoteReference"/>
          <w:sz w:val="20"/>
        </w:rPr>
        <w:footnoteRef/>
      </w:r>
      <w:r w:rsidRPr="00843299">
        <w:rPr>
          <w:sz w:val="20"/>
        </w:rPr>
        <w:t xml:space="preserve"> </w:t>
      </w:r>
      <w:r w:rsidRPr="00843299">
        <w:rPr>
          <w:i/>
          <w:iCs/>
          <w:sz w:val="20"/>
        </w:rPr>
        <w:t>Id</w:t>
      </w:r>
      <w:r w:rsidRPr="00843299">
        <w:rPr>
          <w:sz w:val="20"/>
        </w:rPr>
        <w:t xml:space="preserve">. at 8.  </w:t>
      </w:r>
    </w:p>
  </w:footnote>
  <w:footnote w:id="11">
    <w:p w:rsidR="00843299" w:rsidRPr="00843299" w:rsidP="00843299" w14:paraId="4F262540" w14:textId="77777777">
      <w:pPr>
        <w:pStyle w:val="FootnoteText"/>
        <w:spacing w:before="120" w:after="120"/>
        <w:rPr>
          <w:sz w:val="20"/>
        </w:rPr>
      </w:pPr>
      <w:r w:rsidRPr="00843299">
        <w:rPr>
          <w:rStyle w:val="FootnoteReference"/>
          <w:sz w:val="20"/>
        </w:rPr>
        <w:footnoteRef/>
      </w:r>
      <w:r w:rsidRPr="00843299">
        <w:rPr>
          <w:sz w:val="20"/>
        </w:rPr>
        <w:t xml:space="preserve"> </w:t>
      </w:r>
      <w:r w:rsidRPr="00843299">
        <w:rPr>
          <w:i/>
          <w:iCs/>
          <w:sz w:val="20"/>
        </w:rPr>
        <w:t>Id</w:t>
      </w:r>
      <w:r w:rsidRPr="00843299">
        <w:rPr>
          <w:sz w:val="20"/>
        </w:rPr>
        <w:t xml:space="preserve">. at 2, 5-6.  PTCI serves the following exchanges in Oklahoma: Adams, Balko, Beaver, Boise City, Bryans Corner, Eva, Felt-Wheeless, Floris, Forgan, Gate, Goodwell, Griggs, Guymon, Hardesty, Hooker, Kenton, Keyes, Laverne, Logan, Texhoma, Turpin, and Tyrone.  </w:t>
      </w:r>
      <w:r w:rsidRPr="00843299">
        <w:rPr>
          <w:i/>
          <w:iCs/>
          <w:sz w:val="20"/>
        </w:rPr>
        <w:t>Id</w:t>
      </w:r>
      <w:r w:rsidRPr="00843299">
        <w:rPr>
          <w:sz w:val="20"/>
        </w:rPr>
        <w:t>. at 9.</w:t>
      </w:r>
      <w:r w:rsidRPr="00843299">
        <w:rPr>
          <w:i/>
          <w:iCs/>
          <w:sz w:val="20"/>
        </w:rPr>
        <w:t xml:space="preserve"> </w:t>
      </w:r>
    </w:p>
  </w:footnote>
  <w:footnote w:id="12">
    <w:p w:rsidR="00843299" w:rsidRPr="00843299" w:rsidP="00843299" w14:paraId="056FDE6C" w14:textId="77777777">
      <w:pPr>
        <w:pStyle w:val="FootnoteText"/>
        <w:spacing w:before="120" w:after="120"/>
        <w:rPr>
          <w:sz w:val="20"/>
        </w:rPr>
      </w:pPr>
      <w:r w:rsidRPr="00843299">
        <w:rPr>
          <w:rStyle w:val="FootnoteReference"/>
          <w:sz w:val="20"/>
        </w:rPr>
        <w:footnoteRef/>
      </w:r>
      <w:r w:rsidRPr="00843299">
        <w:rPr>
          <w:sz w:val="20"/>
        </w:rPr>
        <w:t xml:space="preserve"> </w:t>
      </w:r>
      <w:r w:rsidRPr="00843299">
        <w:rPr>
          <w:i/>
          <w:iCs/>
          <w:sz w:val="20"/>
        </w:rPr>
        <w:t>Id</w:t>
      </w:r>
      <w:r w:rsidRPr="00843299">
        <w:rPr>
          <w:sz w:val="20"/>
        </w:rPr>
        <w:t xml:space="preserve">. at 2. </w:t>
      </w:r>
    </w:p>
  </w:footnote>
  <w:footnote w:id="13">
    <w:p w:rsidR="00843299" w:rsidRPr="00843299" w:rsidP="00843299" w14:paraId="2FB4845E" w14:textId="77777777">
      <w:pPr>
        <w:pStyle w:val="FootnoteText"/>
        <w:spacing w:before="120" w:after="120"/>
        <w:rPr>
          <w:sz w:val="20"/>
        </w:rPr>
      </w:pPr>
      <w:r w:rsidRPr="00843299">
        <w:rPr>
          <w:rStyle w:val="FootnoteReference"/>
          <w:sz w:val="20"/>
        </w:rPr>
        <w:footnoteRef/>
      </w:r>
      <w:r w:rsidRPr="00843299">
        <w:rPr>
          <w:sz w:val="20"/>
        </w:rPr>
        <w:t xml:space="preserve"> </w:t>
      </w:r>
      <w:r w:rsidRPr="00843299">
        <w:rPr>
          <w:i/>
          <w:iCs/>
          <w:sz w:val="20"/>
        </w:rPr>
        <w:t>Id</w:t>
      </w:r>
      <w:r w:rsidRPr="00843299">
        <w:rPr>
          <w:sz w:val="20"/>
        </w:rPr>
        <w:t xml:space="preserve">. at 4.  PTCI also participates in the Lifeline program and the Affordable Connectivity Program, and the programs will continue to be available post consummation of the transaction.  </w:t>
      </w:r>
      <w:r w:rsidRPr="00843299">
        <w:rPr>
          <w:i/>
          <w:iCs/>
          <w:sz w:val="20"/>
        </w:rPr>
        <w:t>Id</w:t>
      </w:r>
      <w:r w:rsidRPr="00843299">
        <w:rPr>
          <w:sz w:val="20"/>
        </w:rPr>
        <w:t xml:space="preserve">.  PTCI’s SAC is 432016.  </w:t>
      </w:r>
      <w:r w:rsidRPr="00843299">
        <w:rPr>
          <w:i/>
          <w:iCs/>
          <w:sz w:val="20"/>
        </w:rPr>
        <w:t>Id</w:t>
      </w:r>
      <w:r w:rsidRPr="00843299">
        <w:rPr>
          <w:sz w:val="20"/>
        </w:rPr>
        <w:t xml:space="preserve">. </w:t>
      </w:r>
    </w:p>
  </w:footnote>
  <w:footnote w:id="14">
    <w:p w:rsidR="00843299" w:rsidRPr="00843299" w:rsidP="00843299" w14:paraId="3B46C74A" w14:textId="4EC531D5">
      <w:pPr>
        <w:pStyle w:val="FootnoteText"/>
        <w:spacing w:before="120" w:after="120"/>
        <w:rPr>
          <w:sz w:val="20"/>
        </w:rPr>
      </w:pPr>
      <w:r w:rsidRPr="00843299">
        <w:rPr>
          <w:rStyle w:val="FootnoteReference"/>
          <w:sz w:val="20"/>
        </w:rPr>
        <w:footnoteRef/>
      </w:r>
      <w:r w:rsidRPr="00843299">
        <w:rPr>
          <w:sz w:val="20"/>
        </w:rPr>
        <w:t xml:space="preserve"> </w:t>
      </w:r>
      <w:r w:rsidRPr="00843299">
        <w:rPr>
          <w:i/>
          <w:iCs/>
          <w:sz w:val="20"/>
        </w:rPr>
        <w:t>Id</w:t>
      </w:r>
      <w:r w:rsidRPr="00843299">
        <w:rPr>
          <w:sz w:val="20"/>
        </w:rPr>
        <w:t xml:space="preserve">. at 6.  PTCI has one wholly-owned affiliate, Panhandle Telecommunications Systems, Inc. (PTSI), a wireless telecommunications service provider.  </w:t>
      </w:r>
      <w:r w:rsidRPr="00843299">
        <w:rPr>
          <w:i/>
          <w:iCs/>
          <w:sz w:val="20"/>
        </w:rPr>
        <w:t xml:space="preserve">Id. </w:t>
      </w:r>
      <w:r w:rsidRPr="00843299">
        <w:rPr>
          <w:sz w:val="20"/>
        </w:rPr>
        <w:t>at 7; Supplement at 1.  PTSI holds a 38</w:t>
      </w:r>
      <w:r w:rsidRPr="00B1017E">
        <w:t xml:space="preserve"> </w:t>
      </w:r>
      <w:r w:rsidRPr="00843299">
        <w:rPr>
          <w:sz w:val="20"/>
        </w:rPr>
        <w:t>percent ownership interest in Texas RSA No. 2 Limited Partnership, also a wireless telecommunications</w:t>
      </w:r>
      <w:r>
        <w:rPr>
          <w:sz w:val="20"/>
        </w:rPr>
        <w:t xml:space="preserve"> </w:t>
      </w:r>
      <w:r w:rsidRPr="00843299">
        <w:rPr>
          <w:sz w:val="20"/>
        </w:rPr>
        <w:t>service provider.  Supplement at 1.</w:t>
      </w:r>
    </w:p>
  </w:footnote>
  <w:footnote w:id="15">
    <w:p w:rsidR="00843299" w:rsidRPr="00843299" w:rsidP="00843299" w14:paraId="2558441E" w14:textId="77777777">
      <w:pPr>
        <w:pStyle w:val="FootnoteText"/>
        <w:spacing w:before="120" w:after="120"/>
        <w:rPr>
          <w:sz w:val="20"/>
        </w:rPr>
      </w:pPr>
      <w:r w:rsidRPr="00843299">
        <w:rPr>
          <w:rStyle w:val="FootnoteReference"/>
          <w:sz w:val="20"/>
        </w:rPr>
        <w:footnoteRef/>
      </w:r>
      <w:r w:rsidRPr="00843299">
        <w:rPr>
          <w:sz w:val="20"/>
        </w:rPr>
        <w:t xml:space="preserve"> Application at 7-8.</w:t>
      </w:r>
    </w:p>
  </w:footnote>
  <w:footnote w:id="16">
    <w:p w:rsidR="00843299" w:rsidRPr="00843299" w:rsidP="00843299" w14:paraId="4639EB65" w14:textId="77777777">
      <w:pPr>
        <w:pStyle w:val="FootnoteText"/>
        <w:spacing w:before="120" w:after="120"/>
        <w:rPr>
          <w:sz w:val="20"/>
        </w:rPr>
      </w:pPr>
      <w:r w:rsidRPr="00843299">
        <w:rPr>
          <w:rStyle w:val="FootnoteReference"/>
          <w:sz w:val="20"/>
        </w:rPr>
        <w:footnoteRef/>
      </w:r>
      <w:r w:rsidRPr="00843299">
        <w:rPr>
          <w:sz w:val="20"/>
        </w:rPr>
        <w:t xml:space="preserve"> Supplement at 1.  </w:t>
      </w:r>
    </w:p>
  </w:footnote>
  <w:footnote w:id="17">
    <w:p w:rsidR="00843299" w:rsidRPr="00843299" w:rsidP="00843299" w14:paraId="370859E2" w14:textId="77777777">
      <w:pPr>
        <w:pStyle w:val="FootnoteText"/>
        <w:spacing w:before="120" w:after="120"/>
        <w:rPr>
          <w:sz w:val="20"/>
        </w:rPr>
      </w:pPr>
      <w:r w:rsidRPr="00843299">
        <w:rPr>
          <w:rStyle w:val="FootnoteReference"/>
          <w:sz w:val="20"/>
        </w:rPr>
        <w:footnoteRef/>
      </w:r>
      <w:r w:rsidRPr="00843299">
        <w:rPr>
          <w:sz w:val="20"/>
        </w:rPr>
        <w:t xml:space="preserve"> Application at 2.</w:t>
      </w:r>
    </w:p>
  </w:footnote>
  <w:footnote w:id="18">
    <w:p w:rsidR="00843299" w:rsidRPr="00843299" w:rsidP="00843299" w14:paraId="566D04EC" w14:textId="77777777">
      <w:pPr>
        <w:pStyle w:val="FootnoteText"/>
        <w:spacing w:before="120" w:after="120"/>
        <w:rPr>
          <w:sz w:val="20"/>
        </w:rPr>
      </w:pPr>
      <w:r w:rsidRPr="00843299">
        <w:rPr>
          <w:rStyle w:val="FootnoteReference"/>
          <w:sz w:val="20"/>
        </w:rPr>
        <w:footnoteRef/>
      </w:r>
      <w:r w:rsidRPr="00843299">
        <w:rPr>
          <w:sz w:val="20"/>
        </w:rPr>
        <w:t xml:space="preserve"> </w:t>
      </w:r>
      <w:r w:rsidRPr="00843299">
        <w:rPr>
          <w:i/>
          <w:iCs/>
          <w:sz w:val="20"/>
        </w:rPr>
        <w:t>Id</w:t>
      </w:r>
      <w:r w:rsidRPr="00843299">
        <w:rPr>
          <w:sz w:val="20"/>
        </w:rPr>
        <w:t xml:space="preserve">. </w:t>
      </w:r>
    </w:p>
  </w:footnote>
  <w:footnote w:id="19">
    <w:p w:rsidR="00843299" w:rsidRPr="00843299" w:rsidP="00843299" w14:paraId="2F62B910" w14:textId="77777777">
      <w:pPr>
        <w:pStyle w:val="FootnoteText"/>
        <w:spacing w:before="120" w:after="120"/>
        <w:rPr>
          <w:sz w:val="20"/>
        </w:rPr>
      </w:pPr>
      <w:r w:rsidRPr="00843299">
        <w:rPr>
          <w:rStyle w:val="FootnoteReference"/>
          <w:sz w:val="20"/>
        </w:rPr>
        <w:footnoteRef/>
      </w:r>
      <w:r w:rsidRPr="00843299">
        <w:rPr>
          <w:sz w:val="20"/>
        </w:rPr>
        <w:t xml:space="preserve"> </w:t>
      </w:r>
      <w:r w:rsidRPr="00843299">
        <w:rPr>
          <w:i/>
          <w:iCs/>
          <w:sz w:val="20"/>
        </w:rPr>
        <w:t>Id</w:t>
      </w:r>
      <w:r w:rsidRPr="00843299">
        <w:rPr>
          <w:sz w:val="20"/>
        </w:rPr>
        <w:t>. at 3, 7.</w:t>
      </w:r>
    </w:p>
  </w:footnote>
  <w:footnote w:id="20">
    <w:p w:rsidR="00843299" w:rsidRPr="00843299" w:rsidP="00843299" w14:paraId="796260CB" w14:textId="77777777">
      <w:pPr>
        <w:pStyle w:val="FootnoteText"/>
        <w:spacing w:before="120" w:after="120"/>
        <w:rPr>
          <w:sz w:val="20"/>
        </w:rPr>
      </w:pPr>
      <w:r w:rsidRPr="00843299">
        <w:rPr>
          <w:rStyle w:val="FootnoteReference"/>
          <w:sz w:val="20"/>
        </w:rPr>
        <w:footnoteRef/>
      </w:r>
      <w:r w:rsidRPr="00843299">
        <w:rPr>
          <w:i/>
          <w:iCs/>
          <w:sz w:val="20"/>
        </w:rPr>
        <w:t xml:space="preserve"> Id.</w:t>
      </w:r>
      <w:r w:rsidRPr="00843299">
        <w:rPr>
          <w:sz w:val="20"/>
        </w:rPr>
        <w:t xml:space="preserve"> at 9.</w:t>
      </w:r>
    </w:p>
  </w:footnote>
  <w:footnote w:id="21">
    <w:p w:rsidR="00843299" w:rsidRPr="00843299" w:rsidP="00843299" w14:paraId="4E283E9C" w14:textId="77777777">
      <w:pPr>
        <w:pStyle w:val="FootnoteText"/>
        <w:spacing w:before="120" w:after="120"/>
        <w:rPr>
          <w:sz w:val="20"/>
        </w:rPr>
      </w:pPr>
      <w:r w:rsidRPr="00843299">
        <w:rPr>
          <w:rStyle w:val="FootnoteReference"/>
          <w:sz w:val="20"/>
        </w:rPr>
        <w:footnoteRef/>
      </w:r>
      <w:r w:rsidRPr="00843299">
        <w:rPr>
          <w:sz w:val="20"/>
        </w:rPr>
        <w:t xml:space="preserve"> </w:t>
      </w:r>
      <w:r w:rsidRPr="00843299">
        <w:rPr>
          <w:i/>
          <w:iCs/>
          <w:sz w:val="20"/>
        </w:rPr>
        <w:t>Id</w:t>
      </w:r>
      <w:r w:rsidRPr="00843299">
        <w:rPr>
          <w:sz w:val="20"/>
        </w:rPr>
        <w:t>. at 6.</w:t>
      </w:r>
    </w:p>
  </w:footnote>
  <w:footnote w:id="22">
    <w:p w:rsidR="00843299" w:rsidRPr="00895892" w:rsidP="00843299" w14:paraId="78F6D20A" w14:textId="77777777">
      <w:pPr>
        <w:pStyle w:val="FootnoteText"/>
        <w:spacing w:before="120" w:after="120"/>
      </w:pPr>
      <w:r w:rsidRPr="00843299">
        <w:rPr>
          <w:rStyle w:val="FootnoteReference"/>
          <w:sz w:val="20"/>
        </w:rPr>
        <w:footnoteRef/>
      </w:r>
      <w:r w:rsidRPr="00843299">
        <w:rPr>
          <w:sz w:val="20"/>
        </w:rPr>
        <w:t xml:space="preserve"> </w:t>
      </w:r>
      <w:r w:rsidRPr="00843299">
        <w:rPr>
          <w:color w:val="020100"/>
          <w:sz w:val="20"/>
        </w:rPr>
        <w:t>47 CFR § 63.03(c)(1)(v).</w:t>
      </w:r>
    </w:p>
  </w:footnote>
  <w:footnote w:id="23">
    <w:p w:rsidR="00843299" w:rsidRPr="0099649F" w:rsidP="00843299" w14:paraId="2FE4D500" w14:textId="77777777">
      <w:pPr>
        <w:pStyle w:val="FootnoteText"/>
        <w:spacing w:before="120" w:after="120"/>
        <w:rPr>
          <w:u w:val="single"/>
        </w:rPr>
      </w:pPr>
      <w:r w:rsidRPr="00895892">
        <w:rPr>
          <w:rStyle w:val="FootnoteReference"/>
        </w:rPr>
        <w:footnoteRef/>
      </w:r>
      <w:r w:rsidRPr="00895892">
        <w:t xml:space="preserve"> </w:t>
      </w:r>
      <w:r w:rsidRPr="00843299">
        <w:rPr>
          <w:sz w:val="20"/>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843299">
        <w:rPr>
          <w:rFonts w:eastAsia="Calibri"/>
          <w:i/>
          <w:iCs/>
          <w:sz w:val="20"/>
        </w:rPr>
        <w:t>See FCC Announces Closure of FCC Headquarters Open Window and Change in Hand-Delivery Policy</w:t>
      </w:r>
      <w:r w:rsidRPr="00843299">
        <w:rPr>
          <w:rFonts w:eastAsia="Calibri"/>
          <w:sz w:val="20"/>
        </w:rPr>
        <w:t>, Public Notice, 35 FCC Rcd 2788 (OS 2020).</w:t>
      </w:r>
    </w:p>
  </w:footnote>
  <w:footnote w:id="24">
    <w:p w:rsidR="00843299" w:rsidRPr="0099649F" w:rsidP="00843299" w14:paraId="78CC3524" w14:textId="77777777">
      <w:pPr>
        <w:pStyle w:val="FootnoteText"/>
        <w:tabs>
          <w:tab w:val="clear" w:pos="720"/>
        </w:tabs>
        <w:spacing w:before="120" w:after="120"/>
      </w:pPr>
      <w:r w:rsidRPr="0099649F">
        <w:rPr>
          <w:rStyle w:val="FootnoteReference"/>
        </w:rPr>
        <w:footnoteRef/>
      </w:r>
      <w:r w:rsidRPr="0099649F">
        <w:t xml:space="preserve"> </w:t>
      </w:r>
      <w:r w:rsidRPr="00843299">
        <w:rPr>
          <w:i/>
          <w:sz w:val="20"/>
        </w:rPr>
        <w:t>See</w:t>
      </w:r>
      <w:r w:rsidRPr="0084329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3BB5677"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67D2B14D" w14:textId="77777777">
                <w:pPr>
                  <w:rPr>
                    <w:rFonts w:ascii="Arial" w:hAnsi="Arial"/>
                    <w:b/>
                  </w:rPr>
                </w:pPr>
                <w:r>
                  <w:rPr>
                    <w:rFonts w:ascii="Arial" w:hAnsi="Arial"/>
                    <w:b/>
                  </w:rPr>
                  <w:t>Federal Communications Commission</w:t>
                </w:r>
              </w:p>
              <w:p w:rsidR="00E7033D" w14:paraId="18E8D59B"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7574DBC"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54F0EED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6BA90338" w14:textId="77777777">
                <w:pPr>
                  <w:spacing w:before="40"/>
                  <w:jc w:val="right"/>
                  <w:rPr>
                    <w:rFonts w:ascii="Arial" w:hAnsi="Arial"/>
                    <w:b/>
                    <w:sz w:val="16"/>
                  </w:rPr>
                </w:pPr>
                <w:r>
                  <w:rPr>
                    <w:rFonts w:ascii="Arial" w:hAnsi="Arial"/>
                    <w:b/>
                    <w:sz w:val="16"/>
                  </w:rPr>
                  <w:t>News Media Information 202 / 418-0500</w:t>
                </w:r>
              </w:p>
              <w:p w:rsidR="00E7033D" w14:paraId="4DED6AB0" w14:textId="3C60B34D">
                <w:pPr>
                  <w:jc w:val="right"/>
                  <w:rPr>
                    <w:rFonts w:ascii="Arial" w:hAnsi="Arial"/>
                    <w:b/>
                    <w:sz w:val="16"/>
                  </w:rPr>
                </w:pPr>
                <w:r>
                  <w:rPr>
                    <w:rFonts w:ascii="Arial" w:hAnsi="Arial"/>
                    <w:b/>
                    <w:sz w:val="16"/>
                  </w:rPr>
                  <w:tab/>
                  <w:t xml:space="preserve">Internet: </w:t>
                </w:r>
                <w:bookmarkStart w:id="0" w:name="_Hlt233824"/>
                <w:hyperlink r:id="rId2" w:history="1">
                  <w:r w:rsidRPr="003B1D57" w:rsidR="008F44CA">
                    <w:rPr>
                      <w:rStyle w:val="Hyperlink"/>
                      <w:rFonts w:ascii="Arial" w:hAnsi="Arial"/>
                      <w:b/>
                      <w:sz w:val="16"/>
                    </w:rPr>
                    <w:t>h</w:t>
                  </w:r>
                  <w:bookmarkEnd w:id="0"/>
                  <w:r w:rsidRPr="003B1D57" w:rsidR="008F44CA">
                    <w:rPr>
                      <w:rStyle w:val="Hyperlink"/>
                      <w:rFonts w:ascii="Arial" w:hAnsi="Arial"/>
                      <w:b/>
                      <w:sz w:val="16"/>
                    </w:rPr>
                    <w:t>ttp://www.fcc.gov</w:t>
                  </w:r>
                </w:hyperlink>
              </w:p>
              <w:p w:rsidR="008F44CA" w14:paraId="7492BED2" w14:textId="77777777">
                <w:pPr>
                  <w:jc w:val="right"/>
                  <w:rPr>
                    <w:rFonts w:ascii="Arial" w:hAnsi="Arial"/>
                    <w:b/>
                    <w:sz w:val="16"/>
                  </w:rPr>
                </w:pPr>
              </w:p>
              <w:p w:rsidR="00E7033D" w14:paraId="2822B8C8" w14:textId="77777777">
                <w:pPr>
                  <w:jc w:val="right"/>
                </w:pPr>
              </w:p>
            </w:txbxContent>
          </v:textbox>
        </v:shape>
      </w:pict>
    </w:r>
  </w:p>
  <w:p w:rsidR="00E7033D" w14:paraId="3A089A1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3299" w14:paraId="61080EAA" w14:textId="2E9E1C6F">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fcc_logo" style="width:41.75pt;height:41.75pt;margin-top:8.5pt;margin-left:2.4pt;mso-height-percent:0;mso-height-relative:page;mso-width-percent:0;mso-width-relative:page;mso-wrap-distance-bottom:0;mso-wrap-distance-left:9pt;mso-wrap-distance-right:9pt;mso-wrap-distance-top:0;mso-wrap-style:square;position:absolute;visibility:visible;z-index:251665408"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_x0000_s2054"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62336" o:allowincell="f" stroked="f">
          <v:textbox>
            <w:txbxContent>
              <w:p w:rsidR="00843299" w14:paraId="4D1FA59B" w14:textId="77777777">
                <w:pPr>
                  <w:rPr>
                    <w:rFonts w:ascii="Arial" w:hAnsi="Arial"/>
                    <w:b/>
                  </w:rPr>
                </w:pPr>
                <w:r>
                  <w:rPr>
                    <w:rFonts w:ascii="Arial" w:hAnsi="Arial"/>
                    <w:b/>
                  </w:rPr>
                  <w:t>Federal Communications Commission</w:t>
                </w:r>
              </w:p>
              <w:p w:rsidR="00843299" w14:paraId="52210B24" w14:textId="77777777">
                <w:pPr>
                  <w:rPr>
                    <w:rFonts w:ascii="Arial" w:hAnsi="Arial"/>
                    <w:b/>
                  </w:rPr>
                </w:pPr>
                <w:r>
                  <w:rPr>
                    <w:rFonts w:ascii="Arial" w:hAnsi="Arial"/>
                    <w:b/>
                  </w:rPr>
                  <w:t>45 L St., N.E.</w:t>
                </w:r>
              </w:p>
              <w:p w:rsidR="00843299" w14:paraId="58B54A21" w14:textId="77777777">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843299" w:rsidRPr="00510533" w:rsidP="00510533" w14:paraId="0D276973" w14:textId="0EB5D096">
    <w:pPr>
      <w:pStyle w:val="Header"/>
      <w:tabs>
        <w:tab w:val="left" w:pos="1080"/>
        <w:tab w:val="clear" w:pos="4320"/>
        <w:tab w:val="clear" w:pos="8640"/>
      </w:tabs>
      <w:spacing w:line="1120" w:lineRule="exact"/>
      <w:ind w:left="720"/>
      <w:rPr>
        <w:rFonts w:ascii="Arial" w:hAnsi="Arial"/>
        <w:b/>
        <w:sz w:val="28"/>
      </w:rPr>
    </w:pPr>
    <w:r>
      <w:rPr>
        <w:noProof/>
      </w:rPr>
      <w:pict>
        <v:line id="_x0000_s2055" style="mso-height-percent:0;mso-height-relative:page;mso-width-percent:0;mso-width-relative:page;mso-wrap-distance-bottom:0;mso-wrap-distance-left:9pt;mso-wrap-distance-right:9pt;mso-wrap-distance-top:0;mso-wrap-style:square;position:absolute;visibility:visible;z-index:251663360" from="0,54.95pt" to="540pt,55.15pt" o:allowincell="f"/>
      </w:pict>
    </w:r>
    <w:r>
      <w:rPr>
        <w:noProof/>
      </w:rPr>
      <w:pict>
        <v:shape id="_x0000_s2056"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43299" w14:paraId="4B031590" w14:textId="77777777">
                <w:pPr>
                  <w:spacing w:before="40"/>
                  <w:jc w:val="right"/>
                  <w:rPr>
                    <w:rFonts w:ascii="Arial" w:hAnsi="Arial"/>
                    <w:b/>
                    <w:sz w:val="16"/>
                  </w:rPr>
                </w:pPr>
                <w:r>
                  <w:rPr>
                    <w:rFonts w:ascii="Arial" w:hAnsi="Arial"/>
                    <w:b/>
                    <w:sz w:val="16"/>
                  </w:rPr>
                  <w:t>News Media Information 202 / 418-0500</w:t>
                </w:r>
              </w:p>
              <w:p w:rsidR="00843299" w14:paraId="505F1A3E" w14:textId="77777777">
                <w:pPr>
                  <w:jc w:val="right"/>
                  <w:rPr>
                    <w:rFonts w:ascii="Arial" w:hAnsi="Arial"/>
                    <w:b/>
                    <w:sz w:val="16"/>
                  </w:rPr>
                </w:pPr>
                <w:r>
                  <w:rPr>
                    <w:rFonts w:ascii="Arial" w:hAnsi="Arial"/>
                    <w:b/>
                    <w:sz w:val="16"/>
                  </w:rPr>
                  <w:tab/>
                  <w:t xml:space="preserve">Internet: </w:t>
                </w:r>
                <w:hyperlink r:id="rId2" w:history="1">
                  <w:r w:rsidRPr="00116026">
                    <w:rPr>
                      <w:rStyle w:val="Hyperlink"/>
                      <w:rFonts w:ascii="Arial" w:hAnsi="Arial"/>
                      <w:b/>
                      <w:sz w:val="16"/>
                    </w:rPr>
                    <w:t>http://www.fcc.gov</w:t>
                  </w:r>
                </w:hyperlink>
              </w:p>
              <w:p w:rsidR="00843299" w14:paraId="6B7E89B2" w14:textId="77777777">
                <w:pPr>
                  <w:jc w:val="right"/>
                  <w:rPr>
                    <w:rFonts w:ascii="Arial" w:hAnsi="Arial"/>
                    <w:b/>
                    <w:sz w:val="16"/>
                  </w:rPr>
                </w:pPr>
              </w:p>
              <w:p w:rsidR="00843299" w14:paraId="7075754F" w14:textId="77777777">
                <w:pPr>
                  <w:jc w:val="right"/>
                  <w:rPr>
                    <w:rFonts w:ascii="Arial" w:hAnsi="Arial"/>
                    <w:b/>
                    <w:sz w:val="16"/>
                  </w:rPr>
                </w:pPr>
              </w:p>
              <w:p w:rsidR="00843299" w14:paraId="65225D72" w14:textId="77777777">
                <w:pPr>
                  <w:jc w:val="right"/>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F54641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2456"/>
    <w:rsid w:val="0001135F"/>
    <w:rsid w:val="000113A2"/>
    <w:rsid w:val="0001280D"/>
    <w:rsid w:val="00017A3A"/>
    <w:rsid w:val="00040610"/>
    <w:rsid w:val="00041C01"/>
    <w:rsid w:val="000452C4"/>
    <w:rsid w:val="000456AB"/>
    <w:rsid w:val="00046C17"/>
    <w:rsid w:val="000534AC"/>
    <w:rsid w:val="0005430A"/>
    <w:rsid w:val="00066D12"/>
    <w:rsid w:val="00070D65"/>
    <w:rsid w:val="00071BB6"/>
    <w:rsid w:val="000735C8"/>
    <w:rsid w:val="000754E0"/>
    <w:rsid w:val="00075F89"/>
    <w:rsid w:val="0008381D"/>
    <w:rsid w:val="00087205"/>
    <w:rsid w:val="000B4EDD"/>
    <w:rsid w:val="000B66D9"/>
    <w:rsid w:val="000D0D16"/>
    <w:rsid w:val="000E0149"/>
    <w:rsid w:val="000F02F7"/>
    <w:rsid w:val="00101D0B"/>
    <w:rsid w:val="00116026"/>
    <w:rsid w:val="00122D01"/>
    <w:rsid w:val="0013405D"/>
    <w:rsid w:val="001356E5"/>
    <w:rsid w:val="0014099A"/>
    <w:rsid w:val="00141388"/>
    <w:rsid w:val="001501E0"/>
    <w:rsid w:val="00150FBE"/>
    <w:rsid w:val="0015217F"/>
    <w:rsid w:val="00161A95"/>
    <w:rsid w:val="0016394A"/>
    <w:rsid w:val="0017121F"/>
    <w:rsid w:val="001A3813"/>
    <w:rsid w:val="001B1588"/>
    <w:rsid w:val="001B15F0"/>
    <w:rsid w:val="001B69F9"/>
    <w:rsid w:val="001C4E34"/>
    <w:rsid w:val="001C5BDA"/>
    <w:rsid w:val="001E3984"/>
    <w:rsid w:val="001E4406"/>
    <w:rsid w:val="001F1E04"/>
    <w:rsid w:val="001F6762"/>
    <w:rsid w:val="0021566F"/>
    <w:rsid w:val="00216E9D"/>
    <w:rsid w:val="0022449B"/>
    <w:rsid w:val="00242594"/>
    <w:rsid w:val="00253247"/>
    <w:rsid w:val="00262E65"/>
    <w:rsid w:val="00285612"/>
    <w:rsid w:val="002B16FA"/>
    <w:rsid w:val="002B58D3"/>
    <w:rsid w:val="002C203E"/>
    <w:rsid w:val="002C22F3"/>
    <w:rsid w:val="002C27F4"/>
    <w:rsid w:val="002C47F7"/>
    <w:rsid w:val="002C7CC2"/>
    <w:rsid w:val="002D09E2"/>
    <w:rsid w:val="002D136F"/>
    <w:rsid w:val="002D6F61"/>
    <w:rsid w:val="002D73DB"/>
    <w:rsid w:val="002E1FEF"/>
    <w:rsid w:val="002F6E56"/>
    <w:rsid w:val="0030157A"/>
    <w:rsid w:val="003064D6"/>
    <w:rsid w:val="0030742E"/>
    <w:rsid w:val="00333850"/>
    <w:rsid w:val="00346293"/>
    <w:rsid w:val="00353CB5"/>
    <w:rsid w:val="00355008"/>
    <w:rsid w:val="00365194"/>
    <w:rsid w:val="00373F7D"/>
    <w:rsid w:val="00376464"/>
    <w:rsid w:val="00380E99"/>
    <w:rsid w:val="003855A0"/>
    <w:rsid w:val="00386FFF"/>
    <w:rsid w:val="0039053C"/>
    <w:rsid w:val="003921C1"/>
    <w:rsid w:val="003945C4"/>
    <w:rsid w:val="00395A7A"/>
    <w:rsid w:val="003A18A0"/>
    <w:rsid w:val="003A443A"/>
    <w:rsid w:val="003B1D57"/>
    <w:rsid w:val="003B5CEE"/>
    <w:rsid w:val="003B786E"/>
    <w:rsid w:val="003F0ECD"/>
    <w:rsid w:val="003F311D"/>
    <w:rsid w:val="004077D0"/>
    <w:rsid w:val="00412DA6"/>
    <w:rsid w:val="004156F7"/>
    <w:rsid w:val="004175D7"/>
    <w:rsid w:val="004331D7"/>
    <w:rsid w:val="00433D8C"/>
    <w:rsid w:val="00434C96"/>
    <w:rsid w:val="00440156"/>
    <w:rsid w:val="00450EEF"/>
    <w:rsid w:val="00460914"/>
    <w:rsid w:val="004609A4"/>
    <w:rsid w:val="00464E8A"/>
    <w:rsid w:val="00467BFD"/>
    <w:rsid w:val="00475BB6"/>
    <w:rsid w:val="004808FC"/>
    <w:rsid w:val="00482EB0"/>
    <w:rsid w:val="004913FF"/>
    <w:rsid w:val="004951AE"/>
    <w:rsid w:val="004A554E"/>
    <w:rsid w:val="004B4AA9"/>
    <w:rsid w:val="004B7FB2"/>
    <w:rsid w:val="004C3AB0"/>
    <w:rsid w:val="004C5892"/>
    <w:rsid w:val="004C5C4F"/>
    <w:rsid w:val="004C712F"/>
    <w:rsid w:val="004D6066"/>
    <w:rsid w:val="004F3603"/>
    <w:rsid w:val="004F6F64"/>
    <w:rsid w:val="00510533"/>
    <w:rsid w:val="00511202"/>
    <w:rsid w:val="005128D4"/>
    <w:rsid w:val="00522749"/>
    <w:rsid w:val="0052334B"/>
    <w:rsid w:val="005243E7"/>
    <w:rsid w:val="005320B5"/>
    <w:rsid w:val="00544DC1"/>
    <w:rsid w:val="00546375"/>
    <w:rsid w:val="0056058F"/>
    <w:rsid w:val="00587D3A"/>
    <w:rsid w:val="005932BA"/>
    <w:rsid w:val="005A13D0"/>
    <w:rsid w:val="005A38C6"/>
    <w:rsid w:val="005A64A7"/>
    <w:rsid w:val="005C403A"/>
    <w:rsid w:val="005C51CE"/>
    <w:rsid w:val="005D7355"/>
    <w:rsid w:val="005D7857"/>
    <w:rsid w:val="0060105E"/>
    <w:rsid w:val="0060106A"/>
    <w:rsid w:val="00604A3C"/>
    <w:rsid w:val="00604CFF"/>
    <w:rsid w:val="0061137C"/>
    <w:rsid w:val="00616221"/>
    <w:rsid w:val="006768CC"/>
    <w:rsid w:val="00691832"/>
    <w:rsid w:val="006A1D06"/>
    <w:rsid w:val="006B39BA"/>
    <w:rsid w:val="006B5C06"/>
    <w:rsid w:val="006B662C"/>
    <w:rsid w:val="006C32C8"/>
    <w:rsid w:val="006C32D6"/>
    <w:rsid w:val="006C591C"/>
    <w:rsid w:val="006E155C"/>
    <w:rsid w:val="006E3E11"/>
    <w:rsid w:val="006E3F49"/>
    <w:rsid w:val="006E5144"/>
    <w:rsid w:val="006E61ED"/>
    <w:rsid w:val="006E7452"/>
    <w:rsid w:val="006F4D60"/>
    <w:rsid w:val="007007F3"/>
    <w:rsid w:val="00706D49"/>
    <w:rsid w:val="0071041E"/>
    <w:rsid w:val="00724722"/>
    <w:rsid w:val="00727E3E"/>
    <w:rsid w:val="00733B9B"/>
    <w:rsid w:val="007569C5"/>
    <w:rsid w:val="00760269"/>
    <w:rsid w:val="00780F55"/>
    <w:rsid w:val="00783A05"/>
    <w:rsid w:val="007942ED"/>
    <w:rsid w:val="007A43BD"/>
    <w:rsid w:val="007A56E2"/>
    <w:rsid w:val="007B2C2E"/>
    <w:rsid w:val="007B47A9"/>
    <w:rsid w:val="007C263F"/>
    <w:rsid w:val="007C30DA"/>
    <w:rsid w:val="007E5753"/>
    <w:rsid w:val="007E5FC3"/>
    <w:rsid w:val="008042EC"/>
    <w:rsid w:val="00810DFF"/>
    <w:rsid w:val="00811ECF"/>
    <w:rsid w:val="00813C6D"/>
    <w:rsid w:val="008203E8"/>
    <w:rsid w:val="00821491"/>
    <w:rsid w:val="00824765"/>
    <w:rsid w:val="00826444"/>
    <w:rsid w:val="0083331C"/>
    <w:rsid w:val="0083340A"/>
    <w:rsid w:val="00843299"/>
    <w:rsid w:val="0084778A"/>
    <w:rsid w:val="00853114"/>
    <w:rsid w:val="0085579D"/>
    <w:rsid w:val="00864397"/>
    <w:rsid w:val="0086691C"/>
    <w:rsid w:val="008675C7"/>
    <w:rsid w:val="0087554B"/>
    <w:rsid w:val="00877D35"/>
    <w:rsid w:val="00881DC6"/>
    <w:rsid w:val="008850E4"/>
    <w:rsid w:val="00890FC9"/>
    <w:rsid w:val="00895892"/>
    <w:rsid w:val="00895C4A"/>
    <w:rsid w:val="008A59EF"/>
    <w:rsid w:val="008C294A"/>
    <w:rsid w:val="008D2804"/>
    <w:rsid w:val="008D55F9"/>
    <w:rsid w:val="008D5A3F"/>
    <w:rsid w:val="008E27B4"/>
    <w:rsid w:val="008F44CA"/>
    <w:rsid w:val="008F6981"/>
    <w:rsid w:val="00903154"/>
    <w:rsid w:val="00903DE0"/>
    <w:rsid w:val="009075DA"/>
    <w:rsid w:val="009101A4"/>
    <w:rsid w:val="00910D7E"/>
    <w:rsid w:val="00911C17"/>
    <w:rsid w:val="00923974"/>
    <w:rsid w:val="00926DD3"/>
    <w:rsid w:val="00950639"/>
    <w:rsid w:val="00967409"/>
    <w:rsid w:val="009779A2"/>
    <w:rsid w:val="0098015F"/>
    <w:rsid w:val="00980811"/>
    <w:rsid w:val="00991782"/>
    <w:rsid w:val="0099649F"/>
    <w:rsid w:val="009A0D7F"/>
    <w:rsid w:val="009A124E"/>
    <w:rsid w:val="009A2284"/>
    <w:rsid w:val="009A6CCF"/>
    <w:rsid w:val="009B0128"/>
    <w:rsid w:val="009B09D8"/>
    <w:rsid w:val="009B6797"/>
    <w:rsid w:val="009C3EC2"/>
    <w:rsid w:val="009E6916"/>
    <w:rsid w:val="00A11865"/>
    <w:rsid w:val="00A15248"/>
    <w:rsid w:val="00A2021A"/>
    <w:rsid w:val="00A233A3"/>
    <w:rsid w:val="00A25C41"/>
    <w:rsid w:val="00A26488"/>
    <w:rsid w:val="00A26ADD"/>
    <w:rsid w:val="00A34A3D"/>
    <w:rsid w:val="00A43AED"/>
    <w:rsid w:val="00A47815"/>
    <w:rsid w:val="00A51DBD"/>
    <w:rsid w:val="00A55F2F"/>
    <w:rsid w:val="00A569E4"/>
    <w:rsid w:val="00A61D2B"/>
    <w:rsid w:val="00A64040"/>
    <w:rsid w:val="00A9279F"/>
    <w:rsid w:val="00A92C9E"/>
    <w:rsid w:val="00AB65FA"/>
    <w:rsid w:val="00AB7DD7"/>
    <w:rsid w:val="00AC412B"/>
    <w:rsid w:val="00AC4928"/>
    <w:rsid w:val="00AC6A56"/>
    <w:rsid w:val="00AD0360"/>
    <w:rsid w:val="00AD71C9"/>
    <w:rsid w:val="00AE4EB4"/>
    <w:rsid w:val="00B00CBF"/>
    <w:rsid w:val="00B02CE4"/>
    <w:rsid w:val="00B05216"/>
    <w:rsid w:val="00B1017E"/>
    <w:rsid w:val="00B25A68"/>
    <w:rsid w:val="00B335D6"/>
    <w:rsid w:val="00B472A7"/>
    <w:rsid w:val="00B55A93"/>
    <w:rsid w:val="00B66193"/>
    <w:rsid w:val="00B66987"/>
    <w:rsid w:val="00B73AED"/>
    <w:rsid w:val="00B8112B"/>
    <w:rsid w:val="00B90609"/>
    <w:rsid w:val="00B908C9"/>
    <w:rsid w:val="00B958E7"/>
    <w:rsid w:val="00BB417E"/>
    <w:rsid w:val="00BC7555"/>
    <w:rsid w:val="00BF0B00"/>
    <w:rsid w:val="00C07680"/>
    <w:rsid w:val="00C117C2"/>
    <w:rsid w:val="00C174CD"/>
    <w:rsid w:val="00C252D2"/>
    <w:rsid w:val="00C32EC5"/>
    <w:rsid w:val="00C42F8A"/>
    <w:rsid w:val="00C51701"/>
    <w:rsid w:val="00C53E5E"/>
    <w:rsid w:val="00C612FD"/>
    <w:rsid w:val="00C749BC"/>
    <w:rsid w:val="00C75DF3"/>
    <w:rsid w:val="00C82D34"/>
    <w:rsid w:val="00C8663D"/>
    <w:rsid w:val="00CA3252"/>
    <w:rsid w:val="00CB08EA"/>
    <w:rsid w:val="00CC1FB2"/>
    <w:rsid w:val="00CC2C01"/>
    <w:rsid w:val="00CD0AA5"/>
    <w:rsid w:val="00CE03DE"/>
    <w:rsid w:val="00CE235B"/>
    <w:rsid w:val="00CE26CC"/>
    <w:rsid w:val="00CE49B4"/>
    <w:rsid w:val="00CE530B"/>
    <w:rsid w:val="00CE7F62"/>
    <w:rsid w:val="00CF0677"/>
    <w:rsid w:val="00D024AA"/>
    <w:rsid w:val="00D04DB0"/>
    <w:rsid w:val="00D111DF"/>
    <w:rsid w:val="00D11786"/>
    <w:rsid w:val="00D252B2"/>
    <w:rsid w:val="00D30DAA"/>
    <w:rsid w:val="00D3174C"/>
    <w:rsid w:val="00D32439"/>
    <w:rsid w:val="00D41123"/>
    <w:rsid w:val="00D44BEB"/>
    <w:rsid w:val="00D615DC"/>
    <w:rsid w:val="00D6239C"/>
    <w:rsid w:val="00D702F3"/>
    <w:rsid w:val="00D70788"/>
    <w:rsid w:val="00DB13E2"/>
    <w:rsid w:val="00DB59FD"/>
    <w:rsid w:val="00DD0968"/>
    <w:rsid w:val="00DE3E77"/>
    <w:rsid w:val="00DF1AD9"/>
    <w:rsid w:val="00DF6F91"/>
    <w:rsid w:val="00E07054"/>
    <w:rsid w:val="00E07AD0"/>
    <w:rsid w:val="00E54722"/>
    <w:rsid w:val="00E55A96"/>
    <w:rsid w:val="00E7033D"/>
    <w:rsid w:val="00E714D1"/>
    <w:rsid w:val="00E76380"/>
    <w:rsid w:val="00E86627"/>
    <w:rsid w:val="00E90A56"/>
    <w:rsid w:val="00E93B00"/>
    <w:rsid w:val="00EA268B"/>
    <w:rsid w:val="00EB2E3F"/>
    <w:rsid w:val="00EB4580"/>
    <w:rsid w:val="00EC0FDA"/>
    <w:rsid w:val="00EC3BF9"/>
    <w:rsid w:val="00EC3CCE"/>
    <w:rsid w:val="00EC5F92"/>
    <w:rsid w:val="00ED40B2"/>
    <w:rsid w:val="00EE37C8"/>
    <w:rsid w:val="00EE3821"/>
    <w:rsid w:val="00EF0395"/>
    <w:rsid w:val="00F01179"/>
    <w:rsid w:val="00F03277"/>
    <w:rsid w:val="00F04273"/>
    <w:rsid w:val="00F04EDD"/>
    <w:rsid w:val="00F05755"/>
    <w:rsid w:val="00F07E24"/>
    <w:rsid w:val="00F107E6"/>
    <w:rsid w:val="00F21B45"/>
    <w:rsid w:val="00F25C6B"/>
    <w:rsid w:val="00F3092F"/>
    <w:rsid w:val="00F53CE0"/>
    <w:rsid w:val="00F5717B"/>
    <w:rsid w:val="00F65523"/>
    <w:rsid w:val="00F700CA"/>
    <w:rsid w:val="00F850B7"/>
    <w:rsid w:val="00F96278"/>
    <w:rsid w:val="00FA546C"/>
    <w:rsid w:val="00FB729A"/>
    <w:rsid w:val="00FB7B8E"/>
    <w:rsid w:val="00FC2B20"/>
    <w:rsid w:val="00FC3E30"/>
    <w:rsid w:val="00FC5055"/>
    <w:rsid w:val="00FD2559"/>
    <w:rsid w:val="00FD5627"/>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97B0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styleId="UnresolvedMention">
    <w:name w:val="Unresolved Mention"/>
    <w:rsid w:val="008F4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yperlink" Target="http://apps.fcc.gov/ecfs/" TargetMode="External" /><Relationship Id="rId12" Type="http://schemas.openxmlformats.org/officeDocument/2006/relationships/hyperlink" Target="mailto:fcc504@fcc.gov" TargetMode="External" /><Relationship Id="rId13" Type="http://schemas.openxmlformats.org/officeDocument/2006/relationships/hyperlink" Target="mailto:tracey.wilson@fcc.gov" TargetMode="External" /><Relationship Id="rId14" Type="http://schemas.openxmlformats.org/officeDocument/2006/relationships/hyperlink" Target="mailto:dennis.johnson@fcc.gov" TargetMode="External" /><Relationship Id="rId15" Type="http://schemas.openxmlformats.org/officeDocument/2006/relationships/hyperlink" Target="mailto:jim.bird@fcc.gov" TargetMode="External" /><Relationship Id="rId16" Type="http://schemas.openxmlformats.org/officeDocument/2006/relationships/footer" Target="footer5.xml" /><Relationship Id="rId17" Type="http://schemas.openxmlformats.org/officeDocument/2006/relationships/header" Target="head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footer" Target="footer4.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