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DE0094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D15353" w14:textId="77777777">
      <w:pPr>
        <w:pStyle w:val="StyleBoldCentered"/>
      </w:pPr>
      <w:r>
        <w:t>F</w:t>
      </w:r>
      <w:r>
        <w:rPr>
          <w:caps w:val="0"/>
        </w:rPr>
        <w:t>ederal Communications Commission</w:t>
      </w:r>
    </w:p>
    <w:p w:rsidR="004C2EE3" w:rsidP="00096D8C" w14:paraId="277638CC" w14:textId="77777777">
      <w:pPr>
        <w:pStyle w:val="StyleBoldCentered"/>
      </w:pPr>
      <w:r>
        <w:rPr>
          <w:caps w:val="0"/>
        </w:rPr>
        <w:t>Washington, D.C. 20554</w:t>
      </w:r>
    </w:p>
    <w:p w:rsidR="004C2EE3" w:rsidP="0070224F" w14:paraId="7D6DB2F0" w14:textId="77777777"/>
    <w:tbl>
      <w:tblPr>
        <w:tblW w:w="0" w:type="auto"/>
        <w:tblLayout w:type="fixed"/>
        <w:tblLook w:val="0000"/>
      </w:tblPr>
      <w:tblGrid>
        <w:gridCol w:w="4698"/>
        <w:gridCol w:w="630"/>
        <w:gridCol w:w="4248"/>
      </w:tblGrid>
      <w:tr w14:paraId="03B10DAA" w14:textId="77777777">
        <w:tblPrEx>
          <w:tblW w:w="0" w:type="auto"/>
          <w:tblLayout w:type="fixed"/>
          <w:tblLook w:val="0000"/>
        </w:tblPrEx>
        <w:tc>
          <w:tcPr>
            <w:tcW w:w="4698" w:type="dxa"/>
          </w:tcPr>
          <w:p w:rsidR="004C2EE3" w14:paraId="7476904E" w14:textId="77777777">
            <w:pPr>
              <w:tabs>
                <w:tab w:val="center" w:pos="4680"/>
              </w:tabs>
              <w:suppressAutoHyphens/>
              <w:rPr>
                <w:spacing w:val="-2"/>
              </w:rPr>
            </w:pPr>
            <w:r>
              <w:rPr>
                <w:spacing w:val="-2"/>
              </w:rPr>
              <w:t>In the Matter of</w:t>
            </w:r>
          </w:p>
          <w:p w:rsidR="004C2EE3" w14:paraId="038AE891" w14:textId="77777777">
            <w:pPr>
              <w:tabs>
                <w:tab w:val="center" w:pos="4680"/>
              </w:tabs>
              <w:suppressAutoHyphens/>
              <w:rPr>
                <w:spacing w:val="-2"/>
              </w:rPr>
            </w:pPr>
          </w:p>
          <w:p w:rsidR="00C372EC" w:rsidP="009F2562" w14:paraId="1804A367" w14:textId="77777777">
            <w:pPr>
              <w:tabs>
                <w:tab w:val="center" w:pos="4680"/>
              </w:tabs>
              <w:suppressAutoHyphens/>
              <w:rPr>
                <w:spacing w:val="-2"/>
              </w:rPr>
            </w:pPr>
            <w:r w:rsidRPr="009F2562">
              <w:rPr>
                <w:spacing w:val="-2"/>
              </w:rPr>
              <w:t>Amendment of Section 73.622(</w:t>
            </w:r>
            <w:r w:rsidR="00A65E99">
              <w:rPr>
                <w:spacing w:val="-2"/>
              </w:rPr>
              <w:t>j</w:t>
            </w:r>
            <w:r w:rsidRPr="009F2562">
              <w:rPr>
                <w:spacing w:val="-2"/>
              </w:rPr>
              <w:t>),</w:t>
            </w:r>
            <w:r>
              <w:t xml:space="preserve"> </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0308A945" w14:textId="077A11D7">
            <w:pPr>
              <w:tabs>
                <w:tab w:val="center" w:pos="4680"/>
              </w:tabs>
              <w:suppressAutoHyphens/>
              <w:rPr>
                <w:spacing w:val="-2"/>
              </w:rPr>
            </w:pPr>
            <w:r>
              <w:rPr>
                <w:spacing w:val="-2"/>
              </w:rPr>
              <w:t>(</w:t>
            </w:r>
            <w:r w:rsidR="00BB31CD">
              <w:rPr>
                <w:spacing w:val="-2"/>
              </w:rPr>
              <w:t>Coos Bay</w:t>
            </w:r>
            <w:r>
              <w:rPr>
                <w:spacing w:val="-2"/>
              </w:rPr>
              <w:t xml:space="preserve">, </w:t>
            </w:r>
            <w:r w:rsidR="00A65E99">
              <w:rPr>
                <w:spacing w:val="-2"/>
              </w:rPr>
              <w:t>Oregon</w:t>
            </w:r>
            <w:r w:rsidRPr="00E208EC" w:rsidR="00E208EC">
              <w:rPr>
                <w:spacing w:val="-2"/>
              </w:rPr>
              <w:t>)</w:t>
            </w:r>
          </w:p>
          <w:p w:rsidR="004C2EE3" w:rsidRPr="007115F7" w:rsidP="009F2562" w14:paraId="7E525E15" w14:textId="77777777">
            <w:pPr>
              <w:tabs>
                <w:tab w:val="center" w:pos="4680"/>
              </w:tabs>
              <w:suppressAutoHyphens/>
              <w:rPr>
                <w:spacing w:val="-2"/>
              </w:rPr>
            </w:pPr>
          </w:p>
        </w:tc>
        <w:tc>
          <w:tcPr>
            <w:tcW w:w="630" w:type="dxa"/>
          </w:tcPr>
          <w:p w:rsidR="004C2EE3" w14:paraId="38F0374E" w14:textId="77777777">
            <w:pPr>
              <w:tabs>
                <w:tab w:val="center" w:pos="4680"/>
              </w:tabs>
              <w:suppressAutoHyphens/>
              <w:rPr>
                <w:b/>
                <w:spacing w:val="-2"/>
              </w:rPr>
            </w:pPr>
            <w:r>
              <w:rPr>
                <w:b/>
                <w:spacing w:val="-2"/>
              </w:rPr>
              <w:t>)</w:t>
            </w:r>
          </w:p>
          <w:p w:rsidR="004C2EE3" w14:paraId="7286767C" w14:textId="77777777">
            <w:pPr>
              <w:tabs>
                <w:tab w:val="center" w:pos="4680"/>
              </w:tabs>
              <w:suppressAutoHyphens/>
              <w:rPr>
                <w:b/>
                <w:spacing w:val="-2"/>
              </w:rPr>
            </w:pPr>
            <w:r>
              <w:rPr>
                <w:b/>
                <w:spacing w:val="-2"/>
              </w:rPr>
              <w:t>)</w:t>
            </w:r>
          </w:p>
          <w:p w:rsidR="004C2EE3" w14:paraId="2B7C7A5E" w14:textId="77777777">
            <w:pPr>
              <w:tabs>
                <w:tab w:val="center" w:pos="4680"/>
              </w:tabs>
              <w:suppressAutoHyphens/>
              <w:rPr>
                <w:b/>
                <w:spacing w:val="-2"/>
              </w:rPr>
            </w:pPr>
            <w:r>
              <w:rPr>
                <w:b/>
                <w:spacing w:val="-2"/>
              </w:rPr>
              <w:t>)</w:t>
            </w:r>
          </w:p>
          <w:p w:rsidR="004C2EE3" w14:paraId="616F43C9" w14:textId="77777777">
            <w:pPr>
              <w:tabs>
                <w:tab w:val="center" w:pos="4680"/>
              </w:tabs>
              <w:suppressAutoHyphens/>
              <w:rPr>
                <w:b/>
                <w:spacing w:val="-2"/>
              </w:rPr>
            </w:pPr>
            <w:r>
              <w:rPr>
                <w:b/>
                <w:spacing w:val="-2"/>
              </w:rPr>
              <w:t>)</w:t>
            </w:r>
          </w:p>
          <w:p w:rsidR="004A3C48" w:rsidRPr="009F2562" w14:paraId="0488557B" w14:textId="77777777">
            <w:pPr>
              <w:tabs>
                <w:tab w:val="center" w:pos="4680"/>
              </w:tabs>
              <w:suppressAutoHyphens/>
              <w:rPr>
                <w:b/>
                <w:spacing w:val="-2"/>
              </w:rPr>
            </w:pPr>
            <w:r>
              <w:rPr>
                <w:b/>
                <w:spacing w:val="-2"/>
              </w:rPr>
              <w:t>)</w:t>
            </w:r>
          </w:p>
        </w:tc>
        <w:tc>
          <w:tcPr>
            <w:tcW w:w="4248" w:type="dxa"/>
          </w:tcPr>
          <w:p w:rsidR="004C2EE3" w14:paraId="7D4412E4" w14:textId="77777777">
            <w:pPr>
              <w:tabs>
                <w:tab w:val="center" w:pos="4680"/>
              </w:tabs>
              <w:suppressAutoHyphens/>
              <w:rPr>
                <w:spacing w:val="-2"/>
              </w:rPr>
            </w:pPr>
          </w:p>
          <w:p w:rsidR="004C2EE3" w14:paraId="3795B269" w14:textId="77777777">
            <w:pPr>
              <w:pStyle w:val="TOAHeading"/>
              <w:tabs>
                <w:tab w:val="center" w:pos="4680"/>
                <w:tab w:val="clear" w:pos="9360"/>
              </w:tabs>
              <w:rPr>
                <w:spacing w:val="-2"/>
              </w:rPr>
            </w:pPr>
          </w:p>
          <w:p w:rsidR="009F2562" w:rsidRPr="009F2562" w:rsidP="009F2562" w14:paraId="04EA2A1C" w14:textId="3D3D2024">
            <w:pPr>
              <w:pStyle w:val="TOAHeading"/>
              <w:tabs>
                <w:tab w:val="center" w:pos="4680"/>
              </w:tabs>
              <w:rPr>
                <w:spacing w:val="-2"/>
              </w:rPr>
            </w:pPr>
            <w:r w:rsidRPr="009F2562">
              <w:rPr>
                <w:spacing w:val="-2"/>
              </w:rPr>
              <w:t xml:space="preserve">MB Docket No. </w:t>
            </w:r>
            <w:r w:rsidR="00A65E99">
              <w:rPr>
                <w:spacing w:val="-2"/>
              </w:rPr>
              <w:t>23-</w:t>
            </w:r>
            <w:r w:rsidR="00E309F2">
              <w:rPr>
                <w:spacing w:val="-2"/>
              </w:rPr>
              <w:t>43</w:t>
            </w:r>
          </w:p>
          <w:p w:rsidR="004C2EE3" w:rsidP="009F2562" w14:paraId="265E1DFC" w14:textId="1017541B">
            <w:pPr>
              <w:tabs>
                <w:tab w:val="center" w:pos="4680"/>
              </w:tabs>
              <w:suppressAutoHyphens/>
              <w:rPr>
                <w:spacing w:val="-2"/>
              </w:rPr>
            </w:pPr>
            <w:r w:rsidRPr="009F2562">
              <w:rPr>
                <w:spacing w:val="-2"/>
              </w:rPr>
              <w:t>RM-</w:t>
            </w:r>
            <w:r w:rsidR="00A65E99">
              <w:rPr>
                <w:spacing w:val="-2"/>
              </w:rPr>
              <w:t>119</w:t>
            </w:r>
            <w:r w:rsidR="00E309F2">
              <w:rPr>
                <w:spacing w:val="-2"/>
              </w:rPr>
              <w:t>44</w:t>
            </w:r>
          </w:p>
        </w:tc>
      </w:tr>
    </w:tbl>
    <w:p w:rsidR="00841AB1" w:rsidP="00F021FA" w14:paraId="3A65E051" w14:textId="77777777">
      <w:pPr>
        <w:pStyle w:val="StyleBoldCentered"/>
      </w:pPr>
      <w:r>
        <w:t>Notice of proposed rulemaking</w:t>
      </w:r>
    </w:p>
    <w:p w:rsidR="004C2EE3" w14:paraId="715B47AF" w14:textId="77777777">
      <w:pPr>
        <w:tabs>
          <w:tab w:val="left" w:pos="-720"/>
        </w:tabs>
        <w:suppressAutoHyphens/>
        <w:spacing w:line="227" w:lineRule="auto"/>
        <w:rPr>
          <w:spacing w:val="-2"/>
        </w:rPr>
      </w:pPr>
    </w:p>
    <w:p w:rsidR="004C2EE3" w:rsidP="00133F79" w14:paraId="55D9F09F" w14:textId="3B51305D">
      <w:pPr>
        <w:tabs>
          <w:tab w:val="left" w:pos="720"/>
          <w:tab w:val="right" w:pos="9360"/>
        </w:tabs>
        <w:suppressAutoHyphens/>
        <w:spacing w:line="227" w:lineRule="auto"/>
        <w:rPr>
          <w:b/>
          <w:spacing w:val="-2"/>
        </w:rPr>
      </w:pPr>
      <w:r>
        <w:rPr>
          <w:b/>
          <w:spacing w:val="-2"/>
        </w:rPr>
        <w:t xml:space="preserve">Adopted: </w:t>
      </w:r>
      <w:r w:rsidR="008164CC">
        <w:rPr>
          <w:b/>
          <w:spacing w:val="-2"/>
        </w:rPr>
        <w:t xml:space="preserve"> </w:t>
      </w:r>
      <w:r w:rsidR="003917BF">
        <w:rPr>
          <w:b/>
          <w:spacing w:val="-2"/>
        </w:rPr>
        <w:t>February</w:t>
      </w:r>
      <w:r w:rsidR="00A65E99">
        <w:rPr>
          <w:b/>
          <w:spacing w:val="-2"/>
        </w:rPr>
        <w:t xml:space="preserve"> </w:t>
      </w:r>
      <w:r w:rsidR="00E309F2">
        <w:rPr>
          <w:b/>
          <w:spacing w:val="-2"/>
        </w:rPr>
        <w:t>1</w:t>
      </w:r>
      <w:r w:rsidR="00A65E99">
        <w:rPr>
          <w:b/>
          <w:spacing w:val="-2"/>
        </w:rPr>
        <w:t>, 2023</w:t>
      </w:r>
      <w:r>
        <w:rPr>
          <w:b/>
          <w:spacing w:val="-2"/>
        </w:rPr>
        <w:tab/>
      </w:r>
      <w:r w:rsidR="00822CE0">
        <w:rPr>
          <w:b/>
          <w:spacing w:val="-2"/>
        </w:rPr>
        <w:t>Released</w:t>
      </w:r>
      <w:r>
        <w:rPr>
          <w:b/>
          <w:spacing w:val="-2"/>
        </w:rPr>
        <w:t>:</w:t>
      </w:r>
      <w:r w:rsidR="00822CE0">
        <w:rPr>
          <w:b/>
          <w:spacing w:val="-2"/>
        </w:rPr>
        <w:t xml:space="preserve"> </w:t>
      </w:r>
      <w:r w:rsidR="003917BF">
        <w:rPr>
          <w:b/>
          <w:spacing w:val="-2"/>
        </w:rPr>
        <w:t>February</w:t>
      </w:r>
      <w:r w:rsidR="00A65E99">
        <w:rPr>
          <w:b/>
          <w:spacing w:val="-2"/>
        </w:rPr>
        <w:t xml:space="preserve"> </w:t>
      </w:r>
      <w:r w:rsidR="00E309F2">
        <w:rPr>
          <w:b/>
          <w:spacing w:val="-2"/>
        </w:rPr>
        <w:t>1</w:t>
      </w:r>
      <w:r w:rsidR="00A65E99">
        <w:rPr>
          <w:b/>
          <w:spacing w:val="-2"/>
        </w:rPr>
        <w:t>, 2023</w:t>
      </w:r>
    </w:p>
    <w:p w:rsidR="009F2562" w:rsidP="00133F79" w14:paraId="24F0DAE8" w14:textId="77777777">
      <w:pPr>
        <w:tabs>
          <w:tab w:val="left" w:pos="720"/>
          <w:tab w:val="right" w:pos="9360"/>
        </w:tabs>
        <w:suppressAutoHyphens/>
        <w:spacing w:line="227" w:lineRule="auto"/>
        <w:rPr>
          <w:b/>
          <w:spacing w:val="-2"/>
        </w:rPr>
      </w:pPr>
    </w:p>
    <w:p w:rsidR="009F2562" w:rsidRPr="001E1C45" w:rsidP="009F2562" w14:paraId="470AB34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008C58B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2334984F" w14:textId="77777777"/>
    <w:p w:rsidR="00412FC5" w:rsidP="000E7316" w14:paraId="33C3E625"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7D60D771" w14:textId="77777777">
      <w:pPr>
        <w:rPr>
          <w:spacing w:val="-2"/>
        </w:rPr>
      </w:pPr>
    </w:p>
    <w:p w:rsidR="003B6FA0" w:rsidP="000E7316" w14:paraId="073602E0" w14:textId="77777777">
      <w:pPr>
        <w:pStyle w:val="Heading1"/>
        <w:keepNext w:val="0"/>
        <w:suppressAutoHyphens w:val="0"/>
      </w:pPr>
      <w:r>
        <w:t>Introduction</w:t>
      </w:r>
    </w:p>
    <w:p w:rsidR="009F2562" w:rsidRPr="009F2562" w:rsidP="000E7316" w14:paraId="3E190E23" w14:textId="6C3CEAC8">
      <w:pPr>
        <w:pStyle w:val="ParaNum"/>
      </w:pPr>
      <w:r w:rsidRPr="00E208EC">
        <w:t xml:space="preserve">The </w:t>
      </w:r>
      <w:r w:rsidR="00787DB6">
        <w:t>Video Division</w:t>
      </w:r>
      <w:r w:rsidR="00A91816">
        <w:t>, Media Bureau</w:t>
      </w:r>
      <w:r w:rsidRPr="00E208EC">
        <w:t xml:space="preserve"> </w:t>
      </w:r>
      <w:r w:rsidR="004D0DF9">
        <w:t>(Bureau)</w:t>
      </w:r>
      <w:r w:rsidR="00105AB9">
        <w:t>,</w:t>
      </w:r>
      <w:r w:rsidR="004D0DF9">
        <w:t xml:space="preserve"> </w:t>
      </w:r>
      <w:r w:rsidRPr="00E208EC">
        <w:t xml:space="preserve">has before it a petition for rulemaking filed </w:t>
      </w:r>
      <w:r w:rsidR="00A65E99">
        <w:t>January 9, 2023</w:t>
      </w:r>
      <w:r w:rsidR="008164CC">
        <w:t>,</w:t>
      </w:r>
      <w:r w:rsidRPr="00E208EC">
        <w:t xml:space="preserve"> by </w:t>
      </w:r>
      <w:r w:rsidR="00A65E99">
        <w:t>Sinclair Eugene Licensee, LLC</w:t>
      </w:r>
      <w:r w:rsidRPr="00E208EC">
        <w:t xml:space="preserve"> (</w:t>
      </w:r>
      <w:r w:rsidR="004D0DF9">
        <w:t>Petitioner</w:t>
      </w:r>
      <w:r w:rsidRPr="00E208EC">
        <w:t>), the licensee of</w:t>
      </w:r>
      <w:r w:rsidR="008164CC">
        <w:t xml:space="preserve"> </w:t>
      </w:r>
      <w:r w:rsidR="002B08BA">
        <w:t>KCBY-TV</w:t>
      </w:r>
      <w:r w:rsidR="008164CC">
        <w:t xml:space="preserve">, channel </w:t>
      </w:r>
      <w:r w:rsidR="00C372EC">
        <w:t>11</w:t>
      </w:r>
      <w:r w:rsidR="008164CC">
        <w:t xml:space="preserve">, </w:t>
      </w:r>
      <w:r w:rsidR="00BB31CD">
        <w:t>Coos Bay</w:t>
      </w:r>
      <w:r w:rsidR="00A26B3B">
        <w:t xml:space="preserve">, </w:t>
      </w:r>
      <w:r w:rsidR="00A65E99">
        <w:t>Oregon</w:t>
      </w:r>
      <w:r w:rsidR="00A26B3B">
        <w:t xml:space="preserve"> (</w:t>
      </w:r>
      <w:r w:rsidR="002B08BA">
        <w:t>KCBY-TV</w:t>
      </w:r>
      <w:r w:rsidR="0060548C">
        <w:t xml:space="preserve"> or Station)</w:t>
      </w:r>
      <w:r w:rsidRPr="00E208EC">
        <w:t>.</w:t>
      </w:r>
      <w:r>
        <w:rPr>
          <w:rStyle w:val="FootnoteReference"/>
        </w:rPr>
        <w:footnoteReference w:id="3"/>
      </w:r>
      <w:r w:rsidRPr="00E208EC">
        <w:t xml:space="preserve"> </w:t>
      </w:r>
      <w:r w:rsidR="00BA0BA9">
        <w:t xml:space="preserve"> The </w:t>
      </w:r>
      <w:r w:rsidR="004D0DF9">
        <w:t>Petitioner</w:t>
      </w:r>
      <w:r w:rsidRPr="00E208EC">
        <w:t xml:space="preserve"> requests the substitution of channel </w:t>
      </w:r>
      <w:r w:rsidR="00A65E99">
        <w:t>34</w:t>
      </w:r>
      <w:r w:rsidRPr="00E208EC">
        <w:t xml:space="preserve"> for channel </w:t>
      </w:r>
      <w:r w:rsidR="00C372EC">
        <w:t>11</w:t>
      </w:r>
      <w:r w:rsidRPr="00E208EC">
        <w:t xml:space="preserve"> at </w:t>
      </w:r>
      <w:r w:rsidR="00BB31CD">
        <w:t>Coos Bay</w:t>
      </w:r>
      <w:r w:rsidR="00A26B3B">
        <w:t xml:space="preserve">, </w:t>
      </w:r>
      <w:r w:rsidR="00A65E99">
        <w:t>Oregon</w:t>
      </w:r>
      <w:r w:rsidR="00341BB1">
        <w:t xml:space="preserve"> </w:t>
      </w:r>
      <w:r w:rsidRPr="00E208EC">
        <w:t xml:space="preserve">in the Table of </w:t>
      </w:r>
      <w:r w:rsidR="00A65E99">
        <w:t xml:space="preserve">TV </w:t>
      </w:r>
      <w:r w:rsidRPr="00E208EC">
        <w:t>Allotments.</w:t>
      </w:r>
      <w:r w:rsidRPr="009F2562">
        <w:t xml:space="preserve"> </w:t>
      </w:r>
    </w:p>
    <w:p w:rsidR="006F1759" w:rsidRPr="006F1759" w:rsidP="000E7316" w14:paraId="6240287C" w14:textId="77777777">
      <w:pPr>
        <w:pStyle w:val="Heading1"/>
        <w:keepNext w:val="0"/>
        <w:suppressAutoHyphens w:val="0"/>
      </w:pPr>
      <w:r>
        <w:t>Background</w:t>
      </w:r>
    </w:p>
    <w:p w:rsidR="009A63FD" w:rsidRPr="00387114" w:rsidP="00870B9D" w14:paraId="525DF9BB" w14:textId="74D3E1B6">
      <w:pPr>
        <w:pStyle w:val="ParaNum"/>
        <w:rPr>
          <w:snapToGrid/>
          <w:szCs w:val="22"/>
        </w:rPr>
      </w:pPr>
      <w:r w:rsidRPr="00E208EC">
        <w:t xml:space="preserve">In support of its channel substitution request, </w:t>
      </w:r>
      <w:r w:rsidR="00BD5289">
        <w:t xml:space="preserve">the </w:t>
      </w:r>
      <w:r w:rsidR="004D0DF9">
        <w:t>Petitioner</w:t>
      </w:r>
      <w:r w:rsidRPr="00E208EC">
        <w:t xml:space="preserve"> states that</w:t>
      </w:r>
      <w:r w:rsidR="00906BBA">
        <w:t xml:space="preserve"> the Station has a long history of severe reception problems</w:t>
      </w:r>
      <w:r w:rsidR="00631F0A">
        <w:t xml:space="preserve"> as a result of its operation on a VHF channel.  </w:t>
      </w:r>
      <w:r w:rsidR="003638B7">
        <w:t xml:space="preserve">The Petitioner further states </w:t>
      </w:r>
      <w:r w:rsidRPr="00E208EC">
        <w:t>that</w:t>
      </w:r>
      <w:r w:rsidR="003638B7">
        <w:t xml:space="preserve"> the Commission has recognized that</w:t>
      </w:r>
      <w:r w:rsidRPr="00E208EC">
        <w:t xml:space="preserve"> VHF channels </w:t>
      </w:r>
      <w:r w:rsidRPr="00B75FF5" w:rsidR="00B75FF5">
        <w:t xml:space="preserve">pose challenges for their use in providing digital television service, including </w:t>
      </w:r>
      <w:r w:rsidRPr="00E208EC">
        <w:t xml:space="preserve">propagation characteristics </w:t>
      </w:r>
      <w:r w:rsidRPr="00B75FF5" w:rsidR="00B75FF5">
        <w:t xml:space="preserve">that allow undesired signals and noise to be receivable at relatively far distances </w:t>
      </w:r>
      <w:r w:rsidR="00B75FF5">
        <w:t xml:space="preserve">and </w:t>
      </w:r>
      <w:r w:rsidR="0016380B">
        <w:t>result in</w:t>
      </w:r>
      <w:r w:rsidR="00B75FF5">
        <w:t xml:space="preserve"> </w:t>
      </w:r>
      <w:r w:rsidR="00906BBA">
        <w:t>large variability</w:t>
      </w:r>
      <w:r w:rsidR="003638B7">
        <w:t xml:space="preserve"> </w:t>
      </w:r>
      <w:r w:rsidR="00906BBA">
        <w:t xml:space="preserve">in the performance of indoor antennas available to viewers with most antennas performing </w:t>
      </w:r>
      <w:r w:rsidR="003638B7">
        <w:t>very poor</w:t>
      </w:r>
      <w:r w:rsidR="00B23672">
        <w:t>ly</w:t>
      </w:r>
      <w:r w:rsidR="003638B7">
        <w:t xml:space="preserve"> </w:t>
      </w:r>
      <w:r w:rsidR="00B75FF5">
        <w:t>on</w:t>
      </w:r>
      <w:r w:rsidR="003638B7">
        <w:t xml:space="preserve"> high</w:t>
      </w:r>
      <w:r w:rsidR="00906BBA">
        <w:t xml:space="preserve"> VHF channels</w:t>
      </w:r>
      <w:r w:rsidR="00C57EB5">
        <w:t>.</w:t>
      </w:r>
      <w:r>
        <w:rPr>
          <w:rStyle w:val="FootnoteReference"/>
        </w:rPr>
        <w:footnoteReference w:id="4"/>
      </w:r>
      <w:r w:rsidR="00DE7BB3">
        <w:t xml:space="preserve"> </w:t>
      </w:r>
      <w:r w:rsidR="00C57EB5">
        <w:t xml:space="preserve"> </w:t>
      </w:r>
      <w:r w:rsidRPr="00E208EC">
        <w:t xml:space="preserve">According to </w:t>
      </w:r>
      <w:r w:rsidR="00DE7BB3">
        <w:t xml:space="preserve">the </w:t>
      </w:r>
      <w:r w:rsidR="004D0DF9">
        <w:t>Petitioner</w:t>
      </w:r>
      <w:r w:rsidRPr="00E208EC">
        <w:t xml:space="preserve">, </w:t>
      </w:r>
      <w:r w:rsidR="002B08BA">
        <w:t>KCBY-TV</w:t>
      </w:r>
      <w:r w:rsidR="003B5AC1">
        <w:t xml:space="preserve"> </w:t>
      </w:r>
      <w:r w:rsidR="0060548C">
        <w:t>“</w:t>
      </w:r>
      <w:r w:rsidR="003B5AC1">
        <w:t>has received numerous complaints from viewers unable to receive that Station’s over-the-air signal</w:t>
      </w:r>
      <w:r w:rsidR="00E509E7">
        <w:t xml:space="preserve">, despite being able to receive signals from other </w:t>
      </w:r>
      <w:r w:rsidR="00B75FF5">
        <w:t xml:space="preserve">local </w:t>
      </w:r>
      <w:r w:rsidR="00E509E7">
        <w:t>station</w:t>
      </w:r>
      <w:r w:rsidR="00B75FF5">
        <w:t>s.</w:t>
      </w:r>
      <w:r w:rsidR="00E509E7">
        <w:t>”</w:t>
      </w:r>
      <w:r>
        <w:rPr>
          <w:rStyle w:val="FootnoteReference"/>
        </w:rPr>
        <w:footnoteReference w:id="5"/>
      </w:r>
      <w:r w:rsidR="00FB689B">
        <w:t xml:space="preserve"> </w:t>
      </w:r>
      <w:r w:rsidR="00B75FF5">
        <w:t xml:space="preserve"> Petitioner asserts that </w:t>
      </w:r>
      <w:r w:rsidR="00E509E7">
        <w:t>its channel substitution proposal</w:t>
      </w:r>
      <w:r w:rsidR="00631F0A">
        <w:t xml:space="preserve"> will serve the public in</w:t>
      </w:r>
      <w:r w:rsidR="00E509E7">
        <w:t xml:space="preserve"> </w:t>
      </w:r>
      <w:r w:rsidR="00F40FCD">
        <w:t>by resolving the</w:t>
      </w:r>
      <w:r w:rsidRPr="00F40FCD" w:rsidR="00F40FCD">
        <w:t xml:space="preserve"> over-the-air reception problems </w:t>
      </w:r>
      <w:r w:rsidR="00F40FCD">
        <w:t>and enhanc</w:t>
      </w:r>
      <w:r w:rsidR="00B75FF5">
        <w:t>ing viewer</w:t>
      </w:r>
      <w:r w:rsidR="00F40FCD">
        <w:t xml:space="preserve"> reception in KCBY-TV’s service area</w:t>
      </w:r>
      <w:r w:rsidR="00B75FF5">
        <w:t>.</w:t>
      </w:r>
      <w:r>
        <w:rPr>
          <w:rStyle w:val="FootnoteReference"/>
        </w:rPr>
        <w:footnoteReference w:id="6"/>
      </w:r>
      <w:r w:rsidR="00870B9D">
        <w:t xml:space="preserve">  </w:t>
      </w:r>
      <w:r w:rsidR="00B34639">
        <w:t>A</w:t>
      </w:r>
      <w:r w:rsidRPr="00B34639" w:rsidR="00B34639">
        <w:t xml:space="preserve">n analysis </w:t>
      </w:r>
      <w:r w:rsidR="00B34639">
        <w:t xml:space="preserve">provided by the Petitioner </w:t>
      </w:r>
      <w:r w:rsidRPr="00B34639" w:rsidR="00B34639">
        <w:t xml:space="preserve">using the Commission’s </w:t>
      </w:r>
      <w:r w:rsidRPr="00B23672" w:rsidR="00B34639">
        <w:rPr>
          <w:i/>
          <w:iCs/>
        </w:rPr>
        <w:t>TVStudy</w:t>
      </w:r>
      <w:r w:rsidRPr="00B34639" w:rsidR="00B34639">
        <w:t xml:space="preserve"> software tool</w:t>
      </w:r>
      <w:r w:rsidR="00B75FF5">
        <w:t xml:space="preserve"> </w:t>
      </w:r>
      <w:r w:rsidRPr="00B34639" w:rsidR="00B34639">
        <w:t xml:space="preserve">indicates that </w:t>
      </w:r>
      <w:r w:rsidR="00B34639">
        <w:t xml:space="preserve">all but </w:t>
      </w:r>
      <w:r w:rsidR="00870B9D">
        <w:t xml:space="preserve">approximately </w:t>
      </w:r>
      <w:r w:rsidR="00B34639">
        <w:t>3</w:t>
      </w:r>
      <w:r w:rsidR="00B75FF5">
        <w:t>9</w:t>
      </w:r>
      <w:r w:rsidR="00B34639">
        <w:t>2 persons will continue to receive the signal,</w:t>
      </w:r>
      <w:r>
        <w:rPr>
          <w:rStyle w:val="FootnoteReference"/>
        </w:rPr>
        <w:footnoteReference w:id="7"/>
      </w:r>
      <w:r w:rsidR="00B34639">
        <w:t xml:space="preserve"> a number the </w:t>
      </w:r>
      <w:r w:rsidRPr="00B34639" w:rsidR="00B34639">
        <w:rPr>
          <w:szCs w:val="22"/>
        </w:rPr>
        <w:t xml:space="preserve">Petitioner asserts is </w:t>
      </w:r>
      <w:r w:rsidRPr="00B34639" w:rsidR="00B34639">
        <w:rPr>
          <w:i/>
          <w:iCs/>
          <w:szCs w:val="22"/>
        </w:rPr>
        <w:t>de minimis</w:t>
      </w:r>
      <w:r w:rsidRPr="00B34639" w:rsidR="00B34639">
        <w:rPr>
          <w:szCs w:val="22"/>
        </w:rPr>
        <w:t>.</w:t>
      </w:r>
      <w:r>
        <w:rPr>
          <w:rStyle w:val="FootnoteReference"/>
          <w:szCs w:val="22"/>
        </w:rPr>
        <w:footnoteReference w:id="8"/>
      </w:r>
      <w:r w:rsidRPr="00B34639" w:rsidR="00B34639">
        <w:rPr>
          <w:szCs w:val="22"/>
        </w:rPr>
        <w:t xml:space="preserve">  </w:t>
      </w:r>
      <w:r w:rsidR="005C0DD7">
        <w:rPr>
          <w:szCs w:val="22"/>
        </w:rPr>
        <w:t xml:space="preserve">Furthermore, </w:t>
      </w:r>
      <w:r w:rsidR="005C0DD7">
        <w:t>i</w:t>
      </w:r>
      <w:r w:rsidR="001C3647">
        <w:t>n addition</w:t>
      </w:r>
      <w:r w:rsidR="005C0DD7">
        <w:t xml:space="preserve"> to maintaining full coverage of its community of license</w:t>
      </w:r>
      <w:r w:rsidR="001C3647">
        <w:t>,</w:t>
      </w:r>
      <w:r>
        <w:rPr>
          <w:rStyle w:val="FootnoteReference"/>
        </w:rPr>
        <w:footnoteReference w:id="9"/>
      </w:r>
      <w:r w:rsidR="001C3647">
        <w:t xml:space="preserve"> </w:t>
      </w:r>
      <w:r w:rsidR="005A5BBC">
        <w:t xml:space="preserve">Petitioner notes that </w:t>
      </w:r>
      <w:r w:rsidR="001C3647">
        <w:t xml:space="preserve">the proposed change to </w:t>
      </w:r>
      <w:r w:rsidRPr="005A5BBC" w:rsidR="001C3647">
        <w:rPr>
          <w:szCs w:val="22"/>
        </w:rPr>
        <w:t>channel 34 will result in a predicted increase in service to more than 11,000 persons</w:t>
      </w:r>
      <w:r w:rsidRPr="005A5BBC" w:rsidR="005B30B1">
        <w:rPr>
          <w:szCs w:val="22"/>
        </w:rPr>
        <w:t>.</w:t>
      </w:r>
      <w:r>
        <w:rPr>
          <w:rStyle w:val="FootnoteReference"/>
          <w:szCs w:val="22"/>
        </w:rPr>
        <w:footnoteReference w:id="10"/>
      </w:r>
      <w:r w:rsidRPr="00631F0A" w:rsidR="00631F0A">
        <w:t xml:space="preserve"> </w:t>
      </w:r>
      <w:r w:rsidR="00631F0A">
        <w:t xml:space="preserve"> </w:t>
      </w:r>
      <w:r w:rsidRPr="00BF1B4B" w:rsidR="00631F0A">
        <w:t xml:space="preserve"> </w:t>
      </w:r>
      <w:r w:rsidR="00631F0A">
        <w:t xml:space="preserve"> </w:t>
      </w:r>
    </w:p>
    <w:p w:rsidR="006F293F" w:rsidP="006F293F" w14:paraId="7A426F38" w14:textId="77777777">
      <w:pPr>
        <w:pStyle w:val="Heading1"/>
      </w:pPr>
      <w:r>
        <w:t>DISCUSSION</w:t>
      </w:r>
    </w:p>
    <w:p w:rsidR="006F293F" w:rsidP="006F293F" w14:paraId="61B1B3F3" w14:textId="006721A1">
      <w:pPr>
        <w:pStyle w:val="ParaNum"/>
      </w:pPr>
      <w:r w:rsidRPr="00E208EC">
        <w:t xml:space="preserve">We believe that the </w:t>
      </w:r>
      <w:r w:rsidR="004D0DF9">
        <w:t>Petitioner</w:t>
      </w:r>
      <w:r>
        <w:t xml:space="preserve">’s </w:t>
      </w:r>
      <w:r w:rsidRPr="00E208EC">
        <w:t xml:space="preserve">channel substitution proposal warrants consideration.  Channel </w:t>
      </w:r>
      <w:r w:rsidR="00C372EC">
        <w:t>34</w:t>
      </w:r>
      <w:r w:rsidRPr="00E208EC">
        <w:t xml:space="preserve"> can be substituted for channel </w:t>
      </w:r>
      <w:r w:rsidR="00C372EC">
        <w:t>11</w:t>
      </w:r>
      <w:r w:rsidRPr="00E208EC">
        <w:t xml:space="preserve"> a</w:t>
      </w:r>
      <w:r w:rsidR="008F6AF0">
        <w:t xml:space="preserve">t </w:t>
      </w:r>
      <w:r w:rsidR="00BB31CD">
        <w:t>Coos Bay</w:t>
      </w:r>
      <w:r w:rsidR="008F6AF0">
        <w:t xml:space="preserve">, </w:t>
      </w:r>
      <w:r w:rsidR="00A65E99">
        <w:t>Oregon</w:t>
      </w:r>
      <w:r w:rsidRPr="00E208EC">
        <w:t xml:space="preserve">, as proposed, in compliance with the principal community coverage requirements of section 73.625(a) of the Commission’s </w:t>
      </w:r>
      <w:r w:rsidR="003F324E">
        <w:t>Rules (</w:t>
      </w:r>
      <w:r w:rsidRPr="00E208EC">
        <w:t>rules</w:t>
      </w:r>
      <w:r w:rsidR="003F324E">
        <w:t>)</w:t>
      </w:r>
      <w:r>
        <w:t>,</w:t>
      </w:r>
      <w:r>
        <w:rPr>
          <w:vertAlign w:val="superscript"/>
        </w:rPr>
        <w:footnoteReference w:id="11"/>
      </w:r>
      <w:r w:rsidRPr="00E208EC">
        <w:t xml:space="preserve"> at coordinate</w:t>
      </w:r>
      <w:r w:rsidR="008F6AF0">
        <w:t>s</w:t>
      </w:r>
      <w:r w:rsidR="00EE1855">
        <w:t xml:space="preserve"> 4</w:t>
      </w:r>
      <w:r w:rsidR="00C372EC">
        <w:t>3</w:t>
      </w:r>
      <w:r w:rsidR="00EE1855">
        <w:t>-</w:t>
      </w:r>
      <w:r w:rsidR="00C372EC">
        <w:t>23</w:t>
      </w:r>
      <w:r w:rsidR="00EE1855">
        <w:t>-</w:t>
      </w:r>
      <w:r w:rsidR="00C372EC">
        <w:t>2</w:t>
      </w:r>
      <w:r w:rsidR="00FA6B0E">
        <w:t>5</w:t>
      </w:r>
      <w:r w:rsidR="00C372EC">
        <w:t>.</w:t>
      </w:r>
      <w:r w:rsidR="00FA6B0E">
        <w:t>4</w:t>
      </w:r>
      <w:r w:rsidRPr="00E208EC">
        <w:t xml:space="preserve"> N and </w:t>
      </w:r>
      <w:r w:rsidR="00C372EC">
        <w:t>124</w:t>
      </w:r>
      <w:r w:rsidR="005D108C">
        <w:t>-</w:t>
      </w:r>
      <w:r w:rsidR="00C372EC">
        <w:t>07</w:t>
      </w:r>
      <w:r w:rsidR="005D108C">
        <w:t>-</w:t>
      </w:r>
      <w:r w:rsidR="00C372EC">
        <w:t>50.3</w:t>
      </w:r>
      <w:r w:rsidRPr="00E208EC">
        <w:t xml:space="preserve"> W.  In addition, we find that this channel change meets the technical requirements set forth in sections 73.616 and 73.623 of the </w:t>
      </w:r>
      <w:r>
        <w:t>r</w:t>
      </w:r>
      <w:r w:rsidRPr="00E208EC">
        <w:t>ules</w:t>
      </w:r>
      <w:r w:rsidRPr="005B30B1">
        <w:t>.</w:t>
      </w:r>
      <w:r>
        <w:rPr>
          <w:vertAlign w:val="superscript"/>
        </w:rPr>
        <w:footnoteReference w:id="12"/>
      </w:r>
      <w:r w:rsidRPr="005B30B1">
        <w:t xml:space="preserve"> </w:t>
      </w:r>
      <w:r w:rsidRPr="005B30B1" w:rsidR="00C57EB5">
        <w:t xml:space="preserve"> </w:t>
      </w:r>
      <w:r w:rsidR="005A5BBC">
        <w:t>Although the proposal would result in a loss of service to a limited number of viewers (approximately 3</w:t>
      </w:r>
      <w:r w:rsidR="00B75FF5">
        <w:t>9</w:t>
      </w:r>
      <w:r w:rsidR="005A5BBC">
        <w:t>2 persons)</w:t>
      </w:r>
      <w:r w:rsidRPr="007956CA" w:rsidR="005A5BBC">
        <w:t xml:space="preserve">, that the loss of service is </w:t>
      </w:r>
      <w:r w:rsidR="005A5BBC">
        <w:t xml:space="preserve">considered </w:t>
      </w:r>
      <w:r w:rsidRPr="003A1A6D" w:rsidR="004A5B41">
        <w:rPr>
          <w:i/>
          <w:iCs/>
        </w:rPr>
        <w:t>de minimis</w:t>
      </w:r>
      <w:bookmarkStart w:id="1" w:name="_Hlk121736973"/>
      <w:r w:rsidR="00870B9D">
        <w:rPr>
          <w:i/>
          <w:iCs/>
        </w:rPr>
        <w:t xml:space="preserve"> </w:t>
      </w:r>
      <w:r w:rsidRPr="00387114" w:rsidR="00870B9D">
        <w:t>by the Commission</w:t>
      </w:r>
      <w:r w:rsidRPr="003A1A6D" w:rsidR="004A5B41">
        <w:t>.</w:t>
      </w:r>
      <w:r>
        <w:rPr>
          <w:rStyle w:val="FootnoteReference"/>
        </w:rPr>
        <w:footnoteReference w:id="13"/>
      </w:r>
      <w:r w:rsidRPr="003A1A6D" w:rsidR="004A5B41">
        <w:t xml:space="preserve">  </w:t>
      </w:r>
      <w:bookmarkEnd w:id="1"/>
    </w:p>
    <w:p w:rsidR="006F293F" w:rsidRPr="00E208EC" w:rsidP="006F293F" w14:paraId="79514DD0" w14:textId="74A1F6AB">
      <w:pPr>
        <w:pStyle w:val="ParaNum"/>
      </w:pPr>
      <w:r w:rsidRPr="00E208EC">
        <w:t xml:space="preserve">We propose to substitute channel </w:t>
      </w:r>
      <w:r w:rsidR="00C372EC">
        <w:t>34</w:t>
      </w:r>
      <w:r>
        <w:t xml:space="preserve"> </w:t>
      </w:r>
      <w:r w:rsidRPr="00E208EC">
        <w:t xml:space="preserve">for channel </w:t>
      </w:r>
      <w:r w:rsidR="00C372EC">
        <w:t>11</w:t>
      </w:r>
      <w:r w:rsidRPr="00E208EC">
        <w:t xml:space="preserve"> for</w:t>
      </w:r>
      <w:r>
        <w:t xml:space="preserve"> </w:t>
      </w:r>
      <w:r w:rsidR="002B08BA">
        <w:t>KCBY-TV</w:t>
      </w:r>
      <w:r w:rsidRPr="00E208EC">
        <w:t xml:space="preserve"> with the following specifications:</w:t>
      </w:r>
    </w:p>
    <w:p w:rsidR="006F293F" w:rsidRPr="00E208EC" w:rsidP="006F293F" w14:paraId="3F230AEA"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6F293F" w:rsidP="006F293F" w14:paraId="3E6691A5" w14:textId="34D094CD">
      <w:pPr>
        <w:pStyle w:val="ParaNum"/>
        <w:numPr>
          <w:ilvl w:val="0"/>
          <w:numId w:val="0"/>
        </w:numPr>
      </w:pPr>
      <w:r>
        <w:tab/>
      </w:r>
      <w:r w:rsidR="00BB31CD">
        <w:t>Coos Bay</w:t>
      </w:r>
      <w:r w:rsidR="00EE1855">
        <w:t xml:space="preserve">, </w:t>
      </w:r>
      <w:r w:rsidR="00A65E99">
        <w:t>Oregon</w:t>
      </w:r>
      <w:r w:rsidRPr="00E208EC">
        <w:tab/>
      </w:r>
      <w:r>
        <w:tab/>
      </w:r>
      <w:r w:rsidR="00C57EB5">
        <w:t xml:space="preserve">         </w:t>
      </w:r>
      <w:r w:rsidR="00C372EC">
        <w:t>34</w:t>
      </w:r>
      <w:r>
        <w:tab/>
      </w:r>
      <w:r w:rsidRPr="00E208EC">
        <w:tab/>
      </w:r>
      <w:r w:rsidR="000E383B">
        <w:t xml:space="preserve">        450</w:t>
      </w:r>
      <w:r w:rsidRPr="00E208EC">
        <w:tab/>
      </w:r>
      <w:r w:rsidRPr="00E208EC">
        <w:tab/>
      </w:r>
      <w:r w:rsidRPr="00E208EC">
        <w:tab/>
      </w:r>
      <w:r w:rsidR="000E383B">
        <w:t>192</w:t>
      </w:r>
    </w:p>
    <w:p w:rsidR="006F293F" w:rsidRPr="005D3FB0" w:rsidP="006F293F" w14:paraId="7FEE2A39" w14:textId="46DA7EB9">
      <w:pPr>
        <w:pStyle w:val="ParaNum"/>
      </w:pPr>
      <w:r>
        <w:t xml:space="preserve">Accordingly, we seek comment on the proposed amendment of the Table of </w:t>
      </w:r>
      <w:r w:rsidR="00A728BF">
        <w:t>TV</w:t>
      </w:r>
      <w:r w:rsidR="002B0252">
        <w:t xml:space="preserve"> </w:t>
      </w:r>
      <w:r>
        <w:t>Allotments, section 73.622(</w:t>
      </w:r>
      <w:r w:rsidR="00A728BF">
        <w:t>j</w:t>
      </w:r>
      <w:r>
        <w:t>) of the rules,</w:t>
      </w:r>
      <w:r>
        <w:rPr>
          <w:rStyle w:val="FootnoteReference"/>
          <w:spacing w:val="-3"/>
          <w:szCs w:val="22"/>
        </w:rPr>
        <w:footnoteReference w:id="14"/>
      </w:r>
      <w:r>
        <w:t xml:space="preserve"> for the community listed below, to read as follows:</w:t>
      </w:r>
    </w:p>
    <w:p w:rsidR="006F293F" w:rsidP="006F293F" w14:paraId="6ED6D141"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6F293F" w:rsidP="006F293F" w14:paraId="422690E4"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293F" w:rsidRPr="00E208EC" w:rsidP="006F293F" w14:paraId="5C91526B" w14:textId="3101B595">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Coos Bay</w:t>
      </w:r>
      <w:r w:rsidR="00B927C4">
        <w:rPr>
          <w:rFonts w:ascii="Times New Roman" w:hAnsi="Times New Roman"/>
          <w:spacing w:val="-3"/>
          <w:sz w:val="22"/>
          <w:szCs w:val="22"/>
        </w:rPr>
        <w:t xml:space="preserve">, </w:t>
      </w:r>
      <w:r w:rsidR="00A65E99">
        <w:rPr>
          <w:rFonts w:ascii="Times New Roman" w:hAnsi="Times New Roman"/>
          <w:spacing w:val="-3"/>
          <w:sz w:val="22"/>
          <w:szCs w:val="22"/>
        </w:rPr>
        <w:t>Oregon</w:t>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r w:rsidRPr="00BB31CD">
        <w:rPr>
          <w:rFonts w:ascii="Times New Roman" w:hAnsi="Times New Roman"/>
          <w:spacing w:val="-3"/>
          <w:sz w:val="22"/>
          <w:szCs w:val="22"/>
        </w:rPr>
        <w:t xml:space="preserve"> </w:t>
      </w:r>
      <w:r w:rsidRPr="00C57EB5">
        <w:rPr>
          <w:rFonts w:ascii="Times New Roman" w:hAnsi="Times New Roman"/>
          <w:sz w:val="22"/>
          <w:szCs w:val="22"/>
        </w:rPr>
        <w:t>11, 22</w:t>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r w:rsidR="00B927C4">
        <w:rPr>
          <w:rFonts w:ascii="Times New Roman" w:hAnsi="Times New Roman"/>
          <w:spacing w:val="-3"/>
          <w:sz w:val="22"/>
          <w:szCs w:val="22"/>
        </w:rPr>
        <w:tab/>
      </w:r>
      <w:r>
        <w:rPr>
          <w:rFonts w:ascii="Times New Roman" w:hAnsi="Times New Roman"/>
          <w:spacing w:val="-3"/>
          <w:sz w:val="22"/>
          <w:szCs w:val="22"/>
        </w:rPr>
        <w:t>22, 34</w:t>
      </w:r>
    </w:p>
    <w:bookmarkEnd w:id="2"/>
    <w:p w:rsidR="00787DB6" w:rsidRPr="005E3497" w:rsidP="000E7316" w14:paraId="4E13B9AC" w14:textId="77777777">
      <w:pPr>
        <w:pStyle w:val="Heading1"/>
        <w:keepNext w:val="0"/>
        <w:suppressAutoHyphens w:val="0"/>
      </w:pPr>
      <w:r>
        <w:t>Procedural matters</w:t>
      </w:r>
    </w:p>
    <w:p w:rsidR="00787DB6" w:rsidRPr="009F2562" w:rsidP="00D3687D" w14:paraId="65C6DD6A"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5"/>
      </w:r>
      <w:r w:rsidRPr="009F2562">
        <w:t xml:space="preserve">  Failure to file may lead to denial of the request.</w:t>
      </w:r>
      <w:r w:rsidR="0025083E">
        <w:t xml:space="preserve">  </w:t>
      </w:r>
      <w:r w:rsidRPr="0025083E" w:rsidR="0025083E">
        <w:t xml:space="preserve">Any </w:t>
      </w:r>
      <w:r w:rsidRPr="0025083E" w:rsidR="0025083E">
        <w:t xml:space="preserve">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6"/>
      </w:r>
    </w:p>
    <w:p w:rsidR="00787DB6" w:rsidRPr="009F2562" w:rsidP="000E7316" w14:paraId="192914DC"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5811FE3B"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7"/>
      </w:r>
      <w:r w:rsidRPr="009F2562">
        <w:t xml:space="preserve">  </w:t>
      </w:r>
    </w:p>
    <w:p w:rsidR="00787DB6" w:rsidP="000E7316" w14:paraId="4553141F"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8"/>
      </w:r>
    </w:p>
    <w:p w:rsidR="00787DB6" w:rsidP="000E7316" w14:paraId="1F37B850"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9"/>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0"/>
      </w:r>
    </w:p>
    <w:p w:rsidR="00787DB6" w:rsidRPr="00522221" w:rsidP="000E7316" w14:paraId="37A6A0BE"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0E715E09"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2E313DE9"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3220E7CA"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3369098C"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1"/>
      </w:r>
    </w:p>
    <w:p w:rsidR="00D40C1D" w:rsidP="00A07984" w14:paraId="5FA01F8B" w14:textId="77777777">
      <w:pPr>
        <w:pStyle w:val="ListParagraph"/>
        <w:widowControl/>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363CE6" w:rsidP="00363CE6" w14:paraId="1CE6EF9D" w14:textId="77777777">
      <w:pPr>
        <w:pStyle w:val="ParaNum"/>
      </w:pPr>
      <w:r w:rsidRPr="00363CE6">
        <w:rPr>
          <w:i/>
          <w:iCs/>
        </w:rPr>
        <w:t>Service.</w:t>
      </w:r>
      <w:r>
        <w:t xml:space="preserve">  Pursuant </w:t>
      </w:r>
      <w:r w:rsidR="00041CA9">
        <w:t xml:space="preserve">to </w:t>
      </w:r>
      <w:r>
        <w:t>section 1.420 of the rules,</w:t>
      </w:r>
      <w:r>
        <w:rPr>
          <w:rStyle w:val="FootnoteReference"/>
        </w:rPr>
        <w:footnoteReference w:id="22"/>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3"/>
      </w:r>
      <w:r>
        <w:t xml:space="preserve">  Additionally, a copy of such comments should be served on counsel for petitioner, as follows:</w:t>
      </w:r>
    </w:p>
    <w:p w:rsidR="00363CE6" w:rsidP="00363CE6" w14:paraId="628324E3" w14:textId="77777777">
      <w:pPr>
        <w:pStyle w:val="ParaNum"/>
        <w:numPr>
          <w:ilvl w:val="0"/>
          <w:numId w:val="0"/>
        </w:numPr>
        <w:spacing w:after="0"/>
        <w:ind w:left="720"/>
      </w:pPr>
      <w:r>
        <w:t xml:space="preserve">Paul A. Cicelski, Esq. </w:t>
      </w:r>
    </w:p>
    <w:p w:rsidR="00363CE6" w:rsidP="00363CE6" w14:paraId="5C2B03E9" w14:textId="77777777">
      <w:pPr>
        <w:pStyle w:val="ParaNum"/>
        <w:numPr>
          <w:ilvl w:val="0"/>
          <w:numId w:val="0"/>
        </w:numPr>
        <w:spacing w:after="0"/>
        <w:ind w:left="720"/>
      </w:pPr>
      <w:r>
        <w:t>Lerman</w:t>
      </w:r>
      <w:r>
        <w:t xml:space="preserve"> Senter PLLC</w:t>
      </w:r>
    </w:p>
    <w:p w:rsidR="00363CE6" w:rsidP="00363CE6" w14:paraId="7941ED9D" w14:textId="77777777">
      <w:pPr>
        <w:pStyle w:val="ParaNum"/>
        <w:numPr>
          <w:ilvl w:val="0"/>
          <w:numId w:val="0"/>
        </w:numPr>
        <w:spacing w:after="0"/>
        <w:ind w:left="720"/>
      </w:pPr>
      <w:r>
        <w:t>2001 L Street, NW</w:t>
      </w:r>
    </w:p>
    <w:p w:rsidR="00363CE6" w:rsidP="00363CE6" w14:paraId="7145966B" w14:textId="77777777">
      <w:pPr>
        <w:pStyle w:val="ParaNum"/>
        <w:numPr>
          <w:ilvl w:val="0"/>
          <w:numId w:val="0"/>
        </w:numPr>
        <w:spacing w:after="0"/>
        <w:ind w:firstLine="720"/>
      </w:pPr>
      <w:r>
        <w:t>Washington, D.C.  20036</w:t>
      </w:r>
    </w:p>
    <w:p w:rsidR="00363CE6" w:rsidRPr="00363CE6" w:rsidP="00363CE6" w14:paraId="15A886C7" w14:textId="77777777">
      <w:pPr>
        <w:pStyle w:val="ParaNum"/>
        <w:numPr>
          <w:ilvl w:val="0"/>
          <w:numId w:val="0"/>
        </w:numPr>
        <w:spacing w:after="0"/>
        <w:ind w:firstLine="720"/>
      </w:pPr>
    </w:p>
    <w:p w:rsidR="00787DB6" w:rsidP="000E7316" w14:paraId="7D47362A"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4"/>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5"/>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6"/>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7"/>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2FF5DA1A"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05BCE034"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8"/>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9"/>
      </w:r>
      <w:r>
        <w:t xml:space="preserve">  This document does not contain proposed information collection requirements subject to the Paperwork </w:t>
      </w:r>
      <w:r>
        <w:t>Reduction Act of 1995.</w:t>
      </w:r>
      <w:r>
        <w:rPr>
          <w:rStyle w:val="FootnoteReference"/>
        </w:rPr>
        <w:footnoteReference w:id="30"/>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1"/>
      </w:r>
    </w:p>
    <w:p w:rsidR="006F1759" w:rsidRPr="006F1759" w:rsidP="000E7316" w14:paraId="39F1ECAE"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1111951F" w14:textId="6FB7ED7A">
      <w:pPr>
        <w:pStyle w:val="ParaNum"/>
        <w:widowControl/>
      </w:pPr>
      <w:r w:rsidRPr="00CE5579">
        <w:rPr>
          <w:i/>
          <w:iCs/>
        </w:rPr>
        <w:t>Additional Information</w:t>
      </w:r>
      <w:r>
        <w:t xml:space="preserve">.  </w:t>
      </w:r>
      <w:r w:rsidR="00202AF5">
        <w:t xml:space="preserve">For further information concerning the proceeding listed above, contact </w:t>
      </w:r>
      <w:r w:rsidR="003B7061">
        <w:t>Joyce Bernstein</w:t>
      </w:r>
      <w:r w:rsidR="00202AF5">
        <w:t xml:space="preserve">, Video Division, Media Bureau, </w:t>
      </w:r>
      <w:hyperlink r:id="rId7" w:history="1"/>
      <w:r w:rsidR="003B7061">
        <w:rPr>
          <w:rStyle w:val="Hyperlink"/>
        </w:rPr>
        <w:t>Joyce.Bernstein@fcc.gov</w:t>
      </w:r>
      <w:r w:rsidR="00202AF5">
        <w:t xml:space="preserve">. </w:t>
      </w:r>
    </w:p>
    <w:p w:rsidR="006F1759" w:rsidP="000E7316" w14:paraId="6A928BCB" w14:textId="77777777">
      <w:pPr>
        <w:pStyle w:val="Heading1"/>
        <w:keepNext w:val="0"/>
        <w:suppressAutoHyphens w:val="0"/>
      </w:pPr>
      <w:r>
        <w:t>Ordering clauses</w:t>
      </w:r>
    </w:p>
    <w:p w:rsidR="00202AF5" w:rsidRPr="006F1759" w:rsidP="000E7316" w14:paraId="1309DA2B" w14:textId="0A2FD8EA">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w:t>
      </w:r>
      <w:r w:rsidR="0051055A">
        <w:t>TV</w:t>
      </w:r>
      <w:r w:rsidRPr="009F2562">
        <w:t xml:space="preserve"> Allotments, section 73.622(</w:t>
      </w:r>
      <w:r w:rsidR="0051055A">
        <w:t>j</w:t>
      </w:r>
      <w:r w:rsidRPr="009F2562">
        <w:t>)</w:t>
      </w:r>
      <w:r w:rsidR="00CE5579">
        <w:t xml:space="preserve"> of the </w:t>
      </w:r>
      <w:r w:rsidR="00A73D10">
        <w:t>r</w:t>
      </w:r>
      <w:r w:rsidR="00CE5579">
        <w:t>ules</w:t>
      </w:r>
      <w:r w:rsidRPr="009F2562">
        <w:t>,</w:t>
      </w:r>
      <w:r w:rsidR="00787DB6">
        <w:t xml:space="preserve"> 47 CFR § 73.622(</w:t>
      </w:r>
      <w:r w:rsidR="0051055A">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7C035AEA" w14:textId="5B9AC39A">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Pr="00E309F2" w:rsidR="00A65E99">
        <w:rPr>
          <w:szCs w:val="22"/>
        </w:rPr>
        <w:t>23-</w:t>
      </w:r>
      <w:r w:rsidR="00E309F2">
        <w:rPr>
          <w:szCs w:val="22"/>
        </w:rPr>
        <w:t>43</w:t>
      </w:r>
      <w:r w:rsidRPr="00522221">
        <w:rPr>
          <w:szCs w:val="22"/>
        </w:rPr>
        <w:t xml:space="preserve"> </w:t>
      </w:r>
      <w:r w:rsidR="00787DB6">
        <w:rPr>
          <w:szCs w:val="22"/>
        </w:rPr>
        <w:t xml:space="preserve">and </w:t>
      </w:r>
      <w:r w:rsidRPr="00250B6E" w:rsidR="00787DB6">
        <w:rPr>
          <w:szCs w:val="22"/>
        </w:rPr>
        <w:t>RM-</w:t>
      </w:r>
      <w:r w:rsidRPr="00E309F2" w:rsidR="00A65E99">
        <w:rPr>
          <w:szCs w:val="22"/>
        </w:rPr>
        <w:t>119</w:t>
      </w:r>
      <w:r w:rsidR="00E309F2">
        <w:rPr>
          <w:szCs w:val="22"/>
        </w:rPr>
        <w:t>44</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27C3C529" w14:textId="77777777">
      <w:r>
        <w:tab/>
      </w:r>
      <w:r>
        <w:tab/>
      </w:r>
      <w:r>
        <w:tab/>
      </w:r>
      <w:r>
        <w:tab/>
      </w:r>
      <w:r>
        <w:tab/>
      </w:r>
      <w:r>
        <w:tab/>
        <w:t>FEDERAL COMMUNICATIONS COMMISSION</w:t>
      </w:r>
    </w:p>
    <w:p w:rsidR="009F2562" w:rsidP="000E7316" w14:paraId="1C6F7D01" w14:textId="77777777"/>
    <w:p w:rsidR="009F2562" w:rsidP="000E7316" w14:paraId="7C1B514C" w14:textId="77777777"/>
    <w:p w:rsidR="009F2562" w:rsidP="000E7316" w14:paraId="3F0ACAD1" w14:textId="77777777"/>
    <w:p w:rsidR="009F2562" w:rsidP="000E7316" w14:paraId="1C1397A8" w14:textId="77777777"/>
    <w:p w:rsidR="009F2562" w:rsidP="000E7316" w14:paraId="36ADD8CE" w14:textId="77777777">
      <w:r>
        <w:tab/>
      </w:r>
      <w:r>
        <w:tab/>
      </w:r>
      <w:r>
        <w:tab/>
      </w:r>
      <w:r>
        <w:tab/>
      </w:r>
      <w:r>
        <w:tab/>
      </w:r>
      <w:r>
        <w:tab/>
      </w:r>
      <w:r w:rsidR="00003FD3">
        <w:t>Barbara A. Kreisman</w:t>
      </w:r>
    </w:p>
    <w:p w:rsidR="009F2562" w:rsidP="000E7316" w14:paraId="46632955" w14:textId="77777777">
      <w:r>
        <w:tab/>
      </w:r>
      <w:r>
        <w:tab/>
      </w:r>
      <w:r>
        <w:tab/>
      </w:r>
      <w:r>
        <w:tab/>
      </w:r>
      <w:r>
        <w:tab/>
      </w:r>
      <w:r>
        <w:tab/>
      </w:r>
      <w:r w:rsidR="00003FD3">
        <w:t>Chief, Video Division</w:t>
      </w:r>
    </w:p>
    <w:p w:rsidR="00003FD3" w:rsidRPr="009F2562" w:rsidP="000E7316" w14:paraId="65357B31" w14:textId="77777777">
      <w:r>
        <w:tab/>
      </w:r>
      <w:r>
        <w:tab/>
      </w:r>
      <w:r>
        <w:tab/>
      </w:r>
      <w:r>
        <w:tab/>
      </w:r>
      <w:r>
        <w:tab/>
      </w:r>
      <w:r>
        <w:tab/>
        <w:t>Media Bureau</w:t>
      </w:r>
    </w:p>
    <w:sectPr w:rsidSect="006F17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C7244B" w14:textId="77777777">
    <w:pPr>
      <w:pStyle w:val="Footer"/>
      <w:framePr w:wrap="around" w:vAnchor="text" w:hAnchor="margin" w:xAlign="center" w:y="1"/>
    </w:pPr>
    <w:r>
      <w:fldChar w:fldCharType="begin"/>
    </w:r>
    <w:r>
      <w:instrText xml:space="preserve">PAGE  </w:instrText>
    </w:r>
    <w:r w:rsidR="0004465E">
      <w:fldChar w:fldCharType="separate"/>
    </w:r>
    <w:r>
      <w:fldChar w:fldCharType="end"/>
    </w:r>
  </w:p>
  <w:p w:rsidR="00D25FB5" w14:paraId="67C84A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2A7CAF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F9223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4FC3F46C" w14:textId="77777777">
      <w:r>
        <w:separator/>
      </w:r>
    </w:p>
  </w:footnote>
  <w:footnote w:type="continuationSeparator" w:id="1">
    <w:p w:rsidR="00F52BAB" w:rsidP="00C721AC" w14:paraId="1A7234C7"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2AFECA01" w14:textId="77777777">
      <w:pPr>
        <w:jc w:val="right"/>
        <w:rPr>
          <w:sz w:val="20"/>
        </w:rPr>
      </w:pPr>
      <w:r>
        <w:rPr>
          <w:sz w:val="20"/>
        </w:rPr>
        <w:t>(continued….)</w:t>
      </w:r>
    </w:p>
  </w:footnote>
  <w:footnote w:id="3">
    <w:p w:rsidR="003B6FA0" w:rsidP="004A2A44" w14:paraId="1C987793" w14:textId="4C64F6A7">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A65E99">
        <w:t>Sinclair Eugene Licensee, LLC</w:t>
      </w:r>
      <w:r w:rsidRPr="00273EA0" w:rsidR="00EA0CA8">
        <w:t xml:space="preserve"> for Rulemaking (filed </w:t>
      </w:r>
      <w:r w:rsidR="00A65E99">
        <w:t>Jan</w:t>
      </w:r>
      <w:r w:rsidRPr="00273EA0" w:rsidR="00EA0CA8">
        <w:t xml:space="preserve">. </w:t>
      </w:r>
      <w:r w:rsidR="00A65E99">
        <w:t>9</w:t>
      </w:r>
      <w:r w:rsidRPr="00273EA0" w:rsidR="00EA0CA8">
        <w:t>, 202</w:t>
      </w:r>
      <w:r w:rsidR="00A65E99">
        <w:t>3</w:t>
      </w:r>
      <w:r w:rsidRPr="00273EA0" w:rsidR="00EA0CA8">
        <w:t>)</w:t>
      </w:r>
      <w:r w:rsidRPr="00273EA0" w:rsidR="00897354">
        <w:t>, LMS File No</w:t>
      </w:r>
      <w:r w:rsidRPr="00273EA0" w:rsidR="001F2E5A">
        <w:t>.</w:t>
      </w:r>
      <w:r w:rsidR="000E383B">
        <w:t xml:space="preserve"> </w:t>
      </w:r>
      <w:r w:rsidRPr="00273EA0" w:rsidR="00AA6025">
        <w:t>0000</w:t>
      </w:r>
      <w:r w:rsidR="00A65E99">
        <w:t>206501</w:t>
      </w:r>
      <w:r w:rsidR="000E383B">
        <w:t xml:space="preserve"> </w:t>
      </w:r>
      <w:r w:rsidR="00242C1F">
        <w:t>(Petition)</w:t>
      </w:r>
      <w:r w:rsidR="00BF05D9">
        <w:t xml:space="preserve">.  </w:t>
      </w:r>
      <w:r w:rsidRPr="00273EA0" w:rsidR="00EA0CA8">
        <w:t xml:space="preserve"> </w:t>
      </w:r>
    </w:p>
  </w:footnote>
  <w:footnote w:id="4">
    <w:p w:rsidR="00C57EB5" w14:paraId="21536A37" w14:textId="5D7CC79A">
      <w:pPr>
        <w:pStyle w:val="FootnoteText"/>
      </w:pPr>
      <w:r>
        <w:rPr>
          <w:rStyle w:val="FootnoteReference"/>
        </w:rPr>
        <w:footnoteRef/>
      </w:r>
      <w:r>
        <w:t xml:space="preserve"> Petition at 1-2</w:t>
      </w:r>
      <w:r w:rsidR="005B30B1">
        <w:t>,</w:t>
      </w:r>
      <w:r w:rsidRPr="00906BBA">
        <w:t xml:space="preserve"> </w:t>
      </w:r>
      <w:r>
        <w:t xml:space="preserve">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paras. 42, 44 (2010) and </w:t>
      </w:r>
      <w:r>
        <w:rPr>
          <w:i/>
          <w:iCs/>
        </w:rPr>
        <w:t>Amendment of Parts 73 and 74 of the Commission’s Rules to Establish Rules for Digital Low Power Television, Television Translator, and Television Booster Stations and to Amend Rules for Digital Class A Television Stations</w:t>
      </w:r>
      <w:r>
        <w:t xml:space="preserve">, MB Docket No. 03-185, Second Report and Order, 25 FCC </w:t>
      </w:r>
      <w:r>
        <w:t>Rcd</w:t>
      </w:r>
      <w:r>
        <w:t xml:space="preserve"> 10732, 10750, para. 37 (2011)</w:t>
      </w:r>
      <w:r w:rsidR="006A6B21">
        <w:t xml:space="preserve">; </w:t>
      </w:r>
      <w:r w:rsidRPr="00D3687D" w:rsidR="006A6B21">
        <w:rPr>
          <w:i/>
          <w:iCs/>
        </w:rPr>
        <w:t>see also</w:t>
      </w:r>
      <w:r w:rsidR="006A6B21">
        <w:t xml:space="preserve"> </w:t>
      </w:r>
      <w:r w:rsidR="00D3687D">
        <w:t xml:space="preserve">Petition, </w:t>
      </w:r>
      <w:r w:rsidR="006A6B21">
        <w:t>Engineering Statement at 1-2.</w:t>
      </w:r>
    </w:p>
  </w:footnote>
  <w:footnote w:id="5">
    <w:p w:rsidR="00E509E7" w14:paraId="4DB8AF57" w14:textId="21CDCA8C">
      <w:pPr>
        <w:pStyle w:val="FootnoteText"/>
      </w:pPr>
      <w:r>
        <w:rPr>
          <w:rStyle w:val="FootnoteReference"/>
        </w:rPr>
        <w:footnoteRef/>
      </w:r>
      <w:r>
        <w:t xml:space="preserve"> Petition at 2</w:t>
      </w:r>
      <w:r w:rsidR="005B30B1">
        <w:t>.</w:t>
      </w:r>
    </w:p>
  </w:footnote>
  <w:footnote w:id="6">
    <w:p w:rsidR="00E509E7" w:rsidRPr="00C57EB5" w14:paraId="412B6A28" w14:textId="461D9175">
      <w:pPr>
        <w:pStyle w:val="FootnoteText"/>
      </w:pPr>
      <w:r>
        <w:rPr>
          <w:rStyle w:val="FootnoteReference"/>
        </w:rPr>
        <w:footnoteRef/>
      </w:r>
      <w:r>
        <w:t xml:space="preserve"> </w:t>
      </w:r>
      <w:r w:rsidRPr="00387114" w:rsidR="00F40FCD">
        <w:rPr>
          <w:i/>
          <w:iCs/>
        </w:rPr>
        <w:t>Id.</w:t>
      </w:r>
      <w:r w:rsidR="00F40FCD">
        <w:t xml:space="preserve"> </w:t>
      </w:r>
      <w:r w:rsidR="005B30B1">
        <w:t>at 2.</w:t>
      </w:r>
      <w:r w:rsidR="00105AB9">
        <w:t xml:space="preserve">  Petitioner also notes that it </w:t>
      </w:r>
      <w:r w:rsidRPr="00105AB9" w:rsidR="00105AB9">
        <w:t>will greatly improve the Station’s ability to provide ATSC 3.0 service to homes, vehicles, and portable devices</w:t>
      </w:r>
      <w:r w:rsidR="00105AB9">
        <w:t xml:space="preserve">.  </w:t>
      </w:r>
      <w:r w:rsidRPr="00105AB9" w:rsidR="00105AB9">
        <w:rPr>
          <w:i/>
          <w:iCs/>
        </w:rPr>
        <w:t>Id.</w:t>
      </w:r>
      <w:r w:rsidR="00E86523">
        <w:rPr>
          <w:i/>
          <w:iCs/>
        </w:rPr>
        <w:t xml:space="preserve">  </w:t>
      </w:r>
      <w:r w:rsidRPr="00C57EB5" w:rsidR="00E86523">
        <w:t>W</w:t>
      </w:r>
      <w:r w:rsidRPr="00E86523" w:rsidR="00E86523">
        <w:t>e</w:t>
      </w:r>
      <w:r w:rsidRPr="00DB1F56" w:rsidR="00E86523">
        <w:t xml:space="preserve"> do not</w:t>
      </w:r>
      <w:r w:rsidR="00E86523">
        <w:t>, however,</w:t>
      </w:r>
      <w:r w:rsidRPr="00DB1F56" w:rsidR="00E86523">
        <w:t xml:space="preserve"> </w:t>
      </w:r>
      <w:r w:rsidR="00E86523">
        <w:t xml:space="preserve">give any weight to </w:t>
      </w:r>
      <w:r w:rsidRPr="00DB1F56" w:rsidR="00E86523">
        <w:t xml:space="preserve">the </w:t>
      </w:r>
      <w:r w:rsidR="00E86523">
        <w:t>Petitioner</w:t>
      </w:r>
      <w:r w:rsidRPr="00DB1F56" w:rsidR="00E86523">
        <w:t>’s arguments concerning ATSC 3.0 reception</w:t>
      </w:r>
      <w:r w:rsidR="00E86523">
        <w:t xml:space="preserve"> given the early stages of deployment and limited availability of consumer devices.</w:t>
      </w:r>
    </w:p>
  </w:footnote>
  <w:footnote w:id="7">
    <w:p w:rsidR="00B75FF5" w14:paraId="04BB81A7" w14:textId="58093120">
      <w:pPr>
        <w:pStyle w:val="FootnoteText"/>
      </w:pPr>
      <w:r>
        <w:rPr>
          <w:rStyle w:val="FootnoteReference"/>
        </w:rPr>
        <w:footnoteRef/>
      </w:r>
      <w:r>
        <w:t xml:space="preserve"> Petition at </w:t>
      </w:r>
      <w:r w:rsidR="005C0DD7">
        <w:t>3</w:t>
      </w:r>
      <w:r>
        <w:t xml:space="preserve"> and </w:t>
      </w:r>
      <w:r w:rsidR="00387114">
        <w:t>Engineering Statement</w:t>
      </w:r>
      <w:r w:rsidR="005C0DD7">
        <w:t xml:space="preserve"> at </w:t>
      </w:r>
      <w:r w:rsidR="005C0DD7">
        <w:t>Exh</w:t>
      </w:r>
      <w:r w:rsidR="005C0DD7">
        <w:t>. 1.</w:t>
      </w:r>
    </w:p>
  </w:footnote>
  <w:footnote w:id="8">
    <w:p w:rsidR="00B34639" w:rsidRPr="00387114" w:rsidP="005A5BBC" w14:paraId="510A8E87" w14:textId="0A25E76B">
      <w:pPr>
        <w:pStyle w:val="FootnoteText"/>
      </w:pPr>
      <w:r>
        <w:rPr>
          <w:rStyle w:val="FootnoteReference"/>
        </w:rPr>
        <w:footnoteRef/>
      </w:r>
      <w:r>
        <w:t xml:space="preserve"> </w:t>
      </w:r>
      <w:r w:rsidR="00D3687D">
        <w:t>Petition</w:t>
      </w:r>
      <w:r>
        <w:t xml:space="preserve"> at </w:t>
      </w:r>
      <w:r w:rsidR="00B75FF5">
        <w:t>n.5</w:t>
      </w:r>
      <w:r>
        <w:t xml:space="preserve">, citing </w:t>
      </w:r>
      <w:r w:rsidRPr="005A5BBC" w:rsidR="005A5BBC">
        <w:rPr>
          <w:i/>
          <w:iCs/>
        </w:rPr>
        <w:t>Third Periodic Review of the Commission's Rules and Policies Affecting the Conversion to Digital Television</w:t>
      </w:r>
      <w:r w:rsidRPr="00387114" w:rsidR="005A5BBC">
        <w:t xml:space="preserve">, </w:t>
      </w:r>
      <w:r w:rsidR="005E465C">
        <w:t xml:space="preserve">MB Docket No. 07-91, </w:t>
      </w:r>
      <w:r w:rsidR="005A5BBC">
        <w:t>Notice of Proposed Rulemaking</w:t>
      </w:r>
      <w:r w:rsidRPr="00387114" w:rsidR="005A5BBC">
        <w:t xml:space="preserve">, 22 FCC </w:t>
      </w:r>
      <w:r w:rsidRPr="00387114" w:rsidR="005A5BBC">
        <w:t>Rcd</w:t>
      </w:r>
      <w:r w:rsidRPr="00387114" w:rsidR="005A5BBC">
        <w:t xml:space="preserve"> 9478, 9493, para. 38 and n.70</w:t>
      </w:r>
      <w:r w:rsidR="00387114">
        <w:t xml:space="preserve"> </w:t>
      </w:r>
      <w:r w:rsidRPr="00D3687D" w:rsidR="00387114">
        <w:t>(</w:t>
      </w:r>
      <w:r w:rsidRPr="00D3687D" w:rsidR="005E465C">
        <w:t>2007).</w:t>
      </w:r>
    </w:p>
  </w:footnote>
  <w:footnote w:id="9">
    <w:p w:rsidR="005C0DD7" w14:paraId="5A39149A" w14:textId="06DFBEDE">
      <w:pPr>
        <w:pStyle w:val="FootnoteText"/>
      </w:pPr>
      <w:r>
        <w:rPr>
          <w:rStyle w:val="FootnoteReference"/>
        </w:rPr>
        <w:footnoteRef/>
      </w:r>
      <w:r>
        <w:t xml:space="preserve"> </w:t>
      </w:r>
      <w:r w:rsidRPr="00D3687D" w:rsidR="00D3687D">
        <w:rPr>
          <w:i/>
          <w:iCs/>
        </w:rPr>
        <w:t>Id.</w:t>
      </w:r>
      <w:r>
        <w:t xml:space="preserve">, </w:t>
      </w:r>
      <w:r w:rsidR="00387114">
        <w:t>Engineering Statement</w:t>
      </w:r>
      <w:r>
        <w:t xml:space="preserve"> at </w:t>
      </w:r>
      <w:r>
        <w:t>Exh</w:t>
      </w:r>
      <w:r>
        <w:t>. 1.</w:t>
      </w:r>
    </w:p>
  </w:footnote>
  <w:footnote w:id="10">
    <w:p w:rsidR="005B30B1" w14:paraId="53B8DD34" w14:textId="1F1E8975">
      <w:pPr>
        <w:pStyle w:val="FootnoteText"/>
      </w:pPr>
      <w:r>
        <w:rPr>
          <w:rStyle w:val="FootnoteReference"/>
        </w:rPr>
        <w:footnoteRef/>
      </w:r>
      <w:r>
        <w:t xml:space="preserve"> Petition at 3</w:t>
      </w:r>
      <w:r w:rsidR="005C0DD7">
        <w:t xml:space="preserve"> and </w:t>
      </w:r>
      <w:r w:rsidR="005E465C">
        <w:t>Engineering Statement at</w:t>
      </w:r>
      <w:r>
        <w:t xml:space="preserve"> </w:t>
      </w:r>
      <w:r w:rsidR="005C0DD7">
        <w:t>2</w:t>
      </w:r>
      <w:r>
        <w:t>.</w:t>
      </w:r>
    </w:p>
  </w:footnote>
  <w:footnote w:id="11">
    <w:p w:rsidR="006F293F" w:rsidRPr="00BE3330" w:rsidP="006F293F" w14:paraId="6BA23A92" w14:textId="77777777">
      <w:pPr>
        <w:pStyle w:val="FootnoteText"/>
        <w:widowControl w:val="0"/>
      </w:pPr>
      <w:r>
        <w:rPr>
          <w:rStyle w:val="FootnoteReference"/>
        </w:rPr>
        <w:footnoteRef/>
      </w:r>
      <w:r>
        <w:t xml:space="preserve"> 47 CFR § 73.625(a).</w:t>
      </w:r>
      <w:bookmarkStart w:id="0" w:name="SR;334"/>
      <w:bookmarkEnd w:id="0"/>
    </w:p>
  </w:footnote>
  <w:footnote w:id="12">
    <w:p w:rsidR="006F293F" w:rsidP="006F293F" w14:paraId="49ADE741" w14:textId="77777777">
      <w:pPr>
        <w:pStyle w:val="FootnoteText"/>
        <w:widowControl w:val="0"/>
      </w:pPr>
      <w:r w:rsidRPr="003F7A73">
        <w:rPr>
          <w:rStyle w:val="FootnoteReference"/>
        </w:rPr>
        <w:footnoteRef/>
      </w:r>
      <w:r w:rsidRPr="003F7A73">
        <w:t xml:space="preserve"> 47 CFR §§ 73.616, 73.623.</w:t>
      </w:r>
    </w:p>
  </w:footnote>
  <w:footnote w:id="13">
    <w:p w:rsidR="004A5B41" w:rsidRPr="003A1A6D" w:rsidP="004A5B41" w14:paraId="796967FA" w14:textId="4AAD9546">
      <w:pPr>
        <w:pStyle w:val="FootnoteText"/>
      </w:pPr>
      <w:r w:rsidRPr="003A1A6D">
        <w:rPr>
          <w:rStyle w:val="FootnoteReference"/>
        </w:rPr>
        <w:footnoteRef/>
      </w:r>
      <w:r w:rsidRPr="003A1A6D">
        <w:t xml:space="preserve"> </w:t>
      </w:r>
      <w:r>
        <w:rPr>
          <w:i/>
          <w:iCs/>
        </w:rPr>
        <w:t>See WSET, Inc.</w:t>
      </w:r>
      <w:r>
        <w:t xml:space="preserve">, 80 FCC 2d 233, 246 (1980) (finding that loss of service to approximately 550 persons is </w:t>
      </w:r>
      <w:r>
        <w:rPr>
          <w:i/>
          <w:iCs/>
        </w:rPr>
        <w:t xml:space="preserve">de </w:t>
      </w:r>
      <w:r w:rsidRPr="003A6EB5">
        <w:rPr>
          <w:i/>
          <w:iCs/>
        </w:rPr>
        <w:t>minimis</w:t>
      </w:r>
      <w:r>
        <w:t>)</w:t>
      </w:r>
      <w:r w:rsidR="00D3687D">
        <w:t>.</w:t>
      </w:r>
    </w:p>
  </w:footnote>
  <w:footnote w:id="14">
    <w:p w:rsidR="006F293F" w:rsidP="006F293F" w14:paraId="613FFFEB" w14:textId="4531EA8D">
      <w:pPr>
        <w:pStyle w:val="FootnoteText"/>
        <w:widowControl w:val="0"/>
      </w:pPr>
      <w:r>
        <w:rPr>
          <w:rStyle w:val="FootnoteReference"/>
        </w:rPr>
        <w:footnoteRef/>
      </w:r>
      <w:r>
        <w:t xml:space="preserve"> 47 CFR § 73.622(</w:t>
      </w:r>
      <w:r w:rsidR="0051055A">
        <w:t>j</w:t>
      </w:r>
      <w:r>
        <w:t>).</w:t>
      </w:r>
    </w:p>
  </w:footnote>
  <w:footnote w:id="15">
    <w:p w:rsidR="00C43C45" w14:paraId="6F49B542" w14:textId="168D94AF">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51055A">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6">
    <w:p w:rsidR="0025083E" w14:paraId="79BB8B7A" w14:textId="77777777">
      <w:pPr>
        <w:pStyle w:val="FootnoteText"/>
      </w:pPr>
      <w:r>
        <w:rPr>
          <w:rStyle w:val="FootnoteReference"/>
        </w:rPr>
        <w:footnoteRef/>
      </w:r>
      <w:r>
        <w:t xml:space="preserve"> </w:t>
      </w:r>
      <w:r w:rsidRPr="0025083E">
        <w:t>47 CFR § 1.420(j).</w:t>
      </w:r>
    </w:p>
  </w:footnote>
  <w:footnote w:id="17">
    <w:p w:rsidR="00787DB6" w:rsidP="004A2A44" w14:paraId="2AE2B3B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8">
    <w:p w:rsidR="00787DB6" w:rsidP="004A2A44" w14:paraId="56165391" w14:textId="77777777">
      <w:pPr>
        <w:pStyle w:val="FootnoteText"/>
        <w:widowControl w:val="0"/>
      </w:pPr>
      <w:r>
        <w:rPr>
          <w:rStyle w:val="FootnoteReference"/>
        </w:rPr>
        <w:footnoteRef/>
      </w:r>
      <w:r>
        <w:t xml:space="preserve"> </w:t>
      </w:r>
      <w:r w:rsidRPr="005F375B">
        <w:t>47 CFR § 1.420(</w:t>
      </w:r>
      <w:r>
        <w:t>g)(2)</w:t>
      </w:r>
      <w:r w:rsidRPr="005F375B">
        <w:t>.</w:t>
      </w:r>
    </w:p>
  </w:footnote>
  <w:footnote w:id="19">
    <w:p w:rsidR="00787DB6" w:rsidP="004A2A44" w14:paraId="3190CFD2" w14:textId="77777777">
      <w:pPr>
        <w:pStyle w:val="FootnoteText"/>
        <w:widowControl w:val="0"/>
      </w:pPr>
      <w:r>
        <w:rPr>
          <w:rStyle w:val="FootnoteReference"/>
        </w:rPr>
        <w:footnoteRef/>
      </w:r>
      <w:r>
        <w:t xml:space="preserve"> </w:t>
      </w:r>
      <w:r w:rsidRPr="003B6FA0">
        <w:t>47 CFR §§ 1.415, 1.419,</w:t>
      </w:r>
      <w:r>
        <w:t xml:space="preserve"> and 1.420.</w:t>
      </w:r>
    </w:p>
  </w:footnote>
  <w:footnote w:id="20">
    <w:p w:rsidR="00787DB6" w:rsidRPr="006F1759" w:rsidP="004A2A44" w14:paraId="1B818595"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1">
    <w:p w:rsidR="00787DB6" w:rsidP="004A2A44" w14:paraId="52EE53E2"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2">
    <w:p w:rsidR="00363CE6" w:rsidP="00363CE6" w14:paraId="1C14EC21" w14:textId="77777777">
      <w:pPr>
        <w:pStyle w:val="FootnoteText"/>
        <w:widowControl w:val="0"/>
      </w:pPr>
      <w:r>
        <w:rPr>
          <w:rStyle w:val="FootnoteReference"/>
        </w:rPr>
        <w:footnoteRef/>
      </w:r>
      <w:r>
        <w:t xml:space="preserve"> 47 CFR § 1.420.</w:t>
      </w:r>
    </w:p>
  </w:footnote>
  <w:footnote w:id="23">
    <w:p w:rsidR="00363CE6" w:rsidP="00363CE6" w14:paraId="69B37E76"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4">
    <w:p w:rsidR="00787DB6" w:rsidRPr="00522221" w:rsidP="004A2A44" w14:paraId="260751DB"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5">
    <w:p w:rsidR="00787DB6" w:rsidP="004A2A44" w14:paraId="01DC0200" w14:textId="77777777">
      <w:pPr>
        <w:pStyle w:val="FootnoteText"/>
        <w:widowControl w:val="0"/>
      </w:pPr>
      <w:r>
        <w:rPr>
          <w:rStyle w:val="FootnoteReference"/>
        </w:rPr>
        <w:footnoteRef/>
      </w:r>
      <w:r>
        <w:t xml:space="preserve"> 47 CFR § 1.1208.</w:t>
      </w:r>
    </w:p>
  </w:footnote>
  <w:footnote w:id="26">
    <w:p w:rsidR="00787DB6" w:rsidP="004A2A44" w14:paraId="70455964" w14:textId="77777777">
      <w:pPr>
        <w:pStyle w:val="FootnoteText"/>
        <w:widowControl w:val="0"/>
      </w:pPr>
      <w:r>
        <w:rPr>
          <w:rStyle w:val="FootnoteReference"/>
        </w:rPr>
        <w:footnoteRef/>
      </w:r>
      <w:r>
        <w:t xml:space="preserve"> 47 CFR § 1.1204(a)(10).</w:t>
      </w:r>
    </w:p>
  </w:footnote>
  <w:footnote w:id="27">
    <w:p w:rsidR="00787DB6" w:rsidP="004A2A44" w14:paraId="2F8355A8"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8">
    <w:p w:rsidR="00003FD3" w:rsidP="004A2A44" w14:paraId="5C79D00B"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9">
    <w:p w:rsidR="00003FD3" w:rsidP="004A2A44" w14:paraId="482F10C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30">
    <w:p w:rsidR="000A72DA" w:rsidP="004A2A44" w14:paraId="50A4B4BB"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1">
    <w:p w:rsidR="000A72DA" w:rsidP="004A2A44" w14:paraId="59B65A7A"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1EAD" w14:paraId="01D56C9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89E3E0" w14:textId="66B64AFB">
    <w:pPr>
      <w:pStyle w:val="Header"/>
      <w:rPr>
        <w:b w:val="0"/>
      </w:rPr>
    </w:pPr>
    <w:r>
      <w:tab/>
      <w:t>Federal Communications Commission</w:t>
    </w:r>
    <w:r>
      <w:tab/>
    </w:r>
    <w:r w:rsidR="00A65E99">
      <w:t xml:space="preserve">DA </w:t>
    </w:r>
    <w:r w:rsidR="00A65E99">
      <w:t>23-</w:t>
    </w:r>
    <w:r w:rsidR="00CF1EAD">
      <w:t>92</w:t>
    </w:r>
  </w:p>
  <w:p w:rsidR="00D25FB5" w14:paraId="20F7D28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5564A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AE75AC" w14:textId="4DA8FC6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65E99">
      <w:rPr>
        <w:spacing w:val="-2"/>
      </w:rPr>
      <w:t>DA 23-</w:t>
    </w:r>
    <w:r w:rsidR="00CF1EAD">
      <w:rPr>
        <w:spacing w:val="-2"/>
      </w:rPr>
      <w:t>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24788"/>
    <w:rsid w:val="00036039"/>
    <w:rsid w:val="0003725D"/>
    <w:rsid w:val="00037F90"/>
    <w:rsid w:val="00041CA9"/>
    <w:rsid w:val="00043719"/>
    <w:rsid w:val="00044E4A"/>
    <w:rsid w:val="000716A9"/>
    <w:rsid w:val="000875BF"/>
    <w:rsid w:val="00096D8C"/>
    <w:rsid w:val="000A72DA"/>
    <w:rsid w:val="000B2D1D"/>
    <w:rsid w:val="000C0B65"/>
    <w:rsid w:val="000C7622"/>
    <w:rsid w:val="000D7B7B"/>
    <w:rsid w:val="000E05FE"/>
    <w:rsid w:val="000E383B"/>
    <w:rsid w:val="000E3D42"/>
    <w:rsid w:val="000E7316"/>
    <w:rsid w:val="00105AB9"/>
    <w:rsid w:val="00113A6F"/>
    <w:rsid w:val="00122BD5"/>
    <w:rsid w:val="001317A9"/>
    <w:rsid w:val="00133F79"/>
    <w:rsid w:val="00134EA3"/>
    <w:rsid w:val="00161160"/>
    <w:rsid w:val="001617F4"/>
    <w:rsid w:val="0016380B"/>
    <w:rsid w:val="001659A0"/>
    <w:rsid w:val="001740B7"/>
    <w:rsid w:val="00193681"/>
    <w:rsid w:val="00194A66"/>
    <w:rsid w:val="00195439"/>
    <w:rsid w:val="00196157"/>
    <w:rsid w:val="001A5237"/>
    <w:rsid w:val="001A7095"/>
    <w:rsid w:val="001C3647"/>
    <w:rsid w:val="001C3ECB"/>
    <w:rsid w:val="001D29F6"/>
    <w:rsid w:val="001D64FD"/>
    <w:rsid w:val="001D6BCF"/>
    <w:rsid w:val="001E01CA"/>
    <w:rsid w:val="001E1C45"/>
    <w:rsid w:val="001F1858"/>
    <w:rsid w:val="001F250D"/>
    <w:rsid w:val="001F2E5A"/>
    <w:rsid w:val="00202AF5"/>
    <w:rsid w:val="002072A8"/>
    <w:rsid w:val="00212BDD"/>
    <w:rsid w:val="002268F8"/>
    <w:rsid w:val="0022695F"/>
    <w:rsid w:val="00226A10"/>
    <w:rsid w:val="00232DD1"/>
    <w:rsid w:val="00236ABA"/>
    <w:rsid w:val="00242C1F"/>
    <w:rsid w:val="00245368"/>
    <w:rsid w:val="0025083E"/>
    <w:rsid w:val="00250B6E"/>
    <w:rsid w:val="00273EA0"/>
    <w:rsid w:val="00275CF5"/>
    <w:rsid w:val="00282422"/>
    <w:rsid w:val="0028301F"/>
    <w:rsid w:val="00285017"/>
    <w:rsid w:val="002A2D2E"/>
    <w:rsid w:val="002B0252"/>
    <w:rsid w:val="002B08BA"/>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55013"/>
    <w:rsid w:val="003638B7"/>
    <w:rsid w:val="00363CE6"/>
    <w:rsid w:val="003660ED"/>
    <w:rsid w:val="00370034"/>
    <w:rsid w:val="00370A81"/>
    <w:rsid w:val="00383C9E"/>
    <w:rsid w:val="00386604"/>
    <w:rsid w:val="00387114"/>
    <w:rsid w:val="00390A40"/>
    <w:rsid w:val="003917BF"/>
    <w:rsid w:val="003A1A6D"/>
    <w:rsid w:val="003A6EB5"/>
    <w:rsid w:val="003B0550"/>
    <w:rsid w:val="003B2BBE"/>
    <w:rsid w:val="003B5AC1"/>
    <w:rsid w:val="003B5FD6"/>
    <w:rsid w:val="003B694F"/>
    <w:rsid w:val="003B6FA0"/>
    <w:rsid w:val="003B7061"/>
    <w:rsid w:val="003F171C"/>
    <w:rsid w:val="003F324E"/>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5411"/>
    <w:rsid w:val="0048464E"/>
    <w:rsid w:val="00484F99"/>
    <w:rsid w:val="00493354"/>
    <w:rsid w:val="00494BBF"/>
    <w:rsid w:val="004A2A44"/>
    <w:rsid w:val="004A3C48"/>
    <w:rsid w:val="004A5916"/>
    <w:rsid w:val="004A5B41"/>
    <w:rsid w:val="004B33FE"/>
    <w:rsid w:val="004C2EE3"/>
    <w:rsid w:val="004C638D"/>
    <w:rsid w:val="004D0DF9"/>
    <w:rsid w:val="004D6FE1"/>
    <w:rsid w:val="004E4A22"/>
    <w:rsid w:val="004F7ED5"/>
    <w:rsid w:val="00506DB1"/>
    <w:rsid w:val="00507BFC"/>
    <w:rsid w:val="0051055A"/>
    <w:rsid w:val="00511968"/>
    <w:rsid w:val="00522221"/>
    <w:rsid w:val="00534DA3"/>
    <w:rsid w:val="00540ED1"/>
    <w:rsid w:val="005411A9"/>
    <w:rsid w:val="00543469"/>
    <w:rsid w:val="00555584"/>
    <w:rsid w:val="0055614C"/>
    <w:rsid w:val="00563090"/>
    <w:rsid w:val="00566D06"/>
    <w:rsid w:val="005757D6"/>
    <w:rsid w:val="00586AF3"/>
    <w:rsid w:val="0059623F"/>
    <w:rsid w:val="005A5BBC"/>
    <w:rsid w:val="005A7F82"/>
    <w:rsid w:val="005B1762"/>
    <w:rsid w:val="005B30B1"/>
    <w:rsid w:val="005B3D01"/>
    <w:rsid w:val="005B7F4E"/>
    <w:rsid w:val="005C0DD7"/>
    <w:rsid w:val="005D07C4"/>
    <w:rsid w:val="005D108C"/>
    <w:rsid w:val="005D3FB0"/>
    <w:rsid w:val="005E14C2"/>
    <w:rsid w:val="005E3497"/>
    <w:rsid w:val="005E465C"/>
    <w:rsid w:val="005F32E9"/>
    <w:rsid w:val="005F375B"/>
    <w:rsid w:val="00601E30"/>
    <w:rsid w:val="0060548C"/>
    <w:rsid w:val="00607446"/>
    <w:rsid w:val="00607BA5"/>
    <w:rsid w:val="0061180A"/>
    <w:rsid w:val="00626EB6"/>
    <w:rsid w:val="00631F0A"/>
    <w:rsid w:val="006421C1"/>
    <w:rsid w:val="00647E02"/>
    <w:rsid w:val="00655D03"/>
    <w:rsid w:val="00662635"/>
    <w:rsid w:val="006704F5"/>
    <w:rsid w:val="00683388"/>
    <w:rsid w:val="00683F84"/>
    <w:rsid w:val="00692E04"/>
    <w:rsid w:val="00695325"/>
    <w:rsid w:val="006A3717"/>
    <w:rsid w:val="006A4BFB"/>
    <w:rsid w:val="006A6A81"/>
    <w:rsid w:val="006A6B21"/>
    <w:rsid w:val="006A711F"/>
    <w:rsid w:val="006A7A0C"/>
    <w:rsid w:val="006D33F6"/>
    <w:rsid w:val="006F1759"/>
    <w:rsid w:val="006F2006"/>
    <w:rsid w:val="006F293F"/>
    <w:rsid w:val="006F438A"/>
    <w:rsid w:val="006F7393"/>
    <w:rsid w:val="0070224F"/>
    <w:rsid w:val="0070751D"/>
    <w:rsid w:val="007115F7"/>
    <w:rsid w:val="00712696"/>
    <w:rsid w:val="00726E82"/>
    <w:rsid w:val="00745508"/>
    <w:rsid w:val="00750B77"/>
    <w:rsid w:val="00751598"/>
    <w:rsid w:val="0075166D"/>
    <w:rsid w:val="007524CD"/>
    <w:rsid w:val="007642CD"/>
    <w:rsid w:val="00780924"/>
    <w:rsid w:val="00783ACC"/>
    <w:rsid w:val="00785689"/>
    <w:rsid w:val="00785CD8"/>
    <w:rsid w:val="00787DB6"/>
    <w:rsid w:val="007956CA"/>
    <w:rsid w:val="0079754B"/>
    <w:rsid w:val="007A0571"/>
    <w:rsid w:val="007A163B"/>
    <w:rsid w:val="007A1E6D"/>
    <w:rsid w:val="007A3BAB"/>
    <w:rsid w:val="007B0EB2"/>
    <w:rsid w:val="007C16F4"/>
    <w:rsid w:val="007D4249"/>
    <w:rsid w:val="00810450"/>
    <w:rsid w:val="0081046E"/>
    <w:rsid w:val="00810B6F"/>
    <w:rsid w:val="008164CC"/>
    <w:rsid w:val="00822CE0"/>
    <w:rsid w:val="008248C2"/>
    <w:rsid w:val="00825703"/>
    <w:rsid w:val="00836EF4"/>
    <w:rsid w:val="0084005D"/>
    <w:rsid w:val="00840FF0"/>
    <w:rsid w:val="00841AB1"/>
    <w:rsid w:val="008470CB"/>
    <w:rsid w:val="00847350"/>
    <w:rsid w:val="00870B9D"/>
    <w:rsid w:val="0087360E"/>
    <w:rsid w:val="00892071"/>
    <w:rsid w:val="00892584"/>
    <w:rsid w:val="00896190"/>
    <w:rsid w:val="00897354"/>
    <w:rsid w:val="0089784D"/>
    <w:rsid w:val="008A58AA"/>
    <w:rsid w:val="008B288B"/>
    <w:rsid w:val="008B497D"/>
    <w:rsid w:val="008B6B96"/>
    <w:rsid w:val="008C68F1"/>
    <w:rsid w:val="008E6B05"/>
    <w:rsid w:val="008F6AF0"/>
    <w:rsid w:val="00906BBA"/>
    <w:rsid w:val="00916924"/>
    <w:rsid w:val="00921803"/>
    <w:rsid w:val="009243CF"/>
    <w:rsid w:val="00926503"/>
    <w:rsid w:val="00927113"/>
    <w:rsid w:val="00937D7F"/>
    <w:rsid w:val="009405AC"/>
    <w:rsid w:val="00945222"/>
    <w:rsid w:val="00945D64"/>
    <w:rsid w:val="009726D8"/>
    <w:rsid w:val="00985BD1"/>
    <w:rsid w:val="00990D14"/>
    <w:rsid w:val="009A63FD"/>
    <w:rsid w:val="009A6869"/>
    <w:rsid w:val="009B7B38"/>
    <w:rsid w:val="009C6F27"/>
    <w:rsid w:val="009D7308"/>
    <w:rsid w:val="009D7448"/>
    <w:rsid w:val="009E136D"/>
    <w:rsid w:val="009E224A"/>
    <w:rsid w:val="009F2562"/>
    <w:rsid w:val="009F76DB"/>
    <w:rsid w:val="00A07984"/>
    <w:rsid w:val="00A26B3B"/>
    <w:rsid w:val="00A32C3B"/>
    <w:rsid w:val="00A42382"/>
    <w:rsid w:val="00A45F4F"/>
    <w:rsid w:val="00A46B85"/>
    <w:rsid w:val="00A600A9"/>
    <w:rsid w:val="00A65E99"/>
    <w:rsid w:val="00A66590"/>
    <w:rsid w:val="00A71673"/>
    <w:rsid w:val="00A724A0"/>
    <w:rsid w:val="00A728BF"/>
    <w:rsid w:val="00A73D10"/>
    <w:rsid w:val="00A779BE"/>
    <w:rsid w:val="00A86487"/>
    <w:rsid w:val="00A91816"/>
    <w:rsid w:val="00A929B1"/>
    <w:rsid w:val="00AA55B7"/>
    <w:rsid w:val="00AA5B9E"/>
    <w:rsid w:val="00AA6025"/>
    <w:rsid w:val="00AA7E62"/>
    <w:rsid w:val="00AB2407"/>
    <w:rsid w:val="00AB53DF"/>
    <w:rsid w:val="00AB6B83"/>
    <w:rsid w:val="00AC7242"/>
    <w:rsid w:val="00AF0D12"/>
    <w:rsid w:val="00AF6613"/>
    <w:rsid w:val="00B07E5C"/>
    <w:rsid w:val="00B1464E"/>
    <w:rsid w:val="00B23672"/>
    <w:rsid w:val="00B32A7C"/>
    <w:rsid w:val="00B34639"/>
    <w:rsid w:val="00B75FF5"/>
    <w:rsid w:val="00B811F7"/>
    <w:rsid w:val="00B8236E"/>
    <w:rsid w:val="00B90C9B"/>
    <w:rsid w:val="00B927C4"/>
    <w:rsid w:val="00B97DD3"/>
    <w:rsid w:val="00BA0BA9"/>
    <w:rsid w:val="00BA5DC6"/>
    <w:rsid w:val="00BA6196"/>
    <w:rsid w:val="00BB31CD"/>
    <w:rsid w:val="00BC5600"/>
    <w:rsid w:val="00BC69ED"/>
    <w:rsid w:val="00BC6D8C"/>
    <w:rsid w:val="00BD5289"/>
    <w:rsid w:val="00BE3330"/>
    <w:rsid w:val="00BF05D9"/>
    <w:rsid w:val="00BF1951"/>
    <w:rsid w:val="00BF1B4B"/>
    <w:rsid w:val="00BF4C95"/>
    <w:rsid w:val="00C058FB"/>
    <w:rsid w:val="00C16F3A"/>
    <w:rsid w:val="00C256D8"/>
    <w:rsid w:val="00C27AF2"/>
    <w:rsid w:val="00C27ED4"/>
    <w:rsid w:val="00C27F85"/>
    <w:rsid w:val="00C34006"/>
    <w:rsid w:val="00C36B4C"/>
    <w:rsid w:val="00C372EC"/>
    <w:rsid w:val="00C426B1"/>
    <w:rsid w:val="00C43C45"/>
    <w:rsid w:val="00C57EB5"/>
    <w:rsid w:val="00C60BBF"/>
    <w:rsid w:val="00C66160"/>
    <w:rsid w:val="00C66F10"/>
    <w:rsid w:val="00C721AC"/>
    <w:rsid w:val="00C85F9D"/>
    <w:rsid w:val="00C90C1B"/>
    <w:rsid w:val="00C90D6A"/>
    <w:rsid w:val="00CA247E"/>
    <w:rsid w:val="00CA3945"/>
    <w:rsid w:val="00CA6D21"/>
    <w:rsid w:val="00CC028A"/>
    <w:rsid w:val="00CC72B6"/>
    <w:rsid w:val="00CE35EF"/>
    <w:rsid w:val="00CE3C7E"/>
    <w:rsid w:val="00CE5579"/>
    <w:rsid w:val="00CF1EAD"/>
    <w:rsid w:val="00D0218D"/>
    <w:rsid w:val="00D2014A"/>
    <w:rsid w:val="00D2308F"/>
    <w:rsid w:val="00D2371E"/>
    <w:rsid w:val="00D25FB5"/>
    <w:rsid w:val="00D3687D"/>
    <w:rsid w:val="00D40C1D"/>
    <w:rsid w:val="00D44223"/>
    <w:rsid w:val="00D62C5A"/>
    <w:rsid w:val="00D734A5"/>
    <w:rsid w:val="00DA059A"/>
    <w:rsid w:val="00DA2529"/>
    <w:rsid w:val="00DB130A"/>
    <w:rsid w:val="00DB1F56"/>
    <w:rsid w:val="00DB2EBB"/>
    <w:rsid w:val="00DB4541"/>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270B"/>
    <w:rsid w:val="00E07225"/>
    <w:rsid w:val="00E101E3"/>
    <w:rsid w:val="00E12D08"/>
    <w:rsid w:val="00E208EC"/>
    <w:rsid w:val="00E20B16"/>
    <w:rsid w:val="00E24A53"/>
    <w:rsid w:val="00E309F2"/>
    <w:rsid w:val="00E334A8"/>
    <w:rsid w:val="00E462E9"/>
    <w:rsid w:val="00E509E7"/>
    <w:rsid w:val="00E5257E"/>
    <w:rsid w:val="00E5409F"/>
    <w:rsid w:val="00E560B4"/>
    <w:rsid w:val="00E76017"/>
    <w:rsid w:val="00E7689E"/>
    <w:rsid w:val="00E86523"/>
    <w:rsid w:val="00EA0CA8"/>
    <w:rsid w:val="00EA23F6"/>
    <w:rsid w:val="00EA4F2F"/>
    <w:rsid w:val="00EC216A"/>
    <w:rsid w:val="00ED7593"/>
    <w:rsid w:val="00EE0092"/>
    <w:rsid w:val="00EE1855"/>
    <w:rsid w:val="00EE6488"/>
    <w:rsid w:val="00EF7BFB"/>
    <w:rsid w:val="00F021FA"/>
    <w:rsid w:val="00F11D79"/>
    <w:rsid w:val="00F14545"/>
    <w:rsid w:val="00F24E3B"/>
    <w:rsid w:val="00F30797"/>
    <w:rsid w:val="00F356C6"/>
    <w:rsid w:val="00F40FCD"/>
    <w:rsid w:val="00F52BAB"/>
    <w:rsid w:val="00F62B10"/>
    <w:rsid w:val="00F62E97"/>
    <w:rsid w:val="00F64209"/>
    <w:rsid w:val="00F91E0E"/>
    <w:rsid w:val="00F93BF5"/>
    <w:rsid w:val="00FA6B0E"/>
    <w:rsid w:val="00FB689B"/>
    <w:rsid w:val="00FB7347"/>
    <w:rsid w:val="00FC5AAE"/>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342BE9"/>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9F2"/>
    <w:pPr>
      <w:widowControl w:val="0"/>
    </w:pPr>
    <w:rPr>
      <w:snapToGrid w:val="0"/>
      <w:kern w:val="28"/>
      <w:sz w:val="22"/>
    </w:rPr>
  </w:style>
  <w:style w:type="paragraph" w:styleId="Heading1">
    <w:name w:val="heading 1"/>
    <w:basedOn w:val="Normal"/>
    <w:next w:val="ParaNum"/>
    <w:qFormat/>
    <w:rsid w:val="00E309F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309F2"/>
    <w:pPr>
      <w:keepNext/>
      <w:numPr>
        <w:ilvl w:val="1"/>
        <w:numId w:val="3"/>
      </w:numPr>
      <w:spacing w:after="120"/>
      <w:outlineLvl w:val="1"/>
    </w:pPr>
    <w:rPr>
      <w:b/>
    </w:rPr>
  </w:style>
  <w:style w:type="paragraph" w:styleId="Heading3">
    <w:name w:val="heading 3"/>
    <w:basedOn w:val="Normal"/>
    <w:next w:val="ParaNum"/>
    <w:qFormat/>
    <w:rsid w:val="00E309F2"/>
    <w:pPr>
      <w:keepNext/>
      <w:numPr>
        <w:ilvl w:val="2"/>
        <w:numId w:val="3"/>
      </w:numPr>
      <w:tabs>
        <w:tab w:val="left" w:pos="2160"/>
      </w:tabs>
      <w:spacing w:after="120"/>
      <w:outlineLvl w:val="2"/>
    </w:pPr>
    <w:rPr>
      <w:b/>
    </w:rPr>
  </w:style>
  <w:style w:type="paragraph" w:styleId="Heading4">
    <w:name w:val="heading 4"/>
    <w:basedOn w:val="Normal"/>
    <w:next w:val="ParaNum"/>
    <w:qFormat/>
    <w:rsid w:val="00E309F2"/>
    <w:pPr>
      <w:keepNext/>
      <w:numPr>
        <w:ilvl w:val="3"/>
        <w:numId w:val="3"/>
      </w:numPr>
      <w:tabs>
        <w:tab w:val="left" w:pos="2880"/>
      </w:tabs>
      <w:spacing w:after="120"/>
      <w:outlineLvl w:val="3"/>
    </w:pPr>
    <w:rPr>
      <w:b/>
    </w:rPr>
  </w:style>
  <w:style w:type="paragraph" w:styleId="Heading5">
    <w:name w:val="heading 5"/>
    <w:basedOn w:val="Normal"/>
    <w:next w:val="ParaNum"/>
    <w:qFormat/>
    <w:rsid w:val="00E309F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309F2"/>
    <w:pPr>
      <w:numPr>
        <w:ilvl w:val="5"/>
        <w:numId w:val="3"/>
      </w:numPr>
      <w:tabs>
        <w:tab w:val="left" w:pos="4320"/>
      </w:tabs>
      <w:spacing w:after="120"/>
      <w:outlineLvl w:val="5"/>
    </w:pPr>
    <w:rPr>
      <w:b/>
    </w:rPr>
  </w:style>
  <w:style w:type="paragraph" w:styleId="Heading7">
    <w:name w:val="heading 7"/>
    <w:basedOn w:val="Normal"/>
    <w:next w:val="ParaNum"/>
    <w:qFormat/>
    <w:rsid w:val="00E309F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309F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309F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309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09F2"/>
  </w:style>
  <w:style w:type="paragraph" w:customStyle="1" w:styleId="ParaNum">
    <w:name w:val="ParaNum"/>
    <w:basedOn w:val="Normal"/>
    <w:link w:val="ParaNumChar1"/>
    <w:rsid w:val="00E309F2"/>
    <w:pPr>
      <w:numPr>
        <w:numId w:val="2"/>
      </w:numPr>
      <w:tabs>
        <w:tab w:val="clear" w:pos="1080"/>
        <w:tab w:val="num" w:pos="1440"/>
      </w:tabs>
      <w:spacing w:after="120"/>
    </w:pPr>
  </w:style>
  <w:style w:type="paragraph" w:styleId="EndnoteText">
    <w:name w:val="endnote text"/>
    <w:basedOn w:val="Normal"/>
    <w:semiHidden/>
    <w:rsid w:val="00E309F2"/>
    <w:rPr>
      <w:sz w:val="20"/>
    </w:rPr>
  </w:style>
  <w:style w:type="character" w:styleId="EndnoteReference">
    <w:name w:val="endnote reference"/>
    <w:semiHidden/>
    <w:rsid w:val="00E309F2"/>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E309F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309F2"/>
    <w:rPr>
      <w:rFonts w:ascii="Times New Roman" w:hAnsi="Times New Roman"/>
      <w:dstrike w:val="0"/>
      <w:color w:val="auto"/>
      <w:sz w:val="20"/>
      <w:vertAlign w:val="superscript"/>
    </w:rPr>
  </w:style>
  <w:style w:type="paragraph" w:styleId="TOC1">
    <w:name w:val="toc 1"/>
    <w:basedOn w:val="Normal"/>
    <w:next w:val="Normal"/>
    <w:semiHidden/>
    <w:rsid w:val="00E309F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309F2"/>
    <w:pPr>
      <w:tabs>
        <w:tab w:val="left" w:pos="720"/>
        <w:tab w:val="right" w:leader="dot" w:pos="9360"/>
      </w:tabs>
      <w:suppressAutoHyphens/>
      <w:ind w:left="720" w:right="720" w:hanging="360"/>
    </w:pPr>
    <w:rPr>
      <w:noProof/>
    </w:rPr>
  </w:style>
  <w:style w:type="paragraph" w:styleId="TOC3">
    <w:name w:val="toc 3"/>
    <w:basedOn w:val="Normal"/>
    <w:next w:val="Normal"/>
    <w:semiHidden/>
    <w:rsid w:val="00E309F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309F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309F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309F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309F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309F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309F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309F2"/>
    <w:pPr>
      <w:tabs>
        <w:tab w:val="right" w:pos="9360"/>
      </w:tabs>
      <w:suppressAutoHyphens/>
    </w:pPr>
  </w:style>
  <w:style w:type="character" w:customStyle="1" w:styleId="EquationCaption">
    <w:name w:val="_Equation Caption"/>
    <w:rsid w:val="00E309F2"/>
  </w:style>
  <w:style w:type="paragraph" w:styleId="Header">
    <w:name w:val="header"/>
    <w:basedOn w:val="Normal"/>
    <w:autoRedefine/>
    <w:rsid w:val="00E309F2"/>
    <w:pPr>
      <w:tabs>
        <w:tab w:val="center" w:pos="4680"/>
        <w:tab w:val="right" w:pos="9360"/>
      </w:tabs>
    </w:pPr>
    <w:rPr>
      <w:b/>
    </w:rPr>
  </w:style>
  <w:style w:type="paragraph" w:styleId="Footer">
    <w:name w:val="footer"/>
    <w:basedOn w:val="Normal"/>
    <w:link w:val="FooterChar"/>
    <w:uiPriority w:val="99"/>
    <w:rsid w:val="00E309F2"/>
    <w:pPr>
      <w:tabs>
        <w:tab w:val="center" w:pos="4320"/>
        <w:tab w:val="right" w:pos="8640"/>
      </w:tabs>
    </w:pPr>
  </w:style>
  <w:style w:type="character" w:styleId="PageNumber">
    <w:name w:val="page number"/>
    <w:basedOn w:val="DefaultParagraphFont"/>
    <w:rsid w:val="00E309F2"/>
  </w:style>
  <w:style w:type="paragraph" w:styleId="BlockText">
    <w:name w:val="Block Text"/>
    <w:basedOn w:val="Normal"/>
    <w:rsid w:val="00E309F2"/>
    <w:pPr>
      <w:spacing w:after="240"/>
      <w:ind w:left="1440" w:right="1440"/>
    </w:pPr>
  </w:style>
  <w:style w:type="paragraph" w:customStyle="1" w:styleId="Paratitle">
    <w:name w:val="Para title"/>
    <w:basedOn w:val="Normal"/>
    <w:rsid w:val="00E309F2"/>
    <w:pPr>
      <w:tabs>
        <w:tab w:val="center" w:pos="9270"/>
      </w:tabs>
      <w:spacing w:after="240"/>
    </w:pPr>
    <w:rPr>
      <w:spacing w:val="-2"/>
    </w:rPr>
  </w:style>
  <w:style w:type="paragraph" w:customStyle="1" w:styleId="Bullet">
    <w:name w:val="Bullet"/>
    <w:basedOn w:val="Normal"/>
    <w:rsid w:val="00E309F2"/>
    <w:pPr>
      <w:tabs>
        <w:tab w:val="left" w:pos="2160"/>
      </w:tabs>
      <w:spacing w:after="220"/>
      <w:ind w:left="2160" w:hanging="720"/>
    </w:pPr>
  </w:style>
  <w:style w:type="paragraph" w:customStyle="1" w:styleId="TableFormat">
    <w:name w:val="TableFormat"/>
    <w:basedOn w:val="Bullet"/>
    <w:rsid w:val="00E309F2"/>
    <w:pPr>
      <w:tabs>
        <w:tab w:val="clear" w:pos="2160"/>
        <w:tab w:val="left" w:pos="5040"/>
      </w:tabs>
      <w:ind w:left="5040" w:hanging="3600"/>
    </w:pPr>
  </w:style>
  <w:style w:type="paragraph" w:customStyle="1" w:styleId="TOCTitle">
    <w:name w:val="TOC Title"/>
    <w:basedOn w:val="Normal"/>
    <w:rsid w:val="00E309F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309F2"/>
    <w:pPr>
      <w:jc w:val="center"/>
    </w:pPr>
    <w:rPr>
      <w:rFonts w:ascii="Times New Roman Bold" w:hAnsi="Times New Roman Bold"/>
      <w:b/>
      <w:bCs/>
      <w:caps/>
      <w:szCs w:val="22"/>
    </w:rPr>
  </w:style>
  <w:style w:type="character" w:styleId="Hyperlink">
    <w:name w:val="Hyperlink"/>
    <w:rsid w:val="00E309F2"/>
    <w:rPr>
      <w:color w:val="0000FF"/>
      <w:u w:val="single"/>
    </w:rPr>
  </w:style>
  <w:style w:type="character" w:customStyle="1" w:styleId="FooterChar">
    <w:name w:val="Footer Char"/>
    <w:link w:val="Footer"/>
    <w:uiPriority w:val="99"/>
    <w:rsid w:val="00E309F2"/>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character" w:customStyle="1" w:styleId="UnresolvedMention2">
    <w:name w:val="Unresolved Mention2"/>
    <w:basedOn w:val="DefaultParagraphFont"/>
    <w:rsid w:val="00363CE6"/>
    <w:rPr>
      <w:color w:val="605E5C"/>
      <w:shd w:val="clear" w:color="auto" w:fill="E1DFDD"/>
    </w:rPr>
  </w:style>
  <w:style w:type="paragraph" w:styleId="Revision">
    <w:name w:val="Revision"/>
    <w:hidden/>
    <w:uiPriority w:val="99"/>
    <w:semiHidden/>
    <w:rsid w:val="00A65E99"/>
    <w:rPr>
      <w:snapToGrid w:val="0"/>
      <w:kern w:val="28"/>
      <w:sz w:val="22"/>
    </w:rPr>
  </w:style>
  <w:style w:type="character" w:styleId="UnresolvedMention">
    <w:name w:val="Unresolved Mention"/>
    <w:basedOn w:val="DefaultParagraphFont"/>
    <w:rsid w:val="003B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