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0E5884" w:rsidP="75796D0F" w14:paraId="36720139" w14:textId="77777777">
      <w:pPr>
        <w:jc w:val="right"/>
        <w:rPr>
          <w:sz w:val="24"/>
          <w:szCs w:val="24"/>
        </w:rPr>
      </w:pPr>
      <w:r w:rsidRPr="75796D0F">
        <w:rPr>
          <w:sz w:val="24"/>
          <w:szCs w:val="24"/>
        </w:rPr>
        <w:t xml:space="preserve"> </w:t>
      </w:r>
    </w:p>
    <w:p w:rsidR="005614FA" w:rsidP="005614FA" w14:paraId="3672013A" w14:textId="53523152">
      <w:pPr>
        <w:widowControl/>
        <w:suppressAutoHyphens/>
        <w:jc w:val="right"/>
        <w:rPr>
          <w:b/>
          <w:color w:val="000000"/>
        </w:rPr>
      </w:pPr>
      <w:r>
        <w:rPr>
          <w:b/>
          <w:color w:val="000000"/>
        </w:rPr>
        <w:t>DA 2</w:t>
      </w:r>
      <w:r w:rsidR="004E6130">
        <w:rPr>
          <w:b/>
          <w:color w:val="000000"/>
        </w:rPr>
        <w:t>3</w:t>
      </w:r>
      <w:r w:rsidR="001E397D">
        <w:rPr>
          <w:b/>
          <w:color w:val="000000"/>
        </w:rPr>
        <w:t>-</w:t>
      </w:r>
      <w:r w:rsidR="006474E6">
        <w:rPr>
          <w:b/>
          <w:color w:val="000000"/>
        </w:rPr>
        <w:t>949</w:t>
      </w:r>
    </w:p>
    <w:p w:rsidR="005614FA" w:rsidP="005614FA" w14:paraId="3672013B" w14:textId="3A79B55D">
      <w:pPr>
        <w:widowControl/>
        <w:suppressAutoHyphens/>
        <w:spacing w:after="240"/>
        <w:jc w:val="right"/>
        <w:rPr>
          <w:b/>
          <w:color w:val="000000"/>
        </w:rPr>
      </w:pPr>
      <w:r>
        <w:rPr>
          <w:b/>
          <w:color w:val="000000"/>
        </w:rPr>
        <w:t xml:space="preserve">Released:  </w:t>
      </w:r>
      <w:r w:rsidR="00A16181">
        <w:rPr>
          <w:b/>
          <w:color w:val="000000"/>
        </w:rPr>
        <w:t>October 1</w:t>
      </w:r>
      <w:r w:rsidR="000B2A54">
        <w:rPr>
          <w:b/>
          <w:color w:val="000000"/>
        </w:rPr>
        <w:t>2</w:t>
      </w:r>
      <w:r w:rsidR="004E6130">
        <w:rPr>
          <w:b/>
          <w:color w:val="000000"/>
        </w:rPr>
        <w:t>, 2023</w:t>
      </w:r>
    </w:p>
    <w:p w:rsidR="00242F44" w:rsidP="005614FA" w14:paraId="3672013C" w14:textId="77777777">
      <w:pPr>
        <w:autoSpaceDE w:val="0"/>
        <w:autoSpaceDN w:val="0"/>
        <w:adjustRightInd w:val="0"/>
        <w:jc w:val="center"/>
        <w:rPr>
          <w:b/>
          <w:szCs w:val="22"/>
        </w:rPr>
      </w:pPr>
      <w:r>
        <w:rPr>
          <w:b/>
          <w:szCs w:val="22"/>
        </w:rPr>
        <w:t xml:space="preserve">DOMESTIC 214 </w:t>
      </w:r>
      <w:r w:rsidRPr="00307030" w:rsidR="00C31891">
        <w:rPr>
          <w:b/>
          <w:szCs w:val="22"/>
        </w:rPr>
        <w:t>APPLICATION</w:t>
      </w:r>
      <w:r w:rsidR="0054043D">
        <w:rPr>
          <w:b/>
          <w:szCs w:val="22"/>
        </w:rPr>
        <w:t xml:space="preserve"> G</w:t>
      </w:r>
      <w:r w:rsidR="00C31891">
        <w:rPr>
          <w:b/>
          <w:szCs w:val="22"/>
        </w:rPr>
        <w:t>RANTED</w:t>
      </w:r>
      <w:r w:rsidRPr="00307030" w:rsidR="00C31891">
        <w:rPr>
          <w:b/>
          <w:szCs w:val="22"/>
        </w:rPr>
        <w:t xml:space="preserve"> FOR </w:t>
      </w:r>
    </w:p>
    <w:p w:rsidR="001E397D" w:rsidRPr="001E397D" w:rsidP="001E397D" w14:paraId="3672013D" w14:textId="1D43251E">
      <w:pPr>
        <w:autoSpaceDE w:val="0"/>
        <w:autoSpaceDN w:val="0"/>
        <w:adjustRightInd w:val="0"/>
        <w:jc w:val="center"/>
        <w:rPr>
          <w:b/>
          <w:szCs w:val="22"/>
        </w:rPr>
      </w:pPr>
      <w:r w:rsidRPr="00307030">
        <w:rPr>
          <w:b/>
          <w:szCs w:val="22"/>
        </w:rPr>
        <w:t xml:space="preserve">THE TRANSFER OF CONTROL OF </w:t>
      </w:r>
      <w:r w:rsidRPr="00542146" w:rsidR="00DD7364">
        <w:rPr>
          <w:b/>
          <w:bCs/>
          <w:szCs w:val="22"/>
        </w:rPr>
        <w:t>INTERMOUNTAIN INFRASTRUCTURE GROUP, LLC</w:t>
      </w:r>
      <w:r w:rsidR="00DD7364">
        <w:rPr>
          <w:b/>
          <w:bCs/>
          <w:szCs w:val="22"/>
        </w:rPr>
        <w:t xml:space="preserve"> FROM </w:t>
      </w:r>
      <w:r w:rsidRPr="00494BA0" w:rsidR="00DD7364">
        <w:rPr>
          <w:b/>
          <w:bCs/>
          <w:szCs w:val="22"/>
        </w:rPr>
        <w:t>JEFFREY YOUNT</w:t>
      </w:r>
      <w:r w:rsidR="00DD7364">
        <w:rPr>
          <w:b/>
          <w:bCs/>
          <w:szCs w:val="22"/>
        </w:rPr>
        <w:t xml:space="preserve"> TO</w:t>
      </w:r>
      <w:r w:rsidRPr="00CD323B" w:rsidR="00DD7364">
        <w:rPr>
          <w:b/>
          <w:bCs/>
          <w:szCs w:val="22"/>
        </w:rPr>
        <w:t xml:space="preserve"> </w:t>
      </w:r>
      <w:r w:rsidRPr="00494BA0" w:rsidR="00DD7364">
        <w:rPr>
          <w:b/>
          <w:bCs/>
          <w:szCs w:val="22"/>
        </w:rPr>
        <w:t xml:space="preserve">WRA II-PIONEER (S) LLC </w:t>
      </w:r>
      <w:r w:rsidRPr="00CD323B" w:rsidR="00DD7364">
        <w:rPr>
          <w:b/>
          <w:bCs/>
          <w:szCs w:val="22"/>
        </w:rPr>
        <w:t xml:space="preserve"> </w:t>
      </w:r>
    </w:p>
    <w:p w:rsidR="005614FA" w:rsidRPr="00307030" w:rsidP="0084412A" w14:paraId="3672013E" w14:textId="77777777">
      <w:pPr>
        <w:autoSpaceDE w:val="0"/>
        <w:autoSpaceDN w:val="0"/>
        <w:adjustRightInd w:val="0"/>
        <w:rPr>
          <w:b/>
          <w:szCs w:val="22"/>
        </w:rPr>
      </w:pPr>
    </w:p>
    <w:p w:rsidR="005614FA" w:rsidRPr="00307030" w:rsidP="005614FA" w14:paraId="3672013F" w14:textId="5245D9B7">
      <w:pPr>
        <w:autoSpaceDE w:val="0"/>
        <w:autoSpaceDN w:val="0"/>
        <w:adjustRightInd w:val="0"/>
        <w:jc w:val="center"/>
        <w:rPr>
          <w:b/>
          <w:szCs w:val="22"/>
        </w:rPr>
      </w:pPr>
      <w:r w:rsidRPr="00307030">
        <w:rPr>
          <w:b/>
          <w:szCs w:val="22"/>
        </w:rPr>
        <w:t xml:space="preserve">WC Docket No. </w:t>
      </w:r>
      <w:r w:rsidR="00207939">
        <w:rPr>
          <w:b/>
          <w:szCs w:val="22"/>
        </w:rPr>
        <w:t>2</w:t>
      </w:r>
      <w:r w:rsidR="004E6130">
        <w:rPr>
          <w:b/>
          <w:szCs w:val="22"/>
        </w:rPr>
        <w:t>3-85</w:t>
      </w:r>
    </w:p>
    <w:p w:rsidR="005614FA" w:rsidP="005614FA" w14:paraId="36720140" w14:textId="77777777">
      <w:pPr>
        <w:widowControl/>
        <w:suppressAutoHyphens/>
        <w:rPr>
          <w:b/>
          <w:color w:val="000000"/>
        </w:rPr>
      </w:pPr>
    </w:p>
    <w:p w:rsidR="001014DF" w:rsidP="002D7CCE" w14:paraId="0E580FBF" w14:textId="2D43A2DB">
      <w:pPr>
        <w:widowControl/>
        <w:autoSpaceDE w:val="0"/>
        <w:autoSpaceDN w:val="0"/>
        <w:adjustRightInd w:val="0"/>
        <w:spacing w:after="120"/>
        <w:ind w:firstLine="720"/>
        <w:rPr>
          <w:snapToGrid/>
          <w:kern w:val="0"/>
          <w:szCs w:val="22"/>
        </w:rPr>
      </w:pPr>
      <w:r w:rsidRPr="00A77268">
        <w:rPr>
          <w:snapToGrid/>
          <w:kern w:val="0"/>
          <w:szCs w:val="22"/>
        </w:rPr>
        <w:t xml:space="preserve">By this Public Notice, the Wireline Competition Bureau </w:t>
      </w:r>
      <w:r w:rsidRPr="00A77268" w:rsidR="000D50EB">
        <w:rPr>
          <w:snapToGrid/>
          <w:kern w:val="0"/>
          <w:szCs w:val="22"/>
        </w:rPr>
        <w:t xml:space="preserve">(Bureau) </w:t>
      </w:r>
      <w:r w:rsidRPr="00A77268">
        <w:rPr>
          <w:snapToGrid/>
          <w:kern w:val="0"/>
          <w:szCs w:val="22"/>
        </w:rPr>
        <w:t xml:space="preserve">grants </w:t>
      </w:r>
      <w:r w:rsidR="00A42060">
        <w:rPr>
          <w:snapToGrid/>
          <w:kern w:val="0"/>
          <w:szCs w:val="22"/>
        </w:rPr>
        <w:t xml:space="preserve">the </w:t>
      </w:r>
      <w:r w:rsidRPr="00A77268">
        <w:rPr>
          <w:snapToGrid/>
          <w:kern w:val="0"/>
          <w:szCs w:val="22"/>
        </w:rPr>
        <w:t xml:space="preserve">application filed by </w:t>
      </w:r>
      <w:bookmarkStart w:id="0" w:name="_Hlk73713070"/>
      <w:bookmarkStart w:id="1" w:name="_Hlk67917977"/>
      <w:r w:rsidRPr="001014DF">
        <w:rPr>
          <w:snapToGrid/>
          <w:kern w:val="0"/>
          <w:szCs w:val="22"/>
        </w:rPr>
        <w:t xml:space="preserve">Jeffrey Yount (Yount), </w:t>
      </w:r>
      <w:bookmarkStart w:id="2" w:name="_Hlk129085488"/>
      <w:r w:rsidRPr="001014DF">
        <w:rPr>
          <w:snapToGrid/>
          <w:kern w:val="0"/>
          <w:szCs w:val="22"/>
        </w:rPr>
        <w:t xml:space="preserve">Intermountain Infrastructure Group, LLC </w:t>
      </w:r>
      <w:bookmarkEnd w:id="2"/>
      <w:r w:rsidRPr="001014DF">
        <w:rPr>
          <w:snapToGrid/>
          <w:kern w:val="0"/>
          <w:szCs w:val="22"/>
        </w:rPr>
        <w:t>(IIG), and WRA II-Pioneer (S) LLC (WRA II) (collectively, Applicants), pursuant to section 214 of the Communications Act of 1934, as amended, and sections 63.03-04 of the Commission’s rules,</w:t>
      </w:r>
      <w:r>
        <w:rPr>
          <w:snapToGrid/>
          <w:kern w:val="0"/>
          <w:szCs w:val="22"/>
          <w:vertAlign w:val="superscript"/>
        </w:rPr>
        <w:footnoteReference w:id="3"/>
      </w:r>
      <w:r w:rsidRPr="001014DF">
        <w:rPr>
          <w:snapToGrid/>
          <w:kern w:val="0"/>
          <w:szCs w:val="22"/>
        </w:rPr>
        <w:t xml:space="preserve"> requesting consent to transfer control of IIG from Yount to WRA II.</w:t>
      </w:r>
      <w:bookmarkEnd w:id="0"/>
      <w:bookmarkEnd w:id="1"/>
      <w:r>
        <w:rPr>
          <w:snapToGrid/>
          <w:kern w:val="0"/>
          <w:szCs w:val="22"/>
          <w:vertAlign w:val="superscript"/>
        </w:rPr>
        <w:footnoteReference w:id="4"/>
      </w:r>
    </w:p>
    <w:p w:rsidR="005614FA" w:rsidP="001B2124" w14:paraId="36720142" w14:textId="655CBA04">
      <w:pPr>
        <w:autoSpaceDE w:val="0"/>
        <w:autoSpaceDN w:val="0"/>
        <w:adjustRightInd w:val="0"/>
        <w:spacing w:after="120"/>
        <w:ind w:firstLine="720"/>
        <w:rPr>
          <w:szCs w:val="22"/>
        </w:rPr>
      </w:pPr>
      <w:r w:rsidRPr="00A77268">
        <w:rPr>
          <w:color w:val="000000"/>
          <w:szCs w:val="22"/>
        </w:rPr>
        <w:t xml:space="preserve">On </w:t>
      </w:r>
      <w:r w:rsidR="002D76B5">
        <w:rPr>
          <w:color w:val="000000"/>
          <w:szCs w:val="22"/>
        </w:rPr>
        <w:t>April 4</w:t>
      </w:r>
      <w:r w:rsidRPr="00A77268">
        <w:rPr>
          <w:color w:val="000000"/>
          <w:szCs w:val="22"/>
        </w:rPr>
        <w:t>, 20</w:t>
      </w:r>
      <w:r w:rsidRPr="00A77268" w:rsidR="00A51758">
        <w:rPr>
          <w:color w:val="000000"/>
          <w:szCs w:val="22"/>
        </w:rPr>
        <w:t>2</w:t>
      </w:r>
      <w:r w:rsidR="002D76B5">
        <w:rPr>
          <w:color w:val="000000"/>
          <w:szCs w:val="22"/>
        </w:rPr>
        <w:t>3</w:t>
      </w:r>
      <w:r w:rsidRPr="00A77268">
        <w:rPr>
          <w:color w:val="000000"/>
          <w:szCs w:val="22"/>
        </w:rPr>
        <w:t>, the Bureau released a public notice seeking comment on the Application.</w:t>
      </w:r>
      <w:r>
        <w:rPr>
          <w:rStyle w:val="FootnoteReference"/>
          <w:szCs w:val="22"/>
        </w:rPr>
        <w:footnoteReference w:id="5"/>
      </w:r>
      <w:r w:rsidRPr="00A77268">
        <w:rPr>
          <w:color w:val="000000"/>
          <w:szCs w:val="22"/>
        </w:rPr>
        <w:t xml:space="preserve">  </w:t>
      </w:r>
      <w:r w:rsidRPr="00A77268" w:rsidR="007C4371">
        <w:rPr>
          <w:color w:val="000000"/>
          <w:szCs w:val="22"/>
        </w:rPr>
        <w:t>We</w:t>
      </w:r>
      <w:r w:rsidRPr="00A77268">
        <w:rPr>
          <w:szCs w:val="22"/>
        </w:rPr>
        <w:t xml:space="preserve"> did not receive comments or petitions in opposition to the Application.</w:t>
      </w:r>
    </w:p>
    <w:p w:rsidR="00AC1E60" w:rsidRPr="00AC1E60" w:rsidP="00AC1E60" w14:paraId="7E2951F1" w14:textId="77777777">
      <w:pPr>
        <w:autoSpaceDE w:val="0"/>
        <w:autoSpaceDN w:val="0"/>
        <w:adjustRightInd w:val="0"/>
        <w:spacing w:after="120"/>
        <w:ind w:firstLine="720"/>
        <w:rPr>
          <w:szCs w:val="22"/>
        </w:rPr>
      </w:pPr>
      <w:r w:rsidRPr="00AC1E60">
        <w:rPr>
          <w:szCs w:val="22"/>
        </w:rPr>
        <w:t>IIG, a Delaware limited liability company, provides long-haul, regional, and metro fiber network services.</w:t>
      </w:r>
      <w:r>
        <w:rPr>
          <w:szCs w:val="22"/>
          <w:vertAlign w:val="superscript"/>
        </w:rPr>
        <w:footnoteReference w:id="6"/>
      </w:r>
      <w:r w:rsidRPr="00AC1E60">
        <w:rPr>
          <w:szCs w:val="22"/>
        </w:rPr>
        <w:t xml:space="preserve">  IIG provides competitive telecommunications services in California, Illinois, Montana, Nevada, Oregon, and Washington.</w:t>
      </w:r>
      <w:r>
        <w:rPr>
          <w:szCs w:val="22"/>
          <w:vertAlign w:val="superscript"/>
        </w:rPr>
        <w:footnoteReference w:id="7"/>
      </w:r>
      <w:r w:rsidRPr="00AC1E60">
        <w:rPr>
          <w:szCs w:val="22"/>
        </w:rPr>
        <w:t xml:space="preserve">  IIG wholly owns Travail Networks Canada Inc. (Travail), a Canadian corporation that provides facilities-based telecommunications services.</w:t>
      </w:r>
      <w:r>
        <w:rPr>
          <w:szCs w:val="22"/>
          <w:vertAlign w:val="superscript"/>
        </w:rPr>
        <w:footnoteReference w:id="8"/>
      </w:r>
    </w:p>
    <w:p w:rsidR="00AC1E60" w:rsidRPr="00AC1E60" w:rsidP="00AC1E60" w14:paraId="123993BF" w14:textId="00940615">
      <w:pPr>
        <w:autoSpaceDE w:val="0"/>
        <w:autoSpaceDN w:val="0"/>
        <w:adjustRightInd w:val="0"/>
        <w:spacing w:after="120"/>
        <w:ind w:firstLine="720"/>
        <w:rPr>
          <w:szCs w:val="22"/>
        </w:rPr>
      </w:pPr>
      <w:r w:rsidRPr="00AC1E60">
        <w:rPr>
          <w:szCs w:val="22"/>
        </w:rPr>
        <w:t>Intermountain Holdings LLC (Holdings), a Delaware holding company, owns 100% of the voting and equity interests in IIG.</w:t>
      </w:r>
      <w:r>
        <w:rPr>
          <w:szCs w:val="22"/>
          <w:vertAlign w:val="superscript"/>
        </w:rPr>
        <w:footnoteReference w:id="9"/>
      </w:r>
      <w:r w:rsidRPr="00AC1E60">
        <w:rPr>
          <w:szCs w:val="22"/>
        </w:rPr>
        <w:t xml:space="preserve">  Holdings is directly held by Yount, Brady Adams (Adams), and Post </w:t>
      </w:r>
      <w:r w:rsidRPr="000C38F6">
        <w:rPr>
          <w:szCs w:val="22"/>
        </w:rPr>
        <w:t>Roa</w:t>
      </w:r>
      <w:r w:rsidR="000C38F6">
        <w:rPr>
          <w:szCs w:val="22"/>
        </w:rPr>
        <w:t>d</w:t>
      </w:r>
      <w:r w:rsidRPr="00AC1E60">
        <w:rPr>
          <w:szCs w:val="22"/>
        </w:rPr>
        <w:t xml:space="preserve"> Special Opportunity Fund II IIG Inc. (PRSOF II).</w:t>
      </w:r>
      <w:r>
        <w:rPr>
          <w:szCs w:val="22"/>
          <w:vertAlign w:val="superscript"/>
        </w:rPr>
        <w:footnoteReference w:id="10"/>
      </w:r>
      <w:r w:rsidRPr="00AC1E60">
        <w:rPr>
          <w:szCs w:val="22"/>
        </w:rPr>
        <w:t xml:space="preserve">  Yount, a U.S. citizen, is the President and Chief Executive Officer of IIG and Holdings.</w:t>
      </w:r>
      <w:r>
        <w:rPr>
          <w:szCs w:val="22"/>
          <w:vertAlign w:val="superscript"/>
        </w:rPr>
        <w:footnoteReference w:id="11"/>
      </w:r>
      <w:r w:rsidRPr="00AC1E60">
        <w:rPr>
          <w:szCs w:val="22"/>
        </w:rPr>
        <w:t xml:space="preserve">  Yount exercises actual working control of IIG through his </w:t>
      </w:r>
      <w:r w:rsidRPr="00AC1E60">
        <w:rPr>
          <w:szCs w:val="22"/>
        </w:rPr>
        <w:t>ownership of approximately 30.5% of the equity and voting interests in Holdings.</w:t>
      </w:r>
      <w:r>
        <w:rPr>
          <w:szCs w:val="22"/>
          <w:vertAlign w:val="superscript"/>
        </w:rPr>
        <w:footnoteReference w:id="12"/>
      </w:r>
      <w:r w:rsidRPr="00AC1E60">
        <w:rPr>
          <w:szCs w:val="22"/>
        </w:rPr>
        <w:t xml:space="preserve">  Adams, a U.S. citizen, currently holds an approximate 10% economic interest in Holdings, and PRSOF II currently holds an approximate 37.1% economic interest in Holdings.</w:t>
      </w:r>
      <w:r>
        <w:rPr>
          <w:szCs w:val="22"/>
          <w:vertAlign w:val="superscript"/>
        </w:rPr>
        <w:footnoteReference w:id="13"/>
      </w:r>
    </w:p>
    <w:p w:rsidR="00AC1E60" w:rsidRPr="00AC1E60" w:rsidP="00AC1E60" w14:paraId="45E5D057" w14:textId="77777777">
      <w:pPr>
        <w:autoSpaceDE w:val="0"/>
        <w:autoSpaceDN w:val="0"/>
        <w:adjustRightInd w:val="0"/>
        <w:spacing w:after="120"/>
        <w:ind w:firstLine="720"/>
        <w:rPr>
          <w:szCs w:val="22"/>
        </w:rPr>
      </w:pPr>
      <w:r w:rsidRPr="00AC1E60">
        <w:rPr>
          <w:szCs w:val="22"/>
        </w:rPr>
        <w:t>Applicants state that PRSOF II is a U.S. investment company that is directly owned by Post Road Special Opportunity Fund (SOF) II LP (100% voting and equity interest), which, in turn, is directly owned by Post Road SOF GP II LLC</w:t>
      </w:r>
      <w:r>
        <w:rPr>
          <w:szCs w:val="22"/>
          <w:vertAlign w:val="superscript"/>
        </w:rPr>
        <w:footnoteReference w:id="14"/>
      </w:r>
      <w:r w:rsidRPr="00AC1E60">
        <w:rPr>
          <w:szCs w:val="22"/>
        </w:rPr>
        <w:t xml:space="preserve"> (100% voting interest and approximately 2% equity interest), both Delaware entities.</w:t>
      </w:r>
      <w:r>
        <w:rPr>
          <w:szCs w:val="22"/>
          <w:vertAlign w:val="superscript"/>
        </w:rPr>
        <w:footnoteReference w:id="15"/>
      </w:r>
      <w:r w:rsidRPr="00AC1E60">
        <w:rPr>
          <w:szCs w:val="22"/>
        </w:rPr>
        <w:t xml:space="preserve">  The direct voting interest in Post Road SOF GP II LLC is held by Birch Hill Capital LLC (50%), a Delaware investment company,</w:t>
      </w:r>
      <w:r>
        <w:rPr>
          <w:szCs w:val="22"/>
          <w:vertAlign w:val="superscript"/>
        </w:rPr>
        <w:footnoteReference w:id="16"/>
      </w:r>
      <w:r w:rsidRPr="00AC1E60">
        <w:rPr>
          <w:szCs w:val="22"/>
        </w:rPr>
        <w:t xml:space="preserve"> and Seventh Avenue Capital Group II LLC (50%), a Connecticut investment company.</w:t>
      </w:r>
      <w:r>
        <w:rPr>
          <w:szCs w:val="22"/>
          <w:vertAlign w:val="superscript"/>
        </w:rPr>
        <w:footnoteReference w:id="17"/>
      </w:r>
      <w:r w:rsidRPr="00AC1E60">
        <w:rPr>
          <w:szCs w:val="22"/>
        </w:rPr>
        <w:t xml:space="preserve">  The direct and indirect equity interest in Post Road SOF GP II LLC is held by Birch Hill Capital LLC (approximately 38%) and Seventh Avenue Capital Group LLC (approximately 22%).</w:t>
      </w:r>
      <w:r>
        <w:rPr>
          <w:szCs w:val="22"/>
          <w:vertAlign w:val="superscript"/>
        </w:rPr>
        <w:footnoteReference w:id="18"/>
      </w:r>
      <w:r w:rsidRPr="00AC1E60">
        <w:rPr>
          <w:szCs w:val="22"/>
        </w:rPr>
        <w:t xml:space="preserve">  Michael Bogdan, a U.S. citizen, holds 100% of the voting and equity interest in Birch Hill Capital LLC.</w:t>
      </w:r>
      <w:r>
        <w:rPr>
          <w:szCs w:val="22"/>
          <w:vertAlign w:val="superscript"/>
        </w:rPr>
        <w:footnoteReference w:id="19"/>
      </w:r>
      <w:r w:rsidRPr="00AC1E60">
        <w:rPr>
          <w:szCs w:val="22"/>
        </w:rPr>
        <w:t xml:space="preserve">  Additionally, Kevin Davis, a U.S. citizen, holds 100% voting and equity interests in Seventh Avenue Capital Group II LLC.</w:t>
      </w:r>
      <w:r>
        <w:rPr>
          <w:szCs w:val="22"/>
          <w:vertAlign w:val="superscript"/>
        </w:rPr>
        <w:footnoteReference w:id="20"/>
      </w:r>
    </w:p>
    <w:p w:rsidR="00AC1E60" w:rsidRPr="00AC1E60" w:rsidP="00AC1E60" w14:paraId="1C767E29" w14:textId="19768F98">
      <w:pPr>
        <w:autoSpaceDE w:val="0"/>
        <w:autoSpaceDN w:val="0"/>
        <w:adjustRightInd w:val="0"/>
        <w:spacing w:after="120"/>
        <w:ind w:firstLine="720"/>
        <w:rPr>
          <w:szCs w:val="22"/>
        </w:rPr>
      </w:pPr>
      <w:r w:rsidRPr="00AC1E60">
        <w:rPr>
          <w:szCs w:val="22"/>
        </w:rPr>
        <w:t>Applicants state that WRA II, a Delaware limited liability company, is an acquisition vehicle that was created for the purposes of the proposed transaction.</w:t>
      </w:r>
      <w:r>
        <w:rPr>
          <w:szCs w:val="22"/>
          <w:vertAlign w:val="superscript"/>
        </w:rPr>
        <w:footnoteReference w:id="21"/>
      </w:r>
      <w:r w:rsidRPr="00AC1E60">
        <w:rPr>
          <w:szCs w:val="22"/>
        </w:rPr>
        <w:t xml:space="preserve">  WRA II is owned by certain investment funds managed by </w:t>
      </w:r>
      <w:r w:rsidRPr="00AC1E60">
        <w:rPr>
          <w:szCs w:val="22"/>
        </w:rPr>
        <w:t>Wafra</w:t>
      </w:r>
      <w:r w:rsidRPr="00AC1E60">
        <w:rPr>
          <w:szCs w:val="22"/>
        </w:rPr>
        <w:t xml:space="preserve"> Inc. (</w:t>
      </w:r>
      <w:r w:rsidRPr="00AC1E60">
        <w:rPr>
          <w:szCs w:val="22"/>
        </w:rPr>
        <w:t>Wafra</w:t>
      </w:r>
      <w:r w:rsidRPr="00AC1E60">
        <w:rPr>
          <w:szCs w:val="22"/>
        </w:rPr>
        <w:t>), a global alternative investment manager.</w:t>
      </w:r>
      <w:r>
        <w:rPr>
          <w:szCs w:val="22"/>
          <w:vertAlign w:val="superscript"/>
        </w:rPr>
        <w:footnoteReference w:id="22"/>
      </w:r>
      <w:r w:rsidRPr="00AC1E60">
        <w:rPr>
          <w:szCs w:val="22"/>
        </w:rPr>
        <w:t xml:space="preserve">  </w:t>
      </w:r>
      <w:r w:rsidRPr="00AC1E60">
        <w:rPr>
          <w:szCs w:val="22"/>
        </w:rPr>
        <w:t>Wafra</w:t>
      </w:r>
      <w:r w:rsidRPr="00AC1E60">
        <w:rPr>
          <w:szCs w:val="22"/>
        </w:rPr>
        <w:t xml:space="preserve"> is indirectly and beneficially owned by the Public Institution for Social Security, a public pension fund that operates as an autonomous agency that is controlled by the Government of Kuwait.</w:t>
      </w:r>
      <w:r>
        <w:rPr>
          <w:szCs w:val="22"/>
          <w:vertAlign w:val="superscript"/>
        </w:rPr>
        <w:footnoteReference w:id="23"/>
      </w:r>
      <w:r w:rsidRPr="00AC1E60">
        <w:rPr>
          <w:szCs w:val="22"/>
        </w:rPr>
        <w:t xml:space="preserve">  </w:t>
      </w:r>
      <w:r w:rsidRPr="00AC1E60">
        <w:rPr>
          <w:szCs w:val="22"/>
        </w:rPr>
        <w:t>Wafra</w:t>
      </w:r>
      <w:r w:rsidRPr="00AC1E60">
        <w:rPr>
          <w:szCs w:val="22"/>
        </w:rPr>
        <w:t xml:space="preserve"> is also affiliated with LOGIX Fiber Networks (LOGIX).</w:t>
      </w:r>
      <w:r>
        <w:rPr>
          <w:szCs w:val="22"/>
          <w:vertAlign w:val="superscript"/>
        </w:rPr>
        <w:footnoteReference w:id="24"/>
      </w:r>
      <w:r w:rsidRPr="00AC1E60">
        <w:rPr>
          <w:szCs w:val="22"/>
        </w:rPr>
        <w:t xml:space="preserve">  Applicants state that LOGIX Communications, LP, Alpheus Communications, LLC, and Alpheus Data Services L.L.C. provide, as LOGIX, telecommunications services in Kansas, Missouri, Oklahoma, and Texas.</w:t>
      </w:r>
      <w:r>
        <w:rPr>
          <w:szCs w:val="22"/>
          <w:vertAlign w:val="superscript"/>
        </w:rPr>
        <w:footnoteReference w:id="25"/>
      </w:r>
      <w:r w:rsidRPr="00AC1E60">
        <w:rPr>
          <w:szCs w:val="22"/>
        </w:rPr>
        <w:t xml:space="preserve">  LOGIX provides telecommunications services as a competitive local exchange carrier, primarily in Texas and Oklahoma.</w:t>
      </w:r>
      <w:r>
        <w:rPr>
          <w:szCs w:val="22"/>
          <w:vertAlign w:val="superscript"/>
        </w:rPr>
        <w:footnoteReference w:id="26"/>
      </w:r>
      <w:r w:rsidRPr="00AC1E60">
        <w:rPr>
          <w:szCs w:val="22"/>
        </w:rPr>
        <w:t xml:space="preserve">  LOGIX also provides resold local exchange services in Kansas and Missouri</w:t>
      </w:r>
      <w:r w:rsidR="00286053">
        <w:rPr>
          <w:szCs w:val="22"/>
        </w:rPr>
        <w:t>,</w:t>
      </w:r>
      <w:r w:rsidRPr="00AC1E60">
        <w:rPr>
          <w:szCs w:val="22"/>
        </w:rPr>
        <w:t xml:space="preserve"> where it is authorized to provide local exchange and/or </w:t>
      </w:r>
      <w:r w:rsidRPr="00AC1E60">
        <w:rPr>
          <w:szCs w:val="22"/>
        </w:rPr>
        <w:t>exchange telecommunications services.</w:t>
      </w:r>
      <w:r>
        <w:rPr>
          <w:szCs w:val="22"/>
          <w:vertAlign w:val="superscript"/>
        </w:rPr>
        <w:footnoteReference w:id="27"/>
      </w:r>
      <w:r w:rsidRPr="00AC1E60">
        <w:rPr>
          <w:szCs w:val="22"/>
        </w:rPr>
        <w:t xml:space="preserve">  Applicants maintain that LOGIX does not provide service in any areas served by IIG.</w:t>
      </w:r>
      <w:r>
        <w:rPr>
          <w:szCs w:val="22"/>
          <w:vertAlign w:val="superscript"/>
        </w:rPr>
        <w:footnoteReference w:id="28"/>
      </w:r>
      <w:r w:rsidRPr="00AC1E60">
        <w:rPr>
          <w:szCs w:val="22"/>
        </w:rPr>
        <w:t xml:space="preserve">  </w:t>
      </w:r>
    </w:p>
    <w:p w:rsidR="00AC1E60" w:rsidRPr="00AC1E60" w:rsidP="00AC1E60" w14:paraId="08D2BB99" w14:textId="77777777">
      <w:pPr>
        <w:autoSpaceDE w:val="0"/>
        <w:autoSpaceDN w:val="0"/>
        <w:adjustRightInd w:val="0"/>
        <w:spacing w:after="120"/>
        <w:ind w:firstLine="720"/>
        <w:rPr>
          <w:szCs w:val="22"/>
        </w:rPr>
      </w:pPr>
      <w:r w:rsidRPr="00AC1E60">
        <w:rPr>
          <w:szCs w:val="22"/>
        </w:rPr>
        <w:t>Pursuant to the terms of the proposed transaction, IIG will remain a direct and wholly-owned subsidiary of Holdings.</w:t>
      </w:r>
      <w:r>
        <w:rPr>
          <w:szCs w:val="22"/>
          <w:vertAlign w:val="superscript"/>
        </w:rPr>
        <w:footnoteReference w:id="29"/>
      </w:r>
      <w:r w:rsidRPr="00AC1E60">
        <w:rPr>
          <w:szCs w:val="22"/>
        </w:rPr>
        <w:t xml:space="preserve">  However, according to Applicants, Yount will relinquish working control of Holdings and convert his equity ownership into non-voting Junior Preferred Units.</w:t>
      </w:r>
      <w:r>
        <w:rPr>
          <w:szCs w:val="22"/>
          <w:vertAlign w:val="superscript"/>
        </w:rPr>
        <w:footnoteReference w:id="30"/>
      </w:r>
      <w:r w:rsidRPr="00AC1E60">
        <w:rPr>
          <w:szCs w:val="22"/>
        </w:rPr>
        <w:t xml:space="preserve">  As a result, Yount will be entitled to participate in cash distributions in an amount equal to between 15.2% and 17.8%.</w:t>
      </w:r>
      <w:r>
        <w:rPr>
          <w:szCs w:val="22"/>
          <w:vertAlign w:val="superscript"/>
        </w:rPr>
        <w:footnoteReference w:id="31"/>
      </w:r>
      <w:r w:rsidRPr="00AC1E60">
        <w:rPr>
          <w:szCs w:val="22"/>
        </w:rPr>
        <w:t xml:space="preserve">  Additionally, Holdings will issue senior preferred units to WRA II and PRSOF II in an amount equal to between 60% and 65%, with </w:t>
      </w:r>
      <w:r w:rsidRPr="00AC1E60">
        <w:rPr>
          <w:szCs w:val="22"/>
        </w:rPr>
        <w:t>Wafra</w:t>
      </w:r>
      <w:r w:rsidRPr="00AC1E60">
        <w:rPr>
          <w:szCs w:val="22"/>
        </w:rPr>
        <w:t xml:space="preserve"> entitled to receive between 19.8% and 21.4%.</w:t>
      </w:r>
      <w:r>
        <w:rPr>
          <w:szCs w:val="22"/>
          <w:vertAlign w:val="superscript"/>
        </w:rPr>
        <w:footnoteReference w:id="32"/>
      </w:r>
      <w:r w:rsidRPr="00AC1E60">
        <w:rPr>
          <w:szCs w:val="22"/>
        </w:rPr>
        <w:t xml:space="preserve">  Applicants further state that Holdings will be governed by a seven-member Board of Managers designated by Yount, PRSOF II, and WRA II.</w:t>
      </w:r>
      <w:r>
        <w:rPr>
          <w:szCs w:val="22"/>
          <w:vertAlign w:val="superscript"/>
        </w:rPr>
        <w:footnoteReference w:id="33"/>
      </w:r>
      <w:r w:rsidRPr="00AC1E60">
        <w:rPr>
          <w:szCs w:val="22"/>
        </w:rPr>
        <w:t xml:space="preserve">  </w:t>
      </w:r>
    </w:p>
    <w:p w:rsidR="005614FA" w:rsidRPr="00B17B13" w:rsidP="00973B24" w14:paraId="36720144" w14:textId="6B616D5D">
      <w:pPr>
        <w:autoSpaceDE w:val="0"/>
        <w:autoSpaceDN w:val="0"/>
        <w:adjustRightInd w:val="0"/>
        <w:spacing w:after="120"/>
        <w:ind w:firstLine="720"/>
        <w:rPr>
          <w:szCs w:val="22"/>
        </w:rPr>
      </w:pPr>
      <w:r w:rsidRPr="00AC1E60">
        <w:rPr>
          <w:szCs w:val="22"/>
        </w:rPr>
        <w:t>Applicants state that, following consummation of the proposed transaction, WRA II will be directly and indirectly held by WRA II-Pioneer (B) LLC (WRA II (B)), a Delaware holding company.</w:t>
      </w:r>
      <w:r>
        <w:rPr>
          <w:szCs w:val="22"/>
          <w:vertAlign w:val="superscript"/>
        </w:rPr>
        <w:footnoteReference w:id="34"/>
      </w:r>
      <w:r w:rsidRPr="00AC1E60">
        <w:rPr>
          <w:szCs w:val="22"/>
        </w:rPr>
        <w:t xml:space="preserve">  WRA II (B) is controlled by </w:t>
      </w:r>
      <w:r w:rsidRPr="00AC1E60">
        <w:rPr>
          <w:szCs w:val="22"/>
        </w:rPr>
        <w:t>Wafra</w:t>
      </w:r>
      <w:r w:rsidRPr="00AC1E60">
        <w:rPr>
          <w:szCs w:val="22"/>
        </w:rPr>
        <w:t xml:space="preserve"> Real Assets &amp; Infrastructure Fund II LP, a Bermuda investment business, which, in turn, is controlled by WRAIF II GP LLC, a Delaware investment business.</w:t>
      </w:r>
      <w:r>
        <w:rPr>
          <w:szCs w:val="22"/>
          <w:vertAlign w:val="superscript"/>
        </w:rPr>
        <w:footnoteReference w:id="35"/>
      </w:r>
      <w:r w:rsidRPr="00AC1E60">
        <w:rPr>
          <w:szCs w:val="22"/>
        </w:rPr>
        <w:t xml:space="preserve">  Economic ownership of WRAIF II GP LLC is held by </w:t>
      </w:r>
      <w:r w:rsidRPr="00AC1E60">
        <w:rPr>
          <w:szCs w:val="22"/>
        </w:rPr>
        <w:t>Wafra</w:t>
      </w:r>
      <w:r w:rsidRPr="00AC1E60">
        <w:rPr>
          <w:szCs w:val="22"/>
        </w:rPr>
        <w:t xml:space="preserve"> Advisors LLC (60% economic interest) and </w:t>
      </w:r>
      <w:r w:rsidRPr="00AC1E60">
        <w:rPr>
          <w:szCs w:val="22"/>
        </w:rPr>
        <w:t>Wafra</w:t>
      </w:r>
      <w:r w:rsidRPr="00AC1E60">
        <w:rPr>
          <w:szCs w:val="22"/>
        </w:rPr>
        <w:t xml:space="preserve"> AID LLC (40% economic interest), and control of WRAIF II GP LLC resides with its managing member, </w:t>
      </w:r>
      <w:r w:rsidRPr="00AC1E60">
        <w:rPr>
          <w:szCs w:val="22"/>
        </w:rPr>
        <w:t>Wafra</w:t>
      </w:r>
      <w:r w:rsidRPr="00AC1E60">
        <w:rPr>
          <w:szCs w:val="22"/>
        </w:rPr>
        <w:t xml:space="preserve"> AID Inc., a Delaware holding company.</w:t>
      </w:r>
      <w:r>
        <w:rPr>
          <w:szCs w:val="22"/>
          <w:vertAlign w:val="superscript"/>
        </w:rPr>
        <w:footnoteReference w:id="36"/>
      </w:r>
      <w:r w:rsidRPr="00AC1E60">
        <w:rPr>
          <w:szCs w:val="22"/>
        </w:rPr>
        <w:t xml:space="preserve">  </w:t>
      </w:r>
      <w:r w:rsidRPr="00AC1E60">
        <w:rPr>
          <w:szCs w:val="22"/>
        </w:rPr>
        <w:t>Wafra</w:t>
      </w:r>
      <w:r w:rsidRPr="00AC1E60">
        <w:rPr>
          <w:szCs w:val="22"/>
        </w:rPr>
        <w:t xml:space="preserve"> AID Inc. is wholly owned by </w:t>
      </w:r>
      <w:r w:rsidRPr="00AC1E60">
        <w:rPr>
          <w:szCs w:val="22"/>
        </w:rPr>
        <w:t>Wafra</w:t>
      </w:r>
      <w:r w:rsidRPr="00AC1E60">
        <w:rPr>
          <w:szCs w:val="22"/>
        </w:rPr>
        <w:t xml:space="preserve"> Funds GP Inc., which, in turn is wholly owned by </w:t>
      </w:r>
      <w:r w:rsidRPr="00AC1E60">
        <w:rPr>
          <w:szCs w:val="22"/>
        </w:rPr>
        <w:t>Wafra</w:t>
      </w:r>
      <w:r w:rsidRPr="00AC1E60">
        <w:rPr>
          <w:szCs w:val="22"/>
        </w:rPr>
        <w:t xml:space="preserve"> Inc., both Delaware entities.</w:t>
      </w:r>
      <w:r>
        <w:rPr>
          <w:szCs w:val="22"/>
          <w:vertAlign w:val="superscript"/>
        </w:rPr>
        <w:footnoteReference w:id="37"/>
      </w:r>
      <w:r w:rsidRPr="00AC1E60">
        <w:rPr>
          <w:szCs w:val="22"/>
        </w:rPr>
        <w:t xml:space="preserve">  </w:t>
      </w:r>
      <w:r w:rsidRPr="00AC1E60">
        <w:rPr>
          <w:szCs w:val="22"/>
        </w:rPr>
        <w:t>Wafra</w:t>
      </w:r>
      <w:r w:rsidRPr="00AC1E60">
        <w:rPr>
          <w:szCs w:val="22"/>
        </w:rPr>
        <w:t xml:space="preserve"> Inc. is wholly owned by </w:t>
      </w:r>
      <w:r w:rsidRPr="00AC1E60">
        <w:rPr>
          <w:szCs w:val="22"/>
        </w:rPr>
        <w:t>Wafra</w:t>
      </w:r>
      <w:r w:rsidRPr="00AC1E60">
        <w:rPr>
          <w:szCs w:val="22"/>
        </w:rPr>
        <w:t xml:space="preserve"> </w:t>
      </w:r>
      <w:r w:rsidRPr="00AC1E60">
        <w:rPr>
          <w:szCs w:val="22"/>
        </w:rPr>
        <w:t>InterVest</w:t>
      </w:r>
      <w:r w:rsidRPr="00AC1E60">
        <w:rPr>
          <w:szCs w:val="22"/>
        </w:rPr>
        <w:t xml:space="preserve"> Corporation Ltd., a Bermuda holding company, which, in turn, is wholly owned by </w:t>
      </w:r>
      <w:r w:rsidRPr="00AC1E60">
        <w:rPr>
          <w:szCs w:val="22"/>
        </w:rPr>
        <w:t>Wafra</w:t>
      </w:r>
      <w:r w:rsidRPr="00AC1E60">
        <w:rPr>
          <w:szCs w:val="22"/>
        </w:rPr>
        <w:t xml:space="preserve"> International Investment Company K.S.C.C. (</w:t>
      </w:r>
      <w:r w:rsidRPr="00AC1E60">
        <w:rPr>
          <w:szCs w:val="22"/>
        </w:rPr>
        <w:t>Wafra</w:t>
      </w:r>
      <w:r w:rsidRPr="00AC1E60">
        <w:rPr>
          <w:szCs w:val="22"/>
        </w:rPr>
        <w:t xml:space="preserve"> International), a Kuwait holding company.</w:t>
      </w:r>
      <w:r>
        <w:rPr>
          <w:szCs w:val="22"/>
          <w:vertAlign w:val="superscript"/>
        </w:rPr>
        <w:footnoteReference w:id="38"/>
      </w:r>
      <w:r w:rsidRPr="00AC1E60">
        <w:rPr>
          <w:szCs w:val="22"/>
        </w:rPr>
        <w:t xml:space="preserve">  </w:t>
      </w:r>
      <w:r w:rsidRPr="00AC1E60">
        <w:rPr>
          <w:szCs w:val="22"/>
        </w:rPr>
        <w:t>Wafra</w:t>
      </w:r>
      <w:r w:rsidRPr="00AC1E60">
        <w:rPr>
          <w:szCs w:val="22"/>
        </w:rPr>
        <w:t xml:space="preserve"> International and economic ownership of WRAIF II is held by the Public Institution for Social Security, an autonomous agency of the Government of Kuwait.</w:t>
      </w:r>
      <w:r>
        <w:rPr>
          <w:szCs w:val="22"/>
          <w:vertAlign w:val="superscript"/>
        </w:rPr>
        <w:footnoteReference w:id="39"/>
      </w:r>
      <w:r w:rsidRPr="00AC1E60">
        <w:rPr>
          <w:szCs w:val="22"/>
        </w:rPr>
        <w:t xml:space="preserve">  Applicants state that no additional individuals or entities will own or control 10% or more equity or voting interest, directly or indirectly, in IIG following consummation of the proposed transaction.</w:t>
      </w:r>
      <w:r>
        <w:rPr>
          <w:szCs w:val="22"/>
          <w:vertAlign w:val="superscript"/>
        </w:rPr>
        <w:footnoteReference w:id="40"/>
      </w:r>
      <w:r w:rsidRPr="00A77268" w:rsidR="006677BF">
        <w:rPr>
          <w:szCs w:val="22"/>
        </w:rPr>
        <w:t xml:space="preserve"> </w:t>
      </w:r>
    </w:p>
    <w:p w:rsidR="00E77864" w:rsidP="005C24D8" w14:paraId="36720145" w14:textId="3D58167B">
      <w:pPr>
        <w:pStyle w:val="Default"/>
        <w:spacing w:after="120"/>
        <w:ind w:firstLine="720"/>
        <w:rPr>
          <w:sz w:val="22"/>
          <w:szCs w:val="22"/>
        </w:rPr>
      </w:pPr>
      <w:r w:rsidRPr="00A663DB">
        <w:rPr>
          <w:sz w:val="22"/>
          <w:szCs w:val="22"/>
        </w:rPr>
        <w:t xml:space="preserve">On </w:t>
      </w:r>
      <w:r w:rsidR="00E9794F">
        <w:rPr>
          <w:sz w:val="22"/>
          <w:szCs w:val="22"/>
        </w:rPr>
        <w:t>A</w:t>
      </w:r>
      <w:r w:rsidR="00622445">
        <w:rPr>
          <w:sz w:val="22"/>
          <w:szCs w:val="22"/>
        </w:rPr>
        <w:t>pril 17</w:t>
      </w:r>
      <w:r w:rsidRPr="00A663DB">
        <w:rPr>
          <w:sz w:val="22"/>
          <w:szCs w:val="22"/>
        </w:rPr>
        <w:t>, 20</w:t>
      </w:r>
      <w:r w:rsidRPr="00A663DB" w:rsidR="00023E9D">
        <w:rPr>
          <w:sz w:val="22"/>
          <w:szCs w:val="22"/>
        </w:rPr>
        <w:t>2</w:t>
      </w:r>
      <w:r w:rsidR="00622445">
        <w:rPr>
          <w:sz w:val="22"/>
          <w:szCs w:val="22"/>
        </w:rPr>
        <w:t>3</w:t>
      </w:r>
      <w:r w:rsidRPr="00A663DB">
        <w:rPr>
          <w:sz w:val="22"/>
          <w:szCs w:val="22"/>
        </w:rPr>
        <w:t xml:space="preserve">, the </w:t>
      </w:r>
      <w:r w:rsidRPr="00BD0A9B" w:rsidR="00BD0A9B">
        <w:rPr>
          <w:sz w:val="22"/>
          <w:szCs w:val="22"/>
        </w:rPr>
        <w:t xml:space="preserve">Committee for the Assessment of Foreign Participation in the United States Telecommunications Services Sector (Committee) </w:t>
      </w:r>
      <w:r w:rsidR="00BD0A9B">
        <w:rPr>
          <w:sz w:val="22"/>
          <w:szCs w:val="22"/>
        </w:rPr>
        <w:t xml:space="preserve">notified the Commission that it </w:t>
      </w:r>
      <w:r w:rsidR="00800267">
        <w:rPr>
          <w:sz w:val="22"/>
          <w:szCs w:val="22"/>
        </w:rPr>
        <w:t>was</w:t>
      </w:r>
      <w:r w:rsidRPr="00BD0A9B" w:rsidR="00BD0A9B">
        <w:rPr>
          <w:sz w:val="22"/>
          <w:szCs w:val="22"/>
        </w:rPr>
        <w:t xml:space="preserve"> reviewing </w:t>
      </w:r>
      <w:r w:rsidRPr="00BD0A9B" w:rsidR="00BD0A9B">
        <w:rPr>
          <w:sz w:val="22"/>
          <w:szCs w:val="22"/>
        </w:rPr>
        <w:t>the</w:t>
      </w:r>
      <w:r w:rsidR="00800267">
        <w:rPr>
          <w:sz w:val="22"/>
          <w:szCs w:val="22"/>
        </w:rPr>
        <w:t xml:space="preserve"> Application</w:t>
      </w:r>
      <w:r w:rsidRPr="00BD0A9B" w:rsidR="00BD0A9B">
        <w:rPr>
          <w:sz w:val="22"/>
          <w:szCs w:val="22"/>
        </w:rPr>
        <w:t>.</w:t>
      </w:r>
      <w:r>
        <w:rPr>
          <w:rStyle w:val="FootnoteReference"/>
          <w:color w:val="000000"/>
          <w:szCs w:val="22"/>
        </w:rPr>
        <w:footnoteReference w:id="41"/>
      </w:r>
      <w:r w:rsidRPr="00A663DB">
        <w:rPr>
          <w:sz w:val="22"/>
          <w:szCs w:val="22"/>
        </w:rPr>
        <w:t xml:space="preserve">  We deferred action in response to this request</w:t>
      </w:r>
      <w:r w:rsidRPr="00A663DB" w:rsidR="00563C1F">
        <w:rPr>
          <w:sz w:val="22"/>
          <w:szCs w:val="22"/>
        </w:rPr>
        <w:t xml:space="preserve"> from the </w:t>
      </w:r>
      <w:r w:rsidR="00A22D46">
        <w:rPr>
          <w:sz w:val="22"/>
          <w:szCs w:val="22"/>
        </w:rPr>
        <w:t>Committee</w:t>
      </w:r>
      <w:r w:rsidRPr="00A663DB">
        <w:rPr>
          <w:sz w:val="22"/>
          <w:szCs w:val="22"/>
        </w:rPr>
        <w:t xml:space="preserve">.  </w:t>
      </w:r>
      <w:r>
        <w:rPr>
          <w:sz w:val="22"/>
          <w:szCs w:val="22"/>
        </w:rPr>
        <w:t>On</w:t>
      </w:r>
      <w:r w:rsidR="00BD0A9B">
        <w:rPr>
          <w:sz w:val="22"/>
          <w:szCs w:val="22"/>
        </w:rPr>
        <w:t xml:space="preserve"> </w:t>
      </w:r>
      <w:r w:rsidR="003C5DD4">
        <w:rPr>
          <w:sz w:val="22"/>
          <w:szCs w:val="22"/>
        </w:rPr>
        <w:t>June 29</w:t>
      </w:r>
      <w:r w:rsidR="00BD0A9B">
        <w:rPr>
          <w:sz w:val="22"/>
          <w:szCs w:val="22"/>
        </w:rPr>
        <w:t>, 202</w:t>
      </w:r>
      <w:r w:rsidR="003C5DD4">
        <w:rPr>
          <w:sz w:val="22"/>
          <w:szCs w:val="22"/>
        </w:rPr>
        <w:t>3</w:t>
      </w:r>
      <w:r>
        <w:rPr>
          <w:sz w:val="22"/>
          <w:szCs w:val="22"/>
        </w:rPr>
        <w:t xml:space="preserve">, the </w:t>
      </w:r>
      <w:r w:rsidRPr="004872D0" w:rsidR="004872D0">
        <w:rPr>
          <w:sz w:val="22"/>
          <w:szCs w:val="22"/>
        </w:rPr>
        <w:t xml:space="preserve">Committee </w:t>
      </w:r>
      <w:r>
        <w:rPr>
          <w:sz w:val="22"/>
          <w:szCs w:val="22"/>
        </w:rPr>
        <w:t xml:space="preserve">notified the </w:t>
      </w:r>
      <w:r w:rsidR="00286468">
        <w:rPr>
          <w:sz w:val="22"/>
          <w:szCs w:val="22"/>
        </w:rPr>
        <w:t>Commission</w:t>
      </w:r>
      <w:r w:rsidR="004872D0">
        <w:rPr>
          <w:sz w:val="22"/>
          <w:szCs w:val="22"/>
        </w:rPr>
        <w:t xml:space="preserve"> that the Applicant ha</w:t>
      </w:r>
      <w:r w:rsidR="00800267">
        <w:rPr>
          <w:sz w:val="22"/>
          <w:szCs w:val="22"/>
        </w:rPr>
        <w:t xml:space="preserve">d </w:t>
      </w:r>
      <w:r w:rsidRPr="004872D0" w:rsidR="004872D0">
        <w:rPr>
          <w:sz w:val="22"/>
          <w:szCs w:val="22"/>
        </w:rPr>
        <w:t xml:space="preserve">provided complete responses to initial questions posed by the Committee </w:t>
      </w:r>
      <w:r w:rsidR="004872D0">
        <w:rPr>
          <w:sz w:val="22"/>
          <w:szCs w:val="22"/>
        </w:rPr>
        <w:t xml:space="preserve">and that the Committee </w:t>
      </w:r>
      <w:r w:rsidR="00800267">
        <w:rPr>
          <w:sz w:val="22"/>
          <w:szCs w:val="22"/>
        </w:rPr>
        <w:t>was</w:t>
      </w:r>
      <w:r w:rsidR="004872D0">
        <w:rPr>
          <w:sz w:val="22"/>
          <w:szCs w:val="22"/>
        </w:rPr>
        <w:t xml:space="preserve"> conducting</w:t>
      </w:r>
      <w:r w:rsidR="00E96AC2">
        <w:rPr>
          <w:sz w:val="22"/>
          <w:szCs w:val="22"/>
        </w:rPr>
        <w:t xml:space="preserve"> an initial review </w:t>
      </w:r>
      <w:r w:rsidRPr="00E96AC2" w:rsidR="00E96AC2">
        <w:rPr>
          <w:sz w:val="22"/>
          <w:szCs w:val="22"/>
        </w:rPr>
        <w:t xml:space="preserve">to assess whether granting the Application </w:t>
      </w:r>
      <w:r w:rsidR="00564FFA">
        <w:rPr>
          <w:sz w:val="22"/>
          <w:szCs w:val="22"/>
        </w:rPr>
        <w:t>would</w:t>
      </w:r>
      <w:r w:rsidRPr="00E96AC2" w:rsidR="00E96AC2">
        <w:rPr>
          <w:sz w:val="22"/>
          <w:szCs w:val="22"/>
        </w:rPr>
        <w:t xml:space="preserve"> pose a risk to the national security or law enforcement interests of the United States.</w:t>
      </w:r>
      <w:r>
        <w:rPr>
          <w:rStyle w:val="FootnoteReference"/>
          <w:szCs w:val="22"/>
        </w:rPr>
        <w:footnoteReference w:id="42"/>
      </w:r>
    </w:p>
    <w:p w:rsidR="002D7CCE" w:rsidP="005C24D8" w14:paraId="36720146" w14:textId="50CC4C3E">
      <w:pPr>
        <w:pStyle w:val="Default"/>
        <w:spacing w:after="120"/>
        <w:ind w:firstLine="720"/>
        <w:rPr>
          <w:color w:val="212121"/>
          <w:sz w:val="22"/>
          <w:szCs w:val="22"/>
        </w:rPr>
      </w:pPr>
      <w:r>
        <w:rPr>
          <w:color w:val="212121"/>
          <w:sz w:val="22"/>
          <w:szCs w:val="22"/>
        </w:rPr>
        <w:t xml:space="preserve">On </w:t>
      </w:r>
      <w:r w:rsidR="002B1FA5">
        <w:rPr>
          <w:color w:val="212121"/>
          <w:sz w:val="22"/>
          <w:szCs w:val="22"/>
        </w:rPr>
        <w:t>September</w:t>
      </w:r>
      <w:r w:rsidR="00EC2DFD">
        <w:rPr>
          <w:color w:val="212121"/>
          <w:sz w:val="22"/>
          <w:szCs w:val="22"/>
        </w:rPr>
        <w:t xml:space="preserve"> 2</w:t>
      </w:r>
      <w:r w:rsidR="002B1FA5">
        <w:rPr>
          <w:color w:val="212121"/>
          <w:sz w:val="22"/>
          <w:szCs w:val="22"/>
        </w:rPr>
        <w:t>7</w:t>
      </w:r>
      <w:r>
        <w:rPr>
          <w:color w:val="212121"/>
          <w:sz w:val="22"/>
          <w:szCs w:val="22"/>
        </w:rPr>
        <w:t>, 202</w:t>
      </w:r>
      <w:r w:rsidR="002B1FA5">
        <w:rPr>
          <w:color w:val="212121"/>
          <w:sz w:val="22"/>
          <w:szCs w:val="22"/>
        </w:rPr>
        <w:t>3</w:t>
      </w:r>
      <w:r>
        <w:rPr>
          <w:color w:val="212121"/>
          <w:sz w:val="22"/>
          <w:szCs w:val="22"/>
        </w:rPr>
        <w:t xml:space="preserve">, the </w:t>
      </w:r>
      <w:r w:rsidR="00800267">
        <w:rPr>
          <w:color w:val="212121"/>
          <w:sz w:val="22"/>
          <w:szCs w:val="22"/>
        </w:rPr>
        <w:t xml:space="preserve">National Telecommunications and Information Administration </w:t>
      </w:r>
      <w:r w:rsidR="004C70FB">
        <w:rPr>
          <w:color w:val="212121"/>
          <w:sz w:val="22"/>
          <w:szCs w:val="22"/>
        </w:rPr>
        <w:t xml:space="preserve">informed </w:t>
      </w:r>
      <w:r w:rsidR="00EC2DFD">
        <w:rPr>
          <w:color w:val="212121"/>
          <w:sz w:val="22"/>
          <w:szCs w:val="22"/>
        </w:rPr>
        <w:t xml:space="preserve">the Commission </w:t>
      </w:r>
      <w:r w:rsidR="004C70FB">
        <w:rPr>
          <w:color w:val="212121"/>
          <w:sz w:val="22"/>
          <w:szCs w:val="22"/>
        </w:rPr>
        <w:t xml:space="preserve">that “the Committee </w:t>
      </w:r>
      <w:r w:rsidRPr="006F4636" w:rsidR="006F4636">
        <w:rPr>
          <w:color w:val="212121"/>
          <w:sz w:val="22"/>
          <w:szCs w:val="22"/>
        </w:rPr>
        <w:t>has reviewed the application and has no recommendation at this time to the Commission approving the application and no objection to the Commission granting it</w:t>
      </w:r>
      <w:r w:rsidR="00422B9A">
        <w:rPr>
          <w:color w:val="212121"/>
          <w:sz w:val="22"/>
          <w:szCs w:val="22"/>
        </w:rPr>
        <w:t>”</w:t>
      </w:r>
      <w:r w:rsidR="006F4636">
        <w:rPr>
          <w:color w:val="212121"/>
          <w:sz w:val="22"/>
          <w:szCs w:val="22"/>
        </w:rPr>
        <w:t xml:space="preserve"> and that </w:t>
      </w:r>
      <w:r w:rsidR="004C70FB">
        <w:rPr>
          <w:color w:val="212121"/>
          <w:sz w:val="22"/>
          <w:szCs w:val="22"/>
        </w:rPr>
        <w:t xml:space="preserve">the Committee </w:t>
      </w:r>
      <w:r w:rsidR="00422B9A">
        <w:rPr>
          <w:color w:val="212121"/>
          <w:sz w:val="22"/>
          <w:szCs w:val="22"/>
        </w:rPr>
        <w:t>“</w:t>
      </w:r>
      <w:r w:rsidRPr="006F4636" w:rsidR="006F4636">
        <w:rPr>
          <w:color w:val="212121"/>
          <w:sz w:val="22"/>
          <w:szCs w:val="22"/>
        </w:rPr>
        <w:t>reserves the right to review any resulting authorization in the future to identify any additional or new risks to U.S. national security or law enforcement interests.</w:t>
      </w:r>
      <w:r w:rsidR="00422B9A">
        <w:rPr>
          <w:color w:val="212121"/>
          <w:sz w:val="22"/>
          <w:szCs w:val="22"/>
        </w:rPr>
        <w:t>”</w:t>
      </w:r>
      <w:r>
        <w:rPr>
          <w:rStyle w:val="FootnoteReference"/>
          <w:szCs w:val="22"/>
        </w:rPr>
        <w:footnoteReference w:id="43"/>
      </w:r>
    </w:p>
    <w:p w:rsidR="002D7CCE" w:rsidRPr="002D7CCE" w:rsidP="005C24D8" w14:paraId="36720147" w14:textId="297BE4CD">
      <w:pPr>
        <w:pStyle w:val="Default"/>
        <w:spacing w:after="120"/>
        <w:ind w:firstLine="720"/>
        <w:rPr>
          <w:color w:val="212121"/>
          <w:sz w:val="22"/>
          <w:szCs w:val="22"/>
        </w:rPr>
      </w:pPr>
      <w:r>
        <w:rPr>
          <w:color w:val="212121"/>
          <w:sz w:val="22"/>
          <w:szCs w:val="22"/>
        </w:rPr>
        <w:t>We find</w:t>
      </w:r>
      <w:r w:rsidRPr="002D7CCE">
        <w:rPr>
          <w:color w:val="212121"/>
          <w:sz w:val="22"/>
          <w:szCs w:val="22"/>
        </w:rPr>
        <w:t xml:space="preserve">, upon consideration of the record, that </w:t>
      </w:r>
      <w:r>
        <w:rPr>
          <w:color w:val="212121"/>
          <w:sz w:val="22"/>
          <w:szCs w:val="22"/>
        </w:rPr>
        <w:t xml:space="preserve">the proposed transaction </w:t>
      </w:r>
      <w:r w:rsidRPr="002D7CCE">
        <w:rPr>
          <w:color w:val="212121"/>
          <w:sz w:val="22"/>
          <w:szCs w:val="22"/>
        </w:rPr>
        <w:t>will serve the public interest, convenience, and necessity.</w:t>
      </w:r>
      <w:r>
        <w:rPr>
          <w:color w:val="212121"/>
          <w:sz w:val="22"/>
          <w:szCs w:val="22"/>
          <w:vertAlign w:val="superscript"/>
        </w:rPr>
        <w:footnoteReference w:id="44"/>
      </w:r>
      <w:r w:rsidRPr="002D7CCE">
        <w:rPr>
          <w:color w:val="212121"/>
          <w:sz w:val="22"/>
          <w:szCs w:val="22"/>
        </w:rPr>
        <w:t xml:space="preserve">  Pursuant to section 1.103 of the Commission's rules,</w:t>
      </w:r>
      <w:r w:rsidR="00DD5183">
        <w:rPr>
          <w:color w:val="212121"/>
          <w:sz w:val="22"/>
          <w:szCs w:val="22"/>
        </w:rPr>
        <w:t xml:space="preserve"> </w:t>
      </w:r>
      <w:r w:rsidRPr="002D7CCE">
        <w:rPr>
          <w:color w:val="212121"/>
          <w:sz w:val="22"/>
          <w:szCs w:val="22"/>
        </w:rPr>
        <w:t>47 CFR § 1.103, the grant is effective upon release of this Public Notice.  Petitions for reconsideration under section 1.106 or applications for review under section 1.115 of the Commission's rules,</w:t>
      </w:r>
      <w:r w:rsidR="00DD5183">
        <w:rPr>
          <w:color w:val="212121"/>
          <w:sz w:val="22"/>
          <w:szCs w:val="22"/>
        </w:rPr>
        <w:t xml:space="preserve"> </w:t>
      </w:r>
      <w:r w:rsidRPr="002D7CCE">
        <w:rPr>
          <w:color w:val="212121"/>
          <w:sz w:val="22"/>
          <w:szCs w:val="22"/>
        </w:rPr>
        <w:t>47 CFR §§ 1.106, 1.115, may be filed within 30 days of the date of this Public Notice.</w:t>
      </w:r>
      <w:bookmarkStart w:id="4" w:name="FN[FN9]"/>
      <w:bookmarkStart w:id="5" w:name="sp_999_1"/>
      <w:bookmarkStart w:id="6" w:name="SDU_1"/>
      <w:bookmarkEnd w:id="4"/>
      <w:bookmarkEnd w:id="5"/>
      <w:bookmarkEnd w:id="6"/>
    </w:p>
    <w:p w:rsidR="002D7CCE" w:rsidRPr="002D7CCE" w:rsidP="002D7CCE" w14:paraId="36720148" w14:textId="3DB0A8F1">
      <w:pPr>
        <w:pStyle w:val="Default"/>
        <w:spacing w:after="120"/>
        <w:ind w:firstLine="720"/>
        <w:rPr>
          <w:color w:val="212121"/>
          <w:sz w:val="22"/>
          <w:szCs w:val="22"/>
        </w:rPr>
      </w:pPr>
      <w:bookmarkStart w:id="7" w:name="sp_999_2"/>
      <w:bookmarkStart w:id="8" w:name="SDU_2"/>
      <w:bookmarkEnd w:id="7"/>
      <w:bookmarkEnd w:id="8"/>
      <w:r w:rsidRPr="002D7CCE">
        <w:rPr>
          <w:color w:val="212121"/>
          <w:sz w:val="22"/>
          <w:szCs w:val="22"/>
        </w:rPr>
        <w:t>For further information, please contact Gregory Kwan, Wireline Competition Bureau, Competition Policy Division, (202) 418-</w:t>
      </w:r>
      <w:r w:rsidR="006A0BDA">
        <w:rPr>
          <w:color w:val="212121"/>
          <w:sz w:val="22"/>
          <w:szCs w:val="22"/>
        </w:rPr>
        <w:t>11</w:t>
      </w:r>
      <w:r w:rsidRPr="002D7CCE">
        <w:rPr>
          <w:color w:val="212121"/>
          <w:sz w:val="22"/>
          <w:szCs w:val="22"/>
        </w:rPr>
        <w:t>9</w:t>
      </w:r>
      <w:r w:rsidR="006A0BDA">
        <w:rPr>
          <w:color w:val="212121"/>
          <w:sz w:val="22"/>
          <w:szCs w:val="22"/>
        </w:rPr>
        <w:t>1</w:t>
      </w:r>
      <w:r w:rsidRPr="002D7CCE">
        <w:rPr>
          <w:color w:val="212121"/>
          <w:sz w:val="22"/>
          <w:szCs w:val="22"/>
        </w:rPr>
        <w:t>.</w:t>
      </w:r>
    </w:p>
    <w:p w:rsidR="002D7CCE" w:rsidRPr="002D7CCE" w:rsidP="002D7CCE" w14:paraId="36720149" w14:textId="77777777">
      <w:pPr>
        <w:pStyle w:val="Default"/>
        <w:rPr>
          <w:color w:val="212121"/>
          <w:sz w:val="22"/>
          <w:szCs w:val="22"/>
        </w:rPr>
      </w:pPr>
    </w:p>
    <w:p w:rsidR="002D7CCE" w:rsidRPr="002D7CCE" w:rsidP="002D7CCE" w14:paraId="3672014A" w14:textId="77777777">
      <w:pPr>
        <w:pStyle w:val="Default"/>
        <w:jc w:val="center"/>
        <w:rPr>
          <w:b/>
          <w:bCs/>
          <w:color w:val="212121"/>
          <w:sz w:val="22"/>
          <w:szCs w:val="22"/>
        </w:rPr>
      </w:pPr>
      <w:r w:rsidRPr="002D7CCE">
        <w:rPr>
          <w:b/>
          <w:bCs/>
          <w:color w:val="212121"/>
          <w:sz w:val="22"/>
          <w:szCs w:val="22"/>
        </w:rPr>
        <w:t>-FCC-</w:t>
      </w:r>
    </w:p>
    <w:p w:rsidR="002D7CCE" w:rsidRPr="006F4636" w:rsidP="006F4636" w14:paraId="3672014B" w14:textId="77777777">
      <w:pPr>
        <w:pStyle w:val="Default"/>
        <w:ind w:firstLine="720"/>
        <w:rPr>
          <w:color w:val="212121"/>
          <w:szCs w:val="22"/>
        </w:rPr>
      </w:pPr>
    </w:p>
    <w:p w:rsidR="006F4636" w:rsidP="00EC2DFD" w14:paraId="3672014C" w14:textId="77777777">
      <w:pPr>
        <w:pStyle w:val="Default"/>
        <w:ind w:firstLine="720"/>
        <w:rPr>
          <w:color w:val="212121"/>
          <w:sz w:val="22"/>
          <w:szCs w:val="22"/>
        </w:rPr>
      </w:pPr>
    </w:p>
    <w:p w:rsidR="00E61137" w:rsidP="002B0207" w14:paraId="3672014D" w14:textId="77777777">
      <w:pPr>
        <w:jc w:val="center"/>
        <w:rPr>
          <w:b/>
          <w:color w:val="000000"/>
          <w:szCs w:val="22"/>
        </w:rPr>
      </w:pPr>
    </w:p>
    <w:p w:rsidR="00E61137" w:rsidP="002B0207" w14:paraId="3672014E" w14:textId="77777777">
      <w:pPr>
        <w:jc w:val="center"/>
        <w:rPr>
          <w:b/>
          <w:color w:val="000000"/>
          <w:szCs w:val="22"/>
        </w:rPr>
      </w:pPr>
    </w:p>
    <w:p w:rsidR="00B17B13" w:rsidRPr="00930ECF" w:rsidP="00E61137" w14:paraId="3672014F" w14:textId="77777777">
      <w:pPr>
        <w:rPr>
          <w:sz w:val="24"/>
        </w:rPr>
      </w:pPr>
    </w:p>
    <w:sectPr w:rsidSect="000E588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36720155" w14:textId="77777777">
    <w:pPr>
      <w:pStyle w:val="Footer"/>
      <w:framePr w:wrap="around" w:vAnchor="text" w:hAnchor="margin" w:xAlign="center" w:y="1"/>
    </w:pPr>
    <w:r>
      <w:fldChar w:fldCharType="begin"/>
    </w:r>
    <w:r>
      <w:instrText xml:space="preserve">PAGE  </w:instrText>
    </w:r>
    <w:r w:rsidR="006474E6">
      <w:fldChar w:fldCharType="separate"/>
    </w:r>
    <w:r>
      <w:fldChar w:fldCharType="end"/>
    </w:r>
  </w:p>
  <w:p w:rsidR="006F7393" w14:paraId="3672015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36720157" w14:textId="77777777">
    <w:pPr>
      <w:pStyle w:val="Footer"/>
      <w:jc w:val="center"/>
    </w:pPr>
    <w:r>
      <w:fldChar w:fldCharType="begin"/>
    </w:r>
    <w:r>
      <w:instrText xml:space="preserve"> PAGE   \* MERGEFORMAT </w:instrText>
    </w:r>
    <w:r>
      <w:fldChar w:fldCharType="separate"/>
    </w:r>
    <w:r w:rsidR="00631B71">
      <w:rPr>
        <w:noProof/>
      </w:rPr>
      <w:t>7</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3672015B"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D6051" w14:paraId="53AA2D0F" w14:textId="77777777">
      <w:r>
        <w:separator/>
      </w:r>
    </w:p>
  </w:footnote>
  <w:footnote w:type="continuationSeparator" w:id="1">
    <w:p w:rsidR="003D6051" w14:paraId="1767ACCB" w14:textId="77777777">
      <w:pPr>
        <w:rPr>
          <w:sz w:val="20"/>
        </w:rPr>
      </w:pPr>
      <w:r>
        <w:rPr>
          <w:sz w:val="20"/>
        </w:rPr>
        <w:t xml:space="preserve">(Continued from previous page)  </w:t>
      </w:r>
      <w:r>
        <w:rPr>
          <w:sz w:val="20"/>
        </w:rPr>
        <w:separator/>
      </w:r>
    </w:p>
  </w:footnote>
  <w:footnote w:type="continuationNotice" w:id="2">
    <w:p w:rsidR="003D6051" w:rsidP="00910F12" w14:paraId="224DC241" w14:textId="77777777">
      <w:pPr>
        <w:jc w:val="right"/>
        <w:rPr>
          <w:sz w:val="20"/>
        </w:rPr>
      </w:pPr>
      <w:r>
        <w:rPr>
          <w:sz w:val="20"/>
        </w:rPr>
        <w:t>(continued….)</w:t>
      </w:r>
    </w:p>
  </w:footnote>
  <w:footnote w:id="3">
    <w:p w:rsidR="001014DF" w:rsidRPr="001272FB" w:rsidP="001014DF" w14:paraId="16CB85B3" w14:textId="77777777">
      <w:pPr>
        <w:pStyle w:val="FootnoteText"/>
      </w:pPr>
      <w:r w:rsidRPr="001272FB">
        <w:rPr>
          <w:rStyle w:val="FootnoteReference"/>
          <w:sz w:val="20"/>
        </w:rPr>
        <w:footnoteRef/>
      </w:r>
      <w:r w:rsidRPr="001272FB">
        <w:t xml:space="preserve"> </w:t>
      </w:r>
      <w:r w:rsidRPr="001272FB">
        <w:rPr>
          <w:i/>
        </w:rPr>
        <w:t>See</w:t>
      </w:r>
      <w:r w:rsidRPr="001272FB">
        <w:t xml:space="preserve"> 47 U.S.C. § 214; 47 CFR §§ 63.03-04.</w:t>
      </w:r>
    </w:p>
  </w:footnote>
  <w:footnote w:id="4">
    <w:p w:rsidR="001014DF" w:rsidRPr="001272FB" w:rsidP="001014DF" w14:paraId="18D4EB36" w14:textId="77777777">
      <w:pPr>
        <w:spacing w:after="120"/>
        <w:rPr>
          <w:sz w:val="20"/>
        </w:rPr>
      </w:pPr>
      <w:r w:rsidRPr="001272FB">
        <w:rPr>
          <w:rStyle w:val="FootnoteReference"/>
          <w:sz w:val="20"/>
        </w:rPr>
        <w:footnoteRef/>
      </w:r>
      <w:r w:rsidRPr="001272FB">
        <w:rPr>
          <w:sz w:val="20"/>
        </w:rPr>
        <w:t xml:space="preserve"> Application of Jeffrey Yount, Intermountain Infrastructure Group, LLC, and WRA II-Pioneer (S) LLC for Authority to Transfer Control of Section 214 Carriers, WC Docket No. 23-85 (filed Mar. 3, 2023) (Application).  Applicants also filed applications for the transfer of authorizations associated with international services.  Any action on this domestic section 214 application is without prejudice to Commission action on other related, pending applications.</w:t>
      </w:r>
    </w:p>
  </w:footnote>
  <w:footnote w:id="5">
    <w:p w:rsidR="005614FA" w:rsidRPr="001272FB" w:rsidP="001F1CB2" w14:paraId="36720162" w14:textId="5CEEA802">
      <w:pPr>
        <w:pStyle w:val="FootnoteText"/>
      </w:pPr>
      <w:r w:rsidRPr="001272FB">
        <w:rPr>
          <w:rStyle w:val="FootnoteReference"/>
          <w:sz w:val="20"/>
        </w:rPr>
        <w:footnoteRef/>
      </w:r>
      <w:r w:rsidRPr="001272FB" w:rsidR="002A230A">
        <w:rPr>
          <w:i/>
          <w:iCs/>
        </w:rPr>
        <w:t xml:space="preserve"> Domestic Section 214 Application Filed for the Transfer of Control of Intermountain Infrastructure Group, LLC from Jeffrey Yount to WRA II-Pioneer (S) LLC</w:t>
      </w:r>
      <w:r w:rsidRPr="001272FB" w:rsidR="00207939">
        <w:t>, WC Docket No. 2</w:t>
      </w:r>
      <w:r w:rsidRPr="001272FB" w:rsidR="002A230A">
        <w:t>3-8</w:t>
      </w:r>
      <w:r w:rsidRPr="001272FB" w:rsidR="008E614F">
        <w:t>5</w:t>
      </w:r>
      <w:r w:rsidRPr="001272FB" w:rsidR="00207939">
        <w:t>, Public Notice, DA 2</w:t>
      </w:r>
      <w:r w:rsidRPr="001272FB" w:rsidR="001D0353">
        <w:t>3-292</w:t>
      </w:r>
      <w:r w:rsidRPr="001272FB">
        <w:t xml:space="preserve"> (WCB 20</w:t>
      </w:r>
      <w:r w:rsidRPr="001272FB" w:rsidR="00A51758">
        <w:t>2</w:t>
      </w:r>
      <w:r w:rsidRPr="001272FB" w:rsidR="001D0353">
        <w:t>3</w:t>
      </w:r>
      <w:r w:rsidRPr="001272FB">
        <w:t>).</w:t>
      </w:r>
    </w:p>
  </w:footnote>
  <w:footnote w:id="6">
    <w:p w:rsidR="00AC1E60" w:rsidRPr="001272FB" w:rsidP="00AC1E60" w14:paraId="454559D3" w14:textId="00D29A1B">
      <w:pPr>
        <w:pStyle w:val="FootnoteText"/>
      </w:pPr>
      <w:r w:rsidRPr="001272FB">
        <w:rPr>
          <w:rStyle w:val="FootnoteReference"/>
          <w:sz w:val="20"/>
        </w:rPr>
        <w:footnoteRef/>
      </w:r>
      <w:r w:rsidRPr="001272FB">
        <w:t xml:space="preserve"> </w:t>
      </w:r>
      <w:r w:rsidRPr="008F4E88" w:rsidR="008F4E88">
        <w:t>Application</w:t>
      </w:r>
      <w:r w:rsidRPr="001272FB">
        <w:rPr>
          <w:i/>
          <w:iCs/>
        </w:rPr>
        <w:t xml:space="preserve"> </w:t>
      </w:r>
      <w:r w:rsidRPr="001272FB">
        <w:t>at 4.</w:t>
      </w:r>
      <w:r w:rsidR="00BD2EC0">
        <w:t xml:space="preserve"> </w:t>
      </w:r>
    </w:p>
  </w:footnote>
  <w:footnote w:id="7">
    <w:p w:rsidR="00AC1E60" w:rsidRPr="001272FB" w:rsidP="00AC1E60" w14:paraId="1093BA8A" w14:textId="77777777">
      <w:pPr>
        <w:autoSpaceDE w:val="0"/>
        <w:autoSpaceDN w:val="0"/>
        <w:adjustRightInd w:val="0"/>
        <w:spacing w:after="120"/>
        <w:rPr>
          <w:i/>
          <w:iCs/>
          <w:sz w:val="20"/>
        </w:rPr>
      </w:pPr>
      <w:r w:rsidRPr="001272FB">
        <w:rPr>
          <w:rStyle w:val="FootnoteReference"/>
          <w:sz w:val="20"/>
        </w:rPr>
        <w:footnoteRef/>
      </w:r>
      <w:r w:rsidRPr="001272FB">
        <w:rPr>
          <w:sz w:val="20"/>
        </w:rPr>
        <w:t xml:space="preserve"> </w:t>
      </w:r>
      <w:r w:rsidRPr="001272FB">
        <w:rPr>
          <w:i/>
          <w:iCs/>
          <w:sz w:val="20"/>
        </w:rPr>
        <w:t xml:space="preserve">Id. </w:t>
      </w:r>
      <w:r w:rsidRPr="001272FB">
        <w:rPr>
          <w:sz w:val="20"/>
        </w:rPr>
        <w:t>at 4, 24.</w:t>
      </w:r>
    </w:p>
  </w:footnote>
  <w:footnote w:id="8">
    <w:p w:rsidR="00AC1E60" w:rsidRPr="001272FB" w:rsidP="00AC1E60" w14:paraId="0E67ED2B" w14:textId="77777777">
      <w:pPr>
        <w:pStyle w:val="FootnoteText"/>
      </w:pPr>
      <w:r w:rsidRPr="001272FB">
        <w:rPr>
          <w:rStyle w:val="FootnoteReference"/>
          <w:sz w:val="20"/>
        </w:rPr>
        <w:footnoteRef/>
      </w:r>
      <w:r w:rsidRPr="001272FB">
        <w:t xml:space="preserve"> </w:t>
      </w:r>
      <w:r w:rsidRPr="001272FB">
        <w:rPr>
          <w:i/>
          <w:iCs/>
        </w:rPr>
        <w:t xml:space="preserve">Id. </w:t>
      </w:r>
      <w:r w:rsidRPr="001272FB">
        <w:t>at 3.</w:t>
      </w:r>
    </w:p>
  </w:footnote>
  <w:footnote w:id="9">
    <w:p w:rsidR="00AC1E60" w:rsidRPr="001272FB" w:rsidP="00AC1E60" w14:paraId="44024477" w14:textId="77777777">
      <w:pPr>
        <w:pStyle w:val="FootnoteText"/>
      </w:pPr>
      <w:r w:rsidRPr="001272FB">
        <w:rPr>
          <w:rStyle w:val="FootnoteReference"/>
          <w:sz w:val="20"/>
        </w:rPr>
        <w:footnoteRef/>
      </w:r>
      <w:r w:rsidRPr="001272FB">
        <w:t xml:space="preserve"> </w:t>
      </w:r>
      <w:r w:rsidRPr="001272FB">
        <w:rPr>
          <w:i/>
          <w:iCs/>
        </w:rPr>
        <w:t xml:space="preserve">Id. </w:t>
      </w:r>
      <w:r w:rsidRPr="001272FB">
        <w:t>at 2, 5.</w:t>
      </w:r>
    </w:p>
  </w:footnote>
  <w:footnote w:id="10">
    <w:p w:rsidR="00AC1E60" w:rsidRPr="001272FB" w:rsidP="00AC1E60" w14:paraId="26096BC3" w14:textId="75A6E64E">
      <w:pPr>
        <w:pStyle w:val="FootnoteText"/>
      </w:pPr>
      <w:r w:rsidRPr="001272FB">
        <w:rPr>
          <w:rStyle w:val="FootnoteReference"/>
          <w:sz w:val="20"/>
        </w:rPr>
        <w:footnoteRef/>
      </w:r>
      <w:r w:rsidRPr="001272FB">
        <w:t xml:space="preserve"> </w:t>
      </w:r>
      <w:r w:rsidRPr="001272FB">
        <w:rPr>
          <w:i/>
          <w:iCs/>
        </w:rPr>
        <w:t xml:space="preserve">Id. </w:t>
      </w:r>
      <w:r w:rsidRPr="001272FB">
        <w:t>at 12-13</w:t>
      </w:r>
      <w:r w:rsidR="002C5931">
        <w:t>,</w:t>
      </w:r>
      <w:r w:rsidRPr="001272FB">
        <w:t xml:space="preserve"> Exh. A. at 29 (Pre-Transaction Ownership Diagram).</w:t>
      </w:r>
    </w:p>
  </w:footnote>
  <w:footnote w:id="11">
    <w:p w:rsidR="00AC1E60" w:rsidRPr="001272FB" w:rsidP="00AC1E60" w14:paraId="5277EC35" w14:textId="77777777">
      <w:pPr>
        <w:pStyle w:val="FootnoteText"/>
      </w:pPr>
      <w:r w:rsidRPr="001272FB">
        <w:rPr>
          <w:rStyle w:val="FootnoteReference"/>
          <w:sz w:val="20"/>
        </w:rPr>
        <w:footnoteRef/>
      </w:r>
      <w:r w:rsidRPr="001272FB">
        <w:t xml:space="preserve"> </w:t>
      </w:r>
      <w:r w:rsidRPr="001272FB">
        <w:rPr>
          <w:i/>
          <w:iCs/>
        </w:rPr>
        <w:t>Id.</w:t>
      </w:r>
      <w:r w:rsidRPr="001272FB">
        <w:t xml:space="preserve"> at 5. </w:t>
      </w:r>
    </w:p>
  </w:footnote>
  <w:footnote w:id="12">
    <w:p w:rsidR="00AC1E60" w:rsidRPr="001272FB" w:rsidP="00AC1E60" w14:paraId="5DAD9B52" w14:textId="2E364972">
      <w:pPr>
        <w:pStyle w:val="FootnoteText"/>
      </w:pPr>
      <w:r w:rsidRPr="001272FB">
        <w:rPr>
          <w:rStyle w:val="FootnoteReference"/>
          <w:sz w:val="20"/>
        </w:rPr>
        <w:footnoteRef/>
      </w:r>
      <w:r w:rsidRPr="001272FB">
        <w:t xml:space="preserve"> </w:t>
      </w:r>
      <w:r w:rsidRPr="001272FB">
        <w:rPr>
          <w:i/>
          <w:iCs/>
        </w:rPr>
        <w:t>Id.</w:t>
      </w:r>
      <w:r w:rsidRPr="001272FB">
        <w:t xml:space="preserve"> at 5</w:t>
      </w:r>
      <w:r w:rsidR="00B33231">
        <w:t>,</w:t>
      </w:r>
      <w:r w:rsidRPr="001272FB">
        <w:t xml:space="preserve"> Exh. A. at 29.  Applicants state that Yount is permitted to appoint three-fourths of Holdings’ managers.  </w:t>
      </w:r>
      <w:r w:rsidRPr="001272FB">
        <w:rPr>
          <w:i/>
          <w:iCs/>
        </w:rPr>
        <w:t>Id.</w:t>
      </w:r>
      <w:r w:rsidRPr="001272FB">
        <w:t xml:space="preserve">  </w:t>
      </w:r>
    </w:p>
  </w:footnote>
  <w:footnote w:id="13">
    <w:p w:rsidR="00AC1E60" w:rsidRPr="001272FB" w:rsidP="00AC1E60" w14:paraId="682C9278" w14:textId="4823AD7D">
      <w:pPr>
        <w:pStyle w:val="FootnoteText"/>
      </w:pPr>
      <w:r w:rsidRPr="001272FB">
        <w:rPr>
          <w:rStyle w:val="FootnoteReference"/>
          <w:sz w:val="20"/>
        </w:rPr>
        <w:footnoteRef/>
      </w:r>
      <w:r w:rsidRPr="001272FB">
        <w:t xml:space="preserve"> </w:t>
      </w:r>
      <w:r w:rsidRPr="001272FB">
        <w:rPr>
          <w:i/>
          <w:iCs/>
        </w:rPr>
        <w:t>Id.</w:t>
      </w:r>
      <w:r w:rsidRPr="001272FB">
        <w:t xml:space="preserve"> at 12</w:t>
      </w:r>
      <w:r w:rsidR="00B33231">
        <w:t>,</w:t>
      </w:r>
      <w:r w:rsidRPr="001272FB">
        <w:t xml:space="preserve"> Exh. A. 29.</w:t>
      </w:r>
    </w:p>
  </w:footnote>
  <w:footnote w:id="14">
    <w:p w:rsidR="00AC1E60" w:rsidRPr="001272FB" w:rsidP="00AC1E60" w14:paraId="10FC0533" w14:textId="2BAE0FAE">
      <w:pPr>
        <w:pStyle w:val="FootnoteText"/>
      </w:pPr>
      <w:r w:rsidRPr="001272FB">
        <w:rPr>
          <w:rStyle w:val="FootnoteReference"/>
          <w:sz w:val="20"/>
        </w:rPr>
        <w:footnoteRef/>
      </w:r>
      <w:r w:rsidRPr="001272FB">
        <w:t xml:space="preserve"> Applicants state that Post Road Special Opportunity Fund II LP and its owners (Post Road) are the majority owners of Archtop Fiber LLC</w:t>
      </w:r>
      <w:r w:rsidR="0022674A">
        <w:t xml:space="preserve"> (Archtop)</w:t>
      </w:r>
      <w:r w:rsidRPr="001272FB">
        <w:t xml:space="preserve">.  </w:t>
      </w:r>
      <w:r w:rsidRPr="001272FB">
        <w:rPr>
          <w:i/>
          <w:iCs/>
        </w:rPr>
        <w:t xml:space="preserve">Id. </w:t>
      </w:r>
      <w:r w:rsidRPr="001272FB">
        <w:t xml:space="preserve">at 24.  </w:t>
      </w:r>
      <w:r w:rsidRPr="00CE7A6F" w:rsidR="0022674A">
        <w:t xml:space="preserve">Archtop has a pending domestic section 214 application pending before the Commission.  </w:t>
      </w:r>
      <w:r w:rsidRPr="00CE7A6F" w:rsidR="00D7394E">
        <w:rPr>
          <w:i/>
          <w:iCs/>
        </w:rPr>
        <w:t xml:space="preserve">See </w:t>
      </w:r>
      <w:r w:rsidRPr="00CE7A6F">
        <w:rPr>
          <w:i/>
          <w:iCs/>
        </w:rPr>
        <w:t xml:space="preserve">Domestic 214 Applications filed for Transfer of Control of </w:t>
      </w:r>
      <w:r w:rsidRPr="00CE7A6F" w:rsidR="006B199C">
        <w:rPr>
          <w:i/>
          <w:iCs/>
        </w:rPr>
        <w:t>Alteva</w:t>
      </w:r>
      <w:r w:rsidRPr="00CE7A6F" w:rsidR="006B199C">
        <w:rPr>
          <w:i/>
          <w:iCs/>
        </w:rPr>
        <w:t xml:space="preserve"> of Warwick LLC to Archtop Fiber LLC</w:t>
      </w:r>
      <w:r w:rsidRPr="00CE7A6F">
        <w:rPr>
          <w:i/>
          <w:iCs/>
        </w:rPr>
        <w:t xml:space="preserve">, </w:t>
      </w:r>
      <w:r w:rsidRPr="00CE7A6F">
        <w:t>WC Docket No. 2</w:t>
      </w:r>
      <w:r w:rsidRPr="00CE7A6F" w:rsidR="006B199C">
        <w:t>3-178</w:t>
      </w:r>
      <w:r w:rsidRPr="00CE7A6F">
        <w:t>, Public Notice, DA 2</w:t>
      </w:r>
      <w:r w:rsidRPr="00CE7A6F" w:rsidR="006B199C">
        <w:t>3-603</w:t>
      </w:r>
      <w:r w:rsidRPr="00CE7A6F">
        <w:t xml:space="preserve"> (WCB 2023).</w:t>
      </w:r>
    </w:p>
  </w:footnote>
  <w:footnote w:id="15">
    <w:p w:rsidR="00AC1E60" w:rsidRPr="001272FB" w:rsidP="00AC1E60" w14:paraId="2F6035D1" w14:textId="30AC4234">
      <w:pPr>
        <w:autoSpaceDE w:val="0"/>
        <w:autoSpaceDN w:val="0"/>
        <w:adjustRightInd w:val="0"/>
        <w:spacing w:after="120"/>
        <w:rPr>
          <w:sz w:val="20"/>
        </w:rPr>
      </w:pPr>
      <w:r w:rsidRPr="001272FB">
        <w:rPr>
          <w:rStyle w:val="FootnoteReference"/>
          <w:sz w:val="20"/>
        </w:rPr>
        <w:footnoteRef/>
      </w:r>
      <w:r w:rsidRPr="001272FB">
        <w:rPr>
          <w:sz w:val="20"/>
        </w:rPr>
        <w:t xml:space="preserve"> </w:t>
      </w:r>
      <w:r w:rsidRPr="002C5931" w:rsidR="00950E53">
        <w:rPr>
          <w:sz w:val="20"/>
        </w:rPr>
        <w:t>Application</w:t>
      </w:r>
      <w:r w:rsidRPr="001272FB">
        <w:rPr>
          <w:sz w:val="20"/>
        </w:rPr>
        <w:t xml:space="preserve"> at 12</w:t>
      </w:r>
      <w:r w:rsidR="00950E53">
        <w:rPr>
          <w:sz w:val="20"/>
        </w:rPr>
        <w:t>,</w:t>
      </w:r>
      <w:r w:rsidRPr="001272FB">
        <w:rPr>
          <w:sz w:val="20"/>
        </w:rPr>
        <w:t xml:space="preserve"> Exh. A. at 30 (Pre-Transaction Organizational Chart of PRSOF II IIG Inc.).</w:t>
      </w:r>
    </w:p>
  </w:footnote>
  <w:footnote w:id="16">
    <w:p w:rsidR="00AC1E60" w:rsidRPr="001272FB" w:rsidP="00AC1E60" w14:paraId="18FD66EC" w14:textId="7D1BBC4A">
      <w:pPr>
        <w:pStyle w:val="FootnoteText"/>
      </w:pPr>
      <w:r w:rsidRPr="001272FB">
        <w:rPr>
          <w:rStyle w:val="FootnoteReference"/>
          <w:sz w:val="20"/>
        </w:rPr>
        <w:footnoteRef/>
      </w:r>
      <w:r w:rsidRPr="001272FB">
        <w:t xml:space="preserve"> </w:t>
      </w:r>
      <w:r w:rsidRPr="001272FB">
        <w:rPr>
          <w:i/>
          <w:iCs/>
        </w:rPr>
        <w:t>Id.</w:t>
      </w:r>
      <w:r w:rsidRPr="001272FB">
        <w:t xml:space="preserve"> at 13</w:t>
      </w:r>
      <w:r w:rsidR="00950E53">
        <w:t>,</w:t>
      </w:r>
      <w:r w:rsidRPr="001272FB">
        <w:t xml:space="preserve"> Exh. A. at 30.  </w:t>
      </w:r>
    </w:p>
  </w:footnote>
  <w:footnote w:id="17">
    <w:p w:rsidR="00AC1E60" w:rsidRPr="001272FB" w:rsidP="00AC1E60" w14:paraId="4C6236F6" w14:textId="77777777">
      <w:pPr>
        <w:pStyle w:val="FootnoteText"/>
      </w:pPr>
      <w:r w:rsidRPr="001272FB">
        <w:rPr>
          <w:rStyle w:val="FootnoteReference"/>
          <w:sz w:val="20"/>
        </w:rPr>
        <w:footnoteRef/>
      </w:r>
      <w:r w:rsidRPr="001272FB">
        <w:t xml:space="preserve"> </w:t>
      </w:r>
      <w:r w:rsidRPr="001272FB">
        <w:rPr>
          <w:i/>
          <w:iCs/>
        </w:rPr>
        <w:t>Id.</w:t>
      </w:r>
    </w:p>
  </w:footnote>
  <w:footnote w:id="18">
    <w:p w:rsidR="00AC1E60" w:rsidRPr="001272FB" w:rsidP="00AC1E60" w14:paraId="6EE3634A" w14:textId="1776B633">
      <w:pPr>
        <w:pStyle w:val="FootnoteText"/>
      </w:pPr>
      <w:r w:rsidRPr="001272FB">
        <w:rPr>
          <w:rStyle w:val="FootnoteReference"/>
          <w:sz w:val="20"/>
        </w:rPr>
        <w:footnoteRef/>
      </w:r>
      <w:r w:rsidRPr="001272FB">
        <w:t xml:space="preserve"> </w:t>
      </w:r>
      <w:r w:rsidRPr="001272FB">
        <w:rPr>
          <w:i/>
          <w:iCs/>
        </w:rPr>
        <w:t>Id.</w:t>
      </w:r>
      <w:r w:rsidRPr="001272FB">
        <w:t xml:space="preserve"> at 13.  Applicants state that, other than the equity interests in Post Road Special Opportunity Fund II held by Post Road SOF II LLC, Birch Hill Capital LLC, and Seventh Avenue Capital II LLC, the remaining pre-transaction and post-transaction equity interests in Post Road SOF II LP are held by passive limited partners, none of which individually hold equity interests that equate to an indirect economic interest of 10% or more.  </w:t>
      </w:r>
      <w:r w:rsidRPr="001272FB">
        <w:rPr>
          <w:i/>
          <w:iCs/>
        </w:rPr>
        <w:t xml:space="preserve">Id. </w:t>
      </w:r>
      <w:r w:rsidRPr="001272FB">
        <w:t>at 13, 16</w:t>
      </w:r>
      <w:r w:rsidR="00F5680A">
        <w:t>,</w:t>
      </w:r>
      <w:r w:rsidRPr="001272FB">
        <w:t xml:space="preserve"> Exh. A. at 32 (Post-Transaction Organizational Chart of PRSOF II IIG Inc.).</w:t>
      </w:r>
      <w:r w:rsidRPr="001272FB">
        <w:rPr>
          <w:color w:val="FF0000"/>
        </w:rPr>
        <w:t xml:space="preserve">  </w:t>
      </w:r>
    </w:p>
  </w:footnote>
  <w:footnote w:id="19">
    <w:p w:rsidR="00AC1E60" w:rsidRPr="001272FB" w:rsidP="00AC1E60" w14:paraId="24650B9D" w14:textId="47CA3580">
      <w:pPr>
        <w:pStyle w:val="FootnoteText"/>
      </w:pPr>
      <w:r w:rsidRPr="001272FB">
        <w:rPr>
          <w:rStyle w:val="FootnoteReference"/>
          <w:sz w:val="20"/>
        </w:rPr>
        <w:footnoteRef/>
      </w:r>
      <w:r w:rsidRPr="001272FB">
        <w:t xml:space="preserve"> </w:t>
      </w:r>
      <w:r w:rsidR="00C11F46">
        <w:t>Application</w:t>
      </w:r>
      <w:r w:rsidRPr="001272FB">
        <w:t xml:space="preserve"> at 13</w:t>
      </w:r>
      <w:r w:rsidR="00F5680A">
        <w:t>,</w:t>
      </w:r>
      <w:r w:rsidRPr="001272FB">
        <w:t xml:space="preserve"> Exh A. at 30, 32</w:t>
      </w:r>
    </w:p>
  </w:footnote>
  <w:footnote w:id="20">
    <w:p w:rsidR="00AC1E60" w:rsidRPr="001272FB" w:rsidP="00AC1E60" w14:paraId="537B5815" w14:textId="536AD711">
      <w:pPr>
        <w:pStyle w:val="FootnoteText"/>
      </w:pPr>
      <w:r w:rsidRPr="001272FB">
        <w:rPr>
          <w:rStyle w:val="FootnoteReference"/>
          <w:sz w:val="20"/>
        </w:rPr>
        <w:footnoteRef/>
      </w:r>
      <w:r w:rsidRPr="001272FB">
        <w:t xml:space="preserve"> </w:t>
      </w:r>
      <w:r w:rsidRPr="001272FB">
        <w:rPr>
          <w:i/>
          <w:iCs/>
        </w:rPr>
        <w:t>Id.</w:t>
      </w:r>
      <w:r w:rsidRPr="001272FB">
        <w:t xml:space="preserve"> at 13-14</w:t>
      </w:r>
      <w:r w:rsidR="00F5680A">
        <w:t>,</w:t>
      </w:r>
      <w:r w:rsidRPr="001272FB">
        <w:t xml:space="preserve"> Exh. A. at 30, and 32.  </w:t>
      </w:r>
    </w:p>
  </w:footnote>
  <w:footnote w:id="21">
    <w:p w:rsidR="00AC1E60" w:rsidRPr="001272FB" w:rsidP="00AC1E60" w14:paraId="3DEEF37F" w14:textId="77777777">
      <w:pPr>
        <w:pStyle w:val="FootnoteText"/>
      </w:pPr>
      <w:r w:rsidRPr="001272FB">
        <w:rPr>
          <w:rStyle w:val="FootnoteReference"/>
          <w:sz w:val="20"/>
        </w:rPr>
        <w:footnoteRef/>
      </w:r>
      <w:r w:rsidRPr="001272FB">
        <w:t xml:space="preserve"> </w:t>
      </w:r>
      <w:r w:rsidRPr="001272FB">
        <w:rPr>
          <w:i/>
          <w:iCs/>
        </w:rPr>
        <w:t>Id.</w:t>
      </w:r>
      <w:r w:rsidRPr="001272FB">
        <w:t xml:space="preserve"> at 5.</w:t>
      </w:r>
    </w:p>
  </w:footnote>
  <w:footnote w:id="22">
    <w:p w:rsidR="00AC1E60" w:rsidRPr="001272FB" w:rsidP="00AC1E60" w14:paraId="13002F1F" w14:textId="77777777">
      <w:pPr>
        <w:pStyle w:val="FootnoteText"/>
      </w:pPr>
      <w:r w:rsidRPr="001272FB">
        <w:rPr>
          <w:rStyle w:val="FootnoteReference"/>
          <w:sz w:val="20"/>
        </w:rPr>
        <w:footnoteRef/>
      </w:r>
      <w:r w:rsidRPr="001272FB">
        <w:t xml:space="preserve"> </w:t>
      </w:r>
      <w:r w:rsidRPr="001272FB">
        <w:rPr>
          <w:i/>
          <w:iCs/>
        </w:rPr>
        <w:t>Id</w:t>
      </w:r>
      <w:r w:rsidRPr="001272FB">
        <w:t xml:space="preserve">. </w:t>
      </w:r>
    </w:p>
  </w:footnote>
  <w:footnote w:id="23">
    <w:p w:rsidR="00AC1E60" w:rsidRPr="001272FB" w:rsidP="00AC1E60" w14:paraId="091C85E4" w14:textId="77777777">
      <w:pPr>
        <w:pStyle w:val="FootnoteText"/>
      </w:pPr>
      <w:r w:rsidRPr="001272FB">
        <w:rPr>
          <w:rStyle w:val="FootnoteReference"/>
          <w:sz w:val="20"/>
        </w:rPr>
        <w:footnoteRef/>
      </w:r>
      <w:r w:rsidRPr="001272FB">
        <w:t xml:space="preserve"> </w:t>
      </w:r>
      <w:r w:rsidRPr="001272FB">
        <w:rPr>
          <w:i/>
          <w:iCs/>
        </w:rPr>
        <w:t xml:space="preserve">Id. </w:t>
      </w:r>
      <w:r w:rsidRPr="001272FB">
        <w:t xml:space="preserve">at 5, 20. </w:t>
      </w:r>
    </w:p>
  </w:footnote>
  <w:footnote w:id="24">
    <w:p w:rsidR="00AC1E60" w:rsidRPr="001272FB" w:rsidP="00AC1E60" w14:paraId="26493633" w14:textId="018171C3">
      <w:pPr>
        <w:pStyle w:val="FootnoteText"/>
      </w:pPr>
      <w:r w:rsidRPr="001272FB">
        <w:rPr>
          <w:rStyle w:val="FootnoteReference"/>
          <w:sz w:val="20"/>
        </w:rPr>
        <w:footnoteRef/>
      </w:r>
      <w:r w:rsidRPr="001272FB">
        <w:t xml:space="preserve"> </w:t>
      </w:r>
      <w:r w:rsidR="00903EAE">
        <w:t>Application</w:t>
      </w:r>
      <w:r w:rsidRPr="001272FB">
        <w:rPr>
          <w:i/>
          <w:iCs/>
        </w:rPr>
        <w:t xml:space="preserve"> </w:t>
      </w:r>
      <w:r w:rsidRPr="001272FB">
        <w:t xml:space="preserve">at 5. </w:t>
      </w:r>
    </w:p>
  </w:footnote>
  <w:footnote w:id="25">
    <w:p w:rsidR="00AC1E60" w:rsidRPr="001272FB" w:rsidP="00AC1E60" w14:paraId="61B1091C" w14:textId="77777777">
      <w:pPr>
        <w:pStyle w:val="FootnoteText"/>
      </w:pPr>
      <w:r w:rsidRPr="001272FB">
        <w:rPr>
          <w:rStyle w:val="FootnoteReference"/>
          <w:sz w:val="20"/>
        </w:rPr>
        <w:footnoteRef/>
      </w:r>
      <w:r w:rsidRPr="001272FB">
        <w:t xml:space="preserve"> </w:t>
      </w:r>
      <w:r w:rsidRPr="001272FB">
        <w:rPr>
          <w:i/>
          <w:iCs/>
        </w:rPr>
        <w:t xml:space="preserve">Id. </w:t>
      </w:r>
      <w:r w:rsidRPr="001272FB">
        <w:t xml:space="preserve">at 5, 19.  </w:t>
      </w:r>
    </w:p>
  </w:footnote>
  <w:footnote w:id="26">
    <w:p w:rsidR="00AC1E60" w:rsidRPr="001272FB" w:rsidP="00AC1E60" w14:paraId="5FB7550E" w14:textId="77777777">
      <w:pPr>
        <w:pStyle w:val="FootnoteText"/>
      </w:pPr>
      <w:r w:rsidRPr="001272FB">
        <w:rPr>
          <w:rStyle w:val="FootnoteReference"/>
          <w:sz w:val="20"/>
        </w:rPr>
        <w:footnoteRef/>
      </w:r>
      <w:r w:rsidRPr="001272FB">
        <w:t xml:space="preserve"> </w:t>
      </w:r>
      <w:r w:rsidRPr="001272FB">
        <w:rPr>
          <w:i/>
          <w:iCs/>
        </w:rPr>
        <w:t xml:space="preserve">Id. </w:t>
      </w:r>
      <w:r w:rsidRPr="001272FB">
        <w:t>at 24.</w:t>
      </w:r>
    </w:p>
  </w:footnote>
  <w:footnote w:id="27">
    <w:p w:rsidR="00AC1E60" w:rsidRPr="001272FB" w:rsidP="00AC1E60" w14:paraId="1746EAC8" w14:textId="77777777">
      <w:pPr>
        <w:pStyle w:val="FootnoteText"/>
      </w:pPr>
      <w:r w:rsidRPr="001272FB">
        <w:rPr>
          <w:rStyle w:val="FootnoteReference"/>
          <w:sz w:val="20"/>
        </w:rPr>
        <w:footnoteRef/>
      </w:r>
      <w:r w:rsidRPr="001272FB">
        <w:t xml:space="preserve"> </w:t>
      </w:r>
      <w:r w:rsidRPr="001272FB">
        <w:rPr>
          <w:i/>
          <w:iCs/>
        </w:rPr>
        <w:t xml:space="preserve">Id. </w:t>
      </w:r>
    </w:p>
  </w:footnote>
  <w:footnote w:id="28">
    <w:p w:rsidR="00AC1E60" w:rsidRPr="001272FB" w:rsidP="00AC1E60" w14:paraId="16A9B554" w14:textId="77777777">
      <w:pPr>
        <w:pStyle w:val="FootnoteText"/>
      </w:pPr>
      <w:r w:rsidRPr="001272FB">
        <w:rPr>
          <w:rStyle w:val="FootnoteReference"/>
          <w:sz w:val="20"/>
        </w:rPr>
        <w:footnoteRef/>
      </w:r>
      <w:r w:rsidRPr="001272FB">
        <w:t xml:space="preserve"> </w:t>
      </w:r>
      <w:r w:rsidRPr="001272FB">
        <w:rPr>
          <w:i/>
          <w:iCs/>
        </w:rPr>
        <w:t xml:space="preserve">Id. </w:t>
      </w:r>
    </w:p>
  </w:footnote>
  <w:footnote w:id="29">
    <w:p w:rsidR="00AC1E60" w:rsidRPr="001272FB" w:rsidP="00AC1E60" w14:paraId="079E139D" w14:textId="77777777">
      <w:pPr>
        <w:pStyle w:val="FootnoteText"/>
      </w:pPr>
      <w:r w:rsidRPr="001272FB">
        <w:rPr>
          <w:rStyle w:val="FootnoteReference"/>
          <w:sz w:val="20"/>
        </w:rPr>
        <w:footnoteRef/>
      </w:r>
      <w:r w:rsidRPr="001272FB">
        <w:t xml:space="preserve"> </w:t>
      </w:r>
      <w:r w:rsidRPr="001272FB">
        <w:rPr>
          <w:i/>
          <w:iCs/>
        </w:rPr>
        <w:t xml:space="preserve">Id. </w:t>
      </w:r>
      <w:r w:rsidRPr="001272FB">
        <w:t xml:space="preserve">at 2. </w:t>
      </w:r>
    </w:p>
  </w:footnote>
  <w:footnote w:id="30">
    <w:p w:rsidR="00AC1E60" w:rsidRPr="001272FB" w:rsidP="00AC1E60" w14:paraId="56631512" w14:textId="77777777">
      <w:pPr>
        <w:pStyle w:val="FootnoteText"/>
      </w:pPr>
      <w:r w:rsidRPr="001272FB">
        <w:rPr>
          <w:rStyle w:val="FootnoteReference"/>
          <w:sz w:val="20"/>
        </w:rPr>
        <w:footnoteRef/>
      </w:r>
      <w:r w:rsidRPr="001272FB">
        <w:t xml:space="preserve"> </w:t>
      </w:r>
      <w:r w:rsidRPr="001272FB">
        <w:rPr>
          <w:i/>
          <w:iCs/>
        </w:rPr>
        <w:t>Id</w:t>
      </w:r>
      <w:r w:rsidRPr="001272FB">
        <w:t xml:space="preserve">. </w:t>
      </w:r>
    </w:p>
  </w:footnote>
  <w:footnote w:id="31">
    <w:p w:rsidR="00AC1E60" w:rsidRPr="001272FB" w:rsidP="00AC1E60" w14:paraId="322C45BB" w14:textId="77777777">
      <w:pPr>
        <w:pStyle w:val="FootnoteText"/>
      </w:pPr>
      <w:r w:rsidRPr="001272FB">
        <w:rPr>
          <w:rStyle w:val="FootnoteReference"/>
          <w:sz w:val="20"/>
        </w:rPr>
        <w:footnoteRef/>
      </w:r>
      <w:r w:rsidRPr="001272FB">
        <w:t xml:space="preserve"> </w:t>
      </w:r>
      <w:r w:rsidRPr="001272FB">
        <w:rPr>
          <w:i/>
          <w:iCs/>
        </w:rPr>
        <w:t>Id.</w:t>
      </w:r>
      <w:r w:rsidRPr="001272FB">
        <w:t xml:space="preserve"> at 2, 14.</w:t>
      </w:r>
    </w:p>
  </w:footnote>
  <w:footnote w:id="32">
    <w:p w:rsidR="00AC1E60" w:rsidRPr="001272FB" w:rsidP="00AC1E60" w14:paraId="677BE9E1" w14:textId="6F8EB10C">
      <w:pPr>
        <w:pStyle w:val="FootnoteText"/>
      </w:pPr>
      <w:r w:rsidRPr="001272FB">
        <w:rPr>
          <w:rStyle w:val="FootnoteReference"/>
          <w:sz w:val="20"/>
        </w:rPr>
        <w:footnoteRef/>
      </w:r>
      <w:r w:rsidRPr="001272FB">
        <w:t xml:space="preserve"> </w:t>
      </w:r>
      <w:r w:rsidRPr="001272FB">
        <w:rPr>
          <w:i/>
          <w:iCs/>
        </w:rPr>
        <w:t>Id.</w:t>
      </w:r>
      <w:r w:rsidRPr="001272FB">
        <w:t xml:space="preserve"> at 6-7</w:t>
      </w:r>
      <w:r w:rsidR="00D22CE8">
        <w:t>,</w:t>
      </w:r>
      <w:r w:rsidRPr="001272FB">
        <w:t xml:space="preserve"> Exh. A at 31 (Post-Transaction Ownership Diagrams).</w:t>
      </w:r>
    </w:p>
  </w:footnote>
  <w:footnote w:id="33">
    <w:p w:rsidR="00AC1E60" w:rsidRPr="001272FB" w:rsidP="00AC1E60" w14:paraId="17C83981" w14:textId="77777777">
      <w:pPr>
        <w:pStyle w:val="FootnoteText"/>
        <w:rPr>
          <w:i/>
          <w:iCs/>
        </w:rPr>
      </w:pPr>
      <w:r w:rsidRPr="001272FB">
        <w:rPr>
          <w:rStyle w:val="FootnoteReference"/>
          <w:sz w:val="20"/>
        </w:rPr>
        <w:footnoteRef/>
      </w:r>
      <w:r w:rsidRPr="001272FB">
        <w:t xml:space="preserve"> Application at 6.  Applicants state that, following consummation of the proposed transaction, each entity will have the right to designate the following number of mangers:  Yount (2 managers), PRSOF II (1 manager), and WRA II (3 managers).  WRA will also have the right to nominate a fourth manager, subject to approval by Yount and PRSOF II.  </w:t>
      </w:r>
      <w:r w:rsidRPr="001272FB">
        <w:rPr>
          <w:i/>
          <w:iCs/>
        </w:rPr>
        <w:t>Id.</w:t>
      </w:r>
    </w:p>
  </w:footnote>
  <w:footnote w:id="34">
    <w:p w:rsidR="00AC1E60" w:rsidRPr="001272FB" w:rsidP="00AC1E60" w14:paraId="7752B864" w14:textId="77777777">
      <w:pPr>
        <w:pStyle w:val="FootnoteText"/>
      </w:pPr>
      <w:r w:rsidRPr="001272FB">
        <w:rPr>
          <w:rStyle w:val="FootnoteReference"/>
          <w:sz w:val="20"/>
        </w:rPr>
        <w:footnoteRef/>
      </w:r>
      <w:r w:rsidRPr="001272FB">
        <w:t xml:space="preserve"> </w:t>
      </w:r>
      <w:r w:rsidRPr="001272FB">
        <w:rPr>
          <w:i/>
          <w:iCs/>
        </w:rPr>
        <w:t>Id.</w:t>
      </w:r>
      <w:r w:rsidRPr="001272FB">
        <w:t xml:space="preserve"> at 17.</w:t>
      </w:r>
    </w:p>
  </w:footnote>
  <w:footnote w:id="35">
    <w:p w:rsidR="00AC1E60" w:rsidRPr="001272FB" w:rsidP="00AC1E60" w14:paraId="3B78CCD0" w14:textId="77777777">
      <w:pPr>
        <w:pStyle w:val="FootnoteText"/>
      </w:pPr>
      <w:r w:rsidRPr="001272FB">
        <w:rPr>
          <w:rStyle w:val="FootnoteReference"/>
          <w:sz w:val="20"/>
        </w:rPr>
        <w:footnoteRef/>
      </w:r>
      <w:r w:rsidRPr="001272FB">
        <w:t xml:space="preserve"> </w:t>
      </w:r>
      <w:r w:rsidRPr="001272FB">
        <w:rPr>
          <w:i/>
          <w:iCs/>
        </w:rPr>
        <w:t>Id.</w:t>
      </w:r>
      <w:r w:rsidRPr="001272FB">
        <w:t xml:space="preserve"> at 18.</w:t>
      </w:r>
    </w:p>
  </w:footnote>
  <w:footnote w:id="36">
    <w:p w:rsidR="00AC1E60" w:rsidRPr="001272FB" w:rsidP="00AC1E60" w14:paraId="24562467" w14:textId="77777777">
      <w:pPr>
        <w:pStyle w:val="FootnoteText"/>
      </w:pPr>
      <w:r w:rsidRPr="001272FB">
        <w:rPr>
          <w:rStyle w:val="FootnoteReference"/>
          <w:sz w:val="20"/>
        </w:rPr>
        <w:footnoteRef/>
      </w:r>
      <w:r w:rsidRPr="001272FB">
        <w:t xml:space="preserve"> </w:t>
      </w:r>
      <w:r w:rsidRPr="001272FB">
        <w:rPr>
          <w:i/>
          <w:iCs/>
        </w:rPr>
        <w:t>Id.</w:t>
      </w:r>
      <w:r w:rsidRPr="001272FB">
        <w:t xml:space="preserve"> at 18-19. </w:t>
      </w:r>
    </w:p>
  </w:footnote>
  <w:footnote w:id="37">
    <w:p w:rsidR="00AC1E60" w:rsidRPr="001272FB" w:rsidP="00AC1E60" w14:paraId="17BF38EB" w14:textId="77777777">
      <w:pPr>
        <w:pStyle w:val="FootnoteText"/>
      </w:pPr>
      <w:r w:rsidRPr="001272FB">
        <w:rPr>
          <w:rStyle w:val="FootnoteReference"/>
          <w:sz w:val="20"/>
        </w:rPr>
        <w:footnoteRef/>
      </w:r>
      <w:r w:rsidRPr="001272FB">
        <w:t xml:space="preserve"> </w:t>
      </w:r>
      <w:r w:rsidRPr="001272FB">
        <w:rPr>
          <w:i/>
          <w:iCs/>
        </w:rPr>
        <w:t>Id.</w:t>
      </w:r>
      <w:r w:rsidRPr="001272FB">
        <w:t xml:space="preserve"> at 19.  </w:t>
      </w:r>
    </w:p>
  </w:footnote>
  <w:footnote w:id="38">
    <w:p w:rsidR="00AC1E60" w:rsidRPr="001272FB" w:rsidP="00AC1E60" w14:paraId="1DF75D60" w14:textId="55CDC9CB">
      <w:pPr>
        <w:pStyle w:val="FootnoteText"/>
      </w:pPr>
      <w:r w:rsidRPr="001272FB">
        <w:rPr>
          <w:rStyle w:val="FootnoteReference"/>
          <w:sz w:val="20"/>
        </w:rPr>
        <w:footnoteRef/>
      </w:r>
      <w:r w:rsidRPr="001272FB">
        <w:t xml:space="preserve"> </w:t>
      </w:r>
      <w:r w:rsidRPr="001272FB">
        <w:rPr>
          <w:i/>
          <w:iCs/>
        </w:rPr>
        <w:t>Id.</w:t>
      </w:r>
      <w:r w:rsidRPr="001272FB">
        <w:t xml:space="preserve"> at 19-20</w:t>
      </w:r>
      <w:r w:rsidR="002556F0">
        <w:t>,</w:t>
      </w:r>
      <w:r w:rsidRPr="001272FB">
        <w:t xml:space="preserve"> Exh. A. at 33 (Post-Transaction Organizational Chart of WRA II-Pioneer (S) LLC).</w:t>
      </w:r>
    </w:p>
  </w:footnote>
  <w:footnote w:id="39">
    <w:p w:rsidR="00AC1E60" w:rsidRPr="001272FB" w:rsidP="00AC1E60" w14:paraId="35C5E2B9" w14:textId="77777777">
      <w:pPr>
        <w:pStyle w:val="FootnoteText"/>
      </w:pPr>
      <w:r w:rsidRPr="001272FB">
        <w:rPr>
          <w:rStyle w:val="FootnoteReference"/>
          <w:sz w:val="20"/>
        </w:rPr>
        <w:footnoteRef/>
      </w:r>
      <w:r w:rsidRPr="001272FB">
        <w:t xml:space="preserve"> </w:t>
      </w:r>
      <w:r w:rsidRPr="001272FB">
        <w:rPr>
          <w:i/>
          <w:iCs/>
        </w:rPr>
        <w:t xml:space="preserve">Id. </w:t>
      </w:r>
      <w:r w:rsidRPr="001272FB">
        <w:t>at 20.</w:t>
      </w:r>
      <w:r w:rsidRPr="001272FB">
        <w:rPr>
          <w:color w:val="FF0000"/>
        </w:rPr>
        <w:t xml:space="preserve"> </w:t>
      </w:r>
    </w:p>
  </w:footnote>
  <w:footnote w:id="40">
    <w:p w:rsidR="00AC1E60" w:rsidRPr="001272FB" w:rsidP="00AC1E60" w14:paraId="0397AB8D" w14:textId="77777777">
      <w:pPr>
        <w:pStyle w:val="FootnoteText"/>
      </w:pPr>
      <w:r w:rsidRPr="001272FB">
        <w:rPr>
          <w:rStyle w:val="FootnoteReference"/>
          <w:sz w:val="20"/>
        </w:rPr>
        <w:footnoteRef/>
      </w:r>
      <w:r w:rsidRPr="001272FB">
        <w:t xml:space="preserve"> </w:t>
      </w:r>
      <w:r w:rsidRPr="001272FB">
        <w:rPr>
          <w:i/>
          <w:iCs/>
        </w:rPr>
        <w:t>Id.</w:t>
      </w:r>
    </w:p>
  </w:footnote>
  <w:footnote w:id="41">
    <w:p w:rsidR="005614FA" w:rsidRPr="001272FB" w:rsidP="001F1CB2" w14:paraId="3672016B" w14:textId="7E463E8D">
      <w:pPr>
        <w:pStyle w:val="FootnoteText"/>
        <w:rPr>
          <w:color w:val="000000"/>
        </w:rPr>
      </w:pPr>
      <w:r w:rsidRPr="001272FB">
        <w:rPr>
          <w:rStyle w:val="FootnoteReference"/>
          <w:color w:val="000000"/>
          <w:sz w:val="20"/>
        </w:rPr>
        <w:footnoteRef/>
      </w:r>
      <w:r w:rsidRPr="001272FB">
        <w:rPr>
          <w:color w:val="000000"/>
        </w:rPr>
        <w:t xml:space="preserve"> </w:t>
      </w:r>
      <w:bookmarkStart w:id="3" w:name="_Hlk54947808"/>
      <w:r w:rsidRPr="001272FB">
        <w:rPr>
          <w:color w:val="000000"/>
        </w:rPr>
        <w:t xml:space="preserve">Letter from </w:t>
      </w:r>
      <w:r w:rsidRPr="001272FB" w:rsidR="00E9581C">
        <w:rPr>
          <w:color w:val="000000"/>
        </w:rPr>
        <w:t>Christopher R. Clements</w:t>
      </w:r>
      <w:r w:rsidRPr="001272FB">
        <w:rPr>
          <w:color w:val="000000"/>
        </w:rPr>
        <w:t xml:space="preserve">, U.S. Department of Justice, to Marlene H. Dortch, </w:t>
      </w:r>
      <w:r w:rsidRPr="001272FB" w:rsidR="00717B07">
        <w:rPr>
          <w:color w:val="000000"/>
        </w:rPr>
        <w:t xml:space="preserve">Secretary, </w:t>
      </w:r>
      <w:r w:rsidRPr="001272FB">
        <w:rPr>
          <w:color w:val="000000"/>
        </w:rPr>
        <w:t xml:space="preserve">FCC, </w:t>
      </w:r>
      <w:r w:rsidRPr="001272FB" w:rsidR="007F40C5">
        <w:rPr>
          <w:color w:val="000000"/>
        </w:rPr>
        <w:t>WC Docket No. 2</w:t>
      </w:r>
      <w:r w:rsidRPr="001272FB" w:rsidR="003F7023">
        <w:rPr>
          <w:color w:val="000000"/>
        </w:rPr>
        <w:t>3-85</w:t>
      </w:r>
      <w:r w:rsidR="00BA0172">
        <w:rPr>
          <w:color w:val="000000"/>
        </w:rPr>
        <w:t>,</w:t>
      </w:r>
      <w:r w:rsidRPr="001272FB" w:rsidR="00FB6AC1">
        <w:rPr>
          <w:color w:val="000000"/>
        </w:rPr>
        <w:t xml:space="preserve"> </w:t>
      </w:r>
      <w:r w:rsidRPr="001272FB" w:rsidR="00FB6AC1">
        <w:t xml:space="preserve">IB File No. </w:t>
      </w:r>
      <w:r w:rsidRPr="001272FB" w:rsidR="00EE3630">
        <w:t>ITC-T/C-20230303-00028</w:t>
      </w:r>
      <w:r w:rsidRPr="001272FB" w:rsidR="00700222">
        <w:t>, and Attach.</w:t>
      </w:r>
      <w:r w:rsidRPr="001272FB" w:rsidR="00EE3630">
        <w:rPr>
          <w:color w:val="000000"/>
        </w:rPr>
        <w:t xml:space="preserve"> </w:t>
      </w:r>
      <w:r w:rsidRPr="001272FB" w:rsidR="00441312">
        <w:rPr>
          <w:color w:val="000000"/>
        </w:rPr>
        <w:t>(</w:t>
      </w:r>
      <w:r w:rsidRPr="001272FB" w:rsidR="00BD0A9B">
        <w:rPr>
          <w:color w:val="000000"/>
        </w:rPr>
        <w:t>A</w:t>
      </w:r>
      <w:r w:rsidRPr="001272FB" w:rsidR="00EE3630">
        <w:rPr>
          <w:color w:val="000000"/>
        </w:rPr>
        <w:t>pr. 17</w:t>
      </w:r>
      <w:r w:rsidRPr="001272FB" w:rsidR="00441312">
        <w:rPr>
          <w:color w:val="000000"/>
        </w:rPr>
        <w:t>, 202</w:t>
      </w:r>
      <w:r w:rsidRPr="001272FB" w:rsidR="00EE3630">
        <w:rPr>
          <w:color w:val="000000"/>
        </w:rPr>
        <w:t>3</w:t>
      </w:r>
      <w:r w:rsidRPr="001272FB" w:rsidR="00441312">
        <w:rPr>
          <w:color w:val="000000"/>
        </w:rPr>
        <w:t>)</w:t>
      </w:r>
      <w:r w:rsidRPr="001272FB" w:rsidR="007F40C5">
        <w:rPr>
          <w:color w:val="000000"/>
        </w:rPr>
        <w:t xml:space="preserve"> </w:t>
      </w:r>
      <w:r w:rsidRPr="001272FB" w:rsidR="00413423">
        <w:rPr>
          <w:color w:val="000000"/>
        </w:rPr>
        <w:t>(</w:t>
      </w:r>
      <w:r w:rsidRPr="001272FB" w:rsidR="00413423">
        <w:t xml:space="preserve">on file in WC Docket No. </w:t>
      </w:r>
      <w:r w:rsidRPr="001272FB" w:rsidR="007F40C5">
        <w:t>2</w:t>
      </w:r>
      <w:r w:rsidRPr="001272FB" w:rsidR="007E4934">
        <w:t>3-85</w:t>
      </w:r>
      <w:r w:rsidRPr="001272FB" w:rsidR="00413423">
        <w:t>)</w:t>
      </w:r>
      <w:r w:rsidRPr="001272FB">
        <w:rPr>
          <w:color w:val="000000"/>
        </w:rPr>
        <w:t>.</w:t>
      </w:r>
      <w:bookmarkEnd w:id="3"/>
    </w:p>
  </w:footnote>
  <w:footnote w:id="42">
    <w:p w:rsidR="00E96AC2" w:rsidRPr="001272FB" w14:paraId="3672016C" w14:textId="0E0DAD48">
      <w:pPr>
        <w:pStyle w:val="FootnoteText"/>
      </w:pPr>
      <w:r w:rsidRPr="001272FB">
        <w:rPr>
          <w:rStyle w:val="FootnoteReference"/>
          <w:sz w:val="20"/>
        </w:rPr>
        <w:footnoteRef/>
      </w:r>
      <w:r w:rsidRPr="001272FB">
        <w:t xml:space="preserve"> </w:t>
      </w:r>
      <w:r w:rsidRPr="001272FB" w:rsidR="00095B1A">
        <w:rPr>
          <w:color w:val="000000"/>
        </w:rPr>
        <w:t>Letter from Christopher R. Clements, U.S. Department of Justice, to Marlene H. Dortch, Secretary, FCC, WC Docket No. 23-85</w:t>
      </w:r>
      <w:r w:rsidR="00B930BD">
        <w:rPr>
          <w:color w:val="000000"/>
        </w:rPr>
        <w:t>,</w:t>
      </w:r>
      <w:r w:rsidRPr="001272FB" w:rsidR="00095B1A">
        <w:rPr>
          <w:color w:val="000000"/>
        </w:rPr>
        <w:t xml:space="preserve"> </w:t>
      </w:r>
      <w:r w:rsidRPr="001272FB" w:rsidR="00095B1A">
        <w:t>IB File No. ITC-T/C-20230303-00028</w:t>
      </w:r>
      <w:r w:rsidRPr="001272FB" w:rsidR="00700222">
        <w:t>, and Attach.</w:t>
      </w:r>
      <w:r w:rsidRPr="001272FB" w:rsidR="00095B1A">
        <w:rPr>
          <w:color w:val="000000"/>
        </w:rPr>
        <w:t xml:space="preserve"> (</w:t>
      </w:r>
      <w:r w:rsidRPr="001272FB" w:rsidR="008A2781">
        <w:rPr>
          <w:color w:val="000000"/>
        </w:rPr>
        <w:t>Jun. 29, 2023</w:t>
      </w:r>
      <w:r w:rsidRPr="001272FB" w:rsidR="00095B1A">
        <w:rPr>
          <w:color w:val="000000"/>
        </w:rPr>
        <w:t>) (</w:t>
      </w:r>
      <w:r w:rsidRPr="001272FB" w:rsidR="00095B1A">
        <w:t>on file in WC Docket No. 2</w:t>
      </w:r>
      <w:r w:rsidRPr="001272FB" w:rsidR="003C5DD4">
        <w:t>3-85</w:t>
      </w:r>
      <w:r w:rsidRPr="001272FB" w:rsidR="00095B1A">
        <w:t>)</w:t>
      </w:r>
      <w:r w:rsidRPr="001272FB" w:rsidR="00095B1A">
        <w:rPr>
          <w:color w:val="000000"/>
        </w:rPr>
        <w:t>.</w:t>
      </w:r>
    </w:p>
  </w:footnote>
  <w:footnote w:id="43">
    <w:p w:rsidR="006F4636" w:rsidRPr="001272FB" w14:paraId="3672016D" w14:textId="7A9BABFB">
      <w:pPr>
        <w:pStyle w:val="FootnoteText"/>
      </w:pPr>
      <w:r w:rsidRPr="001272FB">
        <w:rPr>
          <w:rStyle w:val="FootnoteReference"/>
          <w:sz w:val="20"/>
        </w:rPr>
        <w:footnoteRef/>
      </w:r>
      <w:r w:rsidRPr="001272FB">
        <w:t xml:space="preserve"> Letter from </w:t>
      </w:r>
      <w:r w:rsidRPr="001272FB" w:rsidR="004D3424">
        <w:t>Stephanie Weiner</w:t>
      </w:r>
      <w:r w:rsidRPr="001272FB">
        <w:t xml:space="preserve">, Chief Counsel, National Telecommunications and Information Administration, to Marlene H. Dortch, </w:t>
      </w:r>
      <w:r w:rsidRPr="001272FB" w:rsidR="004F60EC">
        <w:t xml:space="preserve">Secretary, </w:t>
      </w:r>
      <w:r w:rsidRPr="001272FB">
        <w:t>FCC, WC Docket No. 2</w:t>
      </w:r>
      <w:r w:rsidRPr="001272FB" w:rsidR="005A527A">
        <w:t>3</w:t>
      </w:r>
      <w:r w:rsidRPr="001272FB">
        <w:t>-</w:t>
      </w:r>
      <w:r w:rsidRPr="001272FB" w:rsidR="005A527A">
        <w:t>85</w:t>
      </w:r>
      <w:r w:rsidR="005D64BB">
        <w:t>,</w:t>
      </w:r>
      <w:r w:rsidRPr="001272FB" w:rsidR="005A527A">
        <w:rPr>
          <w:color w:val="000000"/>
        </w:rPr>
        <w:t xml:space="preserve"> </w:t>
      </w:r>
      <w:r w:rsidRPr="001272FB" w:rsidR="005A527A">
        <w:t>IB File No. ITC-T/C-20230303-00028</w:t>
      </w:r>
      <w:r w:rsidRPr="001272FB" w:rsidR="005A527A">
        <w:rPr>
          <w:color w:val="000000"/>
        </w:rPr>
        <w:t xml:space="preserve"> </w:t>
      </w:r>
      <w:r w:rsidRPr="001272FB" w:rsidR="00161259">
        <w:t xml:space="preserve">(filed </w:t>
      </w:r>
      <w:r w:rsidRPr="001272FB" w:rsidR="005A527A">
        <w:t>Sept. 27</w:t>
      </w:r>
      <w:r w:rsidRPr="001272FB" w:rsidR="00161259">
        <w:t>, 202</w:t>
      </w:r>
      <w:r w:rsidRPr="001272FB" w:rsidR="005A527A">
        <w:t>3</w:t>
      </w:r>
      <w:r w:rsidRPr="001272FB" w:rsidR="00161259">
        <w:t>)</w:t>
      </w:r>
      <w:r w:rsidRPr="001272FB">
        <w:t xml:space="preserve"> (on file in WC Docket No. 2</w:t>
      </w:r>
      <w:r w:rsidRPr="001272FB" w:rsidR="005A527A">
        <w:t>3-85</w:t>
      </w:r>
      <w:r w:rsidRPr="001272FB">
        <w:t>).</w:t>
      </w:r>
    </w:p>
  </w:footnote>
  <w:footnote w:id="44">
    <w:p w:rsidR="002D7CCE" w:rsidRPr="001272FB" w:rsidP="002D7CCE" w14:paraId="3672016E" w14:textId="77777777">
      <w:pPr>
        <w:pStyle w:val="FootnoteText"/>
      </w:pPr>
      <w:r w:rsidRPr="001272FB">
        <w:rPr>
          <w:rStyle w:val="FootnoteReference"/>
          <w:sz w:val="20"/>
        </w:rPr>
        <w:footnoteRef/>
      </w:r>
      <w:r w:rsidRPr="001272FB" w:rsidR="00FB6AC1">
        <w:t xml:space="preserve"> </w:t>
      </w:r>
      <w:r w:rsidRPr="002C5931" w:rsidR="00FB6AC1">
        <w:rPr>
          <w:i/>
          <w:iCs/>
        </w:rPr>
        <w:t>See</w:t>
      </w:r>
      <w:r w:rsidRPr="001272FB" w:rsidR="00FB6AC1">
        <w:t xml:space="preserve"> 47 U.S.C. § 214(a); 47 CFR § 63.03.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36720153" w14:textId="4F5DEF03">
    <w:pPr>
      <w:tabs>
        <w:tab w:val="left" w:pos="-720"/>
      </w:tabs>
      <w:suppressAutoHyphens/>
      <w:spacing w:line="19" w:lineRule="exact"/>
      <w:rPr>
        <w:spacing w:val="-2"/>
      </w:rPr>
    </w:pPr>
    <w:r>
      <w:rPr>
        <w:noProof/>
      </w:rPr>
      <mc:AlternateContent>
        <mc:Choice Requires="wps">
          <w:drawing>
            <wp:anchor distT="0" distB="0" distL="114300" distR="114300" simplePos="0" relativeHeight="251665408" behindDoc="1" locked="0" layoutInCell="0" allowOverlap="1">
              <wp:simplePos x="0" y="0"/>
              <wp:positionH relativeFrom="margin">
                <wp:posOffset>0</wp:posOffset>
              </wp:positionH>
              <wp:positionV relativeFrom="paragraph">
                <wp:posOffset>0</wp:posOffset>
              </wp:positionV>
              <wp:extent cx="5943600" cy="12065"/>
              <wp:effectExtent l="0" t="0" r="0" b="0"/>
              <wp:wrapNone/>
              <wp:docPr id="664956124"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0048" o:allowincell="f" fillcolor="black" stroked="f" strokeweight="0.05pt">
              <w10:wrap anchorx="margin"/>
            </v:rect>
          </w:pict>
        </mc:Fallback>
      </mc:AlternateContent>
    </w:r>
  </w:p>
  <w:p w:rsidR="009838BC" w:rsidRPr="009838BC" w:rsidP="009838BC" w14:paraId="36720154"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36720158" w14:textId="6204FF44">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974816495"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77777777">
                          <w:pPr>
                            <w:rPr>
                              <w:rFonts w:ascii="Arial" w:hAnsi="Arial"/>
                              <w:b/>
                            </w:rPr>
                          </w:pPr>
                          <w:r>
                            <w:rPr>
                              <w:rFonts w:ascii="Arial" w:hAnsi="Arial"/>
                              <w:b/>
                            </w:rPr>
                            <w:t>45 L St., N.E.</w:t>
                          </w:r>
                        </w:p>
                        <w:p w:rsidR="009838BC" w:rsidP="009838BC" w14:textId="77777777">
                          <w:pPr>
                            <w:rPr>
                              <w:rFonts w:ascii="Arial" w:hAnsi="Arial"/>
                              <w:sz w:val="24"/>
                            </w:rPr>
                          </w:pPr>
                          <w:r>
                            <w:rPr>
                              <w:rFonts w:ascii="Arial" w:hAnsi="Arial"/>
                              <w:b/>
                            </w:rPr>
                            <w:t>Washington, D.C. 20554</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9838BC" w:rsidP="009838BC" w14:paraId="3672016F" w14:textId="77777777">
                    <w:pPr>
                      <w:rPr>
                        <w:rFonts w:ascii="Arial" w:hAnsi="Arial"/>
                        <w:b/>
                      </w:rPr>
                    </w:pPr>
                    <w:r>
                      <w:rPr>
                        <w:rFonts w:ascii="Arial" w:hAnsi="Arial"/>
                        <w:b/>
                      </w:rPr>
                      <w:t>Federal Communications Commission</w:t>
                    </w:r>
                  </w:p>
                  <w:p w:rsidR="009838BC" w:rsidP="009838BC" w14:paraId="36720170" w14:textId="77777777">
                    <w:pPr>
                      <w:rPr>
                        <w:rFonts w:ascii="Arial" w:hAnsi="Arial"/>
                        <w:b/>
                      </w:rPr>
                    </w:pPr>
                    <w:r>
                      <w:rPr>
                        <w:rFonts w:ascii="Arial" w:hAnsi="Arial"/>
                        <w:b/>
                      </w:rPr>
                      <w:t>45 L St., N.E.</w:t>
                    </w:r>
                  </w:p>
                  <w:p w:rsidR="009838BC" w:rsidP="009838BC" w14:paraId="36720171"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027"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75796D0F" w:rsidR="00C31891">
      <w:rPr>
        <w:rFonts w:ascii="Arial" w:hAnsi="Arial" w:cs="Arial"/>
        <w:b/>
        <w:bCs/>
        <w:sz w:val="96"/>
        <w:szCs w:val="96"/>
      </w:rPr>
      <w:t>PUBLIC NOTICE</w:t>
    </w:r>
  </w:p>
  <w:p w:rsidR="009838BC" w:rsidRPr="00357D50" w:rsidP="009838BC" w14:paraId="36720159" w14:textId="0C8C2ABF">
    <w:pPr>
      <w:spacing w:before="40"/>
      <w:rPr>
        <w:rFonts w:ascii="Arial" w:hAnsi="Arial" w:cs="Arial"/>
        <w:b/>
        <w:sz w:val="96"/>
      </w:rPr>
    </w:pPr>
    <w:r>
      <w:rPr>
        <w:noProof/>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720090</wp:posOffset>
              </wp:positionV>
              <wp:extent cx="5943600" cy="0"/>
              <wp:effectExtent l="10795" t="5715" r="8255" b="13335"/>
              <wp:wrapNone/>
              <wp:docPr id="1413224977"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2336" from="416.8pt,56.7pt" to="884.8pt,56.7pt" o:allowincell="f">
              <w10:wrap anchorx="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2540"/>
              <wp:wrapNone/>
              <wp:docPr id="41173907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9" w:name="_Hlt233824"/>
                          <w:hyperlink r:id="rId2" w:history="1">
                            <w:r w:rsidRPr="00D216CD">
                              <w:rPr>
                                <w:rStyle w:val="Hyperlink"/>
                                <w:rFonts w:ascii="Arial" w:hAnsi="Arial"/>
                                <w:b/>
                                <w:sz w:val="16"/>
                              </w:rPr>
                              <w:t>h</w:t>
                            </w:r>
                            <w:bookmarkEnd w:id="9"/>
                            <w:r w:rsidRPr="00D216CD">
                              <w:rPr>
                                <w:rStyle w:val="Hyperlink"/>
                                <w:rFonts w:ascii="Arial" w:hAnsi="Arial"/>
                                <w:b/>
                                <w:sz w:val="16"/>
                              </w:rPr>
                              <w:t>ttps://www.fcc.gov</w:t>
                            </w:r>
                          </w:hyperlink>
                        </w:p>
                        <w:p w:rsidR="009838BC" w:rsidP="009838BC" w14:textId="777777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9838BC" w:rsidP="009838BC" w14:paraId="36720172" w14:textId="77777777">
                    <w:pPr>
                      <w:spacing w:before="40"/>
                      <w:jc w:val="right"/>
                      <w:rPr>
                        <w:rFonts w:ascii="Arial" w:hAnsi="Arial"/>
                        <w:b/>
                        <w:sz w:val="16"/>
                      </w:rPr>
                    </w:pPr>
                    <w:r>
                      <w:rPr>
                        <w:rFonts w:ascii="Arial" w:hAnsi="Arial"/>
                        <w:b/>
                        <w:sz w:val="16"/>
                      </w:rPr>
                      <w:t>News Media Information 202 / 418-0500</w:t>
                    </w:r>
                  </w:p>
                  <w:p w:rsidR="009838BC" w:rsidP="009838BC" w14:paraId="36720173" w14:textId="77777777">
                    <w:pPr>
                      <w:jc w:val="right"/>
                      <w:rPr>
                        <w:rFonts w:ascii="Arial" w:hAnsi="Arial"/>
                        <w:b/>
                        <w:sz w:val="16"/>
                      </w:rPr>
                    </w:pPr>
                    <w:r>
                      <w:rPr>
                        <w:rFonts w:ascii="Arial" w:hAnsi="Arial"/>
                        <w:b/>
                        <w:sz w:val="16"/>
                      </w:rPr>
                      <w:t xml:space="preserve">Internet: </w:t>
                    </w:r>
                    <w:bookmarkStart w:id="9" w:name="_Hlt233824"/>
                    <w:hyperlink r:id="rId2" w:history="1">
                      <w:r w:rsidRPr="00D216CD">
                        <w:rPr>
                          <w:rStyle w:val="Hyperlink"/>
                          <w:rFonts w:ascii="Arial" w:hAnsi="Arial"/>
                          <w:b/>
                          <w:sz w:val="16"/>
                        </w:rPr>
                        <w:t>h</w:t>
                      </w:r>
                      <w:bookmarkEnd w:id="9"/>
                      <w:r w:rsidRPr="00D216CD">
                        <w:rPr>
                          <w:rStyle w:val="Hyperlink"/>
                          <w:rFonts w:ascii="Arial" w:hAnsi="Arial"/>
                          <w:b/>
                          <w:sz w:val="16"/>
                        </w:rPr>
                        <w:t>ttps://www.fcc.gov</w:t>
                      </w:r>
                    </w:hyperlink>
                  </w:p>
                  <w:p w:rsidR="009838BC" w:rsidP="009838BC" w14:paraId="36720174" w14:textId="77777777">
                    <w:pPr>
                      <w:jc w:val="right"/>
                    </w:pPr>
                  </w:p>
                </w:txbxContent>
              </v:textbox>
            </v:shape>
          </w:pict>
        </mc:Fallback>
      </mc:AlternateContent>
    </w:r>
  </w:p>
  <w:p w:rsidR="006F7393" w:rsidRPr="009838BC" w:rsidP="009838BC" w14:paraId="3672015A"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891219A"/>
    <w:multiLevelType w:val="hybridMultilevel"/>
    <w:tmpl w:val="2D2420CE"/>
    <w:lvl w:ilvl="0">
      <w:start w:val="1"/>
      <w:numFmt w:val="upperLetter"/>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4FA"/>
    <w:rsid w:val="000009A3"/>
    <w:rsid w:val="000072CE"/>
    <w:rsid w:val="00013A8B"/>
    <w:rsid w:val="00016BF1"/>
    <w:rsid w:val="00021252"/>
    <w:rsid w:val="00021445"/>
    <w:rsid w:val="00023E9D"/>
    <w:rsid w:val="000326B7"/>
    <w:rsid w:val="00036039"/>
    <w:rsid w:val="00037F90"/>
    <w:rsid w:val="00044FC2"/>
    <w:rsid w:val="00046180"/>
    <w:rsid w:val="0004637E"/>
    <w:rsid w:val="000505D6"/>
    <w:rsid w:val="0005169D"/>
    <w:rsid w:val="000578D9"/>
    <w:rsid w:val="000654FE"/>
    <w:rsid w:val="0007304F"/>
    <w:rsid w:val="000875BF"/>
    <w:rsid w:val="00090879"/>
    <w:rsid w:val="00095B1A"/>
    <w:rsid w:val="00096D8C"/>
    <w:rsid w:val="000A43AA"/>
    <w:rsid w:val="000A719C"/>
    <w:rsid w:val="000B206F"/>
    <w:rsid w:val="000B2A54"/>
    <w:rsid w:val="000B3A1F"/>
    <w:rsid w:val="000C0B65"/>
    <w:rsid w:val="000C38F6"/>
    <w:rsid w:val="000D50EB"/>
    <w:rsid w:val="000D5BC1"/>
    <w:rsid w:val="000E3D42"/>
    <w:rsid w:val="000E5884"/>
    <w:rsid w:val="000E6601"/>
    <w:rsid w:val="000F248A"/>
    <w:rsid w:val="000F3EAA"/>
    <w:rsid w:val="000F70F5"/>
    <w:rsid w:val="000F7336"/>
    <w:rsid w:val="000F7AFB"/>
    <w:rsid w:val="001014DF"/>
    <w:rsid w:val="00114C73"/>
    <w:rsid w:val="00116301"/>
    <w:rsid w:val="00116C3F"/>
    <w:rsid w:val="00122BD5"/>
    <w:rsid w:val="0012361D"/>
    <w:rsid w:val="001272FB"/>
    <w:rsid w:val="001330FF"/>
    <w:rsid w:val="001415BA"/>
    <w:rsid w:val="001435E2"/>
    <w:rsid w:val="00144A2D"/>
    <w:rsid w:val="001539F3"/>
    <w:rsid w:val="001541A8"/>
    <w:rsid w:val="00154EB8"/>
    <w:rsid w:val="00161259"/>
    <w:rsid w:val="00164F1D"/>
    <w:rsid w:val="00164FFA"/>
    <w:rsid w:val="00181174"/>
    <w:rsid w:val="00190F0F"/>
    <w:rsid w:val="001975FA"/>
    <w:rsid w:val="001979D9"/>
    <w:rsid w:val="001A0E9C"/>
    <w:rsid w:val="001A6361"/>
    <w:rsid w:val="001B158F"/>
    <w:rsid w:val="001B2124"/>
    <w:rsid w:val="001B36A7"/>
    <w:rsid w:val="001C4655"/>
    <w:rsid w:val="001D0353"/>
    <w:rsid w:val="001D0A43"/>
    <w:rsid w:val="001D6BCF"/>
    <w:rsid w:val="001E01CA"/>
    <w:rsid w:val="001E397D"/>
    <w:rsid w:val="001E410D"/>
    <w:rsid w:val="001F1CB2"/>
    <w:rsid w:val="001F1FC6"/>
    <w:rsid w:val="001F1FF1"/>
    <w:rsid w:val="001F3582"/>
    <w:rsid w:val="001F731B"/>
    <w:rsid w:val="00204D99"/>
    <w:rsid w:val="002060D9"/>
    <w:rsid w:val="00206137"/>
    <w:rsid w:val="002078DE"/>
    <w:rsid w:val="00207939"/>
    <w:rsid w:val="00215AF2"/>
    <w:rsid w:val="0021655B"/>
    <w:rsid w:val="00224DB8"/>
    <w:rsid w:val="0022664E"/>
    <w:rsid w:val="0022674A"/>
    <w:rsid w:val="00226822"/>
    <w:rsid w:val="00227E61"/>
    <w:rsid w:val="002334CD"/>
    <w:rsid w:val="00240A9F"/>
    <w:rsid w:val="00242F44"/>
    <w:rsid w:val="00245087"/>
    <w:rsid w:val="002456F6"/>
    <w:rsid w:val="0025072B"/>
    <w:rsid w:val="0025082C"/>
    <w:rsid w:val="00254E19"/>
    <w:rsid w:val="002556F0"/>
    <w:rsid w:val="002572DC"/>
    <w:rsid w:val="00260594"/>
    <w:rsid w:val="00264313"/>
    <w:rsid w:val="00276C04"/>
    <w:rsid w:val="00280975"/>
    <w:rsid w:val="00285017"/>
    <w:rsid w:val="00286053"/>
    <w:rsid w:val="00286468"/>
    <w:rsid w:val="002A03DD"/>
    <w:rsid w:val="002A230A"/>
    <w:rsid w:val="002A2D2E"/>
    <w:rsid w:val="002A6D6A"/>
    <w:rsid w:val="002B0207"/>
    <w:rsid w:val="002B1FA5"/>
    <w:rsid w:val="002B4C9C"/>
    <w:rsid w:val="002C1AF9"/>
    <w:rsid w:val="002C5931"/>
    <w:rsid w:val="002C714F"/>
    <w:rsid w:val="002D447E"/>
    <w:rsid w:val="002D6286"/>
    <w:rsid w:val="002D62DD"/>
    <w:rsid w:val="002D76B5"/>
    <w:rsid w:val="002D7A48"/>
    <w:rsid w:val="002D7CCE"/>
    <w:rsid w:val="002E48C2"/>
    <w:rsid w:val="002F2339"/>
    <w:rsid w:val="002F7221"/>
    <w:rsid w:val="00307030"/>
    <w:rsid w:val="0031328E"/>
    <w:rsid w:val="0032799C"/>
    <w:rsid w:val="00327A84"/>
    <w:rsid w:val="00343749"/>
    <w:rsid w:val="00344102"/>
    <w:rsid w:val="00353A57"/>
    <w:rsid w:val="00357D50"/>
    <w:rsid w:val="003602FC"/>
    <w:rsid w:val="00377C00"/>
    <w:rsid w:val="00381FE8"/>
    <w:rsid w:val="00385229"/>
    <w:rsid w:val="003925DC"/>
    <w:rsid w:val="003942C1"/>
    <w:rsid w:val="00395F38"/>
    <w:rsid w:val="0039668F"/>
    <w:rsid w:val="003A3FC6"/>
    <w:rsid w:val="003A49D1"/>
    <w:rsid w:val="003A7F8F"/>
    <w:rsid w:val="003B0550"/>
    <w:rsid w:val="003B06B7"/>
    <w:rsid w:val="003B28FF"/>
    <w:rsid w:val="003B366F"/>
    <w:rsid w:val="003B694F"/>
    <w:rsid w:val="003B6E77"/>
    <w:rsid w:val="003C2436"/>
    <w:rsid w:val="003C47B1"/>
    <w:rsid w:val="003C589A"/>
    <w:rsid w:val="003C5934"/>
    <w:rsid w:val="003C5DD4"/>
    <w:rsid w:val="003D6051"/>
    <w:rsid w:val="003E7B6C"/>
    <w:rsid w:val="003F171C"/>
    <w:rsid w:val="003F7023"/>
    <w:rsid w:val="00402A03"/>
    <w:rsid w:val="00403231"/>
    <w:rsid w:val="00412582"/>
    <w:rsid w:val="00412FC5"/>
    <w:rsid w:val="00413423"/>
    <w:rsid w:val="00420182"/>
    <w:rsid w:val="00422276"/>
    <w:rsid w:val="00422B9A"/>
    <w:rsid w:val="004242F1"/>
    <w:rsid w:val="004243FE"/>
    <w:rsid w:val="00432406"/>
    <w:rsid w:val="00441312"/>
    <w:rsid w:val="00445A00"/>
    <w:rsid w:val="00451B0F"/>
    <w:rsid w:val="0046125F"/>
    <w:rsid w:val="00462520"/>
    <w:rsid w:val="00466B8E"/>
    <w:rsid w:val="0046783E"/>
    <w:rsid w:val="00470E9D"/>
    <w:rsid w:val="004806FB"/>
    <w:rsid w:val="004872D0"/>
    <w:rsid w:val="00487524"/>
    <w:rsid w:val="004876D1"/>
    <w:rsid w:val="004903BF"/>
    <w:rsid w:val="004928F5"/>
    <w:rsid w:val="004943CA"/>
    <w:rsid w:val="0049488B"/>
    <w:rsid w:val="00494BA0"/>
    <w:rsid w:val="00495252"/>
    <w:rsid w:val="00496106"/>
    <w:rsid w:val="004A660E"/>
    <w:rsid w:val="004B088F"/>
    <w:rsid w:val="004B091D"/>
    <w:rsid w:val="004B6492"/>
    <w:rsid w:val="004C12D0"/>
    <w:rsid w:val="004C2EE3"/>
    <w:rsid w:val="004C3FFB"/>
    <w:rsid w:val="004C70FB"/>
    <w:rsid w:val="004D22C3"/>
    <w:rsid w:val="004D3424"/>
    <w:rsid w:val="004E4A22"/>
    <w:rsid w:val="004E6130"/>
    <w:rsid w:val="004E72B7"/>
    <w:rsid w:val="004F09B2"/>
    <w:rsid w:val="004F35CA"/>
    <w:rsid w:val="004F4239"/>
    <w:rsid w:val="004F5F7D"/>
    <w:rsid w:val="004F60EC"/>
    <w:rsid w:val="00511968"/>
    <w:rsid w:val="00516819"/>
    <w:rsid w:val="00516C98"/>
    <w:rsid w:val="0052214B"/>
    <w:rsid w:val="00525F91"/>
    <w:rsid w:val="00536CF8"/>
    <w:rsid w:val="0054043D"/>
    <w:rsid w:val="00542146"/>
    <w:rsid w:val="0054650E"/>
    <w:rsid w:val="00550354"/>
    <w:rsid w:val="00553662"/>
    <w:rsid w:val="0055614C"/>
    <w:rsid w:val="005614FA"/>
    <w:rsid w:val="00563C1F"/>
    <w:rsid w:val="00564FFA"/>
    <w:rsid w:val="00577322"/>
    <w:rsid w:val="00577BFF"/>
    <w:rsid w:val="00581C61"/>
    <w:rsid w:val="00582BAF"/>
    <w:rsid w:val="00595381"/>
    <w:rsid w:val="005A0BF4"/>
    <w:rsid w:val="005A3062"/>
    <w:rsid w:val="005A4610"/>
    <w:rsid w:val="005A527A"/>
    <w:rsid w:val="005C24D8"/>
    <w:rsid w:val="005C680A"/>
    <w:rsid w:val="005C7EF4"/>
    <w:rsid w:val="005D0403"/>
    <w:rsid w:val="005D0A49"/>
    <w:rsid w:val="005D64BB"/>
    <w:rsid w:val="005E347C"/>
    <w:rsid w:val="005E5F6A"/>
    <w:rsid w:val="005E74A9"/>
    <w:rsid w:val="00603CBE"/>
    <w:rsid w:val="00607BA5"/>
    <w:rsid w:val="006126AF"/>
    <w:rsid w:val="00620DBB"/>
    <w:rsid w:val="00620F82"/>
    <w:rsid w:val="00621457"/>
    <w:rsid w:val="00622445"/>
    <w:rsid w:val="00626EB6"/>
    <w:rsid w:val="006275B0"/>
    <w:rsid w:val="00631B71"/>
    <w:rsid w:val="006353A3"/>
    <w:rsid w:val="00637E27"/>
    <w:rsid w:val="00642E7B"/>
    <w:rsid w:val="00643878"/>
    <w:rsid w:val="006474E6"/>
    <w:rsid w:val="00655D03"/>
    <w:rsid w:val="00664AB4"/>
    <w:rsid w:val="006677BF"/>
    <w:rsid w:val="00675E8A"/>
    <w:rsid w:val="00683F84"/>
    <w:rsid w:val="00684738"/>
    <w:rsid w:val="006A0BDA"/>
    <w:rsid w:val="006A6A81"/>
    <w:rsid w:val="006B199C"/>
    <w:rsid w:val="006B5D0A"/>
    <w:rsid w:val="006B6F46"/>
    <w:rsid w:val="006C47FA"/>
    <w:rsid w:val="006C7A94"/>
    <w:rsid w:val="006D40DD"/>
    <w:rsid w:val="006D760F"/>
    <w:rsid w:val="006E26AF"/>
    <w:rsid w:val="006E57B3"/>
    <w:rsid w:val="006F1183"/>
    <w:rsid w:val="006F4636"/>
    <w:rsid w:val="006F7393"/>
    <w:rsid w:val="00700222"/>
    <w:rsid w:val="00701094"/>
    <w:rsid w:val="007019FF"/>
    <w:rsid w:val="0070224F"/>
    <w:rsid w:val="00703BB5"/>
    <w:rsid w:val="0070486C"/>
    <w:rsid w:val="007115F7"/>
    <w:rsid w:val="007178B4"/>
    <w:rsid w:val="00717B07"/>
    <w:rsid w:val="00725674"/>
    <w:rsid w:val="00726F80"/>
    <w:rsid w:val="00735B84"/>
    <w:rsid w:val="00762FC4"/>
    <w:rsid w:val="007668C8"/>
    <w:rsid w:val="00780E7D"/>
    <w:rsid w:val="00785689"/>
    <w:rsid w:val="0079754B"/>
    <w:rsid w:val="007A0B06"/>
    <w:rsid w:val="007A1E6D"/>
    <w:rsid w:val="007B1170"/>
    <w:rsid w:val="007B72F9"/>
    <w:rsid w:val="007C2228"/>
    <w:rsid w:val="007C4371"/>
    <w:rsid w:val="007C5078"/>
    <w:rsid w:val="007C53B3"/>
    <w:rsid w:val="007C674D"/>
    <w:rsid w:val="007D0B25"/>
    <w:rsid w:val="007D3761"/>
    <w:rsid w:val="007D6054"/>
    <w:rsid w:val="007E1AE8"/>
    <w:rsid w:val="007E4934"/>
    <w:rsid w:val="007E68D4"/>
    <w:rsid w:val="007F0DBB"/>
    <w:rsid w:val="007F29ED"/>
    <w:rsid w:val="007F40C5"/>
    <w:rsid w:val="007F5818"/>
    <w:rsid w:val="00800267"/>
    <w:rsid w:val="00801FDC"/>
    <w:rsid w:val="008068FD"/>
    <w:rsid w:val="00822CE0"/>
    <w:rsid w:val="00825E7D"/>
    <w:rsid w:val="008275B8"/>
    <w:rsid w:val="0083155B"/>
    <w:rsid w:val="008338CE"/>
    <w:rsid w:val="00837C62"/>
    <w:rsid w:val="00841404"/>
    <w:rsid w:val="00841AB1"/>
    <w:rsid w:val="00844109"/>
    <w:rsid w:val="0084412A"/>
    <w:rsid w:val="00845944"/>
    <w:rsid w:val="008473B0"/>
    <w:rsid w:val="00851E64"/>
    <w:rsid w:val="008550B5"/>
    <w:rsid w:val="0086068D"/>
    <w:rsid w:val="00860FA9"/>
    <w:rsid w:val="00861958"/>
    <w:rsid w:val="008670A1"/>
    <w:rsid w:val="008759A0"/>
    <w:rsid w:val="00880549"/>
    <w:rsid w:val="00885346"/>
    <w:rsid w:val="00890537"/>
    <w:rsid w:val="008928B0"/>
    <w:rsid w:val="00892BEE"/>
    <w:rsid w:val="00893955"/>
    <w:rsid w:val="008969B3"/>
    <w:rsid w:val="0089722C"/>
    <w:rsid w:val="008A2781"/>
    <w:rsid w:val="008B3951"/>
    <w:rsid w:val="008B3DC7"/>
    <w:rsid w:val="008B51AD"/>
    <w:rsid w:val="008C22FD"/>
    <w:rsid w:val="008C2513"/>
    <w:rsid w:val="008D327D"/>
    <w:rsid w:val="008D5EA0"/>
    <w:rsid w:val="008D6240"/>
    <w:rsid w:val="008D6DB7"/>
    <w:rsid w:val="008E5D2B"/>
    <w:rsid w:val="008E614F"/>
    <w:rsid w:val="008F4E88"/>
    <w:rsid w:val="008F58CF"/>
    <w:rsid w:val="00903EAE"/>
    <w:rsid w:val="0090545D"/>
    <w:rsid w:val="00910F12"/>
    <w:rsid w:val="0091539A"/>
    <w:rsid w:val="0091650F"/>
    <w:rsid w:val="00923F59"/>
    <w:rsid w:val="00925ACF"/>
    <w:rsid w:val="00926397"/>
    <w:rsid w:val="00926503"/>
    <w:rsid w:val="0092692D"/>
    <w:rsid w:val="00926C1D"/>
    <w:rsid w:val="00930ECF"/>
    <w:rsid w:val="0093267F"/>
    <w:rsid w:val="009432A3"/>
    <w:rsid w:val="00943407"/>
    <w:rsid w:val="00943B23"/>
    <w:rsid w:val="0095053C"/>
    <w:rsid w:val="0095057C"/>
    <w:rsid w:val="00950E53"/>
    <w:rsid w:val="00967271"/>
    <w:rsid w:val="009713DD"/>
    <w:rsid w:val="00973B24"/>
    <w:rsid w:val="00976129"/>
    <w:rsid w:val="009801F8"/>
    <w:rsid w:val="009838BC"/>
    <w:rsid w:val="009901F7"/>
    <w:rsid w:val="009A0E76"/>
    <w:rsid w:val="009A65B8"/>
    <w:rsid w:val="009A685A"/>
    <w:rsid w:val="009B258C"/>
    <w:rsid w:val="009B3988"/>
    <w:rsid w:val="009B63B0"/>
    <w:rsid w:val="009C2EC9"/>
    <w:rsid w:val="009C448A"/>
    <w:rsid w:val="009C73EF"/>
    <w:rsid w:val="009D36AB"/>
    <w:rsid w:val="009D708B"/>
    <w:rsid w:val="009E0A80"/>
    <w:rsid w:val="009F1761"/>
    <w:rsid w:val="00A03FAC"/>
    <w:rsid w:val="00A06E7E"/>
    <w:rsid w:val="00A13DDC"/>
    <w:rsid w:val="00A16181"/>
    <w:rsid w:val="00A164EA"/>
    <w:rsid w:val="00A22D46"/>
    <w:rsid w:val="00A351CE"/>
    <w:rsid w:val="00A40309"/>
    <w:rsid w:val="00A42060"/>
    <w:rsid w:val="00A45F4F"/>
    <w:rsid w:val="00A51758"/>
    <w:rsid w:val="00A600A9"/>
    <w:rsid w:val="00A61E25"/>
    <w:rsid w:val="00A6263A"/>
    <w:rsid w:val="00A6329B"/>
    <w:rsid w:val="00A6538C"/>
    <w:rsid w:val="00A663DB"/>
    <w:rsid w:val="00A7404D"/>
    <w:rsid w:val="00A77268"/>
    <w:rsid w:val="00A84BCC"/>
    <w:rsid w:val="00A8620D"/>
    <w:rsid w:val="00A866AC"/>
    <w:rsid w:val="00A922E8"/>
    <w:rsid w:val="00A92F17"/>
    <w:rsid w:val="00A950E2"/>
    <w:rsid w:val="00AA52F2"/>
    <w:rsid w:val="00AA55B7"/>
    <w:rsid w:val="00AA5B9E"/>
    <w:rsid w:val="00AB2109"/>
    <w:rsid w:val="00AB2407"/>
    <w:rsid w:val="00AB53DF"/>
    <w:rsid w:val="00AB61ED"/>
    <w:rsid w:val="00AB7889"/>
    <w:rsid w:val="00AC1E60"/>
    <w:rsid w:val="00AD50D4"/>
    <w:rsid w:val="00AD5156"/>
    <w:rsid w:val="00AD62E9"/>
    <w:rsid w:val="00AE47E9"/>
    <w:rsid w:val="00AF2B5C"/>
    <w:rsid w:val="00B07E5C"/>
    <w:rsid w:val="00B17836"/>
    <w:rsid w:val="00B17B13"/>
    <w:rsid w:val="00B31B86"/>
    <w:rsid w:val="00B326E3"/>
    <w:rsid w:val="00B33231"/>
    <w:rsid w:val="00B3351F"/>
    <w:rsid w:val="00B36901"/>
    <w:rsid w:val="00B43169"/>
    <w:rsid w:val="00B44339"/>
    <w:rsid w:val="00B47261"/>
    <w:rsid w:val="00B61C60"/>
    <w:rsid w:val="00B7124D"/>
    <w:rsid w:val="00B7302C"/>
    <w:rsid w:val="00B73C0C"/>
    <w:rsid w:val="00B74EB4"/>
    <w:rsid w:val="00B811F7"/>
    <w:rsid w:val="00B8127D"/>
    <w:rsid w:val="00B82285"/>
    <w:rsid w:val="00B84BD2"/>
    <w:rsid w:val="00B930BD"/>
    <w:rsid w:val="00B958F3"/>
    <w:rsid w:val="00B959E6"/>
    <w:rsid w:val="00BA0172"/>
    <w:rsid w:val="00BA1383"/>
    <w:rsid w:val="00BA5DC6"/>
    <w:rsid w:val="00BA6196"/>
    <w:rsid w:val="00BB4022"/>
    <w:rsid w:val="00BC6D8C"/>
    <w:rsid w:val="00BD0A9B"/>
    <w:rsid w:val="00BD1F31"/>
    <w:rsid w:val="00BD2EC0"/>
    <w:rsid w:val="00BD38DB"/>
    <w:rsid w:val="00BD50BA"/>
    <w:rsid w:val="00BD5994"/>
    <w:rsid w:val="00BE6FFB"/>
    <w:rsid w:val="00C01B19"/>
    <w:rsid w:val="00C07140"/>
    <w:rsid w:val="00C077E1"/>
    <w:rsid w:val="00C11F46"/>
    <w:rsid w:val="00C14E8F"/>
    <w:rsid w:val="00C16AF2"/>
    <w:rsid w:val="00C2475E"/>
    <w:rsid w:val="00C24DD2"/>
    <w:rsid w:val="00C27859"/>
    <w:rsid w:val="00C31891"/>
    <w:rsid w:val="00C34006"/>
    <w:rsid w:val="00C35272"/>
    <w:rsid w:val="00C360F5"/>
    <w:rsid w:val="00C367FB"/>
    <w:rsid w:val="00C41A27"/>
    <w:rsid w:val="00C426B1"/>
    <w:rsid w:val="00C462CC"/>
    <w:rsid w:val="00C4665E"/>
    <w:rsid w:val="00C50A2E"/>
    <w:rsid w:val="00C70371"/>
    <w:rsid w:val="00C70F5B"/>
    <w:rsid w:val="00C7200D"/>
    <w:rsid w:val="00C7222F"/>
    <w:rsid w:val="00C82B6B"/>
    <w:rsid w:val="00C90D6A"/>
    <w:rsid w:val="00CB14D4"/>
    <w:rsid w:val="00CB4801"/>
    <w:rsid w:val="00CB7957"/>
    <w:rsid w:val="00CC3745"/>
    <w:rsid w:val="00CC60EB"/>
    <w:rsid w:val="00CC6A10"/>
    <w:rsid w:val="00CC72B6"/>
    <w:rsid w:val="00CD323B"/>
    <w:rsid w:val="00CD5655"/>
    <w:rsid w:val="00CE359D"/>
    <w:rsid w:val="00CE7A6F"/>
    <w:rsid w:val="00CF1A56"/>
    <w:rsid w:val="00D0218D"/>
    <w:rsid w:val="00D04868"/>
    <w:rsid w:val="00D06FA2"/>
    <w:rsid w:val="00D12B3C"/>
    <w:rsid w:val="00D13707"/>
    <w:rsid w:val="00D216CD"/>
    <w:rsid w:val="00D22CE8"/>
    <w:rsid w:val="00D238CC"/>
    <w:rsid w:val="00D26EF4"/>
    <w:rsid w:val="00D351CC"/>
    <w:rsid w:val="00D51481"/>
    <w:rsid w:val="00D53ADF"/>
    <w:rsid w:val="00D6557E"/>
    <w:rsid w:val="00D7394E"/>
    <w:rsid w:val="00D76953"/>
    <w:rsid w:val="00D806AA"/>
    <w:rsid w:val="00D8081B"/>
    <w:rsid w:val="00D836EF"/>
    <w:rsid w:val="00D8472B"/>
    <w:rsid w:val="00D851AB"/>
    <w:rsid w:val="00D90DAC"/>
    <w:rsid w:val="00DA07AA"/>
    <w:rsid w:val="00DA2529"/>
    <w:rsid w:val="00DA455F"/>
    <w:rsid w:val="00DA77F0"/>
    <w:rsid w:val="00DB130A"/>
    <w:rsid w:val="00DB36BF"/>
    <w:rsid w:val="00DB54CA"/>
    <w:rsid w:val="00DC10A1"/>
    <w:rsid w:val="00DC44DE"/>
    <w:rsid w:val="00DC53B1"/>
    <w:rsid w:val="00DC655F"/>
    <w:rsid w:val="00DD0336"/>
    <w:rsid w:val="00DD0F22"/>
    <w:rsid w:val="00DD235A"/>
    <w:rsid w:val="00DD5183"/>
    <w:rsid w:val="00DD7364"/>
    <w:rsid w:val="00DD7EBD"/>
    <w:rsid w:val="00DE0D04"/>
    <w:rsid w:val="00DE4B07"/>
    <w:rsid w:val="00DF1B24"/>
    <w:rsid w:val="00DF4E87"/>
    <w:rsid w:val="00DF62B6"/>
    <w:rsid w:val="00E04D5A"/>
    <w:rsid w:val="00E07225"/>
    <w:rsid w:val="00E155B7"/>
    <w:rsid w:val="00E15AD6"/>
    <w:rsid w:val="00E15F88"/>
    <w:rsid w:val="00E17865"/>
    <w:rsid w:val="00E504A8"/>
    <w:rsid w:val="00E50F11"/>
    <w:rsid w:val="00E5409F"/>
    <w:rsid w:val="00E61137"/>
    <w:rsid w:val="00E63E9C"/>
    <w:rsid w:val="00E65904"/>
    <w:rsid w:val="00E70C9B"/>
    <w:rsid w:val="00E72298"/>
    <w:rsid w:val="00E73463"/>
    <w:rsid w:val="00E743F2"/>
    <w:rsid w:val="00E77864"/>
    <w:rsid w:val="00E85276"/>
    <w:rsid w:val="00E87847"/>
    <w:rsid w:val="00E9581C"/>
    <w:rsid w:val="00E96AC2"/>
    <w:rsid w:val="00E96B4B"/>
    <w:rsid w:val="00E9733A"/>
    <w:rsid w:val="00E9794F"/>
    <w:rsid w:val="00EA003B"/>
    <w:rsid w:val="00EA1D70"/>
    <w:rsid w:val="00EB08CE"/>
    <w:rsid w:val="00EB2C44"/>
    <w:rsid w:val="00EC0185"/>
    <w:rsid w:val="00EC195C"/>
    <w:rsid w:val="00EC2DFD"/>
    <w:rsid w:val="00ED05B6"/>
    <w:rsid w:val="00ED33DB"/>
    <w:rsid w:val="00ED6F96"/>
    <w:rsid w:val="00EE0028"/>
    <w:rsid w:val="00EE3630"/>
    <w:rsid w:val="00EE6ADD"/>
    <w:rsid w:val="00EF5E4D"/>
    <w:rsid w:val="00F021FA"/>
    <w:rsid w:val="00F03EE6"/>
    <w:rsid w:val="00F051B1"/>
    <w:rsid w:val="00F11F96"/>
    <w:rsid w:val="00F13114"/>
    <w:rsid w:val="00F14D69"/>
    <w:rsid w:val="00F1632C"/>
    <w:rsid w:val="00F311FC"/>
    <w:rsid w:val="00F37BD3"/>
    <w:rsid w:val="00F446CC"/>
    <w:rsid w:val="00F5223B"/>
    <w:rsid w:val="00F5680A"/>
    <w:rsid w:val="00F57ACA"/>
    <w:rsid w:val="00F62E97"/>
    <w:rsid w:val="00F64209"/>
    <w:rsid w:val="00F65711"/>
    <w:rsid w:val="00F66D37"/>
    <w:rsid w:val="00F72B31"/>
    <w:rsid w:val="00F73399"/>
    <w:rsid w:val="00F7410E"/>
    <w:rsid w:val="00F84F68"/>
    <w:rsid w:val="00F93BF5"/>
    <w:rsid w:val="00F96438"/>
    <w:rsid w:val="00F96F63"/>
    <w:rsid w:val="00F9742C"/>
    <w:rsid w:val="00FA3284"/>
    <w:rsid w:val="00FB3EDD"/>
    <w:rsid w:val="00FB6AC1"/>
    <w:rsid w:val="00FC392C"/>
    <w:rsid w:val="00FC565D"/>
    <w:rsid w:val="00FE1675"/>
    <w:rsid w:val="00FE56A1"/>
    <w:rsid w:val="00FF7669"/>
    <w:rsid w:val="00FF7A37"/>
    <w:rsid w:val="75796D0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6720139"/>
  <w15:chartTrackingRefBased/>
  <w15:docId w15:val="{593E7FF8-3611-4E69-B5A0-9CC369B1C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14FA"/>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link w:val="FootnoteTextChar1"/>
    <w:qFormat/>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qFormat/>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ParaNumChar">
    <w:name w:val="ParaNum Char"/>
    <w:link w:val="ParaNum"/>
    <w:locked/>
    <w:rsid w:val="005614FA"/>
    <w:rPr>
      <w:snapToGrid w:val="0"/>
      <w:kern w:val="28"/>
      <w:sz w:val="22"/>
    </w:rPr>
  </w:style>
  <w:style w:type="character" w:styleId="CommentReference">
    <w:name w:val="annotation reference"/>
    <w:uiPriority w:val="99"/>
    <w:semiHidden/>
    <w:unhideWhenUsed/>
    <w:rsid w:val="00642E7B"/>
    <w:rPr>
      <w:sz w:val="16"/>
      <w:szCs w:val="16"/>
    </w:rPr>
  </w:style>
  <w:style w:type="paragraph" w:styleId="CommentText">
    <w:name w:val="annotation text"/>
    <w:basedOn w:val="Normal"/>
    <w:link w:val="CommentTextChar"/>
    <w:uiPriority w:val="99"/>
    <w:unhideWhenUsed/>
    <w:rsid w:val="00642E7B"/>
    <w:rPr>
      <w:sz w:val="20"/>
    </w:rPr>
  </w:style>
  <w:style w:type="character" w:customStyle="1" w:styleId="CommentTextChar">
    <w:name w:val="Comment Text Char"/>
    <w:link w:val="CommentText"/>
    <w:uiPriority w:val="99"/>
    <w:rsid w:val="00642E7B"/>
    <w:rPr>
      <w:snapToGrid w:val="0"/>
      <w:kern w:val="28"/>
    </w:rPr>
  </w:style>
  <w:style w:type="paragraph" w:styleId="CommentSubject">
    <w:name w:val="annotation subject"/>
    <w:basedOn w:val="CommentText"/>
    <w:next w:val="CommentText"/>
    <w:link w:val="CommentSubjectChar"/>
    <w:uiPriority w:val="99"/>
    <w:semiHidden/>
    <w:unhideWhenUsed/>
    <w:rsid w:val="00642E7B"/>
    <w:rPr>
      <w:b/>
      <w:bCs/>
    </w:rPr>
  </w:style>
  <w:style w:type="character" w:customStyle="1" w:styleId="CommentSubjectChar">
    <w:name w:val="Comment Subject Char"/>
    <w:link w:val="CommentSubject"/>
    <w:uiPriority w:val="99"/>
    <w:semiHidden/>
    <w:rsid w:val="00642E7B"/>
    <w:rPr>
      <w:b/>
      <w:bCs/>
      <w:snapToGrid w:val="0"/>
      <w:kern w:val="28"/>
    </w:rPr>
  </w:style>
  <w:style w:type="paragraph" w:styleId="BalloonText">
    <w:name w:val="Balloon Text"/>
    <w:basedOn w:val="Normal"/>
    <w:link w:val="BalloonTextChar"/>
    <w:uiPriority w:val="99"/>
    <w:semiHidden/>
    <w:unhideWhenUsed/>
    <w:rsid w:val="00642E7B"/>
    <w:rPr>
      <w:rFonts w:ascii="Segoe UI" w:hAnsi="Segoe UI" w:cs="Segoe UI"/>
      <w:sz w:val="18"/>
      <w:szCs w:val="18"/>
    </w:rPr>
  </w:style>
  <w:style w:type="character" w:customStyle="1" w:styleId="BalloonTextChar">
    <w:name w:val="Balloon Text Char"/>
    <w:link w:val="BalloonText"/>
    <w:uiPriority w:val="99"/>
    <w:semiHidden/>
    <w:rsid w:val="00642E7B"/>
    <w:rPr>
      <w:rFonts w:ascii="Segoe UI" w:hAnsi="Segoe UI" w:cs="Segoe UI"/>
      <w:snapToGrid w:val="0"/>
      <w:kern w:val="28"/>
      <w:sz w:val="18"/>
      <w:szCs w:val="18"/>
    </w:rPr>
  </w:style>
  <w:style w:type="character" w:styleId="PlaceholderText">
    <w:name w:val="Placeholder Text"/>
    <w:uiPriority w:val="99"/>
    <w:semiHidden/>
    <w:rsid w:val="00377C00"/>
    <w:rPr>
      <w:color w:val="808080"/>
    </w:rPr>
  </w:style>
  <w:style w:type="paragraph" w:customStyle="1" w:styleId="Default">
    <w:name w:val="Default"/>
    <w:rsid w:val="000D50EB"/>
    <w:pPr>
      <w:autoSpaceDE w:val="0"/>
      <w:autoSpaceDN w:val="0"/>
      <w:adjustRightInd w:val="0"/>
    </w:pPr>
    <w:rPr>
      <w:color w:val="000000"/>
      <w:sz w:val="24"/>
      <w:szCs w:val="24"/>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sid w:val="009901F7"/>
  </w:style>
  <w:style w:type="paragraph" w:styleId="Revision">
    <w:name w:val="Revision"/>
    <w:hidden/>
    <w:uiPriority w:val="99"/>
    <w:semiHidden/>
    <w:rsid w:val="007019FF"/>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