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BE5E68" w14:paraId="152D6E48" w14:textId="52113E65">
      <w:pPr>
        <w:jc w:val="center"/>
        <w:rPr>
          <w:b/>
          <w:szCs w:val="22"/>
        </w:rPr>
      </w:pPr>
      <w:r>
        <w:rPr>
          <w:b/>
          <w:szCs w:val="22"/>
        </w:rPr>
        <w:t>Before the</w:t>
      </w:r>
    </w:p>
    <w:p w:rsidR="00BE5E68" w14:paraId="0AEC8F6F" w14:textId="77777777">
      <w:pPr>
        <w:jc w:val="center"/>
        <w:rPr>
          <w:b/>
          <w:szCs w:val="22"/>
        </w:rPr>
      </w:pPr>
      <w:r>
        <w:rPr>
          <w:b/>
          <w:szCs w:val="22"/>
        </w:rPr>
        <w:t>Federal Communications Commission</w:t>
      </w:r>
    </w:p>
    <w:p w:rsidR="00BE5E68" w14:paraId="30474F8B" w14:textId="69DAD44E">
      <w:pPr>
        <w:jc w:val="center"/>
        <w:rPr>
          <w:b/>
          <w:szCs w:val="22"/>
        </w:rPr>
      </w:pPr>
      <w:r>
        <w:rPr>
          <w:b/>
          <w:szCs w:val="22"/>
        </w:rPr>
        <w:t>Washington, D.C. 20554</w:t>
      </w:r>
    </w:p>
    <w:p w:rsidR="00BE5E68" w14:paraId="3AC36681" w14:textId="77777777">
      <w:pPr>
        <w:rPr>
          <w:szCs w:val="22"/>
        </w:rPr>
      </w:pPr>
    </w:p>
    <w:tbl>
      <w:tblPr>
        <w:tblW w:w="9558" w:type="dxa"/>
        <w:tblLayout w:type="fixed"/>
        <w:tblLook w:val="0000"/>
      </w:tblPr>
      <w:tblGrid>
        <w:gridCol w:w="4698"/>
        <w:gridCol w:w="540"/>
        <w:gridCol w:w="4320"/>
      </w:tblGrid>
      <w:tr w14:paraId="418F6903" w14:textId="77777777">
        <w:tblPrEx>
          <w:tblW w:w="9558" w:type="dxa"/>
          <w:tblLayout w:type="fixed"/>
          <w:tblLook w:val="0000"/>
        </w:tblPrEx>
        <w:tc>
          <w:tcPr>
            <w:tcW w:w="4698" w:type="dxa"/>
          </w:tcPr>
          <w:p w:rsidR="00BE5E68" w14:paraId="754048FD" w14:textId="77777777">
            <w:pPr>
              <w:ind w:right="-18"/>
              <w:rPr>
                <w:szCs w:val="22"/>
              </w:rPr>
            </w:pPr>
            <w:r>
              <w:rPr>
                <w:szCs w:val="22"/>
              </w:rPr>
              <w:t>In the Matter of</w:t>
            </w:r>
          </w:p>
          <w:p w:rsidR="00BE5E68" w14:paraId="3E3D01DA" w14:textId="77777777">
            <w:pPr>
              <w:ind w:right="-18"/>
              <w:rPr>
                <w:szCs w:val="22"/>
              </w:rPr>
            </w:pPr>
          </w:p>
          <w:p w:rsidR="00BE5E68" w14:paraId="457CF06C" w14:textId="77777777">
            <w:pPr>
              <w:ind w:right="-108"/>
              <w:rPr>
                <w:szCs w:val="22"/>
              </w:rPr>
            </w:pPr>
            <w:r>
              <w:rPr>
                <w:szCs w:val="22"/>
              </w:rPr>
              <w:t>Metropolitan Transportation Authority</w:t>
            </w:r>
          </w:p>
          <w:p w:rsidR="00BE5E68" w14:paraId="65202C1C" w14:textId="77777777">
            <w:pPr>
              <w:ind w:right="-18"/>
              <w:rPr>
                <w:szCs w:val="22"/>
              </w:rPr>
            </w:pPr>
          </w:p>
          <w:p w:rsidR="00BE5E68" w14:paraId="1E4915F3" w14:textId="2624FAD2">
            <w:pPr>
              <w:ind w:right="-18"/>
              <w:rPr>
                <w:szCs w:val="22"/>
              </w:rPr>
            </w:pPr>
            <w:r>
              <w:rPr>
                <w:szCs w:val="22"/>
              </w:rPr>
              <w:t>Request for Modification of Station</w:t>
            </w:r>
            <w:r w:rsidR="000E01D4">
              <w:rPr>
                <w:szCs w:val="22"/>
              </w:rPr>
              <w:t>s</w:t>
            </w:r>
            <w:r>
              <w:rPr>
                <w:szCs w:val="22"/>
              </w:rPr>
              <w:t xml:space="preserve"> KIVD000</w:t>
            </w:r>
            <w:r w:rsidR="00F34526">
              <w:rPr>
                <w:szCs w:val="22"/>
              </w:rPr>
              <w:t>1</w:t>
            </w:r>
            <w:r w:rsidR="000E01D4">
              <w:rPr>
                <w:szCs w:val="22"/>
              </w:rPr>
              <w:t xml:space="preserve"> and KIVD0002</w:t>
            </w:r>
            <w:r w:rsidR="007238DF">
              <w:rPr>
                <w:szCs w:val="22"/>
              </w:rPr>
              <w:t xml:space="preserve"> </w:t>
            </w:r>
            <w:r w:rsidRPr="007238DF" w:rsidR="007238DF">
              <w:rPr>
                <w:szCs w:val="22"/>
              </w:rPr>
              <w:t xml:space="preserve">to Facilitate Positive Train Control </w:t>
            </w:r>
          </w:p>
          <w:p w:rsidR="00BE5E68" w14:paraId="74DBD4B4" w14:textId="77777777">
            <w:pPr>
              <w:ind w:right="-18"/>
              <w:rPr>
                <w:szCs w:val="22"/>
              </w:rPr>
            </w:pPr>
          </w:p>
          <w:p w:rsidR="00BE5E68" w:rsidP="00F34526" w14:paraId="307BFDE5" w14:textId="77777777">
            <w:pPr>
              <w:ind w:right="-18"/>
              <w:rPr>
                <w:szCs w:val="22"/>
              </w:rPr>
            </w:pPr>
          </w:p>
        </w:tc>
        <w:tc>
          <w:tcPr>
            <w:tcW w:w="540" w:type="dxa"/>
          </w:tcPr>
          <w:p w:rsidR="00BE5E68" w14:paraId="1FC80173" w14:textId="77777777">
            <w:pPr>
              <w:rPr>
                <w:b/>
                <w:szCs w:val="22"/>
              </w:rPr>
            </w:pPr>
            <w:r>
              <w:rPr>
                <w:b/>
                <w:szCs w:val="22"/>
              </w:rPr>
              <w:t>)</w:t>
            </w:r>
          </w:p>
          <w:p w:rsidR="00BE5E68" w14:paraId="56EC68A6" w14:textId="77777777">
            <w:pPr>
              <w:rPr>
                <w:b/>
                <w:szCs w:val="22"/>
              </w:rPr>
            </w:pPr>
            <w:r>
              <w:rPr>
                <w:b/>
                <w:szCs w:val="22"/>
              </w:rPr>
              <w:t>)</w:t>
            </w:r>
          </w:p>
          <w:p w:rsidR="00BE5E68" w14:paraId="46779A45" w14:textId="77777777">
            <w:pPr>
              <w:rPr>
                <w:b/>
                <w:szCs w:val="22"/>
              </w:rPr>
            </w:pPr>
            <w:r>
              <w:rPr>
                <w:b/>
                <w:szCs w:val="22"/>
              </w:rPr>
              <w:t>)</w:t>
            </w:r>
          </w:p>
          <w:p w:rsidR="00BE5E68" w14:paraId="75662D78" w14:textId="77777777">
            <w:pPr>
              <w:rPr>
                <w:b/>
                <w:szCs w:val="22"/>
              </w:rPr>
            </w:pPr>
            <w:r>
              <w:rPr>
                <w:b/>
                <w:szCs w:val="22"/>
              </w:rPr>
              <w:t>)</w:t>
            </w:r>
          </w:p>
          <w:p w:rsidR="007238DF" w14:paraId="45F2C0C1" w14:textId="5F47450E">
            <w:pPr>
              <w:rPr>
                <w:b/>
                <w:szCs w:val="22"/>
              </w:rPr>
            </w:pPr>
            <w:r>
              <w:rPr>
                <w:b/>
                <w:szCs w:val="22"/>
              </w:rPr>
              <w:t>)</w:t>
            </w:r>
          </w:p>
          <w:p w:rsidR="007238DF" w14:paraId="0E25E823" w14:textId="4C3108B8">
            <w:pPr>
              <w:rPr>
                <w:b/>
                <w:szCs w:val="22"/>
              </w:rPr>
            </w:pPr>
            <w:r>
              <w:rPr>
                <w:b/>
                <w:szCs w:val="22"/>
              </w:rPr>
              <w:t>)</w:t>
            </w:r>
          </w:p>
          <w:p w:rsidR="00BE5E68" w14:paraId="3AAB8FB0" w14:textId="77777777">
            <w:pPr>
              <w:rPr>
                <w:b/>
                <w:szCs w:val="22"/>
              </w:rPr>
            </w:pPr>
            <w:r>
              <w:rPr>
                <w:b/>
                <w:szCs w:val="22"/>
              </w:rPr>
              <w:t xml:space="preserve">      </w:t>
            </w:r>
          </w:p>
          <w:p w:rsidR="00BE5E68" w14:paraId="62B436AA" w14:textId="77777777">
            <w:pPr>
              <w:rPr>
                <w:b/>
                <w:szCs w:val="22"/>
              </w:rPr>
            </w:pPr>
          </w:p>
        </w:tc>
        <w:tc>
          <w:tcPr>
            <w:tcW w:w="4320" w:type="dxa"/>
          </w:tcPr>
          <w:p w:rsidR="00BE5E68" w14:paraId="36A20EE5" w14:textId="77777777">
            <w:pPr>
              <w:ind w:left="-108" w:right="-18"/>
              <w:rPr>
                <w:szCs w:val="22"/>
              </w:rPr>
            </w:pPr>
          </w:p>
          <w:p w:rsidR="00BE5E68" w14:paraId="022239B1" w14:textId="77777777">
            <w:pPr>
              <w:ind w:left="-108" w:right="-18"/>
              <w:rPr>
                <w:szCs w:val="22"/>
              </w:rPr>
            </w:pPr>
          </w:p>
          <w:p w:rsidR="00F34526" w:rsidP="00F34526" w14:paraId="760BEE40" w14:textId="3F3F28AA">
            <w:pPr>
              <w:ind w:left="-108" w:right="-18"/>
              <w:rPr>
                <w:szCs w:val="22"/>
              </w:rPr>
            </w:pPr>
          </w:p>
          <w:p w:rsidR="006574E7" w:rsidP="006574E7" w14:paraId="6C419A50" w14:textId="77777777">
            <w:pPr>
              <w:ind w:left="-108" w:right="-18"/>
              <w:rPr>
                <w:szCs w:val="22"/>
              </w:rPr>
            </w:pPr>
            <w:r>
              <w:rPr>
                <w:szCs w:val="22"/>
              </w:rPr>
              <w:t xml:space="preserve">File Nos. </w:t>
            </w:r>
            <w:r w:rsidRPr="00F34526">
              <w:rPr>
                <w:szCs w:val="22"/>
              </w:rPr>
              <w:t>00</w:t>
            </w:r>
            <w:r>
              <w:rPr>
                <w:szCs w:val="22"/>
              </w:rPr>
              <w:t>10144223, 0010144238</w:t>
            </w:r>
          </w:p>
          <w:p w:rsidR="00BE5E68" w14:paraId="42BFFADF" w14:textId="77777777">
            <w:pPr>
              <w:ind w:left="-108" w:right="-18"/>
              <w:rPr>
                <w:szCs w:val="22"/>
              </w:rPr>
            </w:pPr>
          </w:p>
          <w:p w:rsidR="00BE5E68" w:rsidP="006574E7" w14:paraId="0555A45E" w14:textId="77777777">
            <w:pPr>
              <w:ind w:left="-108" w:right="-18"/>
              <w:rPr>
                <w:szCs w:val="22"/>
              </w:rPr>
            </w:pPr>
          </w:p>
        </w:tc>
      </w:tr>
    </w:tbl>
    <w:p w:rsidR="00BE5E68" w14:paraId="35BC8124" w14:textId="409F0C96">
      <w:pPr>
        <w:spacing w:before="120"/>
        <w:jc w:val="center"/>
        <w:rPr>
          <w:b/>
          <w:szCs w:val="22"/>
        </w:rPr>
      </w:pPr>
      <w:r>
        <w:rPr>
          <w:b/>
          <w:spacing w:val="-2"/>
          <w:szCs w:val="22"/>
        </w:rPr>
        <w:t xml:space="preserve">ORDER OF MODIFICATION </w:t>
      </w:r>
    </w:p>
    <w:p w:rsidR="00BE5E68" w14:paraId="1BB30EE2" w14:textId="6AC3544A">
      <w:pPr>
        <w:rPr>
          <w:szCs w:val="22"/>
        </w:rPr>
      </w:pPr>
    </w:p>
    <w:p w:rsidR="00BE5E68" w:rsidRPr="001E5294" w14:paraId="3F4EAE8C" w14:textId="0E90128C">
      <w:pPr>
        <w:tabs>
          <w:tab w:val="left" w:pos="5760"/>
        </w:tabs>
        <w:rPr>
          <w:b/>
          <w:szCs w:val="22"/>
        </w:rPr>
      </w:pPr>
      <w:r w:rsidRPr="001E5294">
        <w:rPr>
          <w:b/>
          <w:szCs w:val="22"/>
        </w:rPr>
        <w:t xml:space="preserve">Adopted:  </w:t>
      </w:r>
      <w:r w:rsidR="00064BBC">
        <w:rPr>
          <w:b/>
          <w:szCs w:val="22"/>
        </w:rPr>
        <w:t>October</w:t>
      </w:r>
      <w:r w:rsidR="008C1BA1">
        <w:rPr>
          <w:b/>
          <w:szCs w:val="22"/>
        </w:rPr>
        <w:t xml:space="preserve"> </w:t>
      </w:r>
      <w:r w:rsidR="004C5A11">
        <w:rPr>
          <w:b/>
          <w:szCs w:val="22"/>
        </w:rPr>
        <w:t>13</w:t>
      </w:r>
      <w:r w:rsidR="008C1BA1">
        <w:rPr>
          <w:b/>
          <w:szCs w:val="22"/>
        </w:rPr>
        <w:t>, 2023</w:t>
      </w:r>
      <w:r w:rsidRPr="001E5294">
        <w:rPr>
          <w:b/>
          <w:szCs w:val="22"/>
        </w:rPr>
        <w:tab/>
        <w:t xml:space="preserve">Released:  </w:t>
      </w:r>
      <w:r w:rsidR="00064BBC">
        <w:rPr>
          <w:b/>
          <w:szCs w:val="22"/>
        </w:rPr>
        <w:t>October</w:t>
      </w:r>
      <w:r w:rsidR="008C1BA1">
        <w:rPr>
          <w:b/>
          <w:szCs w:val="22"/>
        </w:rPr>
        <w:t xml:space="preserve"> </w:t>
      </w:r>
      <w:r w:rsidR="004C5A11">
        <w:rPr>
          <w:b/>
          <w:szCs w:val="22"/>
        </w:rPr>
        <w:t>13</w:t>
      </w:r>
      <w:r w:rsidR="008C1BA1">
        <w:rPr>
          <w:b/>
          <w:szCs w:val="22"/>
        </w:rPr>
        <w:t>, 2023</w:t>
      </w:r>
    </w:p>
    <w:p w:rsidR="00BE5E68" w:rsidRPr="001E5294" w14:paraId="488AFE69" w14:textId="77777777">
      <w:pPr>
        <w:tabs>
          <w:tab w:val="left" w:pos="5760"/>
        </w:tabs>
        <w:rPr>
          <w:b/>
          <w:szCs w:val="22"/>
        </w:rPr>
      </w:pPr>
    </w:p>
    <w:p w:rsidR="00BE5E68" w:rsidRPr="001E5294" w14:paraId="174EDBE9" w14:textId="77777777">
      <w:pPr>
        <w:tabs>
          <w:tab w:val="left" w:pos="5760"/>
        </w:tabs>
        <w:rPr>
          <w:szCs w:val="22"/>
        </w:rPr>
      </w:pPr>
      <w:r w:rsidRPr="001E5294">
        <w:rPr>
          <w:szCs w:val="22"/>
        </w:rPr>
        <w:t>By the</w:t>
      </w:r>
      <w:r w:rsidRPr="001E5294">
        <w:rPr>
          <w:spacing w:val="-2"/>
          <w:szCs w:val="22"/>
        </w:rPr>
        <w:t xml:space="preserve"> </w:t>
      </w:r>
      <w:r w:rsidRPr="001E5294" w:rsidR="00F34526">
        <w:rPr>
          <w:spacing w:val="-2"/>
          <w:szCs w:val="22"/>
        </w:rPr>
        <w:t>Chief, Mobility Division, Wireless Telecommunications Bureau</w:t>
      </w:r>
      <w:r w:rsidRPr="001E5294">
        <w:rPr>
          <w:spacing w:val="-2"/>
          <w:szCs w:val="22"/>
        </w:rPr>
        <w:t>:</w:t>
      </w:r>
    </w:p>
    <w:p w:rsidR="00BE5E68" w:rsidRPr="001E5294" w14:paraId="47574459" w14:textId="77777777">
      <w:pPr>
        <w:tabs>
          <w:tab w:val="left" w:pos="5760"/>
        </w:tabs>
        <w:rPr>
          <w:b/>
          <w:szCs w:val="22"/>
        </w:rPr>
      </w:pPr>
    </w:p>
    <w:p w:rsidR="00EA56B5" w:rsidP="00214BE2" w14:paraId="0839F916" w14:textId="63366126">
      <w:pPr>
        <w:pStyle w:val="Heading1"/>
      </w:pPr>
      <w:r>
        <w:t>introduction</w:t>
      </w:r>
    </w:p>
    <w:p w:rsidR="000152FA" w:rsidRPr="00B46929" w:rsidP="00B46929" w14:paraId="5FC4766E" w14:textId="78DA1C02">
      <w:pPr>
        <w:pStyle w:val="ParaNum"/>
        <w:numPr>
          <w:ilvl w:val="0"/>
          <w:numId w:val="1"/>
        </w:numPr>
        <w:tabs>
          <w:tab w:val="clear" w:pos="1080"/>
          <w:tab w:val="left" w:pos="1440"/>
        </w:tabs>
        <w:spacing w:after="220"/>
        <w:rPr>
          <w:iCs/>
          <w:szCs w:val="22"/>
        </w:rPr>
      </w:pPr>
      <w:r w:rsidRPr="00660002">
        <w:rPr>
          <w:szCs w:val="22"/>
        </w:rPr>
        <w:t>In t</w:t>
      </w:r>
      <w:r w:rsidRPr="00660002" w:rsidR="00F34526">
        <w:rPr>
          <w:szCs w:val="22"/>
        </w:rPr>
        <w:t>his</w:t>
      </w:r>
      <w:r w:rsidRPr="00660002" w:rsidR="00882F8B">
        <w:rPr>
          <w:szCs w:val="22"/>
        </w:rPr>
        <w:t xml:space="preserve"> </w:t>
      </w:r>
      <w:r w:rsidRPr="00660002" w:rsidR="00AB290A">
        <w:rPr>
          <w:szCs w:val="22"/>
        </w:rPr>
        <w:t>O</w:t>
      </w:r>
      <w:r w:rsidRPr="00660002" w:rsidR="00882F8B">
        <w:rPr>
          <w:szCs w:val="22"/>
        </w:rPr>
        <w:t xml:space="preserve">rder </w:t>
      </w:r>
      <w:r w:rsidRPr="00660002" w:rsidR="000E01D4">
        <w:rPr>
          <w:szCs w:val="22"/>
        </w:rPr>
        <w:t xml:space="preserve">of </w:t>
      </w:r>
      <w:r w:rsidRPr="00660002" w:rsidR="00AB290A">
        <w:rPr>
          <w:szCs w:val="22"/>
        </w:rPr>
        <w:t>M</w:t>
      </w:r>
      <w:r w:rsidRPr="00660002" w:rsidR="000E01D4">
        <w:rPr>
          <w:szCs w:val="22"/>
        </w:rPr>
        <w:t>odification</w:t>
      </w:r>
      <w:r w:rsidR="00664608">
        <w:rPr>
          <w:szCs w:val="22"/>
        </w:rPr>
        <w:t xml:space="preserve"> (Order)</w:t>
      </w:r>
      <w:r w:rsidRPr="00660002">
        <w:rPr>
          <w:szCs w:val="22"/>
        </w:rPr>
        <w:t xml:space="preserve">, </w:t>
      </w:r>
      <w:r w:rsidR="002946BF">
        <w:rPr>
          <w:szCs w:val="22"/>
        </w:rPr>
        <w:t xml:space="preserve">we </w:t>
      </w:r>
      <w:r w:rsidR="00973B37">
        <w:rPr>
          <w:szCs w:val="22"/>
        </w:rPr>
        <w:t xml:space="preserve">take further steps to facilitate railroad safety by </w:t>
      </w:r>
      <w:r w:rsidRPr="00660002" w:rsidR="00FB6660">
        <w:rPr>
          <w:szCs w:val="22"/>
        </w:rPr>
        <w:t>modif</w:t>
      </w:r>
      <w:r w:rsidR="002946BF">
        <w:rPr>
          <w:szCs w:val="22"/>
        </w:rPr>
        <w:t>y</w:t>
      </w:r>
      <w:r w:rsidR="00973B37">
        <w:rPr>
          <w:szCs w:val="22"/>
        </w:rPr>
        <w:t>ing</w:t>
      </w:r>
      <w:r w:rsidRPr="00660002" w:rsidR="00FB6660">
        <w:rPr>
          <w:szCs w:val="22"/>
        </w:rPr>
        <w:t xml:space="preserve"> Stations KIVD0001 and KIVD0002</w:t>
      </w:r>
      <w:r w:rsidR="002946BF">
        <w:rPr>
          <w:szCs w:val="22"/>
        </w:rPr>
        <w:t xml:space="preserve">, licensed in the </w:t>
      </w:r>
      <w:r w:rsidRPr="00660002" w:rsidR="002946BF">
        <w:rPr>
          <w:szCs w:val="22"/>
        </w:rPr>
        <w:t xml:space="preserve">218-219 MHz Service </w:t>
      </w:r>
      <w:r w:rsidR="002946BF">
        <w:rPr>
          <w:szCs w:val="22"/>
        </w:rPr>
        <w:t xml:space="preserve">to </w:t>
      </w:r>
      <w:bookmarkStart w:id="0" w:name="_Hlk132708680"/>
      <w:r w:rsidR="00101452">
        <w:rPr>
          <w:szCs w:val="22"/>
        </w:rPr>
        <w:t xml:space="preserve">the </w:t>
      </w:r>
      <w:r w:rsidRPr="00660002" w:rsidR="002946BF">
        <w:rPr>
          <w:szCs w:val="22"/>
        </w:rPr>
        <w:t>Metropolitan Transportation Authority (MTA) of New York</w:t>
      </w:r>
      <w:bookmarkEnd w:id="0"/>
      <w:r w:rsidR="00406A95">
        <w:rPr>
          <w:szCs w:val="22"/>
        </w:rPr>
        <w:t>,</w:t>
      </w:r>
      <w:r w:rsidR="00C961DA">
        <w:rPr>
          <w:szCs w:val="22"/>
        </w:rPr>
        <w:t xml:space="preserve"> </w:t>
      </w:r>
      <w:r w:rsidR="00406A95">
        <w:rPr>
          <w:szCs w:val="22"/>
        </w:rPr>
        <w:t>subject to certain terms and conditions</w:t>
      </w:r>
      <w:r w:rsidR="00891D9D">
        <w:rPr>
          <w:szCs w:val="22"/>
        </w:rPr>
        <w:t>.</w:t>
      </w:r>
      <w:r>
        <w:rPr>
          <w:rStyle w:val="FootnoteReference"/>
          <w:sz w:val="22"/>
          <w:szCs w:val="22"/>
        </w:rPr>
        <w:footnoteReference w:id="3"/>
      </w:r>
      <w:r w:rsidR="00EF04B5">
        <w:rPr>
          <w:szCs w:val="22"/>
        </w:rPr>
        <w:t xml:space="preserve">  </w:t>
      </w:r>
      <w:r>
        <w:rPr>
          <w:szCs w:val="22"/>
        </w:rPr>
        <w:t xml:space="preserve">Consistent with the </w:t>
      </w:r>
      <w:r w:rsidRPr="00FC7BE3">
        <w:rPr>
          <w:i/>
          <w:iCs/>
          <w:szCs w:val="22"/>
        </w:rPr>
        <w:t>Proposed Order of Modification</w:t>
      </w:r>
      <w:r>
        <w:rPr>
          <w:szCs w:val="22"/>
        </w:rPr>
        <w:t xml:space="preserve"> issued by the Wireless Telecommunications Bureau, Mobility Division (Bureau),</w:t>
      </w:r>
      <w:r>
        <w:rPr>
          <w:rStyle w:val="FootnoteReference"/>
          <w:szCs w:val="22"/>
        </w:rPr>
        <w:footnoteReference w:id="4"/>
      </w:r>
      <w:r>
        <w:rPr>
          <w:szCs w:val="22"/>
        </w:rPr>
        <w:t xml:space="preserve"> and as discussed further below, we</w:t>
      </w:r>
      <w:r w:rsidR="00665AB8">
        <w:rPr>
          <w:szCs w:val="22"/>
        </w:rPr>
        <w:t xml:space="preserve"> </w:t>
      </w:r>
      <w:r w:rsidRPr="002D701F">
        <w:rPr>
          <w:szCs w:val="22"/>
        </w:rPr>
        <w:t>modify</w:t>
      </w:r>
      <w:r w:rsidR="00664608">
        <w:rPr>
          <w:szCs w:val="22"/>
        </w:rPr>
        <w:t xml:space="preserve"> (a)</w:t>
      </w:r>
      <w:r w:rsidRPr="002D701F">
        <w:rPr>
          <w:szCs w:val="22"/>
        </w:rPr>
        <w:t xml:space="preserve"> Station KIVD0002</w:t>
      </w:r>
      <w:r w:rsidR="00B46929">
        <w:rPr>
          <w:szCs w:val="22"/>
        </w:rPr>
        <w:t>, b</w:t>
      </w:r>
      <w:r w:rsidRPr="00B46929">
        <w:rPr>
          <w:szCs w:val="22"/>
        </w:rPr>
        <w:t xml:space="preserve">y authorizing the use of an additional 250 kilohertz of spectrum from the Commission’s inventory in </w:t>
      </w:r>
      <w:r w:rsidRPr="00B46929" w:rsidR="00406A95">
        <w:rPr>
          <w:szCs w:val="22"/>
        </w:rPr>
        <w:t>f</w:t>
      </w:r>
      <w:r w:rsidRPr="00B46929">
        <w:rPr>
          <w:szCs w:val="22"/>
        </w:rPr>
        <w:t xml:space="preserve">our counties </w:t>
      </w:r>
      <w:r w:rsidRPr="00B46929" w:rsidR="00D63D24">
        <w:rPr>
          <w:szCs w:val="22"/>
        </w:rPr>
        <w:t>in New York and Connecticut,</w:t>
      </w:r>
      <w:r>
        <w:rPr>
          <w:rStyle w:val="FootnoteReference"/>
          <w:sz w:val="22"/>
          <w:szCs w:val="22"/>
        </w:rPr>
        <w:footnoteReference w:id="5"/>
      </w:r>
      <w:r w:rsidRPr="00B46929" w:rsidR="005D36C9">
        <w:rPr>
          <w:szCs w:val="22"/>
        </w:rPr>
        <w:t xml:space="preserve"> </w:t>
      </w:r>
      <w:r w:rsidRPr="00B46929">
        <w:rPr>
          <w:szCs w:val="22"/>
        </w:rPr>
        <w:t xml:space="preserve">where additional spectrum is required to enhance the reliability of Metro-North’s </w:t>
      </w:r>
      <w:r w:rsidRPr="00B46929" w:rsidR="00664608">
        <w:rPr>
          <w:szCs w:val="22"/>
        </w:rPr>
        <w:t>positive train control (</w:t>
      </w:r>
      <w:r w:rsidRPr="00B46929">
        <w:rPr>
          <w:szCs w:val="22"/>
        </w:rPr>
        <w:t>PTC</w:t>
      </w:r>
      <w:r w:rsidRPr="00B46929" w:rsidR="00664608">
        <w:rPr>
          <w:szCs w:val="22"/>
        </w:rPr>
        <w:t>)</w:t>
      </w:r>
      <w:r w:rsidRPr="00B46929">
        <w:rPr>
          <w:szCs w:val="22"/>
        </w:rPr>
        <w:t xml:space="preserve"> system</w:t>
      </w:r>
      <w:r w:rsidRPr="00B46929" w:rsidR="00665AB8">
        <w:rPr>
          <w:szCs w:val="22"/>
        </w:rPr>
        <w:t>;</w:t>
      </w:r>
      <w:r>
        <w:rPr>
          <w:rStyle w:val="FootnoteReference"/>
          <w:szCs w:val="22"/>
        </w:rPr>
        <w:footnoteReference w:id="6"/>
      </w:r>
      <w:r w:rsidR="00DD2C85">
        <w:rPr>
          <w:szCs w:val="22"/>
        </w:rPr>
        <w:t xml:space="preserve"> </w:t>
      </w:r>
      <w:r w:rsidRPr="00B46929">
        <w:rPr>
          <w:szCs w:val="22"/>
        </w:rPr>
        <w:t xml:space="preserve">and </w:t>
      </w:r>
      <w:r w:rsidRPr="00B46929" w:rsidR="00665AB8">
        <w:rPr>
          <w:szCs w:val="22"/>
        </w:rPr>
        <w:t xml:space="preserve">(b) </w:t>
      </w:r>
      <w:r w:rsidRPr="00B46929">
        <w:rPr>
          <w:szCs w:val="22"/>
        </w:rPr>
        <w:t>Station KIVD0001</w:t>
      </w:r>
      <w:r w:rsidR="00B46929">
        <w:rPr>
          <w:szCs w:val="22"/>
        </w:rPr>
        <w:t>,</w:t>
      </w:r>
      <w:r w:rsidRPr="00B46929" w:rsidR="00F35129">
        <w:rPr>
          <w:szCs w:val="22"/>
        </w:rPr>
        <w:t xml:space="preserve"> by </w:t>
      </w:r>
      <w:r w:rsidRPr="00B46929" w:rsidR="00406A95">
        <w:rPr>
          <w:szCs w:val="22"/>
        </w:rPr>
        <w:t xml:space="preserve">deleting the authorization to use 250 kilohertz of spectrum </w:t>
      </w:r>
      <w:r w:rsidRPr="00B46929" w:rsidR="00D63D24">
        <w:rPr>
          <w:szCs w:val="22"/>
        </w:rPr>
        <w:t>in</w:t>
      </w:r>
      <w:r w:rsidRPr="00B46929" w:rsidR="00406A95">
        <w:rPr>
          <w:szCs w:val="22"/>
        </w:rPr>
        <w:t xml:space="preserve"> five New Jersey counties, returning it to the Commission’s inventory for future disposition as determined by the Commission.</w:t>
      </w:r>
      <w:r w:rsidR="00AB55ED">
        <w:rPr>
          <w:szCs w:val="22"/>
        </w:rPr>
        <w:t xml:space="preserve"> </w:t>
      </w:r>
      <w:r w:rsidRPr="00B46929" w:rsidR="003709D4">
        <w:rPr>
          <w:szCs w:val="22"/>
        </w:rPr>
        <w:t xml:space="preserve"> Our action </w:t>
      </w:r>
      <w:r w:rsidR="00973B37">
        <w:rPr>
          <w:szCs w:val="22"/>
        </w:rPr>
        <w:t>today</w:t>
      </w:r>
      <w:r w:rsidRPr="00B46929" w:rsidR="00973B37">
        <w:rPr>
          <w:szCs w:val="22"/>
        </w:rPr>
        <w:t xml:space="preserve"> </w:t>
      </w:r>
      <w:r w:rsidRPr="00B46929" w:rsidR="003709D4">
        <w:rPr>
          <w:szCs w:val="22"/>
        </w:rPr>
        <w:t>serve</w:t>
      </w:r>
      <w:r w:rsidR="00973B37">
        <w:rPr>
          <w:szCs w:val="22"/>
        </w:rPr>
        <w:t>s</w:t>
      </w:r>
      <w:r w:rsidRPr="00B46929" w:rsidR="003709D4">
        <w:rPr>
          <w:szCs w:val="22"/>
        </w:rPr>
        <w:t xml:space="preserve"> the </w:t>
      </w:r>
      <w:r w:rsidRPr="00B46929" w:rsidR="003709D4">
        <w:rPr>
          <w:szCs w:val="22"/>
          <w:lang w:val="en"/>
        </w:rPr>
        <w:t xml:space="preserve">public interest in rail safety by providing MTA spectrum needed </w:t>
      </w:r>
      <w:r w:rsidRPr="00B46929" w:rsidR="003709D4">
        <w:rPr>
          <w:szCs w:val="22"/>
        </w:rPr>
        <w:t xml:space="preserve">to improve the reliability of its PTC system served by MTA’s Metro-North Commuter Railroad (Metro-North) and its tenant, the National Railroad Passenger Corporation </w:t>
      </w:r>
      <w:r w:rsidRPr="00B46929" w:rsidR="003709D4">
        <w:rPr>
          <w:szCs w:val="22"/>
        </w:rPr>
        <w:t>(Amtrak).</w:t>
      </w:r>
      <w:r>
        <w:rPr>
          <w:rStyle w:val="FootnoteReference"/>
          <w:sz w:val="22"/>
          <w:szCs w:val="22"/>
        </w:rPr>
        <w:footnoteReference w:id="7"/>
      </w:r>
      <w:r w:rsidR="00276DDB">
        <w:rPr>
          <w:szCs w:val="22"/>
        </w:rPr>
        <w:t xml:space="preserve">  Additionally, it serves the public interest in rail safety by requiring MTA to </w:t>
      </w:r>
      <w:r w:rsidR="00AD0027">
        <w:rPr>
          <w:szCs w:val="22"/>
        </w:rPr>
        <w:t>provide</w:t>
      </w:r>
      <w:r w:rsidR="00276DDB">
        <w:rPr>
          <w:szCs w:val="22"/>
        </w:rPr>
        <w:t xml:space="preserve"> to </w:t>
      </w:r>
      <w:r w:rsidR="00893BBC">
        <w:rPr>
          <w:szCs w:val="22"/>
        </w:rPr>
        <w:t>New Jersey</w:t>
      </w:r>
      <w:r w:rsidR="00276DDB">
        <w:rPr>
          <w:szCs w:val="22"/>
        </w:rPr>
        <w:t xml:space="preserve"> Transit</w:t>
      </w:r>
      <w:r w:rsidR="007A24A4">
        <w:rPr>
          <w:szCs w:val="22"/>
        </w:rPr>
        <w:t xml:space="preserve"> Corporation (NJ Transit)</w:t>
      </w:r>
      <w:r w:rsidR="00AD0027">
        <w:rPr>
          <w:szCs w:val="22"/>
        </w:rPr>
        <w:t>, on commercially reasonable terms,</w:t>
      </w:r>
      <w:r w:rsidRPr="00F50DEC" w:rsidR="00AD0027">
        <w:rPr>
          <w:szCs w:val="22"/>
        </w:rPr>
        <w:t xml:space="preserve"> additional spectrum </w:t>
      </w:r>
      <w:r w:rsidRPr="00C5235F" w:rsidR="00AD0027">
        <w:rPr>
          <w:szCs w:val="22"/>
        </w:rPr>
        <w:t xml:space="preserve">if needed to support </w:t>
      </w:r>
      <w:r w:rsidR="00AD0027">
        <w:rPr>
          <w:szCs w:val="22"/>
        </w:rPr>
        <w:t>NJ Transit’s</w:t>
      </w:r>
      <w:r w:rsidRPr="00C5235F" w:rsidR="00AD0027">
        <w:rPr>
          <w:szCs w:val="22"/>
        </w:rPr>
        <w:t xml:space="preserve"> PTC </w:t>
      </w:r>
      <w:r w:rsidR="00D22DCC">
        <w:rPr>
          <w:szCs w:val="22"/>
        </w:rPr>
        <w:t xml:space="preserve">operations </w:t>
      </w:r>
      <w:r w:rsidRPr="00C5235F" w:rsidR="00AD0027">
        <w:rPr>
          <w:szCs w:val="22"/>
        </w:rPr>
        <w:t>in northern New Jersey</w:t>
      </w:r>
      <w:r w:rsidR="000E755B">
        <w:rPr>
          <w:szCs w:val="22"/>
        </w:rPr>
        <w:t xml:space="preserve">, </w:t>
      </w:r>
      <w:r w:rsidR="00AD0027">
        <w:rPr>
          <w:szCs w:val="22"/>
        </w:rPr>
        <w:t>as a condition of the modification</w:t>
      </w:r>
      <w:r w:rsidR="005418ED">
        <w:rPr>
          <w:szCs w:val="22"/>
        </w:rPr>
        <w:t>s.</w:t>
      </w:r>
    </w:p>
    <w:p w:rsidR="00AE7061" w:rsidRPr="004E03F8" w:rsidP="00764C7D" w14:paraId="40FAFD4F" w14:textId="4C778BC7">
      <w:pPr>
        <w:pStyle w:val="ParaNum"/>
        <w:numPr>
          <w:ilvl w:val="0"/>
          <w:numId w:val="1"/>
        </w:numPr>
        <w:tabs>
          <w:tab w:val="clear" w:pos="1080"/>
          <w:tab w:val="left" w:pos="1440"/>
        </w:tabs>
        <w:spacing w:after="220"/>
        <w:rPr>
          <w:iCs/>
          <w:szCs w:val="22"/>
        </w:rPr>
      </w:pPr>
      <w:r>
        <w:rPr>
          <w:szCs w:val="22"/>
        </w:rPr>
        <w:t>As discussed below, w</w:t>
      </w:r>
      <w:r w:rsidR="006A2973">
        <w:rPr>
          <w:szCs w:val="22"/>
        </w:rPr>
        <w:t>e also</w:t>
      </w:r>
      <w:r w:rsidR="00764C7D">
        <w:rPr>
          <w:szCs w:val="22"/>
        </w:rPr>
        <w:t xml:space="preserve"> </w:t>
      </w:r>
      <w:r w:rsidRPr="006D06D5" w:rsidR="006017C5">
        <w:rPr>
          <w:szCs w:val="22"/>
        </w:rPr>
        <w:t>grant</w:t>
      </w:r>
      <w:r>
        <w:rPr>
          <w:szCs w:val="22"/>
        </w:rPr>
        <w:t xml:space="preserve">, as proposed, </w:t>
      </w:r>
      <w:r w:rsidRPr="006D06D5" w:rsidR="006D3120">
        <w:rPr>
          <w:szCs w:val="22"/>
        </w:rPr>
        <w:t xml:space="preserve">MTA’s </w:t>
      </w:r>
      <w:r w:rsidRPr="006D06D5" w:rsidR="00ED1016">
        <w:rPr>
          <w:szCs w:val="22"/>
        </w:rPr>
        <w:t xml:space="preserve">related </w:t>
      </w:r>
      <w:r w:rsidRPr="006D06D5" w:rsidR="006D3120">
        <w:rPr>
          <w:szCs w:val="22"/>
        </w:rPr>
        <w:t>request</w:t>
      </w:r>
      <w:r w:rsidR="00072A8A">
        <w:rPr>
          <w:szCs w:val="22"/>
        </w:rPr>
        <w:t>s</w:t>
      </w:r>
      <w:r w:rsidR="006D06D5">
        <w:rPr>
          <w:szCs w:val="22"/>
        </w:rPr>
        <w:t xml:space="preserve"> </w:t>
      </w:r>
      <w:r w:rsidRPr="006D06D5" w:rsidR="00ED1016">
        <w:rPr>
          <w:szCs w:val="22"/>
        </w:rPr>
        <w:t>for</w:t>
      </w:r>
      <w:r w:rsidR="00CC52DD">
        <w:rPr>
          <w:szCs w:val="22"/>
        </w:rPr>
        <w:t xml:space="preserve"> </w:t>
      </w:r>
      <w:r w:rsidR="004E03F8">
        <w:rPr>
          <w:szCs w:val="22"/>
        </w:rPr>
        <w:t xml:space="preserve">limited </w:t>
      </w:r>
      <w:r w:rsidR="00CC52DD">
        <w:rPr>
          <w:szCs w:val="22"/>
        </w:rPr>
        <w:t>waiver of</w:t>
      </w:r>
      <w:r w:rsidR="00764C7D">
        <w:rPr>
          <w:szCs w:val="22"/>
        </w:rPr>
        <w:t xml:space="preserve"> two Commission rules</w:t>
      </w:r>
      <w:r w:rsidR="00CC52DD">
        <w:rPr>
          <w:szCs w:val="22"/>
        </w:rPr>
        <w:t xml:space="preserve">: </w:t>
      </w:r>
      <w:r w:rsidR="007C7481">
        <w:rPr>
          <w:szCs w:val="22"/>
        </w:rPr>
        <w:t xml:space="preserve"> </w:t>
      </w:r>
      <w:r w:rsidR="006D06D5">
        <w:rPr>
          <w:szCs w:val="22"/>
        </w:rPr>
        <w:t xml:space="preserve">(1) </w:t>
      </w:r>
      <w:r w:rsidRPr="006D06D5" w:rsidR="001C09BD">
        <w:rPr>
          <w:szCs w:val="22"/>
        </w:rPr>
        <w:t xml:space="preserve">section </w:t>
      </w:r>
      <w:r w:rsidR="00473E09">
        <w:rPr>
          <w:szCs w:val="22"/>
        </w:rPr>
        <w:t>95.1955</w:t>
      </w:r>
      <w:r w:rsidR="00664608">
        <w:rPr>
          <w:szCs w:val="22"/>
        </w:rPr>
        <w:t xml:space="preserve"> (formerly section 95.855)</w:t>
      </w:r>
      <w:r w:rsidR="00764C7D">
        <w:rPr>
          <w:szCs w:val="22"/>
        </w:rPr>
        <w:t xml:space="preserve">, </w:t>
      </w:r>
      <w:r w:rsidRPr="006D06D5" w:rsidR="00ED1016">
        <w:rPr>
          <w:szCs w:val="22"/>
        </w:rPr>
        <w:t xml:space="preserve">to </w:t>
      </w:r>
      <w:r w:rsidR="00764C7D">
        <w:rPr>
          <w:szCs w:val="22"/>
        </w:rPr>
        <w:t xml:space="preserve">permit </w:t>
      </w:r>
      <w:r>
        <w:rPr>
          <w:szCs w:val="22"/>
        </w:rPr>
        <w:t xml:space="preserve">operation </w:t>
      </w:r>
      <w:r w:rsidR="00764C7D">
        <w:rPr>
          <w:szCs w:val="22"/>
        </w:rPr>
        <w:t xml:space="preserve">at </w:t>
      </w:r>
      <w:r w:rsidRPr="006D06D5" w:rsidR="00ED1016">
        <w:rPr>
          <w:szCs w:val="22"/>
        </w:rPr>
        <w:t xml:space="preserve">increased </w:t>
      </w:r>
      <w:r w:rsidRPr="006D06D5" w:rsidR="007B3814">
        <w:rPr>
          <w:szCs w:val="22"/>
        </w:rPr>
        <w:t>power</w:t>
      </w:r>
      <w:r w:rsidR="00B37DCE">
        <w:rPr>
          <w:szCs w:val="22"/>
        </w:rPr>
        <w:t>—</w:t>
      </w:r>
      <w:r w:rsidR="00CC52DD">
        <w:rPr>
          <w:szCs w:val="22"/>
        </w:rPr>
        <w:t>from 4 to 8 watts for mobile PTC operations</w:t>
      </w:r>
      <w:r w:rsidR="004E03F8">
        <w:rPr>
          <w:szCs w:val="22"/>
        </w:rPr>
        <w:t>,</w:t>
      </w:r>
      <w:r w:rsidR="00CC52DD">
        <w:rPr>
          <w:szCs w:val="22"/>
        </w:rPr>
        <w:t xml:space="preserve"> and from 20 to 30 watts for fixed and base station PTC operations</w:t>
      </w:r>
      <w:r w:rsidR="00886894">
        <w:rPr>
          <w:szCs w:val="22"/>
        </w:rPr>
        <w:t>,</w:t>
      </w:r>
      <w:r w:rsidR="008B50FA">
        <w:rPr>
          <w:szCs w:val="22"/>
        </w:rPr>
        <w:t xml:space="preserve"> subject to </w:t>
      </w:r>
      <w:r w:rsidR="00886894">
        <w:rPr>
          <w:szCs w:val="22"/>
        </w:rPr>
        <w:t xml:space="preserve">enhanced </w:t>
      </w:r>
      <w:r w:rsidRPr="000021E0" w:rsidR="00886894">
        <w:rPr>
          <w:szCs w:val="22"/>
        </w:rPr>
        <w:t>out-of-band emissions (OOBE) attenuation requirements</w:t>
      </w:r>
      <w:r w:rsidR="00B37DCE">
        <w:rPr>
          <w:szCs w:val="22"/>
        </w:rPr>
        <w:t>—</w:t>
      </w:r>
      <w:r w:rsidRPr="006D06D5" w:rsidR="006D06D5">
        <w:rPr>
          <w:szCs w:val="22"/>
        </w:rPr>
        <w:t xml:space="preserve">under </w:t>
      </w:r>
      <w:r w:rsidR="00664608">
        <w:rPr>
          <w:szCs w:val="22"/>
        </w:rPr>
        <w:t xml:space="preserve">both </w:t>
      </w:r>
      <w:r w:rsidRPr="006D06D5" w:rsidR="00BE198E">
        <w:rPr>
          <w:szCs w:val="22"/>
        </w:rPr>
        <w:t>Station</w:t>
      </w:r>
      <w:r w:rsidR="00664608">
        <w:rPr>
          <w:szCs w:val="22"/>
        </w:rPr>
        <w:t>s</w:t>
      </w:r>
      <w:r w:rsidRPr="006D06D5" w:rsidR="00BE198E">
        <w:rPr>
          <w:szCs w:val="22"/>
        </w:rPr>
        <w:t xml:space="preserve"> </w:t>
      </w:r>
      <w:r w:rsidRPr="006D06D5" w:rsidR="00E57707">
        <w:rPr>
          <w:szCs w:val="22"/>
        </w:rPr>
        <w:t xml:space="preserve">KIVD0001 </w:t>
      </w:r>
      <w:r w:rsidR="00664608">
        <w:rPr>
          <w:szCs w:val="22"/>
        </w:rPr>
        <w:t xml:space="preserve">and </w:t>
      </w:r>
      <w:r w:rsidRPr="006D06D5">
        <w:rPr>
          <w:szCs w:val="22"/>
        </w:rPr>
        <w:t>KIVD000</w:t>
      </w:r>
      <w:r w:rsidRPr="006D06D5" w:rsidR="006017C5">
        <w:rPr>
          <w:szCs w:val="22"/>
        </w:rPr>
        <w:t>2</w:t>
      </w:r>
      <w:r w:rsidR="00774737">
        <w:rPr>
          <w:szCs w:val="22"/>
        </w:rPr>
        <w:t xml:space="preserve"> (as modified by </w:t>
      </w:r>
      <w:r w:rsidR="00664608">
        <w:rPr>
          <w:szCs w:val="22"/>
        </w:rPr>
        <w:t xml:space="preserve">this Order); </w:t>
      </w:r>
      <w:r w:rsidR="006D06D5">
        <w:rPr>
          <w:szCs w:val="22"/>
        </w:rPr>
        <w:t>and (2)</w:t>
      </w:r>
      <w:r w:rsidR="00764C7D">
        <w:rPr>
          <w:szCs w:val="22"/>
        </w:rPr>
        <w:t xml:space="preserve"> </w:t>
      </w:r>
      <w:r w:rsidR="006D06D5">
        <w:rPr>
          <w:szCs w:val="22"/>
        </w:rPr>
        <w:t xml:space="preserve">section </w:t>
      </w:r>
      <w:r w:rsidR="00473E09">
        <w:rPr>
          <w:szCs w:val="22"/>
        </w:rPr>
        <w:t>95.1915(b)</w:t>
      </w:r>
      <w:r w:rsidR="006D06D5">
        <w:rPr>
          <w:szCs w:val="22"/>
        </w:rPr>
        <w:t xml:space="preserve">, which requires a 218-219 MHz Service licensee to </w:t>
      </w:r>
      <w:r w:rsidR="002D701F">
        <w:rPr>
          <w:szCs w:val="22"/>
        </w:rPr>
        <w:t xml:space="preserve">file </w:t>
      </w:r>
      <w:r w:rsidRPr="002D701F" w:rsidR="006D06D5">
        <w:rPr>
          <w:szCs w:val="22"/>
        </w:rPr>
        <w:t>certain information regarding individually licensed base stations.</w:t>
      </w:r>
      <w:r>
        <w:rPr>
          <w:rStyle w:val="FootnoteReference"/>
          <w:szCs w:val="22"/>
        </w:rPr>
        <w:footnoteReference w:id="8"/>
      </w:r>
      <w:r w:rsidR="003C2770">
        <w:rPr>
          <w:szCs w:val="22"/>
        </w:rPr>
        <w:t xml:space="preserve">  </w:t>
      </w:r>
      <w:r w:rsidRPr="002D701F" w:rsidR="00CC52DD">
        <w:rPr>
          <w:szCs w:val="22"/>
        </w:rPr>
        <w:t>The</w:t>
      </w:r>
      <w:r w:rsidR="008B50FA">
        <w:rPr>
          <w:szCs w:val="22"/>
        </w:rPr>
        <w:t>se</w:t>
      </w:r>
      <w:r w:rsidRPr="002D701F" w:rsidR="00260714">
        <w:rPr>
          <w:szCs w:val="22"/>
        </w:rPr>
        <w:t xml:space="preserve"> </w:t>
      </w:r>
      <w:r w:rsidR="00F330CC">
        <w:rPr>
          <w:szCs w:val="22"/>
        </w:rPr>
        <w:t xml:space="preserve">limited </w:t>
      </w:r>
      <w:r w:rsidRPr="002D701F" w:rsidR="00260714">
        <w:rPr>
          <w:szCs w:val="22"/>
        </w:rPr>
        <w:t>rule waiver</w:t>
      </w:r>
      <w:r w:rsidR="00260714">
        <w:rPr>
          <w:szCs w:val="22"/>
        </w:rPr>
        <w:t>s</w:t>
      </w:r>
      <w:r w:rsidR="00886894">
        <w:rPr>
          <w:szCs w:val="22"/>
        </w:rPr>
        <w:t xml:space="preserve"> and the enhanced OOBE attenuation requirements</w:t>
      </w:r>
      <w:r w:rsidR="00260714">
        <w:rPr>
          <w:szCs w:val="22"/>
        </w:rPr>
        <w:t xml:space="preserve"> </w:t>
      </w:r>
      <w:r w:rsidR="00CC52DD">
        <w:rPr>
          <w:szCs w:val="22"/>
        </w:rPr>
        <w:t>are consistent with</w:t>
      </w:r>
      <w:r w:rsidR="00B46929">
        <w:rPr>
          <w:szCs w:val="22"/>
        </w:rPr>
        <w:t>,</w:t>
      </w:r>
      <w:r w:rsidR="008B50FA">
        <w:rPr>
          <w:szCs w:val="22"/>
        </w:rPr>
        <w:t xml:space="preserve"> and supported by</w:t>
      </w:r>
      <w:r w:rsidR="00B46929">
        <w:rPr>
          <w:szCs w:val="22"/>
        </w:rPr>
        <w:t>,</w:t>
      </w:r>
      <w:r w:rsidR="008B50FA">
        <w:rPr>
          <w:szCs w:val="22"/>
        </w:rPr>
        <w:t xml:space="preserve"> the </w:t>
      </w:r>
      <w:r w:rsidRPr="008B50FA" w:rsidR="008B50FA">
        <w:rPr>
          <w:i/>
          <w:iCs/>
          <w:szCs w:val="22"/>
        </w:rPr>
        <w:t>Proposed Order</w:t>
      </w:r>
      <w:r w:rsidR="008B50FA">
        <w:rPr>
          <w:szCs w:val="22"/>
        </w:rPr>
        <w:t xml:space="preserve"> and </w:t>
      </w:r>
      <w:r w:rsidR="00CC52DD">
        <w:rPr>
          <w:szCs w:val="22"/>
        </w:rPr>
        <w:t xml:space="preserve">the Bureau’s </w:t>
      </w:r>
      <w:r w:rsidR="0035332B">
        <w:rPr>
          <w:szCs w:val="22"/>
        </w:rPr>
        <w:t xml:space="preserve">2016 </w:t>
      </w:r>
      <w:r w:rsidR="00CC52DD">
        <w:rPr>
          <w:szCs w:val="22"/>
        </w:rPr>
        <w:t>grant of</w:t>
      </w:r>
      <w:r w:rsidR="00473694">
        <w:rPr>
          <w:szCs w:val="22"/>
        </w:rPr>
        <w:t xml:space="preserve"> waiver</w:t>
      </w:r>
      <w:r w:rsidR="00D8006B">
        <w:rPr>
          <w:szCs w:val="22"/>
        </w:rPr>
        <w:t xml:space="preserve"> </w:t>
      </w:r>
      <w:r w:rsidR="00CC52DD">
        <w:rPr>
          <w:szCs w:val="22"/>
        </w:rPr>
        <w:t>relief</w:t>
      </w:r>
      <w:r w:rsidR="00B37DCE">
        <w:rPr>
          <w:szCs w:val="22"/>
        </w:rPr>
        <w:t xml:space="preserve"> </w:t>
      </w:r>
      <w:r w:rsidRPr="00CC52DD" w:rsidR="00064738">
        <w:rPr>
          <w:iCs/>
        </w:rPr>
        <w:t>to enable</w:t>
      </w:r>
      <w:r w:rsidR="00064738">
        <w:rPr>
          <w:iCs/>
        </w:rPr>
        <w:t xml:space="preserve"> MTA’s initial </w:t>
      </w:r>
      <w:r w:rsidRPr="00CC52DD" w:rsidR="00064738">
        <w:rPr>
          <w:iCs/>
        </w:rPr>
        <w:t>PTC deployment under</w:t>
      </w:r>
      <w:r w:rsidR="00064738">
        <w:rPr>
          <w:iCs/>
        </w:rPr>
        <w:t xml:space="preserve"> </w:t>
      </w:r>
      <w:r w:rsidRPr="00CC52DD" w:rsidR="00064738">
        <w:rPr>
          <w:iCs/>
        </w:rPr>
        <w:t>Station KIVD0002</w:t>
      </w:r>
      <w:r w:rsidRPr="00CC52DD" w:rsidR="00CC52DD">
        <w:rPr>
          <w:iCs/>
        </w:rPr>
        <w:t>.</w:t>
      </w:r>
      <w:r>
        <w:rPr>
          <w:rStyle w:val="FootnoteReference"/>
          <w:iCs/>
        </w:rPr>
        <w:footnoteReference w:id="9"/>
      </w:r>
    </w:p>
    <w:p w:rsidR="007A12E2" w:rsidP="00260714" w14:paraId="07B26E13" w14:textId="77777777">
      <w:pPr>
        <w:pStyle w:val="Heading1"/>
      </w:pPr>
      <w:r>
        <w:t>Background</w:t>
      </w:r>
      <w:r w:rsidRPr="00AE7061" w:rsidR="005A7FF2">
        <w:t xml:space="preserve"> </w:t>
      </w:r>
      <w:r w:rsidRPr="00AE7061" w:rsidR="003B1781">
        <w:t xml:space="preserve"> </w:t>
      </w:r>
    </w:p>
    <w:p w:rsidR="00DC643B" w:rsidP="00FA05ED" w14:paraId="571F73C5" w14:textId="18A71FEF">
      <w:pPr>
        <w:pStyle w:val="Heading2"/>
      </w:pPr>
      <w:r>
        <w:t xml:space="preserve">MTA and </w:t>
      </w:r>
      <w:r w:rsidR="00B46929">
        <w:t>Positive Train Control</w:t>
      </w:r>
      <w:r w:rsidRPr="00AE7061" w:rsidR="00FC2CD3">
        <w:t xml:space="preserve"> </w:t>
      </w:r>
      <w:r w:rsidRPr="00AE7061" w:rsidR="00BE198E">
        <w:t xml:space="preserve">  </w:t>
      </w:r>
      <w:r w:rsidRPr="00AE7061" w:rsidR="00504798">
        <w:t xml:space="preserve"> </w:t>
      </w:r>
      <w:r w:rsidRPr="00AE7061" w:rsidR="006D3120">
        <w:t xml:space="preserve">  </w:t>
      </w:r>
      <w:r w:rsidRPr="00AE7061" w:rsidR="00017FD8">
        <w:t xml:space="preserve">    </w:t>
      </w:r>
    </w:p>
    <w:p w:rsidR="00DC643B" w:rsidRPr="00DC643B" w:rsidP="009978F8" w14:paraId="6A295CBE" w14:textId="543FC3C3">
      <w:pPr>
        <w:pStyle w:val="ParaNum"/>
        <w:numPr>
          <w:ilvl w:val="0"/>
          <w:numId w:val="1"/>
        </w:numPr>
        <w:tabs>
          <w:tab w:val="clear" w:pos="1080"/>
          <w:tab w:val="left" w:pos="1440"/>
        </w:tabs>
        <w:spacing w:after="220"/>
      </w:pPr>
      <w:r>
        <w:t>MTA is a New York State public-benefit corporation responsible for public transportation in 12 counties in southeastern New York, and two counties in southwestern Connecticut.</w:t>
      </w:r>
      <w:r>
        <w:rPr>
          <w:rStyle w:val="FootnoteReference"/>
        </w:rPr>
        <w:footnoteReference w:id="10"/>
      </w:r>
      <w:r w:rsidR="00C550F2">
        <w:t xml:space="preserve">  </w:t>
      </w:r>
      <w:r w:rsidR="0019082C">
        <w:t xml:space="preserve">MTA’s </w:t>
      </w:r>
      <w:r w:rsidRPr="00C550F2">
        <w:rPr>
          <w:szCs w:val="22"/>
        </w:rPr>
        <w:t>Metro</w:t>
      </w:r>
      <w:r w:rsidRPr="00C550F2" w:rsidR="00260714">
        <w:rPr>
          <w:szCs w:val="22"/>
        </w:rPr>
        <w:t>-</w:t>
      </w:r>
      <w:r w:rsidRPr="00C550F2">
        <w:rPr>
          <w:szCs w:val="22"/>
        </w:rPr>
        <w:t xml:space="preserve">North </w:t>
      </w:r>
      <w:r w:rsidRPr="00C550F2" w:rsidR="00FA3A47">
        <w:rPr>
          <w:szCs w:val="22"/>
        </w:rPr>
        <w:t xml:space="preserve">is </w:t>
      </w:r>
      <w:r w:rsidRPr="00C550F2">
        <w:rPr>
          <w:szCs w:val="22"/>
        </w:rPr>
        <w:t>one of the busiest commuter rail systems in the country.</w:t>
      </w:r>
      <w:r w:rsidRPr="00C550F2" w:rsidR="00064738">
        <w:rPr>
          <w:szCs w:val="22"/>
        </w:rPr>
        <w:t xml:space="preserve">  </w:t>
      </w:r>
      <w:r w:rsidRPr="00C550F2">
        <w:rPr>
          <w:szCs w:val="22"/>
        </w:rPr>
        <w:t>In 2021, Metro</w:t>
      </w:r>
      <w:r w:rsidRPr="00C550F2" w:rsidR="00260714">
        <w:rPr>
          <w:szCs w:val="22"/>
        </w:rPr>
        <w:t>-</w:t>
      </w:r>
      <w:r w:rsidRPr="00C550F2">
        <w:rPr>
          <w:szCs w:val="22"/>
        </w:rPr>
        <w:t>North carried over 30 million passengers, providing an average of 10</w:t>
      </w:r>
      <w:r w:rsidRPr="00C550F2" w:rsidR="004F242E">
        <w:rPr>
          <w:szCs w:val="22"/>
        </w:rPr>
        <w:t>3</w:t>
      </w:r>
      <w:r w:rsidRPr="00C550F2">
        <w:rPr>
          <w:szCs w:val="22"/>
        </w:rPr>
        <w:t>,000 passenger trips each weekday.</w:t>
      </w:r>
      <w:r>
        <w:rPr>
          <w:rStyle w:val="FootnoteReference"/>
          <w:szCs w:val="22"/>
        </w:rPr>
        <w:footnoteReference w:id="11"/>
      </w:r>
      <w:r w:rsidRPr="00C550F2">
        <w:rPr>
          <w:szCs w:val="22"/>
        </w:rPr>
        <w:t xml:space="preserve">  Its service territory spans seven New York State counties (Bronx, Dutchess, New York, Orange, Putnam, Rockland, and Westchester) and two southwestern Connecticut</w:t>
      </w:r>
      <w:r w:rsidRPr="00C550F2" w:rsidR="00473694">
        <w:rPr>
          <w:szCs w:val="22"/>
        </w:rPr>
        <w:t xml:space="preserve"> counties</w:t>
      </w:r>
      <w:r w:rsidRPr="00C550F2">
        <w:rPr>
          <w:szCs w:val="22"/>
        </w:rPr>
        <w:t xml:space="preserve"> (Fairfield and New Haven).</w:t>
      </w:r>
      <w:r>
        <w:rPr>
          <w:rStyle w:val="FootnoteReference"/>
          <w:szCs w:val="22"/>
        </w:rPr>
        <w:footnoteReference w:id="12"/>
      </w:r>
    </w:p>
    <w:p w:rsidR="00C00DB6" w:rsidRPr="00FA3A47" w:rsidP="00FA3A47" w14:paraId="6DCAEBD8" w14:textId="1DF9ED83">
      <w:pPr>
        <w:pStyle w:val="ParaNum"/>
        <w:numPr>
          <w:ilvl w:val="0"/>
          <w:numId w:val="1"/>
        </w:numPr>
        <w:tabs>
          <w:tab w:val="clear" w:pos="1080"/>
          <w:tab w:val="left" w:pos="1440"/>
        </w:tabs>
        <w:spacing w:after="220"/>
      </w:pPr>
      <w:r w:rsidRPr="00FA3A47">
        <w:rPr>
          <w:szCs w:val="22"/>
        </w:rPr>
        <w:t>The Rail</w:t>
      </w:r>
      <w:r w:rsidRPr="00A14FAD">
        <w:rPr>
          <w:szCs w:val="22"/>
        </w:rPr>
        <w:t xml:space="preserve"> Safety </w:t>
      </w:r>
      <w:r w:rsidR="00001869">
        <w:rPr>
          <w:szCs w:val="22"/>
        </w:rPr>
        <w:t>Act</w:t>
      </w:r>
      <w:r>
        <w:rPr>
          <w:rStyle w:val="FootnoteReference"/>
          <w:szCs w:val="22"/>
        </w:rPr>
        <w:footnoteReference w:id="13"/>
      </w:r>
      <w:r w:rsidR="00001869">
        <w:rPr>
          <w:szCs w:val="22"/>
        </w:rPr>
        <w:t xml:space="preserve"> </w:t>
      </w:r>
      <w:r w:rsidRPr="00FA3A47">
        <w:rPr>
          <w:szCs w:val="22"/>
        </w:rPr>
        <w:t>required most U.S. freight, passenger, and commuter railroads to install and operate interoperable PTC systems by December 31, 2018.</w:t>
      </w:r>
      <w:r>
        <w:rPr>
          <w:rStyle w:val="FootnoteReference"/>
          <w:szCs w:val="22"/>
        </w:rPr>
        <w:footnoteReference w:id="14"/>
      </w:r>
      <w:r w:rsidRPr="00FA3A47">
        <w:rPr>
          <w:szCs w:val="22"/>
        </w:rPr>
        <w:t xml:space="preserve">  Four railroads met this deadline.</w:t>
      </w:r>
      <w:r>
        <w:rPr>
          <w:rStyle w:val="FootnoteReference"/>
          <w:szCs w:val="22"/>
        </w:rPr>
        <w:footnoteReference w:id="15"/>
      </w:r>
      <w:r w:rsidRPr="00FA3A47">
        <w:rPr>
          <w:szCs w:val="22"/>
        </w:rPr>
        <w:t xml:space="preserve">  As the Rail Safety Act</w:t>
      </w:r>
      <w:r w:rsidRPr="00FA3A47">
        <w:rPr>
          <w:i/>
          <w:iCs/>
          <w:szCs w:val="22"/>
        </w:rPr>
        <w:t xml:space="preserve"> </w:t>
      </w:r>
      <w:r w:rsidRPr="00FA3A47">
        <w:rPr>
          <w:szCs w:val="22"/>
        </w:rPr>
        <w:t>permits, the remaining railroads subject to the PTC mandate, including Metro</w:t>
      </w:r>
      <w:r w:rsidRPr="00FA3A47" w:rsidR="00260714">
        <w:rPr>
          <w:szCs w:val="22"/>
        </w:rPr>
        <w:t>-</w:t>
      </w:r>
      <w:r w:rsidRPr="00FA3A47">
        <w:rPr>
          <w:szCs w:val="22"/>
        </w:rPr>
        <w:t>North</w:t>
      </w:r>
      <w:r w:rsidRPr="00FA3A47" w:rsidR="00DC643B">
        <w:rPr>
          <w:szCs w:val="22"/>
        </w:rPr>
        <w:t xml:space="preserve"> and </w:t>
      </w:r>
      <w:r w:rsidR="008B4DB6">
        <w:rPr>
          <w:szCs w:val="22"/>
        </w:rPr>
        <w:t>its affiliate, the LIRR,</w:t>
      </w:r>
      <w:r w:rsidRPr="00FA3A47">
        <w:rPr>
          <w:szCs w:val="22"/>
        </w:rPr>
        <w:t xml:space="preserve"> requested up to a </w:t>
      </w:r>
      <w:r w:rsidR="00FF78A5">
        <w:rPr>
          <w:szCs w:val="22"/>
        </w:rPr>
        <w:t>two</w:t>
      </w:r>
      <w:r w:rsidRPr="00FA3A47">
        <w:rPr>
          <w:szCs w:val="22"/>
        </w:rPr>
        <w:t>-year extension, until December 31, 2020, to implement PTC.</w:t>
      </w:r>
      <w:r>
        <w:rPr>
          <w:rStyle w:val="FootnoteReference"/>
          <w:szCs w:val="22"/>
        </w:rPr>
        <w:footnoteReference w:id="16"/>
      </w:r>
      <w:r w:rsidRPr="00FA3A47">
        <w:rPr>
          <w:szCs w:val="22"/>
        </w:rPr>
        <w:t xml:space="preserve">  The FRA found that </w:t>
      </w:r>
      <w:r w:rsidRPr="00FA3A47" w:rsidR="00CE337D">
        <w:rPr>
          <w:szCs w:val="22"/>
        </w:rPr>
        <w:t>Metro-North</w:t>
      </w:r>
      <w:r w:rsidR="00CE337D">
        <w:rPr>
          <w:szCs w:val="22"/>
        </w:rPr>
        <w:t>,</w:t>
      </w:r>
      <w:r w:rsidRPr="00FA3A47" w:rsidR="00CE337D">
        <w:rPr>
          <w:szCs w:val="22"/>
        </w:rPr>
        <w:t xml:space="preserve"> LIRR</w:t>
      </w:r>
      <w:r w:rsidR="00CE337D">
        <w:rPr>
          <w:szCs w:val="22"/>
        </w:rPr>
        <w:t>,</w:t>
      </w:r>
      <w:r w:rsidRPr="00FA3A47" w:rsidR="00CE337D">
        <w:rPr>
          <w:szCs w:val="22"/>
        </w:rPr>
        <w:t xml:space="preserve"> </w:t>
      </w:r>
      <w:r w:rsidR="00CE337D">
        <w:rPr>
          <w:szCs w:val="22"/>
        </w:rPr>
        <w:t xml:space="preserve">and </w:t>
      </w:r>
      <w:r w:rsidRPr="00FA3A47">
        <w:rPr>
          <w:szCs w:val="22"/>
        </w:rPr>
        <w:t>the</w:t>
      </w:r>
      <w:r w:rsidR="00CE337D">
        <w:rPr>
          <w:szCs w:val="22"/>
        </w:rPr>
        <w:t xml:space="preserve"> other </w:t>
      </w:r>
      <w:r w:rsidRPr="00FA3A47">
        <w:rPr>
          <w:szCs w:val="22"/>
        </w:rPr>
        <w:t xml:space="preserve">railroads met the statutory </w:t>
      </w:r>
      <w:r w:rsidRPr="00FA3A47">
        <w:rPr>
          <w:szCs w:val="22"/>
        </w:rPr>
        <w:t xml:space="preserve">criteria necessary to qualify for an extended implementation schedule and, subsequently, that they met their extended </w:t>
      </w:r>
      <w:r w:rsidR="00D0643E">
        <w:rPr>
          <w:szCs w:val="22"/>
        </w:rPr>
        <w:t xml:space="preserve">implementation </w:t>
      </w:r>
      <w:r w:rsidRPr="00FA3A47">
        <w:rPr>
          <w:szCs w:val="22"/>
        </w:rPr>
        <w:t>deadlines.</w:t>
      </w:r>
      <w:r>
        <w:rPr>
          <w:rStyle w:val="FootnoteReference"/>
          <w:szCs w:val="22"/>
        </w:rPr>
        <w:footnoteReference w:id="17"/>
      </w:r>
      <w:r w:rsidRPr="00FA3A47">
        <w:rPr>
          <w:szCs w:val="22"/>
        </w:rPr>
        <w:t xml:space="preserve">  </w:t>
      </w:r>
    </w:p>
    <w:p w:rsidR="007A12E2" w:rsidRPr="00B8286B" w:rsidP="00B8286B" w14:paraId="7C0B4FD6" w14:textId="6F8B4295">
      <w:pPr>
        <w:pStyle w:val="ParaNum"/>
        <w:numPr>
          <w:ilvl w:val="0"/>
          <w:numId w:val="1"/>
        </w:numPr>
        <w:tabs>
          <w:tab w:val="clear" w:pos="1080"/>
          <w:tab w:val="left" w:pos="1440"/>
        </w:tabs>
        <w:spacing w:after="220"/>
        <w:rPr>
          <w:szCs w:val="22"/>
        </w:rPr>
      </w:pPr>
      <w:r w:rsidRPr="00B63723">
        <w:rPr>
          <w:szCs w:val="22"/>
        </w:rPr>
        <w:t>PTC systems are designed to reduce the risk of human-error rail accidents by “prevent[</w:t>
      </w:r>
      <w:r w:rsidRPr="00B63723">
        <w:rPr>
          <w:szCs w:val="22"/>
        </w:rPr>
        <w:t>ing</w:t>
      </w:r>
      <w:r w:rsidRPr="00B63723">
        <w:rPr>
          <w:szCs w:val="22"/>
        </w:rPr>
        <w:t>] train-to-train collisions, over-speed derailments, incursions into established work zone limits, and the movement of a train through a switch left in the wrong position.”</w:t>
      </w:r>
      <w:r>
        <w:rPr>
          <w:rStyle w:val="FootnoteReference"/>
          <w:szCs w:val="22"/>
        </w:rPr>
        <w:footnoteReference w:id="18"/>
      </w:r>
      <w:r w:rsidRPr="00B63723">
        <w:rPr>
          <w:szCs w:val="22"/>
        </w:rPr>
        <w:t xml:space="preserve">  The U.S. rail industry chose to implement PTC through wireless networks that use radio spectrum.  These networks have the capacity to enable real-time information sharing between trains, rail wayside devices, and back office applications, regarding train movement authorities, speed restrictions, train position and speed, and the state of signal and switch devices.</w:t>
      </w:r>
    </w:p>
    <w:p w:rsidR="00FA3291" w:rsidRPr="00B8286B" w:rsidP="00FA3291" w14:paraId="38B1391E" w14:textId="1A65CEE8">
      <w:pPr>
        <w:pStyle w:val="ParaNum"/>
        <w:numPr>
          <w:ilvl w:val="0"/>
          <w:numId w:val="1"/>
        </w:numPr>
        <w:tabs>
          <w:tab w:val="clear" w:pos="1080"/>
          <w:tab w:val="left" w:pos="1440"/>
        </w:tabs>
        <w:spacing w:after="220"/>
        <w:rPr>
          <w:szCs w:val="22"/>
        </w:rPr>
      </w:pPr>
      <w:r>
        <w:rPr>
          <w:i/>
          <w:iCs/>
          <w:szCs w:val="22"/>
        </w:rPr>
        <w:t>Station KIVD0002</w:t>
      </w:r>
      <w:r w:rsidRPr="005B5BCC">
        <w:rPr>
          <w:szCs w:val="22"/>
        </w:rPr>
        <w:t>.  In 2012, MTA acquired Station KIVD000</w:t>
      </w:r>
      <w:r w:rsidR="00EE2A06">
        <w:rPr>
          <w:szCs w:val="22"/>
        </w:rPr>
        <w:t>2</w:t>
      </w:r>
      <w:r w:rsidR="00DA656F">
        <w:rPr>
          <w:szCs w:val="22"/>
        </w:rPr>
        <w:t xml:space="preserve">, operating on </w:t>
      </w:r>
      <w:r w:rsidRPr="005B5BCC">
        <w:rPr>
          <w:szCs w:val="22"/>
        </w:rPr>
        <w:t>frequency segment</w:t>
      </w:r>
      <w:r w:rsidR="00DA656F">
        <w:rPr>
          <w:szCs w:val="22"/>
        </w:rPr>
        <w:t xml:space="preserve"> B</w:t>
      </w:r>
      <w:r w:rsidRPr="005B5BCC">
        <w:rPr>
          <w:szCs w:val="22"/>
        </w:rPr>
        <w:t xml:space="preserve"> (218.501 to 219.000 MHz) for the New York CMA</w:t>
      </w:r>
      <w:r w:rsidRPr="005B5BCC" w:rsidR="001437D2">
        <w:rPr>
          <w:szCs w:val="22"/>
        </w:rPr>
        <w:t>—</w:t>
      </w:r>
      <w:r w:rsidRPr="005B5BCC">
        <w:rPr>
          <w:szCs w:val="22"/>
        </w:rPr>
        <w:t>for Metro</w:t>
      </w:r>
      <w:r w:rsidR="00260714">
        <w:rPr>
          <w:szCs w:val="22"/>
        </w:rPr>
        <w:t>-</w:t>
      </w:r>
      <w:r w:rsidRPr="005B5BCC">
        <w:rPr>
          <w:szCs w:val="22"/>
        </w:rPr>
        <w:t>North and the LIRR</w:t>
      </w:r>
      <w:r w:rsidR="00811382">
        <w:rPr>
          <w:szCs w:val="22"/>
        </w:rPr>
        <w:t xml:space="preserve"> to implement PTC</w:t>
      </w:r>
      <w:r w:rsidRPr="00B8286B">
        <w:rPr>
          <w:szCs w:val="22"/>
        </w:rPr>
        <w:t>.</w:t>
      </w:r>
      <w:r>
        <w:rPr>
          <w:rStyle w:val="FootnoteReference"/>
          <w:szCs w:val="22"/>
        </w:rPr>
        <w:footnoteReference w:id="19"/>
      </w:r>
      <w:r w:rsidRPr="00B8286B">
        <w:rPr>
          <w:szCs w:val="22"/>
        </w:rPr>
        <w:t xml:space="preserve">  Station KIVD0002’s </w:t>
      </w:r>
      <w:r w:rsidRPr="00B8286B" w:rsidR="00CE337D">
        <w:rPr>
          <w:szCs w:val="22"/>
        </w:rPr>
        <w:t xml:space="preserve">initial </w:t>
      </w:r>
      <w:r w:rsidRPr="00B8286B">
        <w:rPr>
          <w:szCs w:val="22"/>
        </w:rPr>
        <w:t>license area cover</w:t>
      </w:r>
      <w:r w:rsidRPr="00B8286B" w:rsidR="00CE337D">
        <w:rPr>
          <w:szCs w:val="22"/>
        </w:rPr>
        <w:t>ed</w:t>
      </w:r>
      <w:r w:rsidRPr="00B8286B">
        <w:rPr>
          <w:szCs w:val="22"/>
        </w:rPr>
        <w:t xml:space="preserve"> LIRR’s </w:t>
      </w:r>
      <w:r w:rsidRPr="00B8286B" w:rsidR="001C3ABB">
        <w:rPr>
          <w:szCs w:val="22"/>
        </w:rPr>
        <w:t>five</w:t>
      </w:r>
      <w:r w:rsidRPr="00B8286B" w:rsidR="00FA3A47">
        <w:rPr>
          <w:szCs w:val="22"/>
        </w:rPr>
        <w:t xml:space="preserve">-county </w:t>
      </w:r>
      <w:r w:rsidRPr="00B8286B">
        <w:rPr>
          <w:szCs w:val="22"/>
        </w:rPr>
        <w:t>service territory, and five of the nine counties comprising Metro-North’s service territory.  MTA sought to acquire spectrum on the secondary market for Metro-North to implement PTC in the four remaining counties of its service territory (Dutchess and Orange counties, New York, and Fairfield and New Haven counties, Connecticut) not covered by Station KIVD0002</w:t>
      </w:r>
      <w:r w:rsidRPr="00B8286B" w:rsidR="00B818E8">
        <w:rPr>
          <w:szCs w:val="22"/>
        </w:rPr>
        <w:t>,</w:t>
      </w:r>
      <w:r w:rsidRPr="00B8286B">
        <w:rPr>
          <w:szCs w:val="22"/>
        </w:rPr>
        <w:t xml:space="preserve"> but its efforts were </w:t>
      </w:r>
      <w:r w:rsidRPr="00B8286B" w:rsidR="002E0A13">
        <w:rPr>
          <w:szCs w:val="22"/>
        </w:rPr>
        <w:t xml:space="preserve">not </w:t>
      </w:r>
      <w:r w:rsidRPr="00B8286B" w:rsidR="00473694">
        <w:rPr>
          <w:szCs w:val="22"/>
        </w:rPr>
        <w:t>fruitful</w:t>
      </w:r>
      <w:r w:rsidRPr="00B8286B" w:rsidR="00B869C3">
        <w:rPr>
          <w:szCs w:val="22"/>
        </w:rPr>
        <w:t xml:space="preserve"> due to a lack of suitable spectrum.</w:t>
      </w:r>
      <w:r>
        <w:rPr>
          <w:rStyle w:val="FootnoteReference"/>
          <w:szCs w:val="22"/>
        </w:rPr>
        <w:footnoteReference w:id="20"/>
      </w:r>
      <w:r w:rsidRPr="00B8286B" w:rsidR="00F349A3">
        <w:rPr>
          <w:szCs w:val="22"/>
        </w:rPr>
        <w:t xml:space="preserve">  </w:t>
      </w:r>
      <w:r w:rsidRPr="00B8286B">
        <w:rPr>
          <w:szCs w:val="22"/>
        </w:rPr>
        <w:t xml:space="preserve"> </w:t>
      </w:r>
    </w:p>
    <w:p w:rsidR="007A12E2" w:rsidRPr="0042180B" w:rsidP="00B8286B" w14:paraId="79B18775" w14:textId="23BE30EA">
      <w:pPr>
        <w:pStyle w:val="ParaNum"/>
        <w:numPr>
          <w:ilvl w:val="0"/>
          <w:numId w:val="1"/>
        </w:numPr>
        <w:tabs>
          <w:tab w:val="clear" w:pos="1080"/>
          <w:tab w:val="left" w:pos="1440"/>
        </w:tabs>
        <w:spacing w:after="220"/>
        <w:rPr>
          <w:szCs w:val="22"/>
        </w:rPr>
      </w:pPr>
      <w:r w:rsidRPr="00B8286B">
        <w:rPr>
          <w:i/>
          <w:iCs/>
          <w:szCs w:val="22"/>
        </w:rPr>
        <w:t xml:space="preserve">2016 </w:t>
      </w:r>
      <w:r w:rsidRPr="00B8286B" w:rsidR="00FA3291">
        <w:rPr>
          <w:i/>
          <w:iCs/>
          <w:szCs w:val="22"/>
        </w:rPr>
        <w:t>Modification of Station KIVD0002</w:t>
      </w:r>
      <w:r w:rsidRPr="00B8286B" w:rsidR="00FA3291">
        <w:rPr>
          <w:szCs w:val="22"/>
        </w:rPr>
        <w:t xml:space="preserve">.  In 2016, </w:t>
      </w:r>
      <w:r w:rsidRPr="00B8286B" w:rsidR="004F242E">
        <w:rPr>
          <w:szCs w:val="22"/>
        </w:rPr>
        <w:t xml:space="preserve">at MTA’s request, </w:t>
      </w:r>
      <w:r w:rsidRPr="00B8286B" w:rsidR="00FA3291">
        <w:rPr>
          <w:szCs w:val="22"/>
        </w:rPr>
        <w:t xml:space="preserve">the </w:t>
      </w:r>
      <w:r w:rsidRPr="00B8286B" w:rsidR="00FA3A47">
        <w:rPr>
          <w:szCs w:val="22"/>
        </w:rPr>
        <w:t xml:space="preserve">Bureau </w:t>
      </w:r>
      <w:r w:rsidRPr="00B8286B" w:rsidR="00FA3291">
        <w:rPr>
          <w:szCs w:val="22"/>
        </w:rPr>
        <w:t>modified Station KIVD0002 by authorizing the use of 250 kilohertz of spectrum from the Commission’s inventory in the four counties needed to complete Metro-North’s PTC spectrum footprint.</w:t>
      </w:r>
      <w:r>
        <w:rPr>
          <w:rStyle w:val="FootnoteReference"/>
          <w:szCs w:val="22"/>
        </w:rPr>
        <w:footnoteReference w:id="21"/>
      </w:r>
      <w:r w:rsidRPr="00B8286B" w:rsidR="00FA3291">
        <w:rPr>
          <w:szCs w:val="22"/>
        </w:rPr>
        <w:t xml:space="preserve">  The </w:t>
      </w:r>
      <w:r w:rsidRPr="00B8286B" w:rsidR="000235F5">
        <w:rPr>
          <w:szCs w:val="22"/>
        </w:rPr>
        <w:t xml:space="preserve">Bureau </w:t>
      </w:r>
      <w:r w:rsidR="00411D66">
        <w:rPr>
          <w:szCs w:val="22"/>
        </w:rPr>
        <w:t>further modified the Station by deleting</w:t>
      </w:r>
      <w:r w:rsidRPr="00B8286B" w:rsidR="00FA3291">
        <w:rPr>
          <w:szCs w:val="22"/>
        </w:rPr>
        <w:t xml:space="preserve"> 250 kilohertz of spectrum</w:t>
      </w:r>
      <w:r w:rsidR="00411D66">
        <w:rPr>
          <w:szCs w:val="22"/>
        </w:rPr>
        <w:t xml:space="preserve"> authorized under</w:t>
      </w:r>
      <w:r w:rsidRPr="00B8286B" w:rsidR="00FA3291">
        <w:t xml:space="preserve"> </w:t>
      </w:r>
      <w:r w:rsidRPr="00B8286B" w:rsidR="00FA3291">
        <w:rPr>
          <w:szCs w:val="22"/>
        </w:rPr>
        <w:t>Station KIVD0002 from five New Jersey count</w:t>
      </w:r>
      <w:r w:rsidRPr="00B8286B" w:rsidR="001437D2">
        <w:rPr>
          <w:szCs w:val="22"/>
        </w:rPr>
        <w:t>i</w:t>
      </w:r>
      <w:r w:rsidRPr="00B8286B" w:rsidR="00FA3291">
        <w:rPr>
          <w:szCs w:val="22"/>
        </w:rPr>
        <w:t>es (</w:t>
      </w:r>
      <w:r w:rsidRPr="00B8286B" w:rsidR="00FA3291">
        <w:t xml:space="preserve">Essex, Morris, </w:t>
      </w:r>
      <w:r w:rsidRPr="00B8286B" w:rsidR="00835E5B">
        <w:t xml:space="preserve">Passaic, </w:t>
      </w:r>
      <w:r w:rsidRPr="00B8286B" w:rsidR="00FA3291">
        <w:t xml:space="preserve">Somerset, and Union) </w:t>
      </w:r>
      <w:r w:rsidR="00BE01C6">
        <w:t xml:space="preserve">and returning it </w:t>
      </w:r>
      <w:r w:rsidRPr="00B8286B" w:rsidR="00FA3291">
        <w:rPr>
          <w:szCs w:val="22"/>
        </w:rPr>
        <w:t>to the Commission</w:t>
      </w:r>
      <w:r w:rsidR="00BE01C6">
        <w:rPr>
          <w:szCs w:val="22"/>
        </w:rPr>
        <w:t>’s inventory;</w:t>
      </w:r>
      <w:r w:rsidRPr="00B8286B" w:rsidR="00FA3291">
        <w:rPr>
          <w:szCs w:val="22"/>
        </w:rPr>
        <w:t xml:space="preserve"> that spectrum became unassigned and available for future disposition as determined by the Commission.</w:t>
      </w:r>
      <w:r>
        <w:rPr>
          <w:rStyle w:val="FootnoteReference"/>
          <w:szCs w:val="22"/>
        </w:rPr>
        <w:footnoteReference w:id="22"/>
      </w:r>
      <w:r w:rsidRPr="00B8286B" w:rsidR="00100423">
        <w:rPr>
          <w:szCs w:val="22"/>
        </w:rPr>
        <w:t xml:space="preserve">  </w:t>
      </w:r>
      <w:r w:rsidRPr="00B8286B" w:rsidR="00FA3A47">
        <w:rPr>
          <w:szCs w:val="22"/>
        </w:rPr>
        <w:t>As a condition of the license modification, t</w:t>
      </w:r>
      <w:r w:rsidRPr="00B8286B" w:rsidR="00100423">
        <w:rPr>
          <w:szCs w:val="22"/>
        </w:rPr>
        <w:t xml:space="preserve">he </w:t>
      </w:r>
      <w:r w:rsidRPr="00B8286B" w:rsidR="000235F5">
        <w:rPr>
          <w:szCs w:val="22"/>
        </w:rPr>
        <w:t>Bureau</w:t>
      </w:r>
      <w:r w:rsidRPr="00B8286B" w:rsidR="00100423">
        <w:rPr>
          <w:szCs w:val="22"/>
        </w:rPr>
        <w:t xml:space="preserve"> required MTA</w:t>
      </w:r>
      <w:r w:rsidR="00100423">
        <w:rPr>
          <w:szCs w:val="22"/>
        </w:rPr>
        <w:t xml:space="preserve"> to provide spectrum to </w:t>
      </w:r>
      <w:r w:rsidR="004E1184">
        <w:rPr>
          <w:szCs w:val="22"/>
        </w:rPr>
        <w:t xml:space="preserve">NJ Transit </w:t>
      </w:r>
      <w:r w:rsidR="00100423">
        <w:rPr>
          <w:szCs w:val="22"/>
        </w:rPr>
        <w:t xml:space="preserve">to enable its PTC </w:t>
      </w:r>
      <w:r w:rsidR="006574E7">
        <w:rPr>
          <w:szCs w:val="22"/>
        </w:rPr>
        <w:t xml:space="preserve">implementation </w:t>
      </w:r>
      <w:r w:rsidR="00100423">
        <w:rPr>
          <w:szCs w:val="22"/>
        </w:rPr>
        <w:t>in northern New Jersey</w:t>
      </w:r>
      <w:r w:rsidR="00834FF8">
        <w:rPr>
          <w:szCs w:val="22"/>
        </w:rPr>
        <w:t xml:space="preserve">, and </w:t>
      </w:r>
      <w:r w:rsidR="00790803">
        <w:rPr>
          <w:szCs w:val="22"/>
        </w:rPr>
        <w:t xml:space="preserve">MTA </w:t>
      </w:r>
      <w:r w:rsidR="004534C0">
        <w:rPr>
          <w:szCs w:val="22"/>
        </w:rPr>
        <w:t>did so</w:t>
      </w:r>
      <w:r w:rsidR="00834FF8">
        <w:rPr>
          <w:szCs w:val="22"/>
        </w:rPr>
        <w:t>.</w:t>
      </w:r>
      <w:r>
        <w:rPr>
          <w:rStyle w:val="FootnoteReference"/>
          <w:szCs w:val="22"/>
        </w:rPr>
        <w:footnoteReference w:id="23"/>
      </w:r>
    </w:p>
    <w:p w:rsidR="00F349A3" w:rsidRPr="00DD2787" w:rsidP="008562A5" w14:paraId="27C7772E" w14:textId="1D6AD0F2">
      <w:pPr>
        <w:pStyle w:val="ParaNum"/>
        <w:numPr>
          <w:ilvl w:val="0"/>
          <w:numId w:val="1"/>
        </w:numPr>
        <w:tabs>
          <w:tab w:val="clear" w:pos="1080"/>
          <w:tab w:val="left" w:pos="1440"/>
        </w:tabs>
        <w:spacing w:after="220"/>
        <w:rPr>
          <w:i/>
          <w:iCs/>
          <w:szCs w:val="22"/>
        </w:rPr>
      </w:pPr>
      <w:r w:rsidRPr="00C23449">
        <w:rPr>
          <w:i/>
          <w:iCs/>
          <w:szCs w:val="22"/>
        </w:rPr>
        <w:t>Station KIVD0001</w:t>
      </w:r>
      <w:r w:rsidRPr="00C23449">
        <w:rPr>
          <w:szCs w:val="22"/>
        </w:rPr>
        <w:t xml:space="preserve">.  </w:t>
      </w:r>
      <w:r w:rsidR="00341C29">
        <w:rPr>
          <w:szCs w:val="22"/>
        </w:rPr>
        <w:t>F</w:t>
      </w:r>
      <w:r w:rsidRPr="00C23449">
        <w:rPr>
          <w:szCs w:val="22"/>
        </w:rPr>
        <w:t xml:space="preserve">ollowing the </w:t>
      </w:r>
      <w:r w:rsidR="002B5E43">
        <w:rPr>
          <w:szCs w:val="22"/>
        </w:rPr>
        <w:t xml:space="preserve">Bureau’s </w:t>
      </w:r>
      <w:r w:rsidRPr="00C23449">
        <w:rPr>
          <w:szCs w:val="22"/>
        </w:rPr>
        <w:t xml:space="preserve">modification of Station KIVD0002, </w:t>
      </w:r>
      <w:r w:rsidR="00341C29">
        <w:rPr>
          <w:szCs w:val="22"/>
        </w:rPr>
        <w:t xml:space="preserve">MTA </w:t>
      </w:r>
      <w:r w:rsidRPr="00C23449">
        <w:rPr>
          <w:szCs w:val="22"/>
        </w:rPr>
        <w:t>identified interference issues when using the station’s authorized frequencies to implement PTC.</w:t>
      </w:r>
      <w:r>
        <w:rPr>
          <w:rStyle w:val="FootnoteReference"/>
          <w:szCs w:val="22"/>
        </w:rPr>
        <w:footnoteReference w:id="24"/>
      </w:r>
      <w:r w:rsidRPr="00C23449">
        <w:rPr>
          <w:szCs w:val="22"/>
        </w:rPr>
        <w:t xml:space="preserve">  </w:t>
      </w:r>
      <w:r w:rsidR="008D2A30">
        <w:rPr>
          <w:szCs w:val="22"/>
        </w:rPr>
        <w:t xml:space="preserve">MTA </w:t>
      </w:r>
      <w:r w:rsidR="00341C29">
        <w:rPr>
          <w:szCs w:val="22"/>
        </w:rPr>
        <w:t>implemen</w:t>
      </w:r>
      <w:r w:rsidR="00200370">
        <w:rPr>
          <w:szCs w:val="22"/>
        </w:rPr>
        <w:t>ted</w:t>
      </w:r>
      <w:r w:rsidR="00341C29">
        <w:rPr>
          <w:szCs w:val="22"/>
        </w:rPr>
        <w:t xml:space="preserve"> several </w:t>
      </w:r>
      <w:r w:rsidRPr="0006014A" w:rsidR="00341C29">
        <w:rPr>
          <w:szCs w:val="22"/>
        </w:rPr>
        <w:t xml:space="preserve">measures to address this problem, </w:t>
      </w:r>
      <w:r w:rsidRPr="0006014A" w:rsidR="00EF055B">
        <w:rPr>
          <w:szCs w:val="22"/>
        </w:rPr>
        <w:t xml:space="preserve">which then </w:t>
      </w:r>
      <w:r w:rsidRPr="0006014A" w:rsidR="00341C29">
        <w:rPr>
          <w:szCs w:val="22"/>
        </w:rPr>
        <w:t>resulted in a spectrum shortfall</w:t>
      </w:r>
      <w:r w:rsidRPr="0006014A" w:rsidR="008D2A30">
        <w:rPr>
          <w:szCs w:val="22"/>
        </w:rPr>
        <w:t>.</w:t>
      </w:r>
      <w:r>
        <w:rPr>
          <w:rStyle w:val="FootnoteReference"/>
          <w:szCs w:val="22"/>
        </w:rPr>
        <w:footnoteReference w:id="25"/>
      </w:r>
      <w:r w:rsidRPr="0006014A" w:rsidR="008D2A30">
        <w:rPr>
          <w:szCs w:val="22"/>
        </w:rPr>
        <w:t xml:space="preserve">  To </w:t>
      </w:r>
      <w:r w:rsidR="00B8286B">
        <w:rPr>
          <w:szCs w:val="22"/>
        </w:rPr>
        <w:t>address</w:t>
      </w:r>
      <w:r w:rsidRPr="0006014A" w:rsidR="008D2A30">
        <w:rPr>
          <w:szCs w:val="22"/>
        </w:rPr>
        <w:t xml:space="preserve"> the shortfall</w:t>
      </w:r>
      <w:r w:rsidRPr="0006014A" w:rsidR="00341C29">
        <w:rPr>
          <w:szCs w:val="22"/>
        </w:rPr>
        <w:t xml:space="preserve">, </w:t>
      </w:r>
      <w:r w:rsidR="00BE01C6">
        <w:rPr>
          <w:szCs w:val="22"/>
        </w:rPr>
        <w:t xml:space="preserve">in 2019, </w:t>
      </w:r>
      <w:r w:rsidRPr="0006014A">
        <w:rPr>
          <w:szCs w:val="22"/>
        </w:rPr>
        <w:t>MTA acquired Station KIVD0001</w:t>
      </w:r>
      <w:r w:rsidR="00BE01C6">
        <w:rPr>
          <w:szCs w:val="22"/>
        </w:rPr>
        <w:t xml:space="preserve">, operating on </w:t>
      </w:r>
      <w:r w:rsidRPr="0006014A" w:rsidR="00BB3489">
        <w:rPr>
          <w:szCs w:val="22"/>
        </w:rPr>
        <w:t>frequency segment</w:t>
      </w:r>
      <w:r w:rsidR="00BE01C6">
        <w:rPr>
          <w:szCs w:val="22"/>
        </w:rPr>
        <w:t xml:space="preserve"> </w:t>
      </w:r>
      <w:r w:rsidR="002264C1">
        <w:rPr>
          <w:szCs w:val="22"/>
        </w:rPr>
        <w:t>A</w:t>
      </w:r>
      <w:r w:rsidR="00BE01C6">
        <w:rPr>
          <w:szCs w:val="22"/>
        </w:rPr>
        <w:t xml:space="preserve"> </w:t>
      </w:r>
      <w:r w:rsidRPr="0006014A" w:rsidR="00BB3489">
        <w:rPr>
          <w:szCs w:val="22"/>
        </w:rPr>
        <w:t xml:space="preserve"> (218.000 to 218.500 MHz) for the New York CMA.</w:t>
      </w:r>
      <w:r w:rsidRPr="0006014A" w:rsidR="0052632B">
        <w:rPr>
          <w:szCs w:val="22"/>
        </w:rPr>
        <w:t xml:space="preserve">  </w:t>
      </w:r>
      <w:r w:rsidRPr="001437D2" w:rsidR="0052632B">
        <w:rPr>
          <w:szCs w:val="22"/>
        </w:rPr>
        <w:t xml:space="preserve">MTA </w:t>
      </w:r>
      <w:r w:rsidR="00B8286B">
        <w:rPr>
          <w:szCs w:val="22"/>
        </w:rPr>
        <w:t>report</w:t>
      </w:r>
      <w:r w:rsidR="000E761E">
        <w:rPr>
          <w:szCs w:val="22"/>
        </w:rPr>
        <w:t>s</w:t>
      </w:r>
      <w:r w:rsidR="00EF055B">
        <w:rPr>
          <w:szCs w:val="22"/>
        </w:rPr>
        <w:t>, however,</w:t>
      </w:r>
      <w:r w:rsidRPr="001437D2" w:rsidR="0052632B">
        <w:rPr>
          <w:szCs w:val="22"/>
        </w:rPr>
        <w:t xml:space="preserve"> that </w:t>
      </w:r>
      <w:r w:rsidR="0052632B">
        <w:rPr>
          <w:szCs w:val="22"/>
        </w:rPr>
        <w:t xml:space="preserve">the </w:t>
      </w:r>
      <w:r w:rsidRPr="001437D2" w:rsidR="0052632B">
        <w:rPr>
          <w:szCs w:val="22"/>
        </w:rPr>
        <w:t xml:space="preserve">acquisition of </w:t>
      </w:r>
      <w:r w:rsidR="0052632B">
        <w:rPr>
          <w:szCs w:val="22"/>
        </w:rPr>
        <w:t xml:space="preserve">the </w:t>
      </w:r>
      <w:r w:rsidRPr="001437D2" w:rsidR="0052632B">
        <w:rPr>
          <w:szCs w:val="22"/>
        </w:rPr>
        <w:t xml:space="preserve">Station </w:t>
      </w:r>
      <w:r w:rsidRPr="001437D2" w:rsidR="00381FA3">
        <w:rPr>
          <w:szCs w:val="22"/>
        </w:rPr>
        <w:t>d</w:t>
      </w:r>
      <w:r w:rsidR="00381FA3">
        <w:rPr>
          <w:szCs w:val="22"/>
        </w:rPr>
        <w:t>id</w:t>
      </w:r>
      <w:r w:rsidRPr="001437D2" w:rsidR="00381FA3">
        <w:rPr>
          <w:szCs w:val="22"/>
        </w:rPr>
        <w:t xml:space="preserve"> </w:t>
      </w:r>
      <w:r w:rsidRPr="001437D2" w:rsidR="0052632B">
        <w:rPr>
          <w:szCs w:val="22"/>
        </w:rPr>
        <w:t>not resolve interference</w:t>
      </w:r>
      <w:r w:rsidR="007959E1">
        <w:rPr>
          <w:szCs w:val="22"/>
        </w:rPr>
        <w:t xml:space="preserve"> </w:t>
      </w:r>
      <w:r w:rsidRPr="001437D2" w:rsidR="0052632B">
        <w:rPr>
          <w:szCs w:val="22"/>
        </w:rPr>
        <w:t xml:space="preserve">issues in the four </w:t>
      </w:r>
      <w:r w:rsidR="0052632B">
        <w:rPr>
          <w:szCs w:val="22"/>
        </w:rPr>
        <w:t xml:space="preserve">remaining </w:t>
      </w:r>
      <w:r w:rsidRPr="001437D2" w:rsidR="0052632B">
        <w:rPr>
          <w:szCs w:val="22"/>
        </w:rPr>
        <w:t>counties served by Metro-North</w:t>
      </w:r>
      <w:r w:rsidR="00382349">
        <w:rPr>
          <w:szCs w:val="22"/>
        </w:rPr>
        <w:t>—</w:t>
      </w:r>
      <w:r w:rsidR="00725243">
        <w:rPr>
          <w:szCs w:val="22"/>
        </w:rPr>
        <w:t>counties</w:t>
      </w:r>
      <w:r w:rsidR="00382349">
        <w:rPr>
          <w:szCs w:val="22"/>
        </w:rPr>
        <w:t xml:space="preserve"> </w:t>
      </w:r>
      <w:r w:rsidRPr="001437D2" w:rsidR="0052632B">
        <w:rPr>
          <w:szCs w:val="22"/>
        </w:rPr>
        <w:t xml:space="preserve">not covered by </w:t>
      </w:r>
      <w:r w:rsidR="0052632B">
        <w:rPr>
          <w:szCs w:val="22"/>
        </w:rPr>
        <w:t>its current</w:t>
      </w:r>
      <w:r w:rsidRPr="001437D2" w:rsidR="0052632B">
        <w:rPr>
          <w:szCs w:val="22"/>
        </w:rPr>
        <w:t xml:space="preserve"> authorization</w:t>
      </w:r>
      <w:r w:rsidR="0052632B">
        <w:rPr>
          <w:szCs w:val="22"/>
        </w:rPr>
        <w:t xml:space="preserve"> for KIVD0002</w:t>
      </w:r>
      <w:r w:rsidRPr="001437D2" w:rsidR="0052632B">
        <w:rPr>
          <w:szCs w:val="22"/>
        </w:rPr>
        <w:t>.</w:t>
      </w:r>
      <w:r>
        <w:rPr>
          <w:rStyle w:val="FootnoteReference"/>
          <w:szCs w:val="22"/>
        </w:rPr>
        <w:footnoteReference w:id="26"/>
      </w:r>
      <w:r w:rsidRPr="001437D2" w:rsidR="0052632B">
        <w:rPr>
          <w:szCs w:val="22"/>
        </w:rPr>
        <w:t xml:space="preserve">  </w:t>
      </w:r>
      <w:r w:rsidR="0052632B">
        <w:rPr>
          <w:szCs w:val="22"/>
        </w:rPr>
        <w:t xml:space="preserve">To </w:t>
      </w:r>
      <w:r w:rsidR="00B8286B">
        <w:rPr>
          <w:szCs w:val="22"/>
        </w:rPr>
        <w:t xml:space="preserve">remedy those issues, </w:t>
      </w:r>
      <w:r w:rsidR="0052632B">
        <w:rPr>
          <w:szCs w:val="22"/>
        </w:rPr>
        <w:t xml:space="preserve">MTA </w:t>
      </w:r>
      <w:r w:rsidR="00725243">
        <w:rPr>
          <w:szCs w:val="22"/>
        </w:rPr>
        <w:t xml:space="preserve">filed </w:t>
      </w:r>
      <w:r w:rsidR="008562A5">
        <w:rPr>
          <w:szCs w:val="22"/>
        </w:rPr>
        <w:t xml:space="preserve">its Modification Request seeking </w:t>
      </w:r>
      <w:r w:rsidR="00725243">
        <w:rPr>
          <w:szCs w:val="22"/>
        </w:rPr>
        <w:t>modification of KIVD0002</w:t>
      </w:r>
      <w:r w:rsidR="00B8286B">
        <w:rPr>
          <w:szCs w:val="22"/>
        </w:rPr>
        <w:t xml:space="preserve"> by augmenting its licensed spectrum, </w:t>
      </w:r>
      <w:r w:rsidR="0006014A">
        <w:rPr>
          <w:szCs w:val="22"/>
        </w:rPr>
        <w:t>as described above</w:t>
      </w:r>
      <w:r w:rsidR="00B8286B">
        <w:rPr>
          <w:szCs w:val="22"/>
        </w:rPr>
        <w:t>.</w:t>
      </w:r>
      <w:r>
        <w:rPr>
          <w:rStyle w:val="FootnoteReference"/>
          <w:szCs w:val="22"/>
        </w:rPr>
        <w:footnoteReference w:id="27"/>
      </w:r>
    </w:p>
    <w:p w:rsidR="009F6DE3" w:rsidRPr="004B0996" w:rsidP="004B0996" w14:paraId="1F314333" w14:textId="526CE236">
      <w:pPr>
        <w:pStyle w:val="ParaNum"/>
        <w:numPr>
          <w:ilvl w:val="0"/>
          <w:numId w:val="1"/>
        </w:numPr>
        <w:tabs>
          <w:tab w:val="clear" w:pos="1080"/>
          <w:tab w:val="left" w:pos="1440"/>
        </w:tabs>
        <w:spacing w:after="220"/>
        <w:rPr>
          <w:szCs w:val="22"/>
        </w:rPr>
      </w:pPr>
      <w:r w:rsidRPr="00B8286B">
        <w:rPr>
          <w:i/>
          <w:iCs/>
          <w:szCs w:val="22"/>
        </w:rPr>
        <w:t>Limited Waiver of Section 95.1955</w:t>
      </w:r>
      <w:r w:rsidRPr="00B8286B">
        <w:rPr>
          <w:szCs w:val="22"/>
        </w:rPr>
        <w:t>.  In 2014, the Bureau granted MTA a limited waiver of section 95.1955’s</w:t>
      </w:r>
      <w:r w:rsidRPr="00B8286B" w:rsidR="00664608">
        <w:rPr>
          <w:szCs w:val="22"/>
        </w:rPr>
        <w:t xml:space="preserve"> </w:t>
      </w:r>
      <w:r w:rsidR="00BE01C6">
        <w:rPr>
          <w:szCs w:val="22"/>
        </w:rPr>
        <w:t>effective radiated power (</w:t>
      </w:r>
      <w:r w:rsidRPr="00B8286B">
        <w:rPr>
          <w:szCs w:val="22"/>
        </w:rPr>
        <w:t>ERP</w:t>
      </w:r>
      <w:r w:rsidR="00BE01C6">
        <w:rPr>
          <w:szCs w:val="22"/>
        </w:rPr>
        <w:t>)</w:t>
      </w:r>
      <w:r w:rsidRPr="00B8286B">
        <w:rPr>
          <w:szCs w:val="22"/>
        </w:rPr>
        <w:t xml:space="preserve"> limits—permitting an increase from 4 to 8 watts for mobile </w:t>
      </w:r>
      <w:r w:rsidRPr="00B8286B" w:rsidR="00C961DA">
        <w:rPr>
          <w:szCs w:val="22"/>
        </w:rPr>
        <w:t xml:space="preserve">PTC </w:t>
      </w:r>
      <w:r w:rsidRPr="00B8286B">
        <w:rPr>
          <w:szCs w:val="22"/>
        </w:rPr>
        <w:t xml:space="preserve">operations, and from 20 to 30 watts for base station </w:t>
      </w:r>
      <w:r w:rsidRPr="00B8286B" w:rsidR="00C961DA">
        <w:rPr>
          <w:szCs w:val="22"/>
        </w:rPr>
        <w:t xml:space="preserve">PTC </w:t>
      </w:r>
      <w:r w:rsidRPr="00B8286B">
        <w:rPr>
          <w:szCs w:val="22"/>
        </w:rPr>
        <w:t>operations—to facilitate PTC implementation under Station KIVD0002 (then limited to CMA001)</w:t>
      </w:r>
      <w:r w:rsidRPr="00B8286B">
        <w:rPr>
          <w:iCs/>
        </w:rPr>
        <w:t>.</w:t>
      </w:r>
      <w:r>
        <w:rPr>
          <w:rStyle w:val="FootnoteReference"/>
          <w:iCs/>
        </w:rPr>
        <w:footnoteReference w:id="28"/>
      </w:r>
      <w:r w:rsidRPr="00B8286B">
        <w:rPr>
          <w:iCs/>
        </w:rPr>
        <w:t xml:space="preserve">  In </w:t>
      </w:r>
      <w:r w:rsidRPr="00B8286B" w:rsidR="00081EEB">
        <w:rPr>
          <w:iCs/>
        </w:rPr>
        <w:t xml:space="preserve">the </w:t>
      </w:r>
      <w:r w:rsidRPr="00B8286B">
        <w:rPr>
          <w:i/>
        </w:rPr>
        <w:t>2016</w:t>
      </w:r>
      <w:r w:rsidRPr="00B8286B" w:rsidR="00081EEB">
        <w:rPr>
          <w:i/>
        </w:rPr>
        <w:t xml:space="preserve"> Order on Reconsideration</w:t>
      </w:r>
      <w:r w:rsidRPr="00B8286B">
        <w:rPr>
          <w:iCs/>
        </w:rPr>
        <w:t>, the Commission</w:t>
      </w:r>
      <w:r w:rsidRPr="00B8286B">
        <w:rPr>
          <w:szCs w:val="22"/>
        </w:rPr>
        <w:t xml:space="preserve"> adopted related </w:t>
      </w:r>
      <w:r w:rsidRPr="00B8286B" w:rsidR="00081EEB">
        <w:rPr>
          <w:szCs w:val="22"/>
        </w:rPr>
        <w:t>out-of-band emission (</w:t>
      </w:r>
      <w:r w:rsidRPr="00B8286B">
        <w:rPr>
          <w:szCs w:val="22"/>
        </w:rPr>
        <w:t>OOBE</w:t>
      </w:r>
      <w:r w:rsidRPr="00B8286B" w:rsidR="00081EEB">
        <w:rPr>
          <w:szCs w:val="22"/>
        </w:rPr>
        <w:t>)</w:t>
      </w:r>
      <w:r w:rsidRPr="00B8286B">
        <w:rPr>
          <w:szCs w:val="22"/>
        </w:rPr>
        <w:t xml:space="preserve"> attenuation requirements to address the possibility of interference from waiver-enabled PTC transmitters to spectrally adjacent operations.</w:t>
      </w:r>
      <w:r>
        <w:rPr>
          <w:rStyle w:val="FootnoteReference"/>
          <w:sz w:val="22"/>
          <w:szCs w:val="22"/>
        </w:rPr>
        <w:footnoteReference w:id="29"/>
      </w:r>
      <w:r w:rsidR="00593CBE">
        <w:rPr>
          <w:szCs w:val="22"/>
        </w:rPr>
        <w:t xml:space="preserve">  </w:t>
      </w:r>
      <w:r w:rsidR="007959E1">
        <w:rPr>
          <w:szCs w:val="22"/>
        </w:rPr>
        <w:t>Further</w:t>
      </w:r>
      <w:r w:rsidRPr="00B8286B" w:rsidR="001424CA">
        <w:rPr>
          <w:szCs w:val="22"/>
        </w:rPr>
        <w:t>, t</w:t>
      </w:r>
      <w:r>
        <w:t>he Commission applied the</w:t>
      </w:r>
      <w:r w:rsidR="00081EEB">
        <w:t xml:space="preserve"> </w:t>
      </w:r>
      <w:r>
        <w:t xml:space="preserve">power </w:t>
      </w:r>
      <w:r w:rsidR="001424CA">
        <w:t>waiver relief</w:t>
      </w:r>
      <w:r>
        <w:t xml:space="preserve"> and </w:t>
      </w:r>
      <w:r w:rsidR="0009601B">
        <w:t xml:space="preserve">OOBE </w:t>
      </w:r>
      <w:r w:rsidRPr="00B8286B">
        <w:rPr>
          <w:szCs w:val="22"/>
        </w:rPr>
        <w:t>attenuation requirements</w:t>
      </w:r>
      <w:r>
        <w:t xml:space="preserve"> to </w:t>
      </w:r>
      <w:r w:rsidRPr="00EB4195">
        <w:t xml:space="preserve">the frequency segment B spectrum </w:t>
      </w:r>
      <w:r w:rsidRPr="00B8286B">
        <w:rPr>
          <w:szCs w:val="22"/>
        </w:rPr>
        <w:t xml:space="preserve">that it </w:t>
      </w:r>
      <w:r>
        <w:t>authorized by modification of Station KIVD000</w:t>
      </w:r>
      <w:r w:rsidR="00081EEB">
        <w:t>2</w:t>
      </w:r>
      <w:r w:rsidR="001424CA">
        <w:t xml:space="preserve"> for PTC operations</w:t>
      </w:r>
      <w:r>
        <w:t xml:space="preserve"> in </w:t>
      </w:r>
      <w:r w:rsidR="004B0996">
        <w:t>four counties in New York and Connecticut.</w:t>
      </w:r>
      <w:r>
        <w:rPr>
          <w:rStyle w:val="FootnoteReference"/>
          <w:sz w:val="22"/>
          <w:szCs w:val="22"/>
        </w:rPr>
        <w:footnoteReference w:id="30"/>
      </w:r>
      <w:r w:rsidR="004B0996">
        <w:rPr>
          <w:szCs w:val="22"/>
        </w:rPr>
        <w:t xml:space="preserve">  </w:t>
      </w:r>
      <w:r w:rsidRPr="004B0996" w:rsidR="00382349">
        <w:rPr>
          <w:szCs w:val="22"/>
        </w:rPr>
        <w:t>In its Modification Request, MTA request</w:t>
      </w:r>
      <w:r w:rsidRPr="004B0996" w:rsidR="00A118E9">
        <w:rPr>
          <w:szCs w:val="22"/>
        </w:rPr>
        <w:t>ed</w:t>
      </w:r>
      <w:r w:rsidRPr="004B0996" w:rsidR="001424CA">
        <w:rPr>
          <w:szCs w:val="22"/>
        </w:rPr>
        <w:t xml:space="preserve"> that we extend this limited power waiver relief to PTC operations in th</w:t>
      </w:r>
      <w:r w:rsidRPr="004B0996" w:rsidR="004B0996">
        <w:rPr>
          <w:szCs w:val="22"/>
        </w:rPr>
        <w:t>ose</w:t>
      </w:r>
      <w:r w:rsidRPr="004B0996" w:rsidR="001424CA">
        <w:rPr>
          <w:szCs w:val="22"/>
        </w:rPr>
        <w:t xml:space="preserve"> same four counties under Station KIVD0002, a</w:t>
      </w:r>
      <w:r w:rsidRPr="004B0996" w:rsidR="0009601B">
        <w:rPr>
          <w:szCs w:val="22"/>
        </w:rPr>
        <w:t xml:space="preserve">s </w:t>
      </w:r>
      <w:r w:rsidRPr="004B0996" w:rsidR="001424CA">
        <w:rPr>
          <w:szCs w:val="22"/>
        </w:rPr>
        <w:t>modified by the additional spectrum.</w:t>
      </w:r>
      <w:r>
        <w:rPr>
          <w:rStyle w:val="FootnoteReference"/>
          <w:szCs w:val="22"/>
        </w:rPr>
        <w:footnoteReference w:id="31"/>
      </w:r>
      <w:r w:rsidRPr="004B0996" w:rsidR="001424CA">
        <w:rPr>
          <w:szCs w:val="22"/>
        </w:rPr>
        <w:t xml:space="preserve">  It also requested that </w:t>
      </w:r>
      <w:r w:rsidRPr="004B0996" w:rsidR="0096036F">
        <w:rPr>
          <w:szCs w:val="22"/>
        </w:rPr>
        <w:t xml:space="preserve">we </w:t>
      </w:r>
      <w:r w:rsidRPr="004B0996" w:rsidR="001424CA">
        <w:rPr>
          <w:szCs w:val="22"/>
        </w:rPr>
        <w:t>apply t</w:t>
      </w:r>
      <w:r w:rsidRPr="004B0996" w:rsidR="004B0996">
        <w:rPr>
          <w:szCs w:val="22"/>
        </w:rPr>
        <w:t xml:space="preserve">he </w:t>
      </w:r>
      <w:r w:rsidRPr="004B0996" w:rsidR="001424CA">
        <w:rPr>
          <w:szCs w:val="22"/>
        </w:rPr>
        <w:t>same reli</w:t>
      </w:r>
      <w:r w:rsidRPr="004B0996" w:rsidR="0096036F">
        <w:rPr>
          <w:szCs w:val="22"/>
        </w:rPr>
        <w:t>ef</w:t>
      </w:r>
      <w:r w:rsidRPr="004B0996" w:rsidR="001424CA">
        <w:rPr>
          <w:szCs w:val="22"/>
        </w:rPr>
        <w:t xml:space="preserve"> </w:t>
      </w:r>
      <w:r w:rsidRPr="004B0996" w:rsidR="0096036F">
        <w:rPr>
          <w:szCs w:val="22"/>
        </w:rPr>
        <w:t xml:space="preserve">to its PTC operations under </w:t>
      </w:r>
      <w:r w:rsidRPr="004B0996" w:rsidR="001424CA">
        <w:rPr>
          <w:szCs w:val="22"/>
        </w:rPr>
        <w:t>Station KIVD0001, as modified by the return of spectrum to the Commission.</w:t>
      </w:r>
      <w:r>
        <w:rPr>
          <w:rStyle w:val="FootnoteReference"/>
          <w:szCs w:val="22"/>
        </w:rPr>
        <w:footnoteReference w:id="32"/>
      </w:r>
      <w:r w:rsidRPr="004B0996" w:rsidR="001424CA">
        <w:rPr>
          <w:szCs w:val="22"/>
        </w:rPr>
        <w:t xml:space="preserve"> </w:t>
      </w:r>
    </w:p>
    <w:p w:rsidR="00081EEB" w:rsidRPr="007A12E2" w:rsidP="0052260D" w14:paraId="2D7EB26D" w14:textId="3FBBA2B6">
      <w:pPr>
        <w:pStyle w:val="ParaNum"/>
        <w:widowControl/>
        <w:numPr>
          <w:ilvl w:val="0"/>
          <w:numId w:val="1"/>
        </w:numPr>
        <w:tabs>
          <w:tab w:val="clear" w:pos="1080"/>
          <w:tab w:val="left" w:pos="1440"/>
        </w:tabs>
        <w:spacing w:after="220"/>
        <w:rPr>
          <w:szCs w:val="22"/>
        </w:rPr>
      </w:pPr>
      <w:r>
        <w:rPr>
          <w:i/>
          <w:iCs/>
          <w:szCs w:val="22"/>
        </w:rPr>
        <w:t xml:space="preserve">Limited Waiver of Section </w:t>
      </w:r>
      <w:r w:rsidR="00F21361">
        <w:rPr>
          <w:i/>
          <w:iCs/>
          <w:szCs w:val="22"/>
        </w:rPr>
        <w:t>95.</w:t>
      </w:r>
      <w:r>
        <w:rPr>
          <w:i/>
          <w:iCs/>
          <w:szCs w:val="22"/>
        </w:rPr>
        <w:t>1915(b)</w:t>
      </w:r>
      <w:r w:rsidRPr="00382349">
        <w:rPr>
          <w:szCs w:val="22"/>
        </w:rPr>
        <w:t>.</w:t>
      </w:r>
      <w:r w:rsidR="007A12E2">
        <w:rPr>
          <w:szCs w:val="22"/>
        </w:rPr>
        <w:t xml:space="preserve"> </w:t>
      </w:r>
      <w:r w:rsidR="0096036F">
        <w:rPr>
          <w:szCs w:val="22"/>
        </w:rPr>
        <w:t xml:space="preserve"> </w:t>
      </w:r>
      <w:r w:rsidRPr="00447007" w:rsidR="00C5235F">
        <w:rPr>
          <w:szCs w:val="22"/>
        </w:rPr>
        <w:t>MTA also request</w:t>
      </w:r>
      <w:r w:rsidR="00C5235F">
        <w:rPr>
          <w:szCs w:val="22"/>
        </w:rPr>
        <w:t>ed</w:t>
      </w:r>
      <w:r w:rsidRPr="00447007" w:rsidR="00C5235F">
        <w:rPr>
          <w:szCs w:val="22"/>
        </w:rPr>
        <w:t xml:space="preserve"> a waiver of section 95.1915(b)</w:t>
      </w:r>
      <w:r w:rsidR="00C5235F">
        <w:rPr>
          <w:szCs w:val="22"/>
        </w:rPr>
        <w:t xml:space="preserve"> (formerly section 95.815(b))</w:t>
      </w:r>
      <w:r w:rsidRPr="00447007" w:rsidR="00C5235F">
        <w:rPr>
          <w:szCs w:val="22"/>
        </w:rPr>
        <w:t>, which requires a 218-219 MHz Service licensee to provide certain information regarding individually licensed base stations.</w:t>
      </w:r>
      <w:r>
        <w:rPr>
          <w:rStyle w:val="FootnoteReference"/>
          <w:szCs w:val="22"/>
        </w:rPr>
        <w:footnoteReference w:id="33"/>
      </w:r>
      <w:r w:rsidRPr="00447007" w:rsidR="00C5235F">
        <w:rPr>
          <w:szCs w:val="22"/>
        </w:rPr>
        <w:t xml:space="preserve">  </w:t>
      </w:r>
      <w:r w:rsidRPr="00B34055" w:rsidR="007A12E2">
        <w:rPr>
          <w:szCs w:val="22"/>
        </w:rPr>
        <w:t>Section 95.1911(b) provides</w:t>
      </w:r>
      <w:r w:rsidRPr="00447007" w:rsidR="007A12E2">
        <w:rPr>
          <w:szCs w:val="22"/>
        </w:rPr>
        <w:t xml:space="preserve"> for individual licensing of base stations in the 218-219 MHz </w:t>
      </w:r>
      <w:r w:rsidR="007A12E2">
        <w:rPr>
          <w:szCs w:val="22"/>
        </w:rPr>
        <w:t>Service</w:t>
      </w:r>
      <w:r w:rsidRPr="00447007" w:rsidR="007A12E2">
        <w:rPr>
          <w:szCs w:val="22"/>
        </w:rPr>
        <w:t xml:space="preserve"> where the antenna exceeds 6.1 meters above ground.</w:t>
      </w:r>
      <w:r>
        <w:rPr>
          <w:rStyle w:val="FootnoteReference"/>
          <w:szCs w:val="22"/>
        </w:rPr>
        <w:footnoteReference w:id="34"/>
      </w:r>
      <w:r w:rsidRPr="00447007" w:rsidR="007A12E2">
        <w:rPr>
          <w:szCs w:val="22"/>
        </w:rPr>
        <w:t xml:space="preserve">  Section 95.</w:t>
      </w:r>
      <w:r w:rsidR="007A12E2">
        <w:rPr>
          <w:szCs w:val="22"/>
        </w:rPr>
        <w:t>19</w:t>
      </w:r>
      <w:r w:rsidRPr="00447007" w:rsidR="007A12E2">
        <w:rPr>
          <w:szCs w:val="22"/>
        </w:rPr>
        <w:t xml:space="preserve">15(b), in turn, requires that each request to add, delete, or modify technical information of an individually licensed base station must include a description of the licensee’s system </w:t>
      </w:r>
      <w:r w:rsidRPr="00447007" w:rsidR="007A12E2">
        <w:rPr>
          <w:szCs w:val="22"/>
        </w:rPr>
        <w:t xml:space="preserve">after the proposed addition, deletion, or modification, including the population served, and an explanation of how the system will satisfy the substantial service requirement of </w:t>
      </w:r>
      <w:r w:rsidR="007A12E2">
        <w:rPr>
          <w:szCs w:val="22"/>
        </w:rPr>
        <w:t>s</w:t>
      </w:r>
      <w:r w:rsidRPr="00447007" w:rsidR="007A12E2">
        <w:rPr>
          <w:szCs w:val="22"/>
        </w:rPr>
        <w:t xml:space="preserve">ection </w:t>
      </w:r>
      <w:r w:rsidRPr="00B34055" w:rsidR="007A12E2">
        <w:rPr>
          <w:szCs w:val="22"/>
        </w:rPr>
        <w:t>95.1931.</w:t>
      </w:r>
      <w:r>
        <w:rPr>
          <w:rStyle w:val="FootnoteReference"/>
          <w:szCs w:val="22"/>
        </w:rPr>
        <w:footnoteReference w:id="35"/>
      </w:r>
      <w:r w:rsidR="007959E1">
        <w:rPr>
          <w:szCs w:val="22"/>
        </w:rPr>
        <w:t xml:space="preserve"> </w:t>
      </w:r>
      <w:r w:rsidR="0096036F">
        <w:rPr>
          <w:szCs w:val="22"/>
        </w:rPr>
        <w:t xml:space="preserve"> </w:t>
      </w:r>
      <w:r w:rsidR="007A12E2">
        <w:rPr>
          <w:szCs w:val="22"/>
        </w:rPr>
        <w:t xml:space="preserve">  </w:t>
      </w:r>
    </w:p>
    <w:p w:rsidR="0009601B" w:rsidP="00FA05ED" w14:paraId="0174F9C0" w14:textId="4F81435E">
      <w:pPr>
        <w:pStyle w:val="Heading2"/>
      </w:pPr>
      <w:r>
        <w:t xml:space="preserve">The </w:t>
      </w:r>
      <w:r w:rsidRPr="00EF055B" w:rsidR="00F349A3">
        <w:t xml:space="preserve">Bureau’s </w:t>
      </w:r>
      <w:r w:rsidRPr="00B46929" w:rsidR="00F349A3">
        <w:t>Proposed Order of Modification</w:t>
      </w:r>
      <w:r w:rsidRPr="00EF055B" w:rsidR="00F349A3">
        <w:t xml:space="preserve">  </w:t>
      </w:r>
    </w:p>
    <w:p w:rsidR="001B2E4B" w:rsidRPr="007B0104" w:rsidP="00EF055B" w14:paraId="257363F1" w14:textId="057F1E52">
      <w:pPr>
        <w:pStyle w:val="ParaNum"/>
        <w:numPr>
          <w:ilvl w:val="0"/>
          <w:numId w:val="1"/>
        </w:numPr>
        <w:tabs>
          <w:tab w:val="clear" w:pos="1080"/>
          <w:tab w:val="num" w:pos="1440"/>
        </w:tabs>
        <w:spacing w:after="220"/>
        <w:rPr>
          <w:szCs w:val="22"/>
        </w:rPr>
      </w:pPr>
      <w:r>
        <w:rPr>
          <w:szCs w:val="22"/>
        </w:rPr>
        <w:t xml:space="preserve">On June 16, 2023, the Bureau adopted the </w:t>
      </w:r>
      <w:r w:rsidRPr="005A59B6">
        <w:rPr>
          <w:i/>
          <w:iCs/>
          <w:szCs w:val="22"/>
        </w:rPr>
        <w:t>Proposed Order of Modification</w:t>
      </w:r>
      <w:r>
        <w:rPr>
          <w:szCs w:val="22"/>
        </w:rPr>
        <w:t>.</w:t>
      </w:r>
      <w:r>
        <w:rPr>
          <w:rStyle w:val="FootnoteReference"/>
          <w:szCs w:val="22"/>
        </w:rPr>
        <w:footnoteReference w:id="36"/>
      </w:r>
      <w:r>
        <w:rPr>
          <w:szCs w:val="22"/>
        </w:rPr>
        <w:t xml:space="preserve">  </w:t>
      </w:r>
      <w:r w:rsidRPr="00EF055B" w:rsidR="00F349A3">
        <w:rPr>
          <w:szCs w:val="22"/>
        </w:rPr>
        <w:t>Section 316(a)(1) of the Communications Act of 1934, as amended (Act), authorizes the Commission to modify any station license “if in the judgment of the Commission such action will promote the public interest, convenience, and necessity, or the provisions of this chapter [</w:t>
      </w:r>
      <w:r w:rsidRPr="00EF055B" w:rsidR="00F349A3">
        <w:rPr>
          <w:i/>
          <w:iCs/>
          <w:szCs w:val="22"/>
        </w:rPr>
        <w:t>i.e.</w:t>
      </w:r>
      <w:r w:rsidRPr="00EF055B" w:rsidR="00F349A3">
        <w:rPr>
          <w:szCs w:val="22"/>
        </w:rPr>
        <w:t>, the Act] or of any treaty ratified by the United States will be more fully complied with.”</w:t>
      </w:r>
      <w:r>
        <w:rPr>
          <w:vertAlign w:val="superscript"/>
        </w:rPr>
        <w:footnoteReference w:id="37"/>
      </w:r>
      <w:r w:rsidR="00FA6180">
        <w:rPr>
          <w:szCs w:val="22"/>
        </w:rPr>
        <w:t xml:space="preserve">  </w:t>
      </w:r>
      <w:r w:rsidRPr="00EF055B" w:rsidR="00EF055B">
        <w:rPr>
          <w:szCs w:val="22"/>
        </w:rPr>
        <w:t xml:space="preserve">In </w:t>
      </w:r>
      <w:r w:rsidRPr="00EF055B" w:rsidR="000C1E3A">
        <w:rPr>
          <w:szCs w:val="22"/>
        </w:rPr>
        <w:t xml:space="preserve">the </w:t>
      </w:r>
      <w:r w:rsidRPr="00EF055B" w:rsidR="000C1E3A">
        <w:rPr>
          <w:i/>
          <w:iCs/>
          <w:szCs w:val="22"/>
        </w:rPr>
        <w:t>Proposed Or</w:t>
      </w:r>
      <w:r w:rsidR="0009601B">
        <w:rPr>
          <w:i/>
          <w:iCs/>
          <w:szCs w:val="22"/>
        </w:rPr>
        <w:t>der,</w:t>
      </w:r>
      <w:r w:rsidRPr="00EF055B" w:rsidR="000C1E3A">
        <w:rPr>
          <w:szCs w:val="22"/>
        </w:rPr>
        <w:t xml:space="preserve"> </w:t>
      </w:r>
      <w:r w:rsidRPr="00EF055B" w:rsidR="00EF055B">
        <w:rPr>
          <w:szCs w:val="22"/>
        </w:rPr>
        <w:t xml:space="preserve">the Bureau found </w:t>
      </w:r>
      <w:r w:rsidRPr="00EF055B" w:rsidR="000C1E3A">
        <w:rPr>
          <w:szCs w:val="22"/>
        </w:rPr>
        <w:t xml:space="preserve">that the proposed modification of Station KIVD0002 </w:t>
      </w:r>
      <w:r w:rsidR="00366688">
        <w:rPr>
          <w:szCs w:val="22"/>
        </w:rPr>
        <w:t>would</w:t>
      </w:r>
      <w:r w:rsidRPr="00EF055B" w:rsidR="000C1E3A">
        <w:rPr>
          <w:szCs w:val="22"/>
        </w:rPr>
        <w:t xml:space="preserve"> promote the public interest, convenience, and necessity—the benchmark for modification of a license under section 316(a) of the Act.</w:t>
      </w:r>
      <w:r>
        <w:rPr>
          <w:rStyle w:val="FootnoteReference"/>
          <w:szCs w:val="22"/>
        </w:rPr>
        <w:footnoteReference w:id="38"/>
      </w:r>
      <w:r w:rsidR="00FA6180">
        <w:rPr>
          <w:szCs w:val="22"/>
        </w:rPr>
        <w:t xml:space="preserve">  </w:t>
      </w:r>
      <w:r w:rsidR="00AA6992">
        <w:rPr>
          <w:szCs w:val="22"/>
        </w:rPr>
        <w:t xml:space="preserve">The Bureau </w:t>
      </w:r>
      <w:r w:rsidR="002A09C8">
        <w:rPr>
          <w:szCs w:val="22"/>
        </w:rPr>
        <w:t xml:space="preserve">stated that “the </w:t>
      </w:r>
      <w:r w:rsidRPr="00AB3023" w:rsidR="002A09C8">
        <w:rPr>
          <w:szCs w:val="22"/>
        </w:rPr>
        <w:t xml:space="preserve">additional 250 kilohertz of spectrum </w:t>
      </w:r>
      <w:r w:rsidR="002A09C8">
        <w:rPr>
          <w:szCs w:val="22"/>
        </w:rPr>
        <w:t xml:space="preserve">that we propose to </w:t>
      </w:r>
      <w:r w:rsidRPr="00AB3023" w:rsidR="002A09C8">
        <w:rPr>
          <w:szCs w:val="22"/>
        </w:rPr>
        <w:t>authorize</w:t>
      </w:r>
      <w:r w:rsidR="002A09C8">
        <w:rPr>
          <w:szCs w:val="22"/>
        </w:rPr>
        <w:t xml:space="preserve"> MTA to </w:t>
      </w:r>
      <w:r w:rsidRPr="00AB3023" w:rsidR="002A09C8">
        <w:rPr>
          <w:szCs w:val="22"/>
        </w:rPr>
        <w:t>use under Station KIVD0002 may be used only to comply with Congress’s PTC mandate.</w:t>
      </w:r>
      <w:r w:rsidR="002A09C8">
        <w:rPr>
          <w:szCs w:val="22"/>
        </w:rPr>
        <w:t>”</w:t>
      </w:r>
      <w:r>
        <w:rPr>
          <w:rStyle w:val="FootnoteReference"/>
          <w:szCs w:val="22"/>
        </w:rPr>
        <w:footnoteReference w:id="39"/>
      </w:r>
      <w:r w:rsidR="00AA6992">
        <w:rPr>
          <w:szCs w:val="22"/>
        </w:rPr>
        <w:t xml:space="preserve"> </w:t>
      </w:r>
      <w:r w:rsidR="002A09C8">
        <w:rPr>
          <w:szCs w:val="22"/>
        </w:rPr>
        <w:t xml:space="preserve"> T</w:t>
      </w:r>
      <w:r w:rsidRPr="007B0104">
        <w:rPr>
          <w:szCs w:val="22"/>
        </w:rPr>
        <w:t xml:space="preserve">he </w:t>
      </w:r>
      <w:r w:rsidR="00FA6180">
        <w:rPr>
          <w:szCs w:val="22"/>
        </w:rPr>
        <w:t xml:space="preserve">Bureau found </w:t>
      </w:r>
      <w:r w:rsidR="008E59FC">
        <w:rPr>
          <w:szCs w:val="22"/>
        </w:rPr>
        <w:t xml:space="preserve">specifically </w:t>
      </w:r>
      <w:r w:rsidR="00FA6180">
        <w:rPr>
          <w:szCs w:val="22"/>
        </w:rPr>
        <w:t xml:space="preserve">that </w:t>
      </w:r>
      <w:r w:rsidRPr="007B0104">
        <w:rPr>
          <w:szCs w:val="22"/>
        </w:rPr>
        <w:t xml:space="preserve">modification </w:t>
      </w:r>
      <w:r w:rsidR="0006014A">
        <w:rPr>
          <w:szCs w:val="22"/>
        </w:rPr>
        <w:t>of Station KIVD0</w:t>
      </w:r>
      <w:r>
        <w:rPr>
          <w:szCs w:val="22"/>
        </w:rPr>
        <w:t>0</w:t>
      </w:r>
      <w:r w:rsidR="0006014A">
        <w:rPr>
          <w:szCs w:val="22"/>
        </w:rPr>
        <w:t xml:space="preserve">02 </w:t>
      </w:r>
      <w:r w:rsidR="004971EB">
        <w:rPr>
          <w:szCs w:val="22"/>
        </w:rPr>
        <w:t>would</w:t>
      </w:r>
      <w:r w:rsidRPr="007B0104">
        <w:rPr>
          <w:szCs w:val="22"/>
        </w:rPr>
        <w:t xml:space="preserve"> promote rail safety and serve the public interest, convenience, and necessity under </w:t>
      </w:r>
      <w:r>
        <w:rPr>
          <w:szCs w:val="22"/>
        </w:rPr>
        <w:t>s</w:t>
      </w:r>
      <w:r w:rsidRPr="007B0104">
        <w:rPr>
          <w:szCs w:val="22"/>
        </w:rPr>
        <w:t>ection 316(a)(1) of the Ac</w:t>
      </w:r>
      <w:r w:rsidR="008E59FC">
        <w:rPr>
          <w:szCs w:val="22"/>
        </w:rPr>
        <w:t xml:space="preserve">t </w:t>
      </w:r>
      <w:r w:rsidRPr="007B0104">
        <w:rPr>
          <w:szCs w:val="22"/>
        </w:rPr>
        <w:t>by:</w:t>
      </w:r>
    </w:p>
    <w:p w:rsidR="001B2E4B" w:rsidP="001B2E4B" w14:paraId="56CDD117" w14:textId="77777777">
      <w:pPr>
        <w:pStyle w:val="ParaNum"/>
        <w:numPr>
          <w:ilvl w:val="0"/>
          <w:numId w:val="2"/>
        </w:numPr>
        <w:rPr>
          <w:szCs w:val="22"/>
        </w:rPr>
      </w:pPr>
      <w:r>
        <w:rPr>
          <w:szCs w:val="22"/>
        </w:rPr>
        <w:t>p</w:t>
      </w:r>
      <w:r w:rsidRPr="007C5F9E">
        <w:rPr>
          <w:szCs w:val="22"/>
        </w:rPr>
        <w:t>roviding Metro-North, one of the nation’s busiest commuter railroads, spectrum needed to enhance the resiliency of its PTC system in Dutchess and Orange counties, New York, and Fairfield and New Haven counties</w:t>
      </w:r>
      <w:r>
        <w:rPr>
          <w:szCs w:val="22"/>
        </w:rPr>
        <w:t>, Connecticut, where MTA has been unable to acquire needed spectrum on the secondary market;</w:t>
      </w:r>
      <w:r>
        <w:rPr>
          <w:rStyle w:val="FootnoteReference"/>
          <w:sz w:val="22"/>
          <w:szCs w:val="22"/>
        </w:rPr>
        <w:footnoteReference w:id="40"/>
      </w:r>
      <w:r>
        <w:rPr>
          <w:szCs w:val="22"/>
        </w:rPr>
        <w:t xml:space="preserve"> </w:t>
      </w:r>
    </w:p>
    <w:p w:rsidR="001B2E4B" w:rsidP="001B2E4B" w14:paraId="30DB5691" w14:textId="5AB032B1">
      <w:pPr>
        <w:pStyle w:val="ParaNum"/>
        <w:numPr>
          <w:ilvl w:val="0"/>
          <w:numId w:val="2"/>
        </w:numPr>
        <w:rPr>
          <w:szCs w:val="22"/>
        </w:rPr>
      </w:pPr>
      <w:r>
        <w:rPr>
          <w:szCs w:val="22"/>
        </w:rPr>
        <w:t>enabling Amtrak to deploy PTC-equipped passenger trains on Metro-North’s Hudson Line</w:t>
      </w:r>
      <w:r w:rsidR="002C6299">
        <w:rPr>
          <w:szCs w:val="22"/>
        </w:rPr>
        <w:t xml:space="preserve">, </w:t>
      </w:r>
      <w:r>
        <w:rPr>
          <w:szCs w:val="22"/>
        </w:rPr>
        <w:t>which traverses Dutchess County, New York, and on Metro-North’s New Haven Line in Fairfield and New Haven counties, Connecticut, where more than 40 million trips are made each year;</w:t>
      </w:r>
      <w:r>
        <w:rPr>
          <w:rStyle w:val="FootnoteReference"/>
          <w:sz w:val="22"/>
          <w:szCs w:val="22"/>
        </w:rPr>
        <w:footnoteReference w:id="41"/>
      </w:r>
    </w:p>
    <w:p w:rsidR="00307467" w:rsidRPr="00307467" w:rsidP="00D16ECF" w14:paraId="55DB05EC" w14:textId="0CE9DEFA">
      <w:pPr>
        <w:pStyle w:val="ParaNum"/>
        <w:widowControl/>
        <w:numPr>
          <w:ilvl w:val="0"/>
          <w:numId w:val="2"/>
        </w:numPr>
        <w:rPr>
          <w:szCs w:val="22"/>
        </w:rPr>
      </w:pPr>
      <w:r>
        <w:rPr>
          <w:szCs w:val="22"/>
        </w:rPr>
        <w:t>e</w:t>
      </w:r>
      <w:r w:rsidRPr="007C097B">
        <w:rPr>
          <w:szCs w:val="22"/>
        </w:rPr>
        <w:t xml:space="preserve">nabling Metro-North’s PTC </w:t>
      </w:r>
      <w:r w:rsidR="008954E3">
        <w:rPr>
          <w:szCs w:val="22"/>
        </w:rPr>
        <w:t>operations</w:t>
      </w:r>
      <w:r w:rsidRPr="007C097B">
        <w:rPr>
          <w:szCs w:val="22"/>
        </w:rPr>
        <w:t xml:space="preserve"> on three commuter rail branch lines that intersect the New Haven Line in southwestern Connecticut—the New Canaan and Danbury Lines in </w:t>
      </w:r>
      <w:r w:rsidRPr="007C097B">
        <w:rPr>
          <w:szCs w:val="22"/>
          <w:lang w:val="en"/>
        </w:rPr>
        <w:t xml:space="preserve">Fairfield County, and the </w:t>
      </w:r>
      <w:r w:rsidRPr="007C097B">
        <w:rPr>
          <w:szCs w:val="22"/>
        </w:rPr>
        <w:t>Waterbury Line in New Haven County</w:t>
      </w:r>
      <w:r>
        <w:rPr>
          <w:szCs w:val="22"/>
        </w:rPr>
        <w:t>;</w:t>
      </w:r>
      <w:r>
        <w:rPr>
          <w:rStyle w:val="FootnoteReference"/>
          <w:sz w:val="22"/>
          <w:szCs w:val="22"/>
        </w:rPr>
        <w:footnoteReference w:id="42"/>
      </w:r>
      <w:r w:rsidRPr="007C097B" w:rsidR="003332E4">
        <w:rPr>
          <w:szCs w:val="22"/>
        </w:rPr>
        <w:t xml:space="preserve"> </w:t>
      </w:r>
      <w:r w:rsidRPr="00307467">
        <w:rPr>
          <w:szCs w:val="22"/>
        </w:rPr>
        <w:t>and</w:t>
      </w:r>
    </w:p>
    <w:p w:rsidR="00307467" w:rsidRPr="00B55B71" w:rsidP="00B55B71" w14:paraId="566E05A2" w14:textId="641C4940">
      <w:pPr>
        <w:pStyle w:val="ParaNum"/>
        <w:widowControl/>
        <w:numPr>
          <w:ilvl w:val="0"/>
          <w:numId w:val="2"/>
        </w:numPr>
        <w:spacing w:line="259" w:lineRule="auto"/>
        <w:rPr>
          <w:szCs w:val="22"/>
        </w:rPr>
      </w:pPr>
      <w:r w:rsidRPr="00657613">
        <w:rPr>
          <w:szCs w:val="22"/>
        </w:rPr>
        <w:t>facilitating NJ Transit’s PTC deployment by the requirement (a condition of the proposed license modifications) that MTA provide, on commercially reasonable terms, additional spectrum to NJ Transit if needed to support its PTC implementation in seven northern New Jersey counties.</w:t>
      </w:r>
      <w:r>
        <w:rPr>
          <w:rStyle w:val="FootnoteReference"/>
          <w:szCs w:val="22"/>
        </w:rPr>
        <w:footnoteReference w:id="43"/>
      </w:r>
    </w:p>
    <w:p w:rsidR="00C5235F" w:rsidRPr="00C5235F" w14:paraId="0CDDB025" w14:textId="34958F3D">
      <w:pPr>
        <w:pStyle w:val="ParaNum"/>
        <w:numPr>
          <w:ilvl w:val="0"/>
          <w:numId w:val="1"/>
        </w:numPr>
        <w:tabs>
          <w:tab w:val="clear" w:pos="1080"/>
          <w:tab w:val="left" w:pos="1440"/>
        </w:tabs>
        <w:spacing w:after="220"/>
        <w:rPr>
          <w:szCs w:val="22"/>
        </w:rPr>
      </w:pPr>
      <w:r w:rsidRPr="00C5235F">
        <w:rPr>
          <w:szCs w:val="22"/>
        </w:rPr>
        <w:t xml:space="preserve">Additionally, the Bureau found that </w:t>
      </w:r>
      <w:r w:rsidRPr="00B32EE7">
        <w:rPr>
          <w:szCs w:val="22"/>
        </w:rPr>
        <w:t xml:space="preserve">modification of Station KIVD0001 </w:t>
      </w:r>
      <w:r w:rsidR="004C12A7">
        <w:rPr>
          <w:szCs w:val="22"/>
        </w:rPr>
        <w:t>would</w:t>
      </w:r>
      <w:r w:rsidRPr="00B32EE7">
        <w:rPr>
          <w:szCs w:val="22"/>
        </w:rPr>
        <w:t xml:space="preserve"> promote the public interest, convenience, and necessity under section 316(a)(1) of the Act by</w:t>
      </w:r>
      <w:r w:rsidRPr="00C5235F">
        <w:rPr>
          <w:szCs w:val="22"/>
        </w:rPr>
        <w:t xml:space="preserve"> a return of 250 kilohertz of </w:t>
      </w:r>
      <w:r w:rsidRPr="00C5235F">
        <w:rPr>
          <w:szCs w:val="22"/>
        </w:rPr>
        <w:t xml:space="preserve">the licensed </w:t>
      </w:r>
      <w:r w:rsidRPr="00C5235F">
        <w:rPr>
          <w:szCs w:val="22"/>
        </w:rPr>
        <w:t xml:space="preserve">spectrum in </w:t>
      </w:r>
      <w:r w:rsidRPr="00F50DEC">
        <w:rPr>
          <w:szCs w:val="22"/>
        </w:rPr>
        <w:t xml:space="preserve">five counties with a total population of </w:t>
      </w:r>
      <w:r w:rsidRPr="00F50DEC">
        <w:t>2,817,837</w:t>
      </w:r>
      <w:r w:rsidRPr="00F50DEC">
        <w:rPr>
          <w:szCs w:val="22"/>
        </w:rPr>
        <w:t>,</w:t>
      </w:r>
      <w:r>
        <w:rPr>
          <w:szCs w:val="22"/>
          <w:vertAlign w:val="superscript"/>
        </w:rPr>
        <w:footnoteReference w:id="44"/>
      </w:r>
      <w:r w:rsidRPr="00F50DEC">
        <w:rPr>
          <w:szCs w:val="22"/>
        </w:rPr>
        <w:t xml:space="preserve"> in exchange </w:t>
      </w:r>
      <w:r w:rsidRPr="00F50DEC" w:rsidR="006B1E51">
        <w:rPr>
          <w:szCs w:val="22"/>
        </w:rPr>
        <w:t xml:space="preserve">for the </w:t>
      </w:r>
      <w:r w:rsidRPr="00F50DEC">
        <w:rPr>
          <w:szCs w:val="22"/>
        </w:rPr>
        <w:t xml:space="preserve">250 kilohertz of spectrum needed </w:t>
      </w:r>
      <w:r w:rsidRPr="00F50DEC" w:rsidR="006B1E51">
        <w:rPr>
          <w:szCs w:val="22"/>
        </w:rPr>
        <w:t xml:space="preserve">by MTA </w:t>
      </w:r>
      <w:r w:rsidRPr="00F50DEC">
        <w:rPr>
          <w:szCs w:val="22"/>
        </w:rPr>
        <w:t xml:space="preserve">to enhance PTC </w:t>
      </w:r>
      <w:r w:rsidRPr="00F50DEC" w:rsidR="008C3E0B">
        <w:rPr>
          <w:szCs w:val="22"/>
        </w:rPr>
        <w:t xml:space="preserve">under Station KIVD0002 </w:t>
      </w:r>
      <w:r w:rsidRPr="00F50DEC">
        <w:rPr>
          <w:szCs w:val="22"/>
        </w:rPr>
        <w:t xml:space="preserve">in four counties with a total population of </w:t>
      </w:r>
      <w:r w:rsidRPr="00F50DEC">
        <w:t>2,519,475</w:t>
      </w:r>
      <w:r w:rsidRPr="00F50DEC" w:rsidR="008C3E0B">
        <w:rPr>
          <w:szCs w:val="22"/>
        </w:rPr>
        <w:t>.</w:t>
      </w:r>
      <w:r>
        <w:rPr>
          <w:szCs w:val="22"/>
          <w:vertAlign w:val="superscript"/>
        </w:rPr>
        <w:footnoteReference w:id="45"/>
      </w:r>
      <w:r w:rsidRPr="00F50DEC">
        <w:rPr>
          <w:szCs w:val="22"/>
        </w:rPr>
        <w:t xml:space="preserve">  As a result of the modification, the Commission’s 218-219 MHz Service spectrum inventory increase</w:t>
      </w:r>
      <w:r w:rsidRPr="00F50DEC" w:rsidR="006B1E51">
        <w:rPr>
          <w:szCs w:val="22"/>
        </w:rPr>
        <w:t>s</w:t>
      </w:r>
      <w:r w:rsidRPr="00F50DEC">
        <w:rPr>
          <w:szCs w:val="22"/>
        </w:rPr>
        <w:t xml:space="preserve"> by a net </w:t>
      </w:r>
      <w:r w:rsidRPr="00F50DEC">
        <w:t xml:space="preserve">74,590 </w:t>
      </w:r>
      <w:r w:rsidRPr="00F50DEC">
        <w:rPr>
          <w:szCs w:val="22"/>
        </w:rPr>
        <w:t>MHz/pops.</w:t>
      </w:r>
      <w:r>
        <w:rPr>
          <w:szCs w:val="22"/>
          <w:vertAlign w:val="superscript"/>
        </w:rPr>
        <w:footnoteReference w:id="46"/>
      </w:r>
      <w:r w:rsidRPr="00F50DEC">
        <w:rPr>
          <w:szCs w:val="22"/>
        </w:rPr>
        <w:t xml:space="preserve"> </w:t>
      </w:r>
    </w:p>
    <w:p w:rsidR="005A46A5" w:rsidRPr="003C6386" w:rsidP="001B2E4B" w14:paraId="10DAB621" w14:textId="6B6B4CE4">
      <w:pPr>
        <w:pStyle w:val="ParaNum"/>
        <w:numPr>
          <w:ilvl w:val="0"/>
          <w:numId w:val="1"/>
        </w:numPr>
        <w:tabs>
          <w:tab w:val="clear" w:pos="1080"/>
          <w:tab w:val="left" w:pos="1440"/>
        </w:tabs>
        <w:spacing w:after="220"/>
        <w:rPr>
          <w:szCs w:val="22"/>
        </w:rPr>
      </w:pPr>
      <w:r>
        <w:rPr>
          <w:szCs w:val="22"/>
        </w:rPr>
        <w:t>B</w:t>
      </w:r>
      <w:r>
        <w:rPr>
          <w:szCs w:val="22"/>
        </w:rPr>
        <w:t>ased o</w:t>
      </w:r>
      <w:r w:rsidRPr="00CA59CB">
        <w:rPr>
          <w:szCs w:val="22"/>
        </w:rPr>
        <w:t>n the record</w:t>
      </w:r>
      <w:r w:rsidR="00A118E9">
        <w:rPr>
          <w:szCs w:val="22"/>
        </w:rPr>
        <w:t xml:space="preserve">, </w:t>
      </w:r>
      <w:r>
        <w:rPr>
          <w:szCs w:val="22"/>
        </w:rPr>
        <w:t xml:space="preserve">the Bureau </w:t>
      </w:r>
      <w:r>
        <w:rPr>
          <w:szCs w:val="22"/>
        </w:rPr>
        <w:t xml:space="preserve">also </w:t>
      </w:r>
      <w:r>
        <w:rPr>
          <w:szCs w:val="22"/>
        </w:rPr>
        <w:t xml:space="preserve">found </w:t>
      </w:r>
      <w:r w:rsidR="00A118E9">
        <w:rPr>
          <w:szCs w:val="22"/>
        </w:rPr>
        <w:t xml:space="preserve">in the </w:t>
      </w:r>
      <w:r w:rsidRPr="00A118E9" w:rsidR="00A118E9">
        <w:rPr>
          <w:i/>
          <w:iCs/>
          <w:szCs w:val="22"/>
        </w:rPr>
        <w:t>Proposed Order</w:t>
      </w:r>
      <w:r w:rsidR="00FE2268">
        <w:rPr>
          <w:i/>
          <w:iCs/>
          <w:szCs w:val="22"/>
        </w:rPr>
        <w:t xml:space="preserve"> </w:t>
      </w:r>
      <w:r w:rsidRPr="00CA59CB">
        <w:rPr>
          <w:szCs w:val="22"/>
        </w:rPr>
        <w:t>that the public interest in rail safety will be served by afford</w:t>
      </w:r>
      <w:r>
        <w:rPr>
          <w:szCs w:val="22"/>
        </w:rPr>
        <w:t>ing</w:t>
      </w:r>
      <w:r w:rsidRPr="00CA59CB">
        <w:rPr>
          <w:szCs w:val="22"/>
        </w:rPr>
        <w:t xml:space="preserve"> MTA</w:t>
      </w:r>
      <w:r>
        <w:rPr>
          <w:szCs w:val="22"/>
        </w:rPr>
        <w:t xml:space="preserve">—for its modified </w:t>
      </w:r>
      <w:r w:rsidR="00C13EB9">
        <w:rPr>
          <w:szCs w:val="22"/>
        </w:rPr>
        <w:t xml:space="preserve">PTC </w:t>
      </w:r>
      <w:r>
        <w:rPr>
          <w:szCs w:val="22"/>
        </w:rPr>
        <w:t>operations under Stations KIVD0001 and KIVD0002—</w:t>
      </w:r>
      <w:r w:rsidRPr="00CA59CB">
        <w:rPr>
          <w:szCs w:val="22"/>
        </w:rPr>
        <w:t xml:space="preserve">the same relief granted in the </w:t>
      </w:r>
      <w:r w:rsidRPr="00CA59CB">
        <w:rPr>
          <w:i/>
          <w:szCs w:val="22"/>
        </w:rPr>
        <w:t>2014 Power Waiver Order</w:t>
      </w:r>
      <w:r w:rsidRPr="00CA59CB">
        <w:rPr>
          <w:szCs w:val="22"/>
        </w:rPr>
        <w:t xml:space="preserve">, as modified by the stricter OOBE attenuation requirements adopted in the </w:t>
      </w:r>
      <w:r w:rsidRPr="00CA59CB">
        <w:rPr>
          <w:i/>
          <w:iCs/>
          <w:szCs w:val="22"/>
        </w:rPr>
        <w:t>2016 Order On Reconsideration</w:t>
      </w:r>
      <w:r>
        <w:rPr>
          <w:szCs w:val="22"/>
        </w:rPr>
        <w:t>.</w:t>
      </w:r>
      <w:r>
        <w:rPr>
          <w:rStyle w:val="FootnoteReference"/>
          <w:szCs w:val="22"/>
        </w:rPr>
        <w:footnoteReference w:id="47"/>
      </w:r>
      <w:r>
        <w:rPr>
          <w:szCs w:val="22"/>
        </w:rPr>
        <w:t xml:space="preserve">  </w:t>
      </w:r>
      <w:r w:rsidR="00A118E9">
        <w:rPr>
          <w:szCs w:val="22"/>
        </w:rPr>
        <w:t xml:space="preserve">The </w:t>
      </w:r>
      <w:r>
        <w:rPr>
          <w:szCs w:val="22"/>
        </w:rPr>
        <w:t>Bureau</w:t>
      </w:r>
      <w:r w:rsidRPr="00CA59CB">
        <w:rPr>
          <w:szCs w:val="22"/>
        </w:rPr>
        <w:t xml:space="preserve"> </w:t>
      </w:r>
      <w:r w:rsidR="00A118E9">
        <w:rPr>
          <w:szCs w:val="22"/>
        </w:rPr>
        <w:t xml:space="preserve">evaluated MTA’s request for relief under section 1.925(b)(3)(ii) of the Commission’s rules and </w:t>
      </w:r>
      <w:r w:rsidRPr="00CA59CB">
        <w:rPr>
          <w:szCs w:val="22"/>
        </w:rPr>
        <w:t>f</w:t>
      </w:r>
      <w:r>
        <w:rPr>
          <w:szCs w:val="22"/>
        </w:rPr>
        <w:t>ound</w:t>
      </w:r>
      <w:r w:rsidRPr="00CA59CB">
        <w:rPr>
          <w:szCs w:val="22"/>
        </w:rPr>
        <w:t xml:space="preserve"> that, in view of the PTC mandate and the unique factual circumstances</w:t>
      </w:r>
      <w:r>
        <w:rPr>
          <w:szCs w:val="22"/>
        </w:rPr>
        <w:t xml:space="preserve"> in this case, </w:t>
      </w:r>
      <w:r w:rsidRPr="00CA59CB">
        <w:rPr>
          <w:szCs w:val="22"/>
        </w:rPr>
        <w:t>strict application of section 95.1955’s power limits to Metro-North’s PTC deployment in Dutchess and Orange counties, New York, and Fairfield and New Haven counties, Connecticut (using the additional spectrum authorize</w:t>
      </w:r>
      <w:r>
        <w:rPr>
          <w:szCs w:val="22"/>
        </w:rPr>
        <w:t>d</w:t>
      </w:r>
      <w:r w:rsidRPr="00CA59CB">
        <w:rPr>
          <w:szCs w:val="22"/>
        </w:rPr>
        <w:t xml:space="preserve"> </w:t>
      </w:r>
      <w:r>
        <w:rPr>
          <w:szCs w:val="22"/>
        </w:rPr>
        <w:t xml:space="preserve">herein </w:t>
      </w:r>
      <w:r w:rsidRPr="00CA59CB">
        <w:rPr>
          <w:szCs w:val="22"/>
        </w:rPr>
        <w:t>under Station KIVD0002) would be contrary to the public interest.</w:t>
      </w:r>
      <w:r>
        <w:rPr>
          <w:rStyle w:val="FootnoteReference"/>
          <w:sz w:val="22"/>
          <w:szCs w:val="22"/>
        </w:rPr>
        <w:footnoteReference w:id="48"/>
      </w:r>
      <w:r w:rsidR="001424CA">
        <w:rPr>
          <w:szCs w:val="22"/>
        </w:rPr>
        <w:t xml:space="preserve">  For the same reasons, the Bureau proposed to grant MTA a limited waiver of section 95.1955’s power limits to enable PTC operations under Station KIVD0001, as modified by a return of spectrum to the Commission</w:t>
      </w:r>
      <w:r w:rsidR="00AC51BA">
        <w:rPr>
          <w:szCs w:val="22"/>
        </w:rPr>
        <w:t xml:space="preserve"> and </w:t>
      </w:r>
      <w:r w:rsidRPr="003C6386" w:rsidR="00AC51BA">
        <w:rPr>
          <w:szCs w:val="22"/>
        </w:rPr>
        <w:t>subject to the stricter OOBE attenuation requirements.</w:t>
      </w:r>
      <w:r>
        <w:rPr>
          <w:rStyle w:val="FootnoteReference"/>
          <w:szCs w:val="22"/>
        </w:rPr>
        <w:footnoteReference w:id="49"/>
      </w:r>
      <w:r w:rsidR="002A09C8">
        <w:rPr>
          <w:szCs w:val="22"/>
        </w:rPr>
        <w:t xml:space="preserve">  The Bureau stated that MTA’s operations o</w:t>
      </w:r>
      <w:r w:rsidR="008F3E5D">
        <w:rPr>
          <w:szCs w:val="22"/>
        </w:rPr>
        <w:t>n</w:t>
      </w:r>
      <w:r w:rsidR="002A09C8">
        <w:rPr>
          <w:szCs w:val="22"/>
        </w:rPr>
        <w:t xml:space="preserve"> the </w:t>
      </w:r>
      <w:r w:rsidR="002A09C8">
        <w:rPr>
          <w:szCs w:val="22"/>
        </w:rPr>
        <w:t xml:space="preserve">additional </w:t>
      </w:r>
      <w:r w:rsidRPr="00AB3023" w:rsidR="002A09C8">
        <w:rPr>
          <w:szCs w:val="22"/>
        </w:rPr>
        <w:t xml:space="preserve">250 kilohertz of spectrum </w:t>
      </w:r>
      <w:r w:rsidR="002A09C8">
        <w:rPr>
          <w:szCs w:val="22"/>
        </w:rPr>
        <w:t xml:space="preserve">that it proposes to </w:t>
      </w:r>
      <w:r w:rsidRPr="00AB3023" w:rsidR="002A09C8">
        <w:rPr>
          <w:szCs w:val="22"/>
        </w:rPr>
        <w:t>authorize</w:t>
      </w:r>
      <w:r w:rsidR="002A09C8">
        <w:rPr>
          <w:szCs w:val="22"/>
        </w:rPr>
        <w:t xml:space="preserve"> MTA to </w:t>
      </w:r>
      <w:r w:rsidRPr="00AB3023" w:rsidR="002A09C8">
        <w:rPr>
          <w:szCs w:val="22"/>
        </w:rPr>
        <w:t>use under Station KIVD0002</w:t>
      </w:r>
      <w:r w:rsidR="002A09C8">
        <w:rPr>
          <w:szCs w:val="22"/>
        </w:rPr>
        <w:t xml:space="preserve"> “[] and the related power waiver[]</w:t>
      </w:r>
      <w:r w:rsidRPr="00AB3023" w:rsidR="002A09C8">
        <w:rPr>
          <w:szCs w:val="22"/>
        </w:rPr>
        <w:t xml:space="preserve"> may be used only to comply with Congress’s PTC mandate.</w:t>
      </w:r>
      <w:r w:rsidR="002A09C8">
        <w:rPr>
          <w:szCs w:val="22"/>
        </w:rPr>
        <w:t>”</w:t>
      </w:r>
      <w:r>
        <w:rPr>
          <w:rStyle w:val="FootnoteReference"/>
          <w:szCs w:val="22"/>
        </w:rPr>
        <w:footnoteReference w:id="50"/>
      </w:r>
      <w:r w:rsidR="002A09C8">
        <w:rPr>
          <w:szCs w:val="22"/>
        </w:rPr>
        <w:t xml:space="preserve"> </w:t>
      </w:r>
      <w:r w:rsidRPr="003C6386">
        <w:rPr>
          <w:szCs w:val="22"/>
        </w:rPr>
        <w:t xml:space="preserve"> </w:t>
      </w:r>
    </w:p>
    <w:p w:rsidR="005A59B6" w:rsidRPr="004655F1" w:rsidP="004655F1" w14:paraId="6DFAC680" w14:textId="529AC2BD">
      <w:pPr>
        <w:pStyle w:val="ParaNum"/>
        <w:numPr>
          <w:ilvl w:val="0"/>
          <w:numId w:val="1"/>
        </w:numPr>
        <w:tabs>
          <w:tab w:val="clear" w:pos="1080"/>
          <w:tab w:val="left" w:pos="1440"/>
        </w:tabs>
        <w:spacing w:after="220"/>
        <w:rPr>
          <w:b/>
          <w:bCs/>
          <w:szCs w:val="22"/>
        </w:rPr>
      </w:pPr>
      <w:r w:rsidRPr="003C6386">
        <w:rPr>
          <w:szCs w:val="22"/>
        </w:rPr>
        <w:t>Similarly</w:t>
      </w:r>
      <w:r w:rsidR="003C6386">
        <w:rPr>
          <w:szCs w:val="22"/>
        </w:rPr>
        <w:t>,</w:t>
      </w:r>
      <w:r w:rsidRPr="003C6386">
        <w:rPr>
          <w:szCs w:val="22"/>
        </w:rPr>
        <w:t xml:space="preserve"> </w:t>
      </w:r>
      <w:r w:rsidRPr="003C6386" w:rsidR="003C6386">
        <w:rPr>
          <w:szCs w:val="22"/>
        </w:rPr>
        <w:t xml:space="preserve">regarding section 95.1915(b)’s requirement </w:t>
      </w:r>
      <w:r w:rsidR="00175764">
        <w:rPr>
          <w:szCs w:val="22"/>
        </w:rPr>
        <w:t>th</w:t>
      </w:r>
      <w:r w:rsidR="004655F1">
        <w:rPr>
          <w:szCs w:val="22"/>
        </w:rPr>
        <w:t>at</w:t>
      </w:r>
      <w:r w:rsidR="00175764">
        <w:rPr>
          <w:szCs w:val="22"/>
        </w:rPr>
        <w:t xml:space="preserve"> MTA </w:t>
      </w:r>
      <w:r w:rsidRPr="003C6386" w:rsidR="003C6386">
        <w:rPr>
          <w:szCs w:val="22"/>
        </w:rPr>
        <w:t>provide population information for each individually licensed base station and an explanation of how its PTC system will satisfy the substantial service requirement under section 95.1931</w:t>
      </w:r>
      <w:r w:rsidR="003C6386">
        <w:rPr>
          <w:szCs w:val="22"/>
        </w:rPr>
        <w:t xml:space="preserve"> </w:t>
      </w:r>
      <w:r w:rsidRPr="003C6386" w:rsidR="003C6386">
        <w:rPr>
          <w:szCs w:val="22"/>
        </w:rPr>
        <w:t>each time it adds, deletes, or modifies an individually licensed base station</w:t>
      </w:r>
      <w:r w:rsidR="003C6386">
        <w:rPr>
          <w:szCs w:val="22"/>
        </w:rPr>
        <w:t xml:space="preserve">, </w:t>
      </w:r>
      <w:r w:rsidRPr="003C6386" w:rsidR="00D5710D">
        <w:rPr>
          <w:szCs w:val="22"/>
        </w:rPr>
        <w:t xml:space="preserve">the Bureau found </w:t>
      </w:r>
      <w:r w:rsidRPr="003C6386" w:rsidR="003C6386">
        <w:rPr>
          <w:szCs w:val="22"/>
        </w:rPr>
        <w:t>under section 1.925(b)(3)(ii)</w:t>
      </w:r>
      <w:r w:rsidR="003C6386">
        <w:rPr>
          <w:szCs w:val="22"/>
        </w:rPr>
        <w:t xml:space="preserve"> </w:t>
      </w:r>
      <w:r w:rsidRPr="003C6386" w:rsidR="00D5710D">
        <w:rPr>
          <w:szCs w:val="22"/>
        </w:rPr>
        <w:t xml:space="preserve">that, in view of the unique factual circumstances of the federal PTC mandate, application of </w:t>
      </w:r>
      <w:r w:rsidR="003C6386">
        <w:rPr>
          <w:szCs w:val="22"/>
        </w:rPr>
        <w:t>such requirement would be unduly burdensome.</w:t>
      </w:r>
      <w:r>
        <w:rPr>
          <w:rStyle w:val="FootnoteReference"/>
          <w:szCs w:val="22"/>
        </w:rPr>
        <w:footnoteReference w:id="51"/>
      </w:r>
      <w:r w:rsidR="003C6386">
        <w:rPr>
          <w:szCs w:val="22"/>
        </w:rPr>
        <w:t xml:space="preserve">  </w:t>
      </w:r>
      <w:r w:rsidR="00175764">
        <w:rPr>
          <w:szCs w:val="22"/>
        </w:rPr>
        <w:t xml:space="preserve">The Bureau </w:t>
      </w:r>
      <w:r w:rsidR="004655F1">
        <w:rPr>
          <w:szCs w:val="22"/>
        </w:rPr>
        <w:t>noted the Commission’s earlier finding</w:t>
      </w:r>
      <w:r w:rsidR="00175764">
        <w:rPr>
          <w:szCs w:val="22"/>
        </w:rPr>
        <w:t xml:space="preserve"> that t</w:t>
      </w:r>
      <w:r w:rsidRPr="00B65DF2" w:rsidR="00175764">
        <w:rPr>
          <w:szCs w:val="22"/>
        </w:rPr>
        <w:t xml:space="preserve">he population served by a specific base station is not </w:t>
      </w:r>
      <w:r w:rsidR="00175764">
        <w:rPr>
          <w:szCs w:val="22"/>
        </w:rPr>
        <w:t xml:space="preserve">germane to </w:t>
      </w:r>
      <w:r w:rsidRPr="00B65DF2" w:rsidR="00175764">
        <w:rPr>
          <w:szCs w:val="22"/>
        </w:rPr>
        <w:t>assessing the interference potential of an MTA PTC base station change.</w:t>
      </w:r>
      <w:r>
        <w:rPr>
          <w:rStyle w:val="FootnoteReference"/>
          <w:szCs w:val="22"/>
        </w:rPr>
        <w:footnoteReference w:id="52"/>
      </w:r>
      <w:r w:rsidRPr="00B65DF2" w:rsidR="00175764">
        <w:rPr>
          <w:szCs w:val="22"/>
        </w:rPr>
        <w:t xml:space="preserve"> </w:t>
      </w:r>
      <w:r w:rsidR="00175764">
        <w:rPr>
          <w:szCs w:val="22"/>
        </w:rPr>
        <w:t xml:space="preserve"> </w:t>
      </w:r>
      <w:r w:rsidR="004655F1">
        <w:rPr>
          <w:szCs w:val="22"/>
        </w:rPr>
        <w:t xml:space="preserve">For these reasons, </w:t>
      </w:r>
      <w:r w:rsidRPr="003C6386">
        <w:rPr>
          <w:szCs w:val="22"/>
        </w:rPr>
        <w:t xml:space="preserve">the Bureau proposed to grant MTA a </w:t>
      </w:r>
      <w:r w:rsidR="003C6386">
        <w:rPr>
          <w:szCs w:val="22"/>
        </w:rPr>
        <w:t xml:space="preserve">limited </w:t>
      </w:r>
      <w:r w:rsidRPr="003C6386">
        <w:rPr>
          <w:szCs w:val="22"/>
        </w:rPr>
        <w:t>waiver of the rule</w:t>
      </w:r>
      <w:r w:rsidR="004655F1">
        <w:rPr>
          <w:szCs w:val="22"/>
        </w:rPr>
        <w:t>.</w:t>
      </w:r>
      <w:r>
        <w:rPr>
          <w:rStyle w:val="FootnoteReference"/>
          <w:szCs w:val="22"/>
        </w:rPr>
        <w:footnoteReference w:id="53"/>
      </w:r>
      <w:r w:rsidRPr="003C6386">
        <w:rPr>
          <w:szCs w:val="22"/>
        </w:rPr>
        <w:t xml:space="preserve"> </w:t>
      </w:r>
      <w:r w:rsidRPr="003C6386">
        <w:rPr>
          <w:b/>
          <w:bCs/>
          <w:szCs w:val="22"/>
        </w:rPr>
        <w:t xml:space="preserve">    </w:t>
      </w:r>
    </w:p>
    <w:p w:rsidR="00F349A3" w:rsidRPr="00930FC3" w:rsidP="00930FC3" w14:paraId="2918B205" w14:textId="523B9F4F">
      <w:pPr>
        <w:pStyle w:val="ParaNum"/>
        <w:numPr>
          <w:ilvl w:val="0"/>
          <w:numId w:val="1"/>
        </w:numPr>
        <w:tabs>
          <w:tab w:val="clear" w:pos="1080"/>
          <w:tab w:val="left" w:pos="1440"/>
        </w:tabs>
        <w:spacing w:after="220"/>
        <w:rPr>
          <w:szCs w:val="22"/>
        </w:rPr>
      </w:pPr>
      <w:r>
        <w:rPr>
          <w:szCs w:val="22"/>
          <w:lang w:val="en"/>
        </w:rPr>
        <w:t xml:space="preserve">Section 316(a)(1) of the Act provides that no </w:t>
      </w:r>
      <w:r w:rsidRPr="001830C8">
        <w:rPr>
          <w:szCs w:val="22"/>
        </w:rPr>
        <w:t>proposed</w:t>
      </w:r>
      <w:r>
        <w:rPr>
          <w:szCs w:val="22"/>
          <w:lang w:val="en"/>
        </w:rPr>
        <w:t xml:space="preserve"> order of modification shall become final until the license holder has been provided at </w:t>
      </w:r>
      <w:r w:rsidRPr="00214BE2">
        <w:rPr>
          <w:szCs w:val="22"/>
        </w:rPr>
        <w:t>least</w:t>
      </w:r>
      <w:r>
        <w:rPr>
          <w:szCs w:val="22"/>
          <w:lang w:val="en"/>
        </w:rPr>
        <w:t xml:space="preserve"> 30 days to protest the proposed order</w:t>
      </w:r>
      <w:r w:rsidR="00324BE2">
        <w:rPr>
          <w:szCs w:val="22"/>
          <w:lang w:val="en"/>
        </w:rPr>
        <w:t>; the Commission may establish a shorter period where the safety of</w:t>
      </w:r>
      <w:r w:rsidR="003E1C8D">
        <w:rPr>
          <w:szCs w:val="22"/>
          <w:lang w:val="en"/>
        </w:rPr>
        <w:t xml:space="preserve"> life or property is involved</w:t>
      </w:r>
      <w:r w:rsidR="008C3E0B">
        <w:rPr>
          <w:szCs w:val="22"/>
          <w:lang w:val="en"/>
        </w:rPr>
        <w:t>.</w:t>
      </w:r>
      <w:r>
        <w:rPr>
          <w:rStyle w:val="FootnoteReference"/>
          <w:sz w:val="22"/>
          <w:szCs w:val="22"/>
          <w:lang w:val="en"/>
        </w:rPr>
        <w:footnoteReference w:id="54"/>
      </w:r>
      <w:r w:rsidR="00851ECB">
        <w:rPr>
          <w:szCs w:val="22"/>
          <w:lang w:val="en"/>
        </w:rPr>
        <w:t xml:space="preserve">  </w:t>
      </w:r>
      <w:r w:rsidR="003E1C8D">
        <w:rPr>
          <w:szCs w:val="22"/>
          <w:lang w:val="en"/>
        </w:rPr>
        <w:t>I</w:t>
      </w:r>
      <w:r w:rsidR="00851ECB">
        <w:rPr>
          <w:szCs w:val="22"/>
          <w:lang w:val="en"/>
        </w:rPr>
        <w:t xml:space="preserve">n the </w:t>
      </w:r>
      <w:r w:rsidRPr="00653442" w:rsidR="00851ECB">
        <w:rPr>
          <w:i/>
          <w:iCs/>
          <w:szCs w:val="22"/>
          <w:lang w:val="en"/>
        </w:rPr>
        <w:t>Proposed Order of Modification</w:t>
      </w:r>
      <w:r w:rsidR="00851ECB">
        <w:rPr>
          <w:szCs w:val="22"/>
          <w:lang w:val="en"/>
        </w:rPr>
        <w:t xml:space="preserve">, </w:t>
      </w:r>
      <w:r w:rsidR="00AC51BA">
        <w:rPr>
          <w:szCs w:val="22"/>
          <w:lang w:val="en"/>
        </w:rPr>
        <w:t xml:space="preserve">the Bureau </w:t>
      </w:r>
      <w:r w:rsidR="00851ECB">
        <w:rPr>
          <w:szCs w:val="22"/>
          <w:lang w:val="en"/>
        </w:rPr>
        <w:t xml:space="preserve">provided MTA 30 days from </w:t>
      </w:r>
      <w:r w:rsidR="002E3E63">
        <w:rPr>
          <w:szCs w:val="22"/>
          <w:lang w:val="en"/>
        </w:rPr>
        <w:t xml:space="preserve">its </w:t>
      </w:r>
      <w:r w:rsidR="00851ECB">
        <w:rPr>
          <w:szCs w:val="22"/>
          <w:lang w:val="en"/>
        </w:rPr>
        <w:t>release date to file a protest.</w:t>
      </w:r>
      <w:r>
        <w:rPr>
          <w:rStyle w:val="FootnoteReference"/>
          <w:szCs w:val="22"/>
          <w:lang w:val="en"/>
        </w:rPr>
        <w:footnoteReference w:id="55"/>
      </w:r>
      <w:r w:rsidR="00851ECB">
        <w:rPr>
          <w:szCs w:val="22"/>
          <w:lang w:val="en"/>
        </w:rPr>
        <w:t xml:space="preserve">  Section 316(a)(2) of the Act provides that </w:t>
      </w:r>
      <w:r w:rsidR="00851ECB">
        <w:rPr>
          <w:szCs w:val="22"/>
        </w:rPr>
        <w:t>“[a]</w:t>
      </w:r>
      <w:r w:rsidR="00851ECB">
        <w:rPr>
          <w:szCs w:val="22"/>
        </w:rPr>
        <w:t>ny</w:t>
      </w:r>
      <w:r w:rsidR="00851ECB">
        <w:rPr>
          <w:szCs w:val="22"/>
        </w:rPr>
        <w:t xml:space="preserve"> other licensee or permittee who believes its license or permit would be modified by the proposed action may also protest the proposed action before its effective date.”</w:t>
      </w:r>
      <w:r>
        <w:rPr>
          <w:rStyle w:val="FootnoteReference"/>
          <w:sz w:val="22"/>
          <w:szCs w:val="22"/>
        </w:rPr>
        <w:footnoteReference w:id="56"/>
      </w:r>
      <w:r w:rsidR="00AC51BA">
        <w:rPr>
          <w:szCs w:val="22"/>
        </w:rPr>
        <w:t xml:space="preserve">  </w:t>
      </w:r>
      <w:r>
        <w:rPr>
          <w:szCs w:val="22"/>
          <w:lang w:val="en"/>
        </w:rPr>
        <w:t xml:space="preserve">  </w:t>
      </w:r>
    </w:p>
    <w:p w:rsidR="0011476D" w:rsidP="001B2E4B" w14:paraId="39608354" w14:textId="31BC7849">
      <w:pPr>
        <w:pStyle w:val="Heading1"/>
        <w:rPr>
          <w:rFonts w:ascii="Times New Roman" w:hAnsi="Times New Roman"/>
          <w:szCs w:val="22"/>
        </w:rPr>
      </w:pPr>
      <w:bookmarkStart w:id="2" w:name="_Toc432754488"/>
      <w:bookmarkStart w:id="3" w:name="_Toc432767961"/>
      <w:bookmarkStart w:id="4" w:name="_Toc433108643"/>
      <w:bookmarkStart w:id="5" w:name="_Toc433202766"/>
      <w:bookmarkStart w:id="6" w:name="_Toc433264838"/>
      <w:bookmarkStart w:id="7" w:name="_Toc434509966"/>
      <w:bookmarkStart w:id="8" w:name="_Toc434511179"/>
      <w:bookmarkStart w:id="9" w:name="_Toc434582082"/>
      <w:bookmarkStart w:id="10" w:name="_Toc435612716"/>
      <w:bookmarkStart w:id="11" w:name="_Toc437511242"/>
      <w:bookmarkStart w:id="12" w:name="_Toc439765306"/>
      <w:bookmarkStart w:id="13" w:name="_Toc439855352"/>
      <w:bookmarkStart w:id="14" w:name="_Toc441061373"/>
      <w:r>
        <w:rPr>
          <w:rFonts w:ascii="Times New Roman" w:hAnsi="Times New Roman"/>
          <w:szCs w:val="22"/>
        </w:rPr>
        <w:t>Discussion</w:t>
      </w:r>
      <w:bookmarkStart w:id="15" w:name="co_tablefootnote_10_1"/>
      <w:bookmarkEnd w:id="2"/>
      <w:bookmarkEnd w:id="3"/>
      <w:bookmarkEnd w:id="4"/>
      <w:bookmarkEnd w:id="5"/>
      <w:bookmarkEnd w:id="6"/>
      <w:bookmarkEnd w:id="7"/>
      <w:bookmarkEnd w:id="8"/>
      <w:bookmarkEnd w:id="9"/>
      <w:bookmarkEnd w:id="10"/>
      <w:bookmarkEnd w:id="11"/>
      <w:bookmarkEnd w:id="12"/>
      <w:bookmarkEnd w:id="13"/>
      <w:bookmarkEnd w:id="14"/>
      <w:bookmarkEnd w:id="15"/>
    </w:p>
    <w:p w:rsidR="002E1D73" w:rsidRPr="002E1D73" w:rsidP="00FA05ED" w14:paraId="0339E3A7" w14:textId="247EF5F3">
      <w:pPr>
        <w:pStyle w:val="Heading2"/>
      </w:pPr>
      <w:r>
        <w:t>Modification of Stations KIVD0001 and KIVD0002</w:t>
      </w:r>
    </w:p>
    <w:p w:rsidR="001B2E4B" w:rsidP="002936D7" w14:paraId="146DF2F3" w14:textId="527D389C">
      <w:pPr>
        <w:pStyle w:val="ParaNum"/>
        <w:numPr>
          <w:ilvl w:val="0"/>
          <w:numId w:val="1"/>
        </w:numPr>
        <w:tabs>
          <w:tab w:val="clear" w:pos="1080"/>
          <w:tab w:val="left" w:pos="1440"/>
        </w:tabs>
        <w:autoSpaceDE w:val="0"/>
        <w:autoSpaceDN w:val="0"/>
        <w:adjustRightInd w:val="0"/>
        <w:spacing w:after="220"/>
        <w:rPr>
          <w:szCs w:val="22"/>
        </w:rPr>
      </w:pPr>
      <w:r>
        <w:rPr>
          <w:szCs w:val="22"/>
        </w:rPr>
        <w:t>T</w:t>
      </w:r>
      <w:r w:rsidRPr="007F4805">
        <w:rPr>
          <w:szCs w:val="22"/>
        </w:rPr>
        <w:t xml:space="preserve">he period for filing protests of the </w:t>
      </w:r>
      <w:r w:rsidRPr="000C1E3A">
        <w:rPr>
          <w:i/>
          <w:iCs/>
          <w:szCs w:val="22"/>
        </w:rPr>
        <w:t>Proposed Order</w:t>
      </w:r>
      <w:r>
        <w:rPr>
          <w:i/>
          <w:iCs/>
          <w:szCs w:val="22"/>
        </w:rPr>
        <w:t xml:space="preserve"> </w:t>
      </w:r>
      <w:r>
        <w:rPr>
          <w:szCs w:val="22"/>
        </w:rPr>
        <w:t xml:space="preserve">has </w:t>
      </w:r>
      <w:r w:rsidRPr="007F4805">
        <w:rPr>
          <w:szCs w:val="22"/>
        </w:rPr>
        <w:t>ended</w:t>
      </w:r>
      <w:r>
        <w:rPr>
          <w:szCs w:val="22"/>
        </w:rPr>
        <w:t xml:space="preserve">, and neither MTA nor any other </w:t>
      </w:r>
      <w:r w:rsidRPr="007F4805">
        <w:rPr>
          <w:szCs w:val="22"/>
        </w:rPr>
        <w:t xml:space="preserve">party </w:t>
      </w:r>
      <w:r>
        <w:rPr>
          <w:szCs w:val="22"/>
        </w:rPr>
        <w:t xml:space="preserve">has </w:t>
      </w:r>
      <w:r w:rsidRPr="007F4805">
        <w:rPr>
          <w:szCs w:val="22"/>
        </w:rPr>
        <w:t>filed a protest.</w:t>
      </w:r>
      <w:r w:rsidR="00BA1A21">
        <w:rPr>
          <w:szCs w:val="22"/>
        </w:rPr>
        <w:t xml:space="preserve">  </w:t>
      </w:r>
      <w:r w:rsidRPr="00130BCF" w:rsidR="00130BCF">
        <w:rPr>
          <w:szCs w:val="22"/>
        </w:rPr>
        <w:t>T</w:t>
      </w:r>
      <w:r w:rsidRPr="00304A27" w:rsidR="00304A27">
        <w:rPr>
          <w:rFonts w:ascii="TimesNewRomanPSMT" w:hAnsi="TimesNewRomanPSMT" w:cs="TimesNewRomanPSMT"/>
          <w:kern w:val="0"/>
        </w:rPr>
        <w:t xml:space="preserve">herefore, consistent with the </w:t>
      </w:r>
      <w:r>
        <w:rPr>
          <w:rFonts w:ascii="TimesNewRomanPSMT" w:hAnsi="TimesNewRomanPSMT" w:cs="TimesNewRomanPSMT"/>
          <w:kern w:val="0"/>
        </w:rPr>
        <w:t xml:space="preserve">Bureau’s analysis and for all the reasons set forth in the </w:t>
      </w:r>
      <w:r w:rsidRPr="004902D5">
        <w:rPr>
          <w:rFonts w:ascii="TimesNewRomanPSMT" w:hAnsi="TimesNewRomanPSMT" w:cs="TimesNewRomanPSMT"/>
          <w:i/>
          <w:iCs/>
          <w:kern w:val="0"/>
        </w:rPr>
        <w:t>Proposed Order</w:t>
      </w:r>
      <w:r>
        <w:rPr>
          <w:rFonts w:ascii="TimesNewRomanPSMT" w:hAnsi="TimesNewRomanPSMT" w:cs="TimesNewRomanPSMT"/>
          <w:kern w:val="0"/>
        </w:rPr>
        <w:t xml:space="preserve">, as discussed in detail above, </w:t>
      </w:r>
      <w:r w:rsidRPr="00304A27" w:rsidR="00304A27">
        <w:rPr>
          <w:rFonts w:ascii="TimesNewRomanPSMT" w:hAnsi="TimesNewRomanPSMT" w:cs="TimesNewRomanPSMT"/>
          <w:kern w:val="0"/>
        </w:rPr>
        <w:t xml:space="preserve">we </w:t>
      </w:r>
      <w:r>
        <w:rPr>
          <w:rFonts w:ascii="TimesNewRomanPSMT" w:hAnsi="TimesNewRomanPSMT" w:cs="TimesNewRomanPSMT"/>
          <w:kern w:val="0"/>
        </w:rPr>
        <w:t>find</w:t>
      </w:r>
      <w:r w:rsidRPr="00304A27" w:rsidR="00304A27">
        <w:rPr>
          <w:rFonts w:ascii="TimesNewRomanPSMT" w:hAnsi="TimesNewRomanPSMT" w:cs="TimesNewRomanPSMT"/>
          <w:kern w:val="0"/>
        </w:rPr>
        <w:t xml:space="preserve"> </w:t>
      </w:r>
      <w:r w:rsidR="00431C30">
        <w:rPr>
          <w:rFonts w:ascii="TimesNewRomanPSMT" w:hAnsi="TimesNewRomanPSMT" w:cs="TimesNewRomanPSMT"/>
          <w:kern w:val="0"/>
        </w:rPr>
        <w:t xml:space="preserve">that the </w:t>
      </w:r>
      <w:r w:rsidRPr="00304A27" w:rsidR="00304A27">
        <w:rPr>
          <w:rFonts w:ascii="TimesNewRomanPSMT" w:hAnsi="TimesNewRomanPSMT" w:cs="TimesNewRomanPSMT"/>
          <w:kern w:val="0"/>
        </w:rPr>
        <w:t>public interest, convenience, and necessity will be served by adopting the license modifications</w:t>
      </w:r>
      <w:r>
        <w:rPr>
          <w:rFonts w:ascii="TimesNewRomanPSMT" w:hAnsi="TimesNewRomanPSMT" w:cs="TimesNewRomanPSMT"/>
          <w:kern w:val="0"/>
        </w:rPr>
        <w:t xml:space="preserve"> of Stations KIVD0001 and KIVD00002 </w:t>
      </w:r>
      <w:r w:rsidR="00140CC1">
        <w:rPr>
          <w:rFonts w:ascii="TimesNewRomanPSMT" w:hAnsi="TimesNewRomanPSMT" w:cs="TimesNewRomanPSMT"/>
          <w:kern w:val="0"/>
        </w:rPr>
        <w:t>as proposed.</w:t>
      </w:r>
      <w:r w:rsidRPr="00431C30" w:rsidR="00431C30">
        <w:rPr>
          <w:rStyle w:val="FootnoteReference"/>
          <w:szCs w:val="22"/>
        </w:rPr>
        <w:t xml:space="preserve"> </w:t>
      </w:r>
      <w:r>
        <w:rPr>
          <w:rStyle w:val="FootnoteReference"/>
          <w:szCs w:val="22"/>
        </w:rPr>
        <w:footnoteReference w:id="57"/>
      </w:r>
      <w:r w:rsidR="00962783">
        <w:rPr>
          <w:rFonts w:ascii="TimesNewRomanPSMT" w:hAnsi="TimesNewRomanPSMT" w:cs="TimesNewRomanPSMT"/>
          <w:kern w:val="0"/>
        </w:rPr>
        <w:t xml:space="preserve">  </w:t>
      </w:r>
      <w:r w:rsidR="00140CC1">
        <w:rPr>
          <w:szCs w:val="22"/>
        </w:rPr>
        <w:t>P</w:t>
      </w:r>
      <w:r>
        <w:rPr>
          <w:szCs w:val="22"/>
        </w:rPr>
        <w:t>ursuant to section 316(a)(1) of the Act</w:t>
      </w:r>
      <w:r w:rsidR="00140CC1">
        <w:rPr>
          <w:szCs w:val="22"/>
        </w:rPr>
        <w:t>,</w:t>
      </w:r>
      <w:r w:rsidR="00516E62">
        <w:rPr>
          <w:szCs w:val="22"/>
        </w:rPr>
        <w:t xml:space="preserve"> </w:t>
      </w:r>
      <w:r>
        <w:rPr>
          <w:szCs w:val="22"/>
        </w:rPr>
        <w:t xml:space="preserve">we hereby modify Stations KIVD0001 and KIVD0002 </w:t>
      </w:r>
      <w:r w:rsidR="002E1D73">
        <w:rPr>
          <w:szCs w:val="22"/>
        </w:rPr>
        <w:t>by</w:t>
      </w:r>
      <w:r>
        <w:rPr>
          <w:szCs w:val="22"/>
        </w:rPr>
        <w:t>:</w:t>
      </w:r>
    </w:p>
    <w:p w:rsidR="001B2E4B" w:rsidP="001A079F" w14:paraId="590E13BE" w14:textId="0EFB283E">
      <w:pPr>
        <w:pStyle w:val="ParaNum"/>
        <w:widowControl/>
        <w:numPr>
          <w:ilvl w:val="0"/>
          <w:numId w:val="3"/>
        </w:numPr>
        <w:rPr>
          <w:szCs w:val="22"/>
        </w:rPr>
      </w:pPr>
      <w:r>
        <w:rPr>
          <w:szCs w:val="22"/>
        </w:rPr>
        <w:t xml:space="preserve">authorizing </w:t>
      </w:r>
      <w:r>
        <w:rPr>
          <w:szCs w:val="22"/>
        </w:rPr>
        <w:t>the use</w:t>
      </w:r>
      <w:r w:rsidR="00AA6992">
        <w:rPr>
          <w:szCs w:val="22"/>
        </w:rPr>
        <w:t>—solely to comply with Congress’s PTC mandate</w:t>
      </w:r>
      <w:r>
        <w:rPr>
          <w:rStyle w:val="FootnoteReference"/>
          <w:szCs w:val="22"/>
        </w:rPr>
        <w:footnoteReference w:id="58"/>
      </w:r>
      <w:r w:rsidR="00AA6992">
        <w:rPr>
          <w:szCs w:val="22"/>
        </w:rPr>
        <w:t xml:space="preserve"> —</w:t>
      </w:r>
      <w:r>
        <w:rPr>
          <w:szCs w:val="22"/>
        </w:rPr>
        <w:t>o</w:t>
      </w:r>
      <w:r>
        <w:rPr>
          <w:szCs w:val="22"/>
        </w:rPr>
        <w:t>f</w:t>
      </w:r>
      <w:r w:rsidR="00AA6992">
        <w:rPr>
          <w:szCs w:val="22"/>
        </w:rPr>
        <w:t xml:space="preserve"> </w:t>
      </w:r>
      <w:r>
        <w:rPr>
          <w:szCs w:val="22"/>
        </w:rPr>
        <w:t xml:space="preserve">an additional 250 kilohertz of </w:t>
      </w:r>
      <w:r w:rsidRPr="007059C0">
        <w:rPr>
          <w:szCs w:val="22"/>
        </w:rPr>
        <w:t>spectrum, 218.751-219.000 MHz,</w:t>
      </w:r>
      <w:r>
        <w:rPr>
          <w:szCs w:val="22"/>
        </w:rPr>
        <w:t xml:space="preserve"> under Station KIVD0002 in Dutchess County, </w:t>
      </w:r>
      <w:r>
        <w:rPr>
          <w:szCs w:val="22"/>
        </w:rPr>
        <w:t>New York (CMA151); Orange County, New York (CMA144); Fairfield County, Connecticut (CMA042); and New Haven County, Connecticut (CMA049);</w:t>
      </w:r>
      <w:r w:rsidR="00AA6992">
        <w:rPr>
          <w:szCs w:val="22"/>
        </w:rPr>
        <w:t xml:space="preserve"> </w:t>
      </w:r>
    </w:p>
    <w:p w:rsidR="001B2E4B" w:rsidP="001B2E4B" w14:paraId="0C183419" w14:textId="39EDF8EC">
      <w:pPr>
        <w:pStyle w:val="ParaNum"/>
        <w:numPr>
          <w:ilvl w:val="0"/>
          <w:numId w:val="2"/>
        </w:numPr>
        <w:rPr>
          <w:szCs w:val="22"/>
        </w:rPr>
      </w:pPr>
      <w:r>
        <w:rPr>
          <w:szCs w:val="22"/>
        </w:rPr>
        <w:t xml:space="preserve">deleting </w:t>
      </w:r>
      <w:r>
        <w:rPr>
          <w:szCs w:val="22"/>
        </w:rPr>
        <w:t xml:space="preserve">the authorization to use 250 kilohertz of </w:t>
      </w:r>
      <w:r w:rsidRPr="007059C0">
        <w:rPr>
          <w:szCs w:val="22"/>
        </w:rPr>
        <w:t>spectrum, 218.000-218.250 MHz</w:t>
      </w:r>
      <w:r>
        <w:rPr>
          <w:szCs w:val="22"/>
        </w:rPr>
        <w:t xml:space="preserve">, </w:t>
      </w:r>
      <w:r>
        <w:rPr>
          <w:szCs w:val="22"/>
        </w:rPr>
        <w:t>under</w:t>
      </w:r>
      <w:r>
        <w:rPr>
          <w:szCs w:val="22"/>
        </w:rPr>
        <w:t xml:space="preserve"> Station KIVD0001 from five New Jersey counties, all in </w:t>
      </w:r>
      <w:r w:rsidR="002C6299">
        <w:rPr>
          <w:szCs w:val="22"/>
        </w:rPr>
        <w:t>the New York CMA (</w:t>
      </w:r>
      <w:r>
        <w:rPr>
          <w:szCs w:val="22"/>
        </w:rPr>
        <w:t>CMA001</w:t>
      </w:r>
      <w:r w:rsidR="002C6299">
        <w:rPr>
          <w:szCs w:val="22"/>
        </w:rPr>
        <w:t>)</w:t>
      </w:r>
      <w:r>
        <w:rPr>
          <w:szCs w:val="22"/>
        </w:rPr>
        <w:t>—Essex, Morris, Passaic, Somerset, and Union—which spectrum will become unassigned and available for future disposition as determined by the Commission;</w:t>
      </w:r>
      <w:r w:rsidR="00D96465">
        <w:rPr>
          <w:szCs w:val="22"/>
        </w:rPr>
        <w:t xml:space="preserve"> a</w:t>
      </w:r>
      <w:r>
        <w:rPr>
          <w:szCs w:val="22"/>
        </w:rPr>
        <w:t>nd</w:t>
      </w:r>
    </w:p>
    <w:p w:rsidR="001B2E4B" w:rsidP="002E1D73" w14:paraId="7B129F15" w14:textId="0B558465">
      <w:pPr>
        <w:pStyle w:val="ParaNum"/>
        <w:numPr>
          <w:ilvl w:val="0"/>
          <w:numId w:val="2"/>
        </w:numPr>
        <w:rPr>
          <w:szCs w:val="22"/>
        </w:rPr>
      </w:pPr>
      <w:r>
        <w:rPr>
          <w:szCs w:val="22"/>
        </w:rPr>
        <w:t>add</w:t>
      </w:r>
      <w:r w:rsidR="002E1D73">
        <w:rPr>
          <w:szCs w:val="22"/>
        </w:rPr>
        <w:t>ing</w:t>
      </w:r>
      <w:r>
        <w:rPr>
          <w:szCs w:val="22"/>
        </w:rPr>
        <w:t xml:space="preserve"> a special condition requiring MTA to </w:t>
      </w:r>
      <w:bookmarkStart w:id="16" w:name="_Hlk127175824"/>
      <w:r>
        <w:rPr>
          <w:szCs w:val="22"/>
        </w:rPr>
        <w:t>sell or lease, on commercially reasonable terms, additional spectrum to NJ Transit</w:t>
      </w:r>
      <w:r w:rsidR="0021607E">
        <w:rPr>
          <w:szCs w:val="22"/>
        </w:rPr>
        <w:t>—</w:t>
      </w:r>
      <w:r>
        <w:rPr>
          <w:szCs w:val="22"/>
        </w:rPr>
        <w:t>if neede</w:t>
      </w:r>
      <w:r w:rsidR="0021607E">
        <w:rPr>
          <w:szCs w:val="22"/>
        </w:rPr>
        <w:t>d—</w:t>
      </w:r>
      <w:r>
        <w:rPr>
          <w:szCs w:val="22"/>
        </w:rPr>
        <w:t>to</w:t>
      </w:r>
      <w:r w:rsidR="0021607E">
        <w:rPr>
          <w:szCs w:val="22"/>
        </w:rPr>
        <w:t xml:space="preserve"> </w:t>
      </w:r>
      <w:r>
        <w:rPr>
          <w:szCs w:val="22"/>
        </w:rPr>
        <w:t xml:space="preserve">support NJ Transit’s PTC </w:t>
      </w:r>
      <w:r w:rsidR="000A4649">
        <w:rPr>
          <w:szCs w:val="22"/>
        </w:rPr>
        <w:t>operations</w:t>
      </w:r>
      <w:r>
        <w:rPr>
          <w:szCs w:val="22"/>
        </w:rPr>
        <w:t xml:space="preserve"> in </w:t>
      </w:r>
      <w:r w:rsidR="00C80C31">
        <w:rPr>
          <w:szCs w:val="22"/>
        </w:rPr>
        <w:t xml:space="preserve">the following seven </w:t>
      </w:r>
      <w:r w:rsidR="008C202E">
        <w:rPr>
          <w:szCs w:val="22"/>
        </w:rPr>
        <w:t>northern New Jersey counties</w:t>
      </w:r>
      <w:r w:rsidR="00C80C31">
        <w:rPr>
          <w:szCs w:val="22"/>
        </w:rPr>
        <w:t xml:space="preserve">: </w:t>
      </w:r>
      <w:r w:rsidR="005A0A8F">
        <w:rPr>
          <w:szCs w:val="22"/>
        </w:rPr>
        <w:t xml:space="preserve"> </w:t>
      </w:r>
      <w:r w:rsidRPr="007C7481" w:rsidR="00C80C31">
        <w:t>Bergen, Essex, Hudson, Morris, Passaic, Somerset, and Union</w:t>
      </w:r>
      <w:r w:rsidR="008C202E">
        <w:rPr>
          <w:szCs w:val="22"/>
        </w:rPr>
        <w:t>.</w:t>
      </w:r>
      <w:bookmarkEnd w:id="16"/>
    </w:p>
    <w:p w:rsidR="00E96E50" w:rsidP="00E96E50" w14:paraId="52635A82" w14:textId="3CAC68DB">
      <w:pPr>
        <w:pStyle w:val="ParaNum"/>
        <w:numPr>
          <w:ilvl w:val="0"/>
          <w:numId w:val="1"/>
        </w:numPr>
        <w:tabs>
          <w:tab w:val="clear" w:pos="1080"/>
          <w:tab w:val="left" w:pos="1440"/>
        </w:tabs>
        <w:spacing w:after="220"/>
        <w:rPr>
          <w:szCs w:val="22"/>
        </w:rPr>
      </w:pPr>
      <w:r>
        <w:rPr>
          <w:szCs w:val="22"/>
        </w:rPr>
        <w:t>C</w:t>
      </w:r>
      <w:r w:rsidRPr="00F0709F">
        <w:rPr>
          <w:szCs w:val="22"/>
        </w:rPr>
        <w:t>onsistent with today’s modification of Station KIVD0001, MTA and NJ Transit must modify</w:t>
      </w:r>
      <w:r>
        <w:rPr>
          <w:szCs w:val="22"/>
        </w:rPr>
        <w:t xml:space="preserve"> </w:t>
      </w:r>
      <w:r w:rsidRPr="00F0709F">
        <w:rPr>
          <w:szCs w:val="22"/>
        </w:rPr>
        <w:t>their existing lease arrangement (Lease ID L000040457) in ULS to reflect the deletion of 218.000-218.250 MHz in the five applicable New Jersey counties</w:t>
      </w:r>
      <w:r>
        <w:rPr>
          <w:szCs w:val="22"/>
        </w:rPr>
        <w:t>.</w:t>
      </w:r>
      <w:r>
        <w:rPr>
          <w:rStyle w:val="FootnoteReference"/>
          <w:szCs w:val="22"/>
        </w:rPr>
        <w:footnoteReference w:id="59"/>
      </w:r>
      <w:r>
        <w:rPr>
          <w:szCs w:val="22"/>
        </w:rPr>
        <w:t xml:space="preserve">  </w:t>
      </w:r>
      <w:r w:rsidRPr="00F0709F">
        <w:rPr>
          <w:szCs w:val="22"/>
        </w:rPr>
        <w:t>We clarify that, effective with the release of this Order, NJ Transit is no longer authorized to operate on 218.000-218.250 MHz in those</w:t>
      </w:r>
      <w:r>
        <w:t xml:space="preserve"> five counties</w:t>
      </w:r>
      <w:r w:rsidRPr="00F0709F">
        <w:rPr>
          <w:szCs w:val="22"/>
        </w:rPr>
        <w:t>.</w:t>
      </w:r>
    </w:p>
    <w:p w:rsidR="00BE5E68" w:rsidP="00FA05ED" w14:paraId="57279CE9" w14:textId="409A8291">
      <w:pPr>
        <w:pStyle w:val="Heading2"/>
      </w:pPr>
      <w:bookmarkStart w:id="17" w:name="_Toc432754500"/>
      <w:bookmarkStart w:id="18" w:name="_Toc432767973"/>
      <w:bookmarkStart w:id="19" w:name="_Toc433108655"/>
      <w:bookmarkStart w:id="20" w:name="_Toc433202778"/>
      <w:bookmarkStart w:id="21" w:name="_Toc433264850"/>
      <w:bookmarkStart w:id="22" w:name="_Toc434509978"/>
      <w:bookmarkStart w:id="23" w:name="_Toc434511191"/>
      <w:bookmarkStart w:id="24" w:name="_Toc434582094"/>
      <w:bookmarkStart w:id="25" w:name="_Toc435612728"/>
      <w:bookmarkStart w:id="26" w:name="_Toc437511254"/>
      <w:bookmarkStart w:id="27" w:name="_Toc439765318"/>
      <w:bookmarkStart w:id="28" w:name="_Toc439855364"/>
      <w:bookmarkStart w:id="29" w:name="_Toc441061385"/>
      <w:r>
        <w:t>Limited</w:t>
      </w:r>
      <w:r w:rsidR="00382349">
        <w:t xml:space="preserve"> </w:t>
      </w:r>
      <w:r w:rsidR="009A3F9D">
        <w:t xml:space="preserve">Waiver </w:t>
      </w:r>
      <w:r w:rsidR="007D4CAC">
        <w:t xml:space="preserve">of </w:t>
      </w:r>
      <w:bookmarkEnd w:id="17"/>
      <w:bookmarkEnd w:id="18"/>
      <w:bookmarkEnd w:id="19"/>
      <w:bookmarkEnd w:id="20"/>
      <w:bookmarkEnd w:id="21"/>
      <w:bookmarkEnd w:id="22"/>
      <w:bookmarkEnd w:id="23"/>
      <w:bookmarkEnd w:id="24"/>
      <w:bookmarkEnd w:id="25"/>
      <w:bookmarkEnd w:id="26"/>
      <w:bookmarkEnd w:id="27"/>
      <w:bookmarkEnd w:id="28"/>
      <w:bookmarkEnd w:id="29"/>
      <w:r w:rsidR="007D4CAC">
        <w:t>Section 95.1955</w:t>
      </w:r>
    </w:p>
    <w:p w:rsidR="00C2289F" w:rsidP="00AC51BA" w14:paraId="6B92F69F" w14:textId="454DF905">
      <w:pPr>
        <w:pStyle w:val="ParaNum"/>
        <w:numPr>
          <w:ilvl w:val="0"/>
          <w:numId w:val="1"/>
        </w:numPr>
        <w:tabs>
          <w:tab w:val="clear" w:pos="1080"/>
          <w:tab w:val="left" w:pos="1440"/>
        </w:tabs>
        <w:spacing w:after="220"/>
        <w:rPr>
          <w:szCs w:val="22"/>
        </w:rPr>
      </w:pPr>
      <w:r>
        <w:t>Further</w:t>
      </w:r>
      <w:r w:rsidR="00785942">
        <w:t xml:space="preserve"> </w:t>
      </w:r>
      <w:r>
        <w:t>consistent with</w:t>
      </w:r>
      <w:r w:rsidR="00BC1F5D">
        <w:t>, and for all the same reasons articulated in</w:t>
      </w:r>
      <w:r>
        <w:t xml:space="preserve"> the </w:t>
      </w:r>
      <w:r w:rsidRPr="005A46A5">
        <w:rPr>
          <w:i/>
          <w:iCs/>
        </w:rPr>
        <w:t>Proposed Order</w:t>
      </w:r>
      <w:r w:rsidRPr="00D96465" w:rsidR="00785942">
        <w:rPr>
          <w:i/>
        </w:rPr>
        <w:t xml:space="preserve">, </w:t>
      </w:r>
      <w:r w:rsidR="00BC1F5D">
        <w:t xml:space="preserve">as discussed in detail above, </w:t>
      </w:r>
      <w:r w:rsidR="00D3780F">
        <w:t xml:space="preserve">we </w:t>
      </w:r>
      <w:r w:rsidR="00BC1F5D">
        <w:t xml:space="preserve">find that </w:t>
      </w:r>
      <w:r w:rsidR="00D3780F">
        <w:t>grant</w:t>
      </w:r>
      <w:r w:rsidR="00BC1F5D">
        <w:t>ing</w:t>
      </w:r>
      <w:r w:rsidR="00D3780F">
        <w:t xml:space="preserve"> MTA’s request</w:t>
      </w:r>
      <w:r w:rsidR="00D5710D">
        <w:t xml:space="preserve"> </w:t>
      </w:r>
      <w:r w:rsidR="00D3780F">
        <w:t>for limited</w:t>
      </w:r>
      <w:r>
        <w:t xml:space="preserve"> </w:t>
      </w:r>
      <w:r w:rsidR="00D3780F">
        <w:t xml:space="preserve">waiver </w:t>
      </w:r>
      <w:r w:rsidR="00382349">
        <w:t xml:space="preserve">of </w:t>
      </w:r>
      <w:r w:rsidR="00D5710D">
        <w:t>section</w:t>
      </w:r>
      <w:r w:rsidR="00382349">
        <w:t xml:space="preserve"> 95.1955</w:t>
      </w:r>
      <w:r w:rsidR="00BC1F5D">
        <w:t xml:space="preserve"> will promote rail safety and serves the public interest, convenience, and necessity.</w:t>
      </w:r>
      <w:r w:rsidR="00A31EC3">
        <w:t xml:space="preserve">  </w:t>
      </w:r>
      <w:r w:rsidR="008B1EE5">
        <w:t>O</w:t>
      </w:r>
      <w:r w:rsidR="00A31EC3">
        <w:t xml:space="preserve">perations under this ERP waiver </w:t>
      </w:r>
      <w:r w:rsidR="00A31EC3">
        <w:rPr>
          <w:szCs w:val="22"/>
        </w:rPr>
        <w:t xml:space="preserve">for both Stations KIVD0001 and KIVD0002 </w:t>
      </w:r>
      <w:r w:rsidR="00A31EC3">
        <w:t xml:space="preserve">are </w:t>
      </w:r>
      <w:r w:rsidR="00D5710D">
        <w:t xml:space="preserve">subject to </w:t>
      </w:r>
      <w:r w:rsidR="00AC51BA">
        <w:t xml:space="preserve">the same </w:t>
      </w:r>
      <w:r w:rsidRPr="00CA59CB" w:rsidR="00AC51BA">
        <w:rPr>
          <w:szCs w:val="22"/>
        </w:rPr>
        <w:t xml:space="preserve">stricter OOBE attenuation requirements adopted in the </w:t>
      </w:r>
      <w:r w:rsidRPr="00CA59CB" w:rsidR="00AC51BA">
        <w:rPr>
          <w:i/>
          <w:iCs/>
          <w:szCs w:val="22"/>
        </w:rPr>
        <w:t>2016 Order On Reconsideration</w:t>
      </w:r>
      <w:r w:rsidR="00A31EC3">
        <w:rPr>
          <w:szCs w:val="22"/>
        </w:rPr>
        <w:t>.</w:t>
      </w:r>
      <w:r>
        <w:rPr>
          <w:rStyle w:val="FootnoteReference"/>
          <w:szCs w:val="22"/>
        </w:rPr>
        <w:footnoteReference w:id="60"/>
      </w:r>
      <w:r w:rsidRPr="00A31EC3" w:rsidR="00A31EC3">
        <w:rPr>
          <w:szCs w:val="22"/>
        </w:rPr>
        <w:t xml:space="preserve"> </w:t>
      </w:r>
      <w:r w:rsidR="00A31EC3">
        <w:rPr>
          <w:szCs w:val="22"/>
        </w:rPr>
        <w:t xml:space="preserve"> </w:t>
      </w:r>
      <w:r w:rsidR="00AC51BA">
        <w:rPr>
          <w:szCs w:val="22"/>
        </w:rPr>
        <w:t xml:space="preserve"> </w:t>
      </w:r>
    </w:p>
    <w:p w:rsidR="00C2289F" w:rsidP="00AC51BA" w14:paraId="44FCDBD7" w14:textId="04E54627">
      <w:pPr>
        <w:pStyle w:val="ParaNum"/>
        <w:numPr>
          <w:ilvl w:val="0"/>
          <w:numId w:val="1"/>
        </w:numPr>
        <w:tabs>
          <w:tab w:val="clear" w:pos="1080"/>
          <w:tab w:val="left" w:pos="1440"/>
        </w:tabs>
        <w:spacing w:after="220"/>
        <w:rPr>
          <w:szCs w:val="22"/>
        </w:rPr>
      </w:pPr>
      <w:r>
        <w:rPr>
          <w:szCs w:val="22"/>
        </w:rPr>
        <w:t xml:space="preserve">Thus, for </w:t>
      </w:r>
      <w:r w:rsidRPr="00F253C7">
        <w:rPr>
          <w:szCs w:val="22"/>
        </w:rPr>
        <w:t xml:space="preserve">fixed and base station </w:t>
      </w:r>
      <w:r>
        <w:rPr>
          <w:szCs w:val="22"/>
        </w:rPr>
        <w:t xml:space="preserve">PTC </w:t>
      </w:r>
      <w:r w:rsidRPr="00F253C7">
        <w:rPr>
          <w:szCs w:val="22"/>
        </w:rPr>
        <w:t>operations</w:t>
      </w:r>
      <w:r>
        <w:rPr>
          <w:szCs w:val="22"/>
        </w:rPr>
        <w:t>:</w:t>
      </w:r>
    </w:p>
    <w:p w:rsidR="00C2289F" w:rsidP="00C2289F" w14:paraId="3551B5D4" w14:textId="05813FC9">
      <w:pPr>
        <w:pStyle w:val="ParaNum"/>
        <w:numPr>
          <w:ilvl w:val="0"/>
          <w:numId w:val="25"/>
        </w:numPr>
        <w:tabs>
          <w:tab w:val="left" w:pos="1440"/>
        </w:tabs>
        <w:spacing w:after="220"/>
        <w:rPr>
          <w:szCs w:val="22"/>
        </w:rPr>
      </w:pPr>
      <w:r w:rsidRPr="00F253C7">
        <w:rPr>
          <w:szCs w:val="22"/>
        </w:rPr>
        <w:t xml:space="preserve">when using increased ERP under the waiver for Station KIVD0001 (which has a frequency midpoint of 218.250 MHz), emissions </w:t>
      </w:r>
      <w:r w:rsidR="008B1EE5">
        <w:rPr>
          <w:szCs w:val="22"/>
        </w:rPr>
        <w:t xml:space="preserve">must be attenuated </w:t>
      </w:r>
      <w:r w:rsidRPr="00F253C7">
        <w:rPr>
          <w:szCs w:val="22"/>
        </w:rPr>
        <w:t>by at least 29.77 dB in the AMTS lower A Block (217.5 to 218 MHz), and by at least 36.77 dB in the AMTS lower B Block (217 to 217.500 MHz) and AMTS upper A Block (219.500 to 220 MHz)</w:t>
      </w:r>
      <w:r>
        <w:rPr>
          <w:szCs w:val="22"/>
        </w:rPr>
        <w:t>; and</w:t>
      </w:r>
    </w:p>
    <w:p w:rsidR="00980302" w:rsidRPr="00F253C7" w:rsidP="00C2289F" w14:paraId="33A2FB29" w14:textId="1DB3021F">
      <w:pPr>
        <w:pStyle w:val="ParaNum"/>
        <w:numPr>
          <w:ilvl w:val="0"/>
          <w:numId w:val="25"/>
        </w:numPr>
        <w:tabs>
          <w:tab w:val="left" w:pos="1440"/>
        </w:tabs>
        <w:spacing w:after="220"/>
        <w:rPr>
          <w:szCs w:val="22"/>
        </w:rPr>
      </w:pPr>
      <w:r w:rsidRPr="00F253C7">
        <w:rPr>
          <w:szCs w:val="22"/>
        </w:rPr>
        <w:t xml:space="preserve">when using increased ERP under the waiver </w:t>
      </w:r>
      <w:r w:rsidR="00C2289F">
        <w:rPr>
          <w:szCs w:val="22"/>
        </w:rPr>
        <w:t xml:space="preserve">for </w:t>
      </w:r>
      <w:r w:rsidRPr="00F253C7">
        <w:rPr>
          <w:szCs w:val="22"/>
        </w:rPr>
        <w:t xml:space="preserve">Station KIVD0002 (which has a frequency midpoint of 218.750 MHz), emissions </w:t>
      </w:r>
      <w:r w:rsidR="008B1EE5">
        <w:rPr>
          <w:szCs w:val="22"/>
        </w:rPr>
        <w:t xml:space="preserve">must be attenuated </w:t>
      </w:r>
      <w:r w:rsidRPr="00F253C7">
        <w:rPr>
          <w:szCs w:val="22"/>
        </w:rPr>
        <w:t>by at least 29.77 dB in the AMTS upper B Block (219 to 219.500 MHz), and by at least 36.77 dB in the AMTS upper A Block (219.500 to 220 MHz) and the AMTS lower A Block (217.5 to 218 MHz).</w:t>
      </w:r>
      <w:r>
        <w:rPr>
          <w:rStyle w:val="FootnoteReference"/>
          <w:szCs w:val="22"/>
        </w:rPr>
        <w:footnoteReference w:id="61"/>
      </w:r>
    </w:p>
    <w:p w:rsidR="00C2289F" w:rsidP="00980302" w14:paraId="02490356" w14:textId="6D1E5DFA">
      <w:pPr>
        <w:pStyle w:val="ParaNum"/>
        <w:numPr>
          <w:ilvl w:val="0"/>
          <w:numId w:val="1"/>
        </w:numPr>
        <w:tabs>
          <w:tab w:val="clear" w:pos="1080"/>
          <w:tab w:val="left" w:pos="1440"/>
        </w:tabs>
        <w:spacing w:after="220"/>
        <w:rPr>
          <w:szCs w:val="22"/>
        </w:rPr>
      </w:pPr>
      <w:r>
        <w:rPr>
          <w:szCs w:val="22"/>
        </w:rPr>
        <w:t>And, f</w:t>
      </w:r>
      <w:r>
        <w:rPr>
          <w:szCs w:val="22"/>
        </w:rPr>
        <w:t xml:space="preserve">or </w:t>
      </w:r>
      <w:r w:rsidRPr="004B0520" w:rsidR="00980302">
        <w:rPr>
          <w:szCs w:val="22"/>
        </w:rPr>
        <w:t xml:space="preserve">mobile </w:t>
      </w:r>
      <w:r>
        <w:rPr>
          <w:szCs w:val="22"/>
        </w:rPr>
        <w:t xml:space="preserve">PTC </w:t>
      </w:r>
      <w:r w:rsidRPr="004B0520" w:rsidR="00980302">
        <w:rPr>
          <w:szCs w:val="22"/>
        </w:rPr>
        <w:t>operations</w:t>
      </w:r>
      <w:r>
        <w:rPr>
          <w:szCs w:val="22"/>
        </w:rPr>
        <w:t xml:space="preserve">: </w:t>
      </w:r>
    </w:p>
    <w:p w:rsidR="00C2289F" w:rsidP="00C2289F" w14:paraId="50664D29" w14:textId="29E63D00">
      <w:pPr>
        <w:pStyle w:val="ParaNum"/>
        <w:numPr>
          <w:ilvl w:val="0"/>
          <w:numId w:val="26"/>
        </w:numPr>
        <w:tabs>
          <w:tab w:val="left" w:pos="1440"/>
        </w:tabs>
        <w:spacing w:after="220"/>
        <w:rPr>
          <w:szCs w:val="22"/>
        </w:rPr>
      </w:pPr>
      <w:r>
        <w:rPr>
          <w:szCs w:val="22"/>
        </w:rPr>
        <w:t xml:space="preserve">when using increased ERP under the waiver for Station KIVD0001, </w:t>
      </w:r>
      <w:r w:rsidRPr="004B0520" w:rsidR="00980302">
        <w:rPr>
          <w:szCs w:val="22"/>
        </w:rPr>
        <w:t xml:space="preserve">emissions </w:t>
      </w:r>
      <w:r w:rsidR="008B1EE5">
        <w:rPr>
          <w:szCs w:val="22"/>
        </w:rPr>
        <w:t xml:space="preserve">must be attenuated </w:t>
      </w:r>
      <w:r w:rsidRPr="004B0520" w:rsidR="00980302">
        <w:rPr>
          <w:szCs w:val="22"/>
        </w:rPr>
        <w:t>by at least 31 dB in the AMTS lower A Block (217.5</w:t>
      </w:r>
      <w:r w:rsidR="00980302">
        <w:rPr>
          <w:szCs w:val="22"/>
        </w:rPr>
        <w:t>00</w:t>
      </w:r>
      <w:r w:rsidRPr="004B0520" w:rsidR="00980302">
        <w:rPr>
          <w:szCs w:val="22"/>
        </w:rPr>
        <w:t xml:space="preserve"> to 218 MHz), and by at least 38 dB in the AMTS lower B Block (217 to 217.500 MHz) and AMTS upper A Block (219.500 to 220 MHz)</w:t>
      </w:r>
      <w:r>
        <w:rPr>
          <w:szCs w:val="22"/>
        </w:rPr>
        <w:t xml:space="preserve">; and </w:t>
      </w:r>
    </w:p>
    <w:p w:rsidR="00980302" w:rsidRPr="004B0520" w:rsidP="001A079F" w14:paraId="644EAAE2" w14:textId="6E18EDCC">
      <w:pPr>
        <w:pStyle w:val="ParaNum"/>
        <w:widowControl/>
        <w:numPr>
          <w:ilvl w:val="0"/>
          <w:numId w:val="26"/>
        </w:numPr>
        <w:tabs>
          <w:tab w:val="left" w:pos="1440"/>
        </w:tabs>
        <w:spacing w:after="220"/>
        <w:rPr>
          <w:szCs w:val="22"/>
        </w:rPr>
      </w:pPr>
      <w:r w:rsidRPr="004B0520">
        <w:rPr>
          <w:szCs w:val="22"/>
        </w:rPr>
        <w:t xml:space="preserve">when using increased ERP under the waiver </w:t>
      </w:r>
      <w:r w:rsidRPr="004B0520" w:rsidR="00C2289F">
        <w:rPr>
          <w:szCs w:val="22"/>
        </w:rPr>
        <w:t>for Station KIVD0002,</w:t>
      </w:r>
      <w:r w:rsidRPr="004B0520">
        <w:rPr>
          <w:szCs w:val="22"/>
        </w:rPr>
        <w:t xml:space="preserve">  emissions </w:t>
      </w:r>
      <w:r w:rsidR="008B1EE5">
        <w:rPr>
          <w:szCs w:val="22"/>
        </w:rPr>
        <w:t xml:space="preserve">must be attenuated </w:t>
      </w:r>
      <w:r w:rsidRPr="004B0520">
        <w:rPr>
          <w:szCs w:val="22"/>
        </w:rPr>
        <w:t>by at least 31 dB in the AMTS upper B Block (219 to 219.500 MHz), and by at least 38 dB in the AMTS upper A Block (219.500 to 220 MHz) and the AMTS lower A Block (217.5 to 218 MHz).</w:t>
      </w:r>
      <w:r>
        <w:rPr>
          <w:rStyle w:val="FootnoteReference"/>
          <w:szCs w:val="22"/>
        </w:rPr>
        <w:footnoteReference w:id="62"/>
      </w:r>
      <w:r w:rsidRPr="004B0520">
        <w:rPr>
          <w:szCs w:val="22"/>
          <w:highlight w:val="yellow"/>
        </w:rPr>
        <w:t xml:space="preserve"> </w:t>
      </w:r>
    </w:p>
    <w:p w:rsidR="00901863" w:rsidRPr="003D05DC" w:rsidP="00980302" w14:paraId="3571DA71" w14:textId="59FB3C25">
      <w:pPr>
        <w:pStyle w:val="ParaNum"/>
        <w:numPr>
          <w:ilvl w:val="0"/>
          <w:numId w:val="1"/>
        </w:numPr>
        <w:tabs>
          <w:tab w:val="clear" w:pos="1080"/>
          <w:tab w:val="left" w:pos="1440"/>
        </w:tabs>
        <w:spacing w:after="220"/>
        <w:rPr>
          <w:szCs w:val="22"/>
        </w:rPr>
      </w:pPr>
      <w:r>
        <w:rPr>
          <w:szCs w:val="22"/>
        </w:rPr>
        <w:t>As the Bureau stated</w:t>
      </w:r>
      <w:r w:rsidR="006D7C0A">
        <w:rPr>
          <w:szCs w:val="22"/>
        </w:rPr>
        <w:t xml:space="preserve"> in the </w:t>
      </w:r>
      <w:r w:rsidR="006D7C0A">
        <w:rPr>
          <w:i/>
          <w:iCs/>
          <w:szCs w:val="22"/>
        </w:rPr>
        <w:t>Proposed Order</w:t>
      </w:r>
      <w:r>
        <w:rPr>
          <w:szCs w:val="22"/>
        </w:rPr>
        <w:t>, t</w:t>
      </w:r>
      <w:r w:rsidRPr="009A0C4E" w:rsidR="00980302">
        <w:rPr>
          <w:szCs w:val="22"/>
        </w:rPr>
        <w:t>he</w:t>
      </w:r>
      <w:r>
        <w:rPr>
          <w:szCs w:val="22"/>
        </w:rPr>
        <w:t>se</w:t>
      </w:r>
      <w:r w:rsidRPr="009A0C4E" w:rsidR="00980302">
        <w:rPr>
          <w:szCs w:val="22"/>
        </w:rPr>
        <w:t xml:space="preserve"> additional attenuation requirements will ensure that PTC operations under the ERP limits </w:t>
      </w:r>
      <w:r w:rsidR="00F253C7">
        <w:rPr>
          <w:szCs w:val="22"/>
        </w:rPr>
        <w:t xml:space="preserve">we are allowing by waiver </w:t>
      </w:r>
      <w:r w:rsidRPr="009A0C4E" w:rsidR="00980302">
        <w:rPr>
          <w:szCs w:val="22"/>
        </w:rPr>
        <w:t>will have no more effect on possible spectrally adjacent AMTS operations than would operations under section 95.1955’s ERP limits.</w:t>
      </w:r>
      <w:r>
        <w:rPr>
          <w:rStyle w:val="FootnoteReference"/>
          <w:sz w:val="22"/>
          <w:szCs w:val="22"/>
        </w:rPr>
        <w:footnoteReference w:id="63"/>
      </w:r>
      <w:r w:rsidRPr="009A0C4E" w:rsidR="00980302">
        <w:rPr>
          <w:szCs w:val="22"/>
        </w:rPr>
        <w:t xml:space="preserve">  </w:t>
      </w:r>
      <w:r w:rsidR="00531C7A">
        <w:rPr>
          <w:szCs w:val="22"/>
        </w:rPr>
        <w:t>Notably, u</w:t>
      </w:r>
      <w:r w:rsidRPr="009A0C4E" w:rsidR="00531C7A">
        <w:rPr>
          <w:szCs w:val="22"/>
        </w:rPr>
        <w:t xml:space="preserve">nder section 95.1961(b), the Commission retains authority to require </w:t>
      </w:r>
      <w:r w:rsidR="00004F33">
        <w:rPr>
          <w:szCs w:val="22"/>
        </w:rPr>
        <w:t>modification of</w:t>
      </w:r>
      <w:r w:rsidRPr="009A0C4E" w:rsidR="00531C7A">
        <w:rPr>
          <w:szCs w:val="22"/>
        </w:rPr>
        <w:t xml:space="preserve"> PTC operations if we find that </w:t>
      </w:r>
      <w:r w:rsidR="00004F33">
        <w:rPr>
          <w:szCs w:val="22"/>
        </w:rPr>
        <w:t xml:space="preserve">such </w:t>
      </w:r>
      <w:r w:rsidRPr="009A0C4E" w:rsidR="00531C7A">
        <w:rPr>
          <w:szCs w:val="22"/>
        </w:rPr>
        <w:t xml:space="preserve">operations under the increased ERP limits (with the required additional </w:t>
      </w:r>
      <w:r w:rsidR="00101452">
        <w:rPr>
          <w:szCs w:val="22"/>
        </w:rPr>
        <w:t xml:space="preserve">OOBE </w:t>
      </w:r>
      <w:r w:rsidRPr="009A0C4E" w:rsidR="00531C7A">
        <w:rPr>
          <w:szCs w:val="22"/>
        </w:rPr>
        <w:t>attenuation) cause harmful interference.</w:t>
      </w:r>
      <w:r>
        <w:rPr>
          <w:rStyle w:val="FootnoteReference"/>
          <w:sz w:val="22"/>
          <w:szCs w:val="22"/>
        </w:rPr>
        <w:footnoteReference w:id="64"/>
      </w:r>
      <w:r w:rsidR="00531C7A">
        <w:rPr>
          <w:szCs w:val="22"/>
        </w:rPr>
        <w:t xml:space="preserve">  </w:t>
      </w:r>
      <w:r w:rsidRPr="003E0ADE" w:rsidR="00CC4127">
        <w:t xml:space="preserve">Consistent with section 95.1961(b), </w:t>
      </w:r>
      <w:r w:rsidR="00004F33">
        <w:t xml:space="preserve">any entity using the spectrum </w:t>
      </w:r>
      <w:r w:rsidR="00CC4127">
        <w:t xml:space="preserve">must </w:t>
      </w:r>
      <w:r w:rsidRPr="003E0ADE" w:rsidR="00CC4127">
        <w:t xml:space="preserve">ensure that </w:t>
      </w:r>
      <w:r w:rsidR="00004F33">
        <w:t xml:space="preserve">the </w:t>
      </w:r>
      <w:r w:rsidRPr="003E0ADE" w:rsidR="00CC4127">
        <w:t xml:space="preserve">waiver-enabled PTC operations </w:t>
      </w:r>
      <w:r w:rsidR="00004F33">
        <w:t xml:space="preserve">authorized by this Order of Modification </w:t>
      </w:r>
      <w:r w:rsidRPr="003E0ADE" w:rsidR="00CC4127">
        <w:t xml:space="preserve">do not cause harmful interference to any of the </w:t>
      </w:r>
      <w:r w:rsidR="00CC4127">
        <w:t xml:space="preserve">spectrally adjacent </w:t>
      </w:r>
      <w:r w:rsidRPr="003E0ADE" w:rsidR="00CC4127">
        <w:t>stations.</w:t>
      </w:r>
      <w:r w:rsidR="00CC4127">
        <w:t xml:space="preserve">  </w:t>
      </w:r>
    </w:p>
    <w:p w:rsidR="00356091" w:rsidP="00FA05ED" w14:paraId="2407D8AA" w14:textId="1AED4A8B">
      <w:pPr>
        <w:pStyle w:val="Heading2"/>
      </w:pPr>
      <w:r>
        <w:t xml:space="preserve">Limited </w:t>
      </w:r>
      <w:r w:rsidRPr="00447007" w:rsidR="00447007">
        <w:t>Waiver of Section 95.1915(b)</w:t>
      </w:r>
    </w:p>
    <w:p w:rsidR="00E96E50" w:rsidRPr="00E96E50" w:rsidP="00FB5B83" w14:paraId="60BDA962" w14:textId="472FC23B">
      <w:pPr>
        <w:pStyle w:val="ParaNum"/>
        <w:numPr>
          <w:ilvl w:val="0"/>
          <w:numId w:val="1"/>
        </w:numPr>
        <w:tabs>
          <w:tab w:val="clear" w:pos="1080"/>
          <w:tab w:val="left" w:pos="1440"/>
        </w:tabs>
        <w:spacing w:after="220"/>
        <w:rPr>
          <w:b/>
          <w:bCs/>
          <w:szCs w:val="22"/>
        </w:rPr>
      </w:pPr>
      <w:r>
        <w:rPr>
          <w:szCs w:val="22"/>
        </w:rPr>
        <w:t>C</w:t>
      </w:r>
      <w:r w:rsidR="00286E8E">
        <w:rPr>
          <w:szCs w:val="22"/>
        </w:rPr>
        <w:t>o</w:t>
      </w:r>
      <w:r w:rsidR="00D72F0F">
        <w:rPr>
          <w:szCs w:val="22"/>
        </w:rPr>
        <w:t>nsistent with</w:t>
      </w:r>
      <w:r w:rsidR="00785942">
        <w:rPr>
          <w:szCs w:val="22"/>
        </w:rPr>
        <w:t>, and for all the same reasons specified by the Bureau in</w:t>
      </w:r>
      <w:r w:rsidR="00D72F0F">
        <w:rPr>
          <w:szCs w:val="22"/>
        </w:rPr>
        <w:t xml:space="preserve"> the </w:t>
      </w:r>
      <w:r w:rsidRPr="00D72F0F" w:rsidR="00D72F0F">
        <w:rPr>
          <w:i/>
          <w:iCs/>
          <w:szCs w:val="22"/>
        </w:rPr>
        <w:t>Proposed Order</w:t>
      </w:r>
      <w:r w:rsidRPr="00D5710D" w:rsidR="006541F5">
        <w:rPr>
          <w:szCs w:val="22"/>
        </w:rPr>
        <w:t>, we</w:t>
      </w:r>
      <w:r w:rsidR="00D5710D">
        <w:rPr>
          <w:szCs w:val="22"/>
        </w:rPr>
        <w:t xml:space="preserve"> also</w:t>
      </w:r>
      <w:r w:rsidRPr="00D5710D" w:rsidR="006541F5">
        <w:rPr>
          <w:szCs w:val="22"/>
        </w:rPr>
        <w:t xml:space="preserve"> </w:t>
      </w:r>
      <w:r w:rsidR="00785942">
        <w:rPr>
          <w:szCs w:val="22"/>
        </w:rPr>
        <w:t xml:space="preserve">find that </w:t>
      </w:r>
      <w:r w:rsidRPr="00D5710D" w:rsidR="00447007">
        <w:rPr>
          <w:szCs w:val="22"/>
        </w:rPr>
        <w:t>grant</w:t>
      </w:r>
      <w:r w:rsidR="00785942">
        <w:rPr>
          <w:szCs w:val="22"/>
        </w:rPr>
        <w:t>ing</w:t>
      </w:r>
      <w:r w:rsidRPr="00D5710D" w:rsidR="00447007">
        <w:rPr>
          <w:szCs w:val="22"/>
        </w:rPr>
        <w:t xml:space="preserve"> MTA </w:t>
      </w:r>
      <w:r w:rsidR="00D72F0F">
        <w:rPr>
          <w:szCs w:val="22"/>
        </w:rPr>
        <w:t xml:space="preserve">a </w:t>
      </w:r>
      <w:r w:rsidRPr="006541F5" w:rsidR="00447007">
        <w:rPr>
          <w:szCs w:val="22"/>
        </w:rPr>
        <w:t>waiver of section 95.</w:t>
      </w:r>
      <w:r w:rsidRPr="006541F5" w:rsidR="00403E9E">
        <w:rPr>
          <w:szCs w:val="22"/>
        </w:rPr>
        <w:t>19</w:t>
      </w:r>
      <w:r w:rsidRPr="006541F5" w:rsidR="00447007">
        <w:rPr>
          <w:szCs w:val="22"/>
        </w:rPr>
        <w:t>15(b)</w:t>
      </w:r>
      <w:r w:rsidR="002817FD">
        <w:rPr>
          <w:szCs w:val="22"/>
        </w:rPr>
        <w:t xml:space="preserve">’s requirement that </w:t>
      </w:r>
      <w:r w:rsidRPr="00B65DF2" w:rsidR="002817FD">
        <w:rPr>
          <w:szCs w:val="22"/>
        </w:rPr>
        <w:t>MTA provide population information for each individually licensed base station and an explanation of how its PTC system will satisfy the substantial service requirement under section 95.1931 each time it adds, deletes, or modifies an individually licensed base station</w:t>
      </w:r>
      <w:r w:rsidR="00785942">
        <w:rPr>
          <w:szCs w:val="22"/>
        </w:rPr>
        <w:t>, will promote rail safety and serves the public interest, convenience, and necessity.</w:t>
      </w:r>
      <w:r>
        <w:rPr>
          <w:rStyle w:val="FootnoteReference"/>
          <w:szCs w:val="22"/>
        </w:rPr>
        <w:footnoteReference w:id="65"/>
      </w:r>
      <w:r w:rsidR="002817FD">
        <w:rPr>
          <w:szCs w:val="22"/>
        </w:rPr>
        <w:t xml:space="preserve">  As </w:t>
      </w:r>
      <w:r w:rsidR="00AB3023">
        <w:rPr>
          <w:szCs w:val="22"/>
        </w:rPr>
        <w:t xml:space="preserve">the Bureau </w:t>
      </w:r>
      <w:r w:rsidR="00846D7A">
        <w:rPr>
          <w:szCs w:val="22"/>
        </w:rPr>
        <w:t>stated</w:t>
      </w:r>
      <w:r w:rsidR="002817FD">
        <w:rPr>
          <w:szCs w:val="22"/>
        </w:rPr>
        <w:t xml:space="preserve"> in the </w:t>
      </w:r>
      <w:r w:rsidRPr="002817FD" w:rsidR="002817FD">
        <w:rPr>
          <w:i/>
          <w:iCs/>
          <w:szCs w:val="22"/>
        </w:rPr>
        <w:t>Proposed Order</w:t>
      </w:r>
      <w:r w:rsidR="002817FD">
        <w:rPr>
          <w:szCs w:val="22"/>
        </w:rPr>
        <w:t xml:space="preserve">, </w:t>
      </w:r>
      <w:r w:rsidRPr="00146A04" w:rsidR="002817FD">
        <w:t>MTA</w:t>
      </w:r>
      <w:r w:rsidR="002817FD">
        <w:t xml:space="preserve"> remains subject to </w:t>
      </w:r>
      <w:r w:rsidRPr="00146A04" w:rsidR="002817FD">
        <w:t>section 95.1915(b)</w:t>
      </w:r>
      <w:r w:rsidR="002817FD">
        <w:t>’s</w:t>
      </w:r>
      <w:r w:rsidRPr="00146A04" w:rsidR="002817FD">
        <w:t xml:space="preserve"> requirement to file an appropriate application each time it adds, deletes, or modifies an individually licensed base station.</w:t>
      </w:r>
      <w:r>
        <w:rPr>
          <w:rStyle w:val="FootnoteReference"/>
        </w:rPr>
        <w:footnoteReference w:id="66"/>
      </w:r>
      <w:r w:rsidRPr="00A14FAD" w:rsidR="002817FD">
        <w:t xml:space="preserve">  </w:t>
      </w:r>
    </w:p>
    <w:p w:rsidR="00BE5E68" w:rsidP="00214BE2" w14:paraId="22825695" w14:textId="0D0F1B68">
      <w:pPr>
        <w:pStyle w:val="Heading1"/>
        <w:rPr>
          <w:rFonts w:ascii="Times New Roman" w:hAnsi="Times New Roman"/>
          <w:szCs w:val="22"/>
        </w:rPr>
      </w:pPr>
      <w:bookmarkStart w:id="30" w:name="_Toc432754503"/>
      <w:bookmarkStart w:id="31" w:name="_Toc432767976"/>
      <w:bookmarkStart w:id="32" w:name="_Toc433108658"/>
      <w:bookmarkStart w:id="33" w:name="_Toc433202781"/>
      <w:bookmarkStart w:id="34" w:name="_Toc433264853"/>
      <w:bookmarkStart w:id="35" w:name="_Toc434509981"/>
      <w:bookmarkStart w:id="36" w:name="_Toc434511194"/>
      <w:bookmarkStart w:id="37" w:name="_Toc434582097"/>
      <w:bookmarkStart w:id="38" w:name="_Toc435612730"/>
      <w:bookmarkStart w:id="39" w:name="_Toc437511256"/>
      <w:bookmarkStart w:id="40" w:name="_Toc439765320"/>
      <w:bookmarkStart w:id="41" w:name="_Toc439855366"/>
      <w:bookmarkStart w:id="42" w:name="_Toc441061387"/>
      <w:r>
        <w:rPr>
          <w:rFonts w:ascii="Times New Roman" w:hAnsi="Times New Roman"/>
          <w:szCs w:val="22"/>
        </w:rPr>
        <w:t xml:space="preserve">CONCLUSION AND </w:t>
      </w:r>
      <w:r w:rsidR="009A3F9D">
        <w:rPr>
          <w:rFonts w:ascii="Times New Roman" w:hAnsi="Times New Roman"/>
          <w:szCs w:val="22"/>
        </w:rPr>
        <w:t>ordering clauses</w:t>
      </w:r>
      <w:bookmarkEnd w:id="30"/>
      <w:bookmarkEnd w:id="31"/>
      <w:bookmarkEnd w:id="32"/>
      <w:bookmarkEnd w:id="33"/>
      <w:bookmarkEnd w:id="34"/>
      <w:bookmarkEnd w:id="35"/>
      <w:bookmarkEnd w:id="36"/>
      <w:bookmarkEnd w:id="37"/>
      <w:bookmarkEnd w:id="38"/>
      <w:bookmarkEnd w:id="39"/>
      <w:bookmarkEnd w:id="40"/>
      <w:bookmarkEnd w:id="41"/>
      <w:bookmarkEnd w:id="42"/>
    </w:p>
    <w:p w:rsidR="00BE5E68" w:rsidRPr="001B6DAB" w:rsidP="00A14EC1" w14:paraId="7D406080" w14:textId="5428455A">
      <w:pPr>
        <w:pStyle w:val="ListParagraph"/>
        <w:numPr>
          <w:ilvl w:val="0"/>
          <w:numId w:val="1"/>
        </w:numPr>
        <w:tabs>
          <w:tab w:val="clear" w:pos="1080"/>
          <w:tab w:val="left" w:pos="1440"/>
        </w:tabs>
        <w:spacing w:after="220"/>
        <w:rPr>
          <w:szCs w:val="22"/>
        </w:rPr>
      </w:pPr>
      <w:r w:rsidRPr="001B6DAB">
        <w:rPr>
          <w:szCs w:val="22"/>
        </w:rPr>
        <w:t>For the reasons stated above and in furtherance of the Commission’s fundamental obligation to “</w:t>
      </w:r>
      <w:r w:rsidRPr="001B6DAB">
        <w:rPr>
          <w:szCs w:val="22"/>
        </w:rPr>
        <w:t>promot</w:t>
      </w:r>
      <w:r w:rsidRPr="001B6DAB">
        <w:rPr>
          <w:szCs w:val="22"/>
        </w:rPr>
        <w:t>[e] safety of life and property through the use of wire and radio communications,”  w</w:t>
      </w:r>
      <w:r w:rsidRPr="001B6DAB" w:rsidR="009A3F9D">
        <w:rPr>
          <w:szCs w:val="22"/>
        </w:rPr>
        <w:t>e modify Station</w:t>
      </w:r>
      <w:r w:rsidRPr="001B6DAB" w:rsidR="00096B11">
        <w:rPr>
          <w:szCs w:val="22"/>
        </w:rPr>
        <w:t xml:space="preserve">s KIVD0001 and </w:t>
      </w:r>
      <w:r w:rsidRPr="001B6DAB" w:rsidR="009A3F9D">
        <w:rPr>
          <w:szCs w:val="22"/>
        </w:rPr>
        <w:t>KIVD0002</w:t>
      </w:r>
      <w:r w:rsidR="0048137F">
        <w:rPr>
          <w:szCs w:val="22"/>
        </w:rPr>
        <w:t>,</w:t>
      </w:r>
      <w:r w:rsidRPr="001B6DAB" w:rsidR="009A3F9D">
        <w:rPr>
          <w:szCs w:val="22"/>
        </w:rPr>
        <w:t xml:space="preserve"> </w:t>
      </w:r>
      <w:r w:rsidRPr="001B6DAB" w:rsidR="002817FD">
        <w:rPr>
          <w:szCs w:val="22"/>
        </w:rPr>
        <w:t xml:space="preserve">as described </w:t>
      </w:r>
      <w:r w:rsidR="0048137F">
        <w:rPr>
          <w:szCs w:val="22"/>
        </w:rPr>
        <w:t xml:space="preserve">and conditioned </w:t>
      </w:r>
      <w:r w:rsidRPr="001B6DAB" w:rsidR="00101452">
        <w:rPr>
          <w:szCs w:val="22"/>
        </w:rPr>
        <w:t>above</w:t>
      </w:r>
      <w:r w:rsidR="001B6DAB">
        <w:rPr>
          <w:szCs w:val="22"/>
        </w:rPr>
        <w:t xml:space="preserve">, </w:t>
      </w:r>
      <w:r w:rsidRPr="001B6DAB" w:rsidR="009A3F9D">
        <w:rPr>
          <w:szCs w:val="22"/>
        </w:rPr>
        <w:t>to enable M</w:t>
      </w:r>
      <w:r w:rsidRPr="001B6DAB" w:rsidR="009C221B">
        <w:rPr>
          <w:szCs w:val="22"/>
        </w:rPr>
        <w:t xml:space="preserve">TA </w:t>
      </w:r>
      <w:r w:rsidRPr="001B6DAB" w:rsidR="009A3F9D">
        <w:rPr>
          <w:szCs w:val="22"/>
        </w:rPr>
        <w:t xml:space="preserve">to </w:t>
      </w:r>
      <w:r w:rsidRPr="001B6DAB" w:rsidR="008F14BD">
        <w:rPr>
          <w:szCs w:val="22"/>
        </w:rPr>
        <w:t xml:space="preserve">facilitate continued compliance with </w:t>
      </w:r>
      <w:r w:rsidRPr="001B6DAB" w:rsidR="009A3F9D">
        <w:rPr>
          <w:szCs w:val="22"/>
        </w:rPr>
        <w:t>its statutory obligation to deploy PTC as required by Congress in the Rail Safety Act.</w:t>
      </w:r>
      <w:r w:rsidRPr="001B6DAB" w:rsidR="00E502DF">
        <w:rPr>
          <w:szCs w:val="22"/>
        </w:rPr>
        <w:t xml:space="preserve">  </w:t>
      </w:r>
      <w:r w:rsidRPr="001B6DAB" w:rsidR="004E03F8">
        <w:rPr>
          <w:szCs w:val="22"/>
        </w:rPr>
        <w:t xml:space="preserve">We </w:t>
      </w:r>
      <w:r w:rsidRPr="001B6DAB" w:rsidR="00846D7A">
        <w:rPr>
          <w:szCs w:val="22"/>
        </w:rPr>
        <w:t>emphasize</w:t>
      </w:r>
      <w:r w:rsidRPr="001B6DAB" w:rsidR="004E03F8">
        <w:rPr>
          <w:szCs w:val="22"/>
        </w:rPr>
        <w:t xml:space="preserve"> that </w:t>
      </w:r>
      <w:r w:rsidRPr="001B6DAB" w:rsidR="00846D7A">
        <w:rPr>
          <w:szCs w:val="22"/>
        </w:rPr>
        <w:t>t</w:t>
      </w:r>
      <w:r w:rsidRPr="001B6DAB" w:rsidR="009A3F9D">
        <w:rPr>
          <w:szCs w:val="22"/>
        </w:rPr>
        <w:t xml:space="preserve">he additional 250 </w:t>
      </w:r>
      <w:r w:rsidRPr="001B6DAB" w:rsidR="00403E9E">
        <w:rPr>
          <w:szCs w:val="22"/>
        </w:rPr>
        <w:t xml:space="preserve">kilohertz </w:t>
      </w:r>
      <w:r w:rsidRPr="001B6DAB" w:rsidR="009A3F9D">
        <w:rPr>
          <w:szCs w:val="22"/>
        </w:rPr>
        <w:t>of spectrum authorize</w:t>
      </w:r>
      <w:r w:rsidRPr="001B6DAB" w:rsidR="00EA43F6">
        <w:rPr>
          <w:szCs w:val="22"/>
        </w:rPr>
        <w:t>d</w:t>
      </w:r>
      <w:r w:rsidRPr="001B6DAB" w:rsidR="009A3F9D">
        <w:rPr>
          <w:szCs w:val="22"/>
        </w:rPr>
        <w:t xml:space="preserve"> </w:t>
      </w:r>
      <w:r w:rsidRPr="001B6DAB" w:rsidR="00B2662B">
        <w:rPr>
          <w:szCs w:val="22"/>
        </w:rPr>
        <w:t xml:space="preserve">for </w:t>
      </w:r>
      <w:r w:rsidRPr="001B6DAB" w:rsidR="009A3F9D">
        <w:rPr>
          <w:szCs w:val="22"/>
        </w:rPr>
        <w:t>use under Station KIVD000</w:t>
      </w:r>
      <w:r w:rsidRPr="001B6DAB" w:rsidR="005059C4">
        <w:rPr>
          <w:szCs w:val="22"/>
        </w:rPr>
        <w:t>2</w:t>
      </w:r>
      <w:r w:rsidRPr="001B6DAB" w:rsidR="002A5758">
        <w:rPr>
          <w:szCs w:val="22"/>
        </w:rPr>
        <w:t xml:space="preserve">—and the related </w:t>
      </w:r>
      <w:r w:rsidRPr="001B6DAB" w:rsidR="007D6F66">
        <w:rPr>
          <w:szCs w:val="22"/>
        </w:rPr>
        <w:t>power-rule waiver</w:t>
      </w:r>
      <w:r w:rsidR="0048137F">
        <w:rPr>
          <w:szCs w:val="22"/>
        </w:rPr>
        <w:t>—</w:t>
      </w:r>
      <w:r w:rsidRPr="001B6DAB" w:rsidR="009A3F9D">
        <w:rPr>
          <w:szCs w:val="22"/>
        </w:rPr>
        <w:t>may</w:t>
      </w:r>
      <w:r w:rsidR="0048137F">
        <w:rPr>
          <w:szCs w:val="22"/>
        </w:rPr>
        <w:t xml:space="preserve"> </w:t>
      </w:r>
      <w:r w:rsidRPr="001B6DAB" w:rsidR="009A3F9D">
        <w:rPr>
          <w:szCs w:val="22"/>
        </w:rPr>
        <w:t xml:space="preserve">be used </w:t>
      </w:r>
      <w:r w:rsidRPr="001B6DAB" w:rsidR="00CB1185">
        <w:rPr>
          <w:szCs w:val="22"/>
        </w:rPr>
        <w:t xml:space="preserve">only </w:t>
      </w:r>
      <w:r w:rsidRPr="001B6DAB" w:rsidR="009A3F9D">
        <w:rPr>
          <w:szCs w:val="22"/>
        </w:rPr>
        <w:t>to comply with Congress’s PTC mandate</w:t>
      </w:r>
      <w:r w:rsidRPr="001B6DAB" w:rsidR="00CB1185">
        <w:rPr>
          <w:szCs w:val="22"/>
        </w:rPr>
        <w:t>.</w:t>
      </w:r>
      <w:r>
        <w:rPr>
          <w:rStyle w:val="FootnoteReference"/>
          <w:szCs w:val="22"/>
        </w:rPr>
        <w:footnoteReference w:id="67"/>
      </w:r>
      <w:r w:rsidR="00BA1A21">
        <w:rPr>
          <w:szCs w:val="22"/>
        </w:rPr>
        <w:t xml:space="preserve">  </w:t>
      </w:r>
    </w:p>
    <w:p w:rsidR="00BE5E68" w:rsidP="00214BE2" w14:paraId="29C30E8E" w14:textId="2AD2C04E">
      <w:pPr>
        <w:pStyle w:val="ParaNum"/>
        <w:numPr>
          <w:ilvl w:val="0"/>
          <w:numId w:val="1"/>
        </w:numPr>
        <w:tabs>
          <w:tab w:val="clear" w:pos="1080"/>
          <w:tab w:val="left" w:pos="1440"/>
        </w:tabs>
        <w:spacing w:after="220"/>
        <w:rPr>
          <w:szCs w:val="22"/>
        </w:rPr>
      </w:pPr>
      <w:r>
        <w:rPr>
          <w:szCs w:val="22"/>
        </w:rPr>
        <w:t>Accordingly, IT IS ORDERED that</w:t>
      </w:r>
      <w:r w:rsidR="00051FDB">
        <w:rPr>
          <w:szCs w:val="22"/>
        </w:rPr>
        <w:t>,</w:t>
      </w:r>
      <w:r>
        <w:rPr>
          <w:szCs w:val="22"/>
        </w:rPr>
        <w:t xml:space="preserve"> pursuant to </w:t>
      </w:r>
      <w:r w:rsidR="005744AC">
        <w:rPr>
          <w:szCs w:val="22"/>
        </w:rPr>
        <w:t>s</w:t>
      </w:r>
      <w:r>
        <w:rPr>
          <w:szCs w:val="22"/>
        </w:rPr>
        <w:t>ections 4(</w:t>
      </w:r>
      <w:r>
        <w:rPr>
          <w:szCs w:val="22"/>
        </w:rPr>
        <w:t>i</w:t>
      </w:r>
      <w:r>
        <w:rPr>
          <w:szCs w:val="22"/>
        </w:rPr>
        <w:t>)</w:t>
      </w:r>
      <w:r w:rsidR="002F47DA">
        <w:rPr>
          <w:szCs w:val="22"/>
        </w:rPr>
        <w:t xml:space="preserve"> and (j)</w:t>
      </w:r>
      <w:r>
        <w:rPr>
          <w:szCs w:val="22"/>
        </w:rPr>
        <w:t xml:space="preserve">, 303(r), and 316(a) of the Communications Act of 1934, as amended, 47 U.S.C. §§ </w:t>
      </w:r>
      <w:hyperlink r:id="rId5" w:anchor="co_pp_17a3000024864" w:history="1">
        <w:r>
          <w:rPr>
            <w:szCs w:val="22"/>
          </w:rPr>
          <w:t>154(</w:t>
        </w:r>
        <w:r>
          <w:rPr>
            <w:szCs w:val="22"/>
          </w:rPr>
          <w:t>i</w:t>
        </w:r>
        <w:r>
          <w:rPr>
            <w:szCs w:val="22"/>
          </w:rPr>
          <w:t>)</w:t>
        </w:r>
      </w:hyperlink>
      <w:r w:rsidR="002F47DA">
        <w:rPr>
          <w:szCs w:val="22"/>
        </w:rPr>
        <w:t xml:space="preserve"> and (j), </w:t>
      </w:r>
      <w:hyperlink r:id="rId6" w:anchor="co_pp_3505000063ea7" w:history="1">
        <w:r>
          <w:rPr>
            <w:szCs w:val="22"/>
          </w:rPr>
          <w:t>303(r)</w:t>
        </w:r>
      </w:hyperlink>
      <w:r>
        <w:rPr>
          <w:szCs w:val="22"/>
        </w:rPr>
        <w:t>,</w:t>
      </w:r>
      <w:r w:rsidR="002F47DA">
        <w:rPr>
          <w:szCs w:val="22"/>
        </w:rPr>
        <w:t xml:space="preserve"> and</w:t>
      </w:r>
      <w:r w:rsidR="002F47DA">
        <w:t xml:space="preserve"> 316(a)</w:t>
      </w:r>
      <w:r>
        <w:rPr>
          <w:szCs w:val="22"/>
        </w:rPr>
        <w:t xml:space="preserve">, and </w:t>
      </w:r>
      <w:r w:rsidR="00293C8A">
        <w:rPr>
          <w:szCs w:val="22"/>
        </w:rPr>
        <w:t>s</w:t>
      </w:r>
      <w:r>
        <w:rPr>
          <w:szCs w:val="22"/>
        </w:rPr>
        <w:t>ection</w:t>
      </w:r>
      <w:r w:rsidR="00A26FE0">
        <w:rPr>
          <w:szCs w:val="22"/>
        </w:rPr>
        <w:t>s</w:t>
      </w:r>
      <w:r>
        <w:rPr>
          <w:szCs w:val="22"/>
        </w:rPr>
        <w:t xml:space="preserve"> 1.87 </w:t>
      </w:r>
      <w:r w:rsidR="00A26FE0">
        <w:rPr>
          <w:szCs w:val="22"/>
        </w:rPr>
        <w:t xml:space="preserve">and 1.925(b)(3) </w:t>
      </w:r>
      <w:r>
        <w:rPr>
          <w:szCs w:val="22"/>
        </w:rPr>
        <w:t>of the Commission's Rules, 47 CFR §</w:t>
      </w:r>
      <w:r w:rsidR="008F14BD">
        <w:rPr>
          <w:szCs w:val="22"/>
        </w:rPr>
        <w:t>§</w:t>
      </w:r>
      <w:r>
        <w:rPr>
          <w:szCs w:val="22"/>
        </w:rPr>
        <w:t xml:space="preserve"> 1.87</w:t>
      </w:r>
      <w:r w:rsidR="00A26FE0">
        <w:rPr>
          <w:szCs w:val="22"/>
        </w:rPr>
        <w:t xml:space="preserve"> and</w:t>
      </w:r>
      <w:r>
        <w:rPr>
          <w:szCs w:val="22"/>
        </w:rPr>
        <w:t xml:space="preserve"> 1.925(b)(3), this </w:t>
      </w:r>
      <w:r w:rsidR="000B2532">
        <w:rPr>
          <w:szCs w:val="22"/>
        </w:rPr>
        <w:t>Order</w:t>
      </w:r>
      <w:r>
        <w:rPr>
          <w:szCs w:val="22"/>
        </w:rPr>
        <w:t xml:space="preserve"> of Modification IS ADOPTED.</w:t>
      </w:r>
    </w:p>
    <w:p w:rsidR="00D72F0F" w:rsidP="00892EC6" w14:paraId="2165D33A" w14:textId="578DEA2A">
      <w:pPr>
        <w:pStyle w:val="ParaNum"/>
        <w:numPr>
          <w:ilvl w:val="0"/>
          <w:numId w:val="1"/>
        </w:numPr>
        <w:tabs>
          <w:tab w:val="clear" w:pos="1080"/>
          <w:tab w:val="left" w:pos="1440"/>
        </w:tabs>
        <w:spacing w:after="220"/>
        <w:rPr>
          <w:szCs w:val="22"/>
        </w:rPr>
      </w:pPr>
      <w:r>
        <w:rPr>
          <w:szCs w:val="22"/>
        </w:rPr>
        <w:t xml:space="preserve">IT IS </w:t>
      </w:r>
      <w:r w:rsidR="0007751E">
        <w:rPr>
          <w:szCs w:val="22"/>
        </w:rPr>
        <w:t>FURTHER</w:t>
      </w:r>
      <w:r>
        <w:rPr>
          <w:szCs w:val="22"/>
        </w:rPr>
        <w:t xml:space="preserve"> ORDERED </w:t>
      </w:r>
      <w:r w:rsidR="009A3F9D">
        <w:rPr>
          <w:szCs w:val="22"/>
        </w:rPr>
        <w:t>that</w:t>
      </w:r>
      <w:r w:rsidR="0007751E">
        <w:rPr>
          <w:szCs w:val="22"/>
        </w:rPr>
        <w:t>,</w:t>
      </w:r>
      <w:r w:rsidR="009A3F9D">
        <w:rPr>
          <w:szCs w:val="22"/>
        </w:rPr>
        <w:t xml:space="preserve"> pursuant to </w:t>
      </w:r>
      <w:r w:rsidR="00E95E3F">
        <w:rPr>
          <w:szCs w:val="22"/>
        </w:rPr>
        <w:t>s</w:t>
      </w:r>
      <w:r w:rsidR="009A3F9D">
        <w:rPr>
          <w:szCs w:val="22"/>
        </w:rPr>
        <w:t>ections 4(</w:t>
      </w:r>
      <w:r w:rsidR="009A3F9D">
        <w:rPr>
          <w:szCs w:val="22"/>
        </w:rPr>
        <w:t>i</w:t>
      </w:r>
      <w:r w:rsidR="009A3F9D">
        <w:rPr>
          <w:szCs w:val="22"/>
        </w:rPr>
        <w:t>)</w:t>
      </w:r>
      <w:r w:rsidR="00C42ABD">
        <w:rPr>
          <w:szCs w:val="22"/>
        </w:rPr>
        <w:t>-</w:t>
      </w:r>
      <w:r w:rsidR="00CC4127">
        <w:rPr>
          <w:szCs w:val="22"/>
        </w:rPr>
        <w:t xml:space="preserve">(j), and </w:t>
      </w:r>
      <w:hyperlink r:id="rId7" w:history="1">
        <w:r w:rsidR="009A3F9D">
          <w:rPr>
            <w:szCs w:val="22"/>
          </w:rPr>
          <w:t>316(a)</w:t>
        </w:r>
      </w:hyperlink>
      <w:r w:rsidR="009A3F9D">
        <w:rPr>
          <w:szCs w:val="22"/>
        </w:rPr>
        <w:t xml:space="preserve"> of the Communications Act of 1934, as amended, 47 U.S.C. §§ 154(</w:t>
      </w:r>
      <w:r w:rsidR="009A3F9D">
        <w:rPr>
          <w:szCs w:val="22"/>
        </w:rPr>
        <w:t>i</w:t>
      </w:r>
      <w:r w:rsidR="009A3F9D">
        <w:rPr>
          <w:szCs w:val="22"/>
        </w:rPr>
        <w:t>)</w:t>
      </w:r>
      <w:r w:rsidR="00C42ABD">
        <w:rPr>
          <w:szCs w:val="22"/>
        </w:rPr>
        <w:t>-</w:t>
      </w:r>
      <w:r w:rsidR="00CC4127">
        <w:rPr>
          <w:szCs w:val="22"/>
        </w:rPr>
        <w:t>(j), and</w:t>
      </w:r>
      <w:r w:rsidR="009A3F9D">
        <w:rPr>
          <w:szCs w:val="22"/>
        </w:rPr>
        <w:t xml:space="preserve"> </w:t>
      </w:r>
      <w:hyperlink r:id="rId7" w:history="1">
        <w:r w:rsidR="009A3F9D">
          <w:rPr>
            <w:szCs w:val="22"/>
          </w:rPr>
          <w:t>316</w:t>
        </w:r>
      </w:hyperlink>
      <w:r w:rsidR="009A3F9D">
        <w:rPr>
          <w:szCs w:val="22"/>
        </w:rPr>
        <w:t xml:space="preserve">(a), and </w:t>
      </w:r>
      <w:r w:rsidR="00293C8A">
        <w:rPr>
          <w:szCs w:val="22"/>
        </w:rPr>
        <w:t>s</w:t>
      </w:r>
      <w:r w:rsidR="009A3F9D">
        <w:rPr>
          <w:szCs w:val="22"/>
        </w:rPr>
        <w:t xml:space="preserve">ection 1.87 of the Commission's Rules, </w:t>
      </w:r>
      <w:hyperlink r:id="rId8" w:history="1">
        <w:r w:rsidR="009A3F9D">
          <w:rPr>
            <w:szCs w:val="22"/>
          </w:rPr>
          <w:t>47 CFR § 1.87</w:t>
        </w:r>
      </w:hyperlink>
      <w:r w:rsidR="009A3F9D">
        <w:rPr>
          <w:szCs w:val="22"/>
        </w:rPr>
        <w:t>, Station</w:t>
      </w:r>
      <w:r w:rsidR="005059C4">
        <w:rPr>
          <w:szCs w:val="22"/>
        </w:rPr>
        <w:t>s</w:t>
      </w:r>
      <w:r w:rsidR="009A3F9D">
        <w:rPr>
          <w:szCs w:val="22"/>
        </w:rPr>
        <w:t xml:space="preserve"> KIVD000</w:t>
      </w:r>
      <w:r w:rsidR="0085768E">
        <w:rPr>
          <w:szCs w:val="22"/>
        </w:rPr>
        <w:t>1</w:t>
      </w:r>
      <w:r w:rsidR="005059C4">
        <w:rPr>
          <w:szCs w:val="22"/>
        </w:rPr>
        <w:t xml:space="preserve"> and KIVD0002</w:t>
      </w:r>
      <w:r w:rsidR="009A3F9D">
        <w:rPr>
          <w:szCs w:val="22"/>
        </w:rPr>
        <w:t xml:space="preserve">, licensed to </w:t>
      </w:r>
      <w:r w:rsidR="00101452">
        <w:rPr>
          <w:szCs w:val="22"/>
        </w:rPr>
        <w:t xml:space="preserve">the </w:t>
      </w:r>
      <w:r w:rsidR="009A3F9D">
        <w:rPr>
          <w:szCs w:val="22"/>
        </w:rPr>
        <w:t>Metropolitan Transportation Authority</w:t>
      </w:r>
      <w:r w:rsidRPr="00D30348" w:rsidR="009A3F9D">
        <w:rPr>
          <w:szCs w:val="22"/>
        </w:rPr>
        <w:t xml:space="preserve">, </w:t>
      </w:r>
      <w:r>
        <w:rPr>
          <w:szCs w:val="22"/>
        </w:rPr>
        <w:t>ARE</w:t>
      </w:r>
      <w:r w:rsidRPr="00D30348" w:rsidR="009A3F9D">
        <w:rPr>
          <w:szCs w:val="22"/>
        </w:rPr>
        <w:t xml:space="preserve"> MODIFIED </w:t>
      </w:r>
      <w:r>
        <w:rPr>
          <w:szCs w:val="22"/>
        </w:rPr>
        <w:t>as specified in</w:t>
      </w:r>
      <w:r w:rsidR="009A3F9D">
        <w:rPr>
          <w:szCs w:val="22"/>
        </w:rPr>
        <w:t xml:space="preserve"> this </w:t>
      </w:r>
      <w:r w:rsidR="000B2532">
        <w:rPr>
          <w:szCs w:val="22"/>
        </w:rPr>
        <w:t>Order</w:t>
      </w:r>
      <w:r w:rsidR="009A3F9D">
        <w:rPr>
          <w:szCs w:val="22"/>
        </w:rPr>
        <w:t xml:space="preserve"> of Modification.</w:t>
      </w:r>
      <w:r w:rsidR="00C42ABD">
        <w:rPr>
          <w:szCs w:val="22"/>
        </w:rPr>
        <w:t xml:space="preserve">  </w:t>
      </w:r>
      <w:r w:rsidRPr="007F4805">
        <w:rPr>
          <w:szCs w:val="22"/>
        </w:rPr>
        <w:t>Modification of Station</w:t>
      </w:r>
      <w:r>
        <w:rPr>
          <w:szCs w:val="22"/>
        </w:rPr>
        <w:t>s</w:t>
      </w:r>
      <w:r w:rsidRPr="007F4805">
        <w:rPr>
          <w:szCs w:val="22"/>
        </w:rPr>
        <w:t xml:space="preserve"> </w:t>
      </w:r>
      <w:r>
        <w:rPr>
          <w:szCs w:val="22"/>
        </w:rPr>
        <w:t xml:space="preserve">KIVD0001 and </w:t>
      </w:r>
      <w:r w:rsidRPr="007F4805">
        <w:rPr>
          <w:szCs w:val="22"/>
        </w:rPr>
        <w:t>KIVD0002 is effective upon release of this Order of Modification.</w:t>
      </w:r>
    </w:p>
    <w:p w:rsidR="00640C6C" w:rsidP="00AC679A" w14:paraId="624FE8D7" w14:textId="7D00FF13">
      <w:pPr>
        <w:pStyle w:val="ParaNum"/>
        <w:numPr>
          <w:ilvl w:val="0"/>
          <w:numId w:val="1"/>
        </w:numPr>
        <w:tabs>
          <w:tab w:val="clear" w:pos="1080"/>
          <w:tab w:val="left" w:pos="1440"/>
        </w:tabs>
        <w:spacing w:after="220"/>
        <w:rPr>
          <w:szCs w:val="22"/>
        </w:rPr>
      </w:pPr>
      <w:r w:rsidRPr="00640C6C">
        <w:rPr>
          <w:szCs w:val="22"/>
        </w:rPr>
        <w:t>IT IS FURTHER ORDERED that, pursuant to</w:t>
      </w:r>
      <w:r w:rsidR="00733679">
        <w:rPr>
          <w:szCs w:val="22"/>
        </w:rPr>
        <w:t xml:space="preserve"> </w:t>
      </w:r>
      <w:r w:rsidRPr="003D05DC" w:rsidR="00733679">
        <w:rPr>
          <w:szCs w:val="22"/>
        </w:rPr>
        <w:t>sections 4(</w:t>
      </w:r>
      <w:r w:rsidRPr="003D05DC" w:rsidR="00733679">
        <w:rPr>
          <w:szCs w:val="22"/>
        </w:rPr>
        <w:t>i</w:t>
      </w:r>
      <w:r w:rsidRPr="003D05DC" w:rsidR="00733679">
        <w:rPr>
          <w:szCs w:val="22"/>
        </w:rPr>
        <w:t>)</w:t>
      </w:r>
      <w:r w:rsidR="00733679">
        <w:rPr>
          <w:szCs w:val="22"/>
        </w:rPr>
        <w:t xml:space="preserve"> and (j)</w:t>
      </w:r>
      <w:r w:rsidRPr="003D05DC" w:rsidR="00733679">
        <w:rPr>
          <w:szCs w:val="22"/>
        </w:rPr>
        <w:t>, 5(c), and 303(r) of the</w:t>
      </w:r>
      <w:r w:rsidR="00733679">
        <w:rPr>
          <w:szCs w:val="22"/>
        </w:rPr>
        <w:t xml:space="preserve"> </w:t>
      </w:r>
      <w:r w:rsidRPr="003D05DC" w:rsidR="00733679">
        <w:rPr>
          <w:szCs w:val="22"/>
        </w:rPr>
        <w:t>Communications Act of 1934, as amended, 47 U.S.C. §§ 154(</w:t>
      </w:r>
      <w:r w:rsidRPr="003D05DC" w:rsidR="00733679">
        <w:rPr>
          <w:szCs w:val="22"/>
        </w:rPr>
        <w:t>i</w:t>
      </w:r>
      <w:r w:rsidRPr="003D05DC" w:rsidR="00733679">
        <w:rPr>
          <w:szCs w:val="22"/>
        </w:rPr>
        <w:t>)</w:t>
      </w:r>
      <w:r w:rsidR="00733679">
        <w:rPr>
          <w:szCs w:val="22"/>
        </w:rPr>
        <w:t xml:space="preserve"> and (j)</w:t>
      </w:r>
      <w:r w:rsidRPr="003D05DC" w:rsidR="00733679">
        <w:rPr>
          <w:szCs w:val="22"/>
        </w:rPr>
        <w:t>, 155(c), and 303(r), and</w:t>
      </w:r>
      <w:r w:rsidR="00733679">
        <w:rPr>
          <w:szCs w:val="22"/>
        </w:rPr>
        <w:t xml:space="preserve"> </w:t>
      </w:r>
      <w:r w:rsidRPr="003D05DC" w:rsidR="00733679">
        <w:rPr>
          <w:szCs w:val="22"/>
        </w:rPr>
        <w:t>section 0.331</w:t>
      </w:r>
      <w:r w:rsidR="00733679">
        <w:rPr>
          <w:szCs w:val="22"/>
        </w:rPr>
        <w:t xml:space="preserve"> </w:t>
      </w:r>
      <w:r w:rsidRPr="003D05DC" w:rsidR="00733679">
        <w:rPr>
          <w:szCs w:val="22"/>
        </w:rPr>
        <w:t>of the Commission’s rules, 47 CFR § 0.3</w:t>
      </w:r>
      <w:r w:rsidR="00733679">
        <w:rPr>
          <w:szCs w:val="22"/>
        </w:rPr>
        <w:t>31,</w:t>
      </w:r>
      <w:r w:rsidRPr="00640C6C">
        <w:rPr>
          <w:szCs w:val="22"/>
        </w:rPr>
        <w:t xml:space="preserve"> and consistent with the modification of Station KIVD0001 as specified in this Order of Modification, the Metropolitan Transportation Authority and New Jersey Transit Corporation </w:t>
      </w:r>
      <w:r w:rsidR="0053210B">
        <w:rPr>
          <w:szCs w:val="22"/>
        </w:rPr>
        <w:t xml:space="preserve">ARE HEREBY DIRECTED </w:t>
      </w:r>
      <w:r w:rsidRPr="00640C6C">
        <w:rPr>
          <w:szCs w:val="22"/>
        </w:rPr>
        <w:t>to file</w:t>
      </w:r>
      <w:r w:rsidR="00041F66">
        <w:rPr>
          <w:szCs w:val="22"/>
        </w:rPr>
        <w:t xml:space="preserve"> in ULS</w:t>
      </w:r>
      <w:r w:rsidRPr="00640C6C">
        <w:rPr>
          <w:szCs w:val="22"/>
        </w:rPr>
        <w:t>, within five (5) business days of release of this Order</w:t>
      </w:r>
      <w:r w:rsidR="00675A64">
        <w:rPr>
          <w:szCs w:val="22"/>
        </w:rPr>
        <w:t xml:space="preserve"> </w:t>
      </w:r>
      <w:r w:rsidRPr="00675A64" w:rsidR="00675A64">
        <w:rPr>
          <w:szCs w:val="22"/>
        </w:rPr>
        <w:t>of Modification</w:t>
      </w:r>
      <w:r w:rsidRPr="00640C6C">
        <w:rPr>
          <w:szCs w:val="22"/>
        </w:rPr>
        <w:t xml:space="preserve">, the requisite application to modify their existing </w:t>
      </w:r>
      <w:r w:rsidRPr="005A1569" w:rsidR="00EA43F6">
        <w:rPr>
          <w:i/>
          <w:iCs/>
          <w:szCs w:val="22"/>
        </w:rPr>
        <w:t>de facto</w:t>
      </w:r>
      <w:r w:rsidR="00EA43F6">
        <w:rPr>
          <w:szCs w:val="22"/>
        </w:rPr>
        <w:t xml:space="preserve"> transfer </w:t>
      </w:r>
      <w:r w:rsidRPr="00640C6C">
        <w:rPr>
          <w:szCs w:val="22"/>
        </w:rPr>
        <w:t>leas</w:t>
      </w:r>
      <w:r w:rsidR="00EA43F6">
        <w:rPr>
          <w:szCs w:val="22"/>
        </w:rPr>
        <w:t>ing arrangement</w:t>
      </w:r>
      <w:r w:rsidRPr="00640C6C">
        <w:rPr>
          <w:szCs w:val="22"/>
        </w:rPr>
        <w:t xml:space="preserve"> under Station KIVD0001, Lease ID L000040457, </w:t>
      </w:r>
      <w:r w:rsidR="00EA43F6">
        <w:rPr>
          <w:szCs w:val="22"/>
        </w:rPr>
        <w:t xml:space="preserve">to delete </w:t>
      </w:r>
      <w:r w:rsidRPr="00EA43F6" w:rsidR="00EA43F6">
        <w:rPr>
          <w:szCs w:val="22"/>
        </w:rPr>
        <w:t xml:space="preserve">218.000-218.250 MHz in </w:t>
      </w:r>
      <w:r w:rsidR="00EA43F6">
        <w:rPr>
          <w:szCs w:val="22"/>
        </w:rPr>
        <w:t xml:space="preserve">the following New Jersey counties: </w:t>
      </w:r>
      <w:r w:rsidR="00603916">
        <w:rPr>
          <w:szCs w:val="22"/>
        </w:rPr>
        <w:t xml:space="preserve"> </w:t>
      </w:r>
      <w:r w:rsidRPr="00EA43F6" w:rsidR="00EA43F6">
        <w:rPr>
          <w:szCs w:val="22"/>
        </w:rPr>
        <w:t>Essex, Morris, Passaic, Somerset, and Union</w:t>
      </w:r>
      <w:r w:rsidRPr="00640C6C">
        <w:rPr>
          <w:szCs w:val="22"/>
        </w:rPr>
        <w:t>.</w:t>
      </w:r>
      <w:r w:rsidRPr="003D05DC" w:rsidR="003D05DC">
        <w:rPr>
          <w:szCs w:val="22"/>
        </w:rPr>
        <w:t xml:space="preserve"> </w:t>
      </w:r>
    </w:p>
    <w:p w:rsidR="003D05DC" w:rsidRPr="00D279BB" w:rsidP="00AC679A" w14:paraId="7FEB207B" w14:textId="6C0641D7">
      <w:pPr>
        <w:pStyle w:val="ParaNum"/>
        <w:numPr>
          <w:ilvl w:val="0"/>
          <w:numId w:val="1"/>
        </w:numPr>
        <w:tabs>
          <w:tab w:val="clear" w:pos="1080"/>
          <w:tab w:val="left" w:pos="1440"/>
        </w:tabs>
        <w:spacing w:after="220"/>
        <w:rPr>
          <w:szCs w:val="22"/>
        </w:rPr>
      </w:pPr>
      <w:r>
        <w:rPr>
          <w:szCs w:val="22"/>
        </w:rPr>
        <w:t xml:space="preserve">IT </w:t>
      </w:r>
      <w:r w:rsidRPr="003D05DC">
        <w:rPr>
          <w:szCs w:val="22"/>
        </w:rPr>
        <w:t xml:space="preserve">IS </w:t>
      </w:r>
      <w:r>
        <w:rPr>
          <w:szCs w:val="22"/>
        </w:rPr>
        <w:t xml:space="preserve">FURTHER </w:t>
      </w:r>
      <w:r w:rsidRPr="003D05DC">
        <w:rPr>
          <w:szCs w:val="22"/>
        </w:rPr>
        <w:t>ORDERED</w:t>
      </w:r>
      <w:r w:rsidR="00797581">
        <w:rPr>
          <w:szCs w:val="22"/>
        </w:rPr>
        <w:t xml:space="preserve"> that</w:t>
      </w:r>
      <w:r w:rsidRPr="003D05DC">
        <w:rPr>
          <w:szCs w:val="22"/>
        </w:rPr>
        <w:t>, pursuant to sections 4(</w:t>
      </w:r>
      <w:r w:rsidRPr="003D05DC">
        <w:rPr>
          <w:szCs w:val="22"/>
        </w:rPr>
        <w:t>i</w:t>
      </w:r>
      <w:r w:rsidRPr="003D05DC">
        <w:rPr>
          <w:szCs w:val="22"/>
        </w:rPr>
        <w:t>)</w:t>
      </w:r>
      <w:r w:rsidR="00D279BB">
        <w:rPr>
          <w:szCs w:val="22"/>
        </w:rPr>
        <w:t xml:space="preserve"> and (j)</w:t>
      </w:r>
      <w:r w:rsidRPr="003D05DC">
        <w:rPr>
          <w:szCs w:val="22"/>
        </w:rPr>
        <w:t>, 5(c), and 303(r) of the</w:t>
      </w:r>
      <w:r>
        <w:rPr>
          <w:szCs w:val="22"/>
        </w:rPr>
        <w:t xml:space="preserve"> </w:t>
      </w:r>
      <w:r w:rsidRPr="003D05DC">
        <w:rPr>
          <w:szCs w:val="22"/>
        </w:rPr>
        <w:t>Communications Act of 1934, as amended, 47 U.S.C. §§ 154(</w:t>
      </w:r>
      <w:r w:rsidRPr="003D05DC">
        <w:rPr>
          <w:szCs w:val="22"/>
        </w:rPr>
        <w:t>i</w:t>
      </w:r>
      <w:r w:rsidRPr="003D05DC">
        <w:rPr>
          <w:szCs w:val="22"/>
        </w:rPr>
        <w:t>)</w:t>
      </w:r>
      <w:r w:rsidR="00D279BB">
        <w:rPr>
          <w:szCs w:val="22"/>
        </w:rPr>
        <w:t xml:space="preserve"> and (j)</w:t>
      </w:r>
      <w:r w:rsidRPr="003D05DC">
        <w:rPr>
          <w:szCs w:val="22"/>
        </w:rPr>
        <w:t>, 155(c), and 303(r), and</w:t>
      </w:r>
      <w:r>
        <w:rPr>
          <w:szCs w:val="22"/>
        </w:rPr>
        <w:t xml:space="preserve"> </w:t>
      </w:r>
      <w:r w:rsidRPr="003D05DC">
        <w:rPr>
          <w:szCs w:val="22"/>
        </w:rPr>
        <w:t>section</w:t>
      </w:r>
      <w:r w:rsidR="00225FFC">
        <w:rPr>
          <w:szCs w:val="22"/>
        </w:rPr>
        <w:t>s</w:t>
      </w:r>
      <w:r w:rsidRPr="003D05DC">
        <w:rPr>
          <w:szCs w:val="22"/>
        </w:rPr>
        <w:t xml:space="preserve"> 0.331</w:t>
      </w:r>
      <w:r w:rsidR="006B6097">
        <w:rPr>
          <w:szCs w:val="22"/>
        </w:rPr>
        <w:t xml:space="preserve"> </w:t>
      </w:r>
      <w:r w:rsidRPr="003D05DC">
        <w:rPr>
          <w:szCs w:val="22"/>
        </w:rPr>
        <w:t>and 1.925 of the Commission’s rules, 47 CFR §§ 0.331</w:t>
      </w:r>
      <w:r w:rsidR="004D78C0">
        <w:rPr>
          <w:szCs w:val="22"/>
        </w:rPr>
        <w:t xml:space="preserve"> </w:t>
      </w:r>
      <w:r w:rsidRPr="003D05DC">
        <w:rPr>
          <w:szCs w:val="22"/>
        </w:rPr>
        <w:t xml:space="preserve">and 1.925, </w:t>
      </w:r>
      <w:r w:rsidR="00797581">
        <w:rPr>
          <w:szCs w:val="22"/>
        </w:rPr>
        <w:t>t</w:t>
      </w:r>
      <w:r w:rsidRPr="003D05DC">
        <w:rPr>
          <w:szCs w:val="22"/>
        </w:rPr>
        <w:t>he</w:t>
      </w:r>
      <w:r w:rsidR="004D78C0">
        <w:rPr>
          <w:szCs w:val="22"/>
        </w:rPr>
        <w:t xml:space="preserve"> </w:t>
      </w:r>
      <w:r w:rsidR="00FC65ED">
        <w:rPr>
          <w:szCs w:val="22"/>
        </w:rPr>
        <w:t xml:space="preserve">waiver </w:t>
      </w:r>
      <w:r w:rsidR="004D78C0">
        <w:rPr>
          <w:szCs w:val="22"/>
        </w:rPr>
        <w:t xml:space="preserve">requests included in the </w:t>
      </w:r>
      <w:r w:rsidR="00AC679A">
        <w:rPr>
          <w:szCs w:val="22"/>
        </w:rPr>
        <w:t xml:space="preserve">Request for Modification of Stations KIVD0001 and KIVD0002 </w:t>
      </w:r>
      <w:r w:rsidRPr="007238DF" w:rsidR="00AC679A">
        <w:rPr>
          <w:szCs w:val="22"/>
        </w:rPr>
        <w:t>to Facilitate Positive Train Control</w:t>
      </w:r>
      <w:r w:rsidR="00AC679A">
        <w:rPr>
          <w:szCs w:val="22"/>
        </w:rPr>
        <w:t>, filed by</w:t>
      </w:r>
      <w:r w:rsidR="00101452">
        <w:rPr>
          <w:szCs w:val="22"/>
        </w:rPr>
        <w:t xml:space="preserve"> the</w:t>
      </w:r>
      <w:r w:rsidR="00AC679A">
        <w:rPr>
          <w:szCs w:val="22"/>
        </w:rPr>
        <w:t xml:space="preserve"> Metropolitan Trans</w:t>
      </w:r>
      <w:r w:rsidR="007301E1">
        <w:rPr>
          <w:szCs w:val="22"/>
        </w:rPr>
        <w:t xml:space="preserve">portation </w:t>
      </w:r>
      <w:r w:rsidR="00AC679A">
        <w:rPr>
          <w:szCs w:val="22"/>
        </w:rPr>
        <w:t>Authority</w:t>
      </w:r>
      <w:r w:rsidRPr="007238DF" w:rsidR="00AC679A">
        <w:rPr>
          <w:szCs w:val="22"/>
        </w:rPr>
        <w:t xml:space="preserve"> </w:t>
      </w:r>
      <w:r w:rsidRPr="003D05DC">
        <w:rPr>
          <w:szCs w:val="22"/>
        </w:rPr>
        <w:t>on</w:t>
      </w:r>
      <w:r w:rsidR="00AC679A">
        <w:rPr>
          <w:szCs w:val="22"/>
        </w:rPr>
        <w:softHyphen/>
      </w:r>
      <w:r w:rsidR="006B6097">
        <w:rPr>
          <w:szCs w:val="22"/>
        </w:rPr>
        <w:t xml:space="preserve"> </w:t>
      </w:r>
      <w:r w:rsidRPr="00A57D96" w:rsidR="006B6097">
        <w:t xml:space="preserve">July 27, </w:t>
      </w:r>
      <w:r w:rsidR="006B6097">
        <w:t xml:space="preserve">2022, as </w:t>
      </w:r>
      <w:r w:rsidRPr="00A57D96" w:rsidR="006B6097">
        <w:t xml:space="preserve">amended </w:t>
      </w:r>
      <w:r w:rsidR="006B6097">
        <w:t xml:space="preserve">on </w:t>
      </w:r>
      <w:r w:rsidRPr="00A57D96" w:rsidR="006B6097">
        <w:t>Sept</w:t>
      </w:r>
      <w:r w:rsidR="006B6097">
        <w:t>ember</w:t>
      </w:r>
      <w:r w:rsidRPr="00A57D96" w:rsidR="006B6097">
        <w:t xml:space="preserve"> 6 and Oct</w:t>
      </w:r>
      <w:r w:rsidR="006B6097">
        <w:t>ober</w:t>
      </w:r>
      <w:r w:rsidRPr="00A57D96" w:rsidR="006B6097">
        <w:t xml:space="preserve"> 11, 2022, and Mar</w:t>
      </w:r>
      <w:r w:rsidR="006B6097">
        <w:t>ch</w:t>
      </w:r>
      <w:r w:rsidRPr="00A57D96" w:rsidR="006B6097">
        <w:t xml:space="preserve"> 17, </w:t>
      </w:r>
      <w:r w:rsidRPr="004A3007" w:rsidR="006B6097">
        <w:t>2023</w:t>
      </w:r>
      <w:r w:rsidR="006B6097">
        <w:t xml:space="preserve">, </w:t>
      </w:r>
      <w:r w:rsidRPr="003D05DC">
        <w:rPr>
          <w:szCs w:val="22"/>
        </w:rPr>
        <w:t xml:space="preserve">File Nos. </w:t>
      </w:r>
      <w:r w:rsidRPr="00F34526" w:rsidR="00AC679A">
        <w:rPr>
          <w:szCs w:val="22"/>
        </w:rPr>
        <w:t>00</w:t>
      </w:r>
      <w:r w:rsidR="00AC679A">
        <w:rPr>
          <w:szCs w:val="22"/>
        </w:rPr>
        <w:t>10144223, 0010144238</w:t>
      </w:r>
      <w:r w:rsidRPr="003D05DC">
        <w:rPr>
          <w:szCs w:val="22"/>
        </w:rPr>
        <w:t>000</w:t>
      </w:r>
      <w:r w:rsidR="003402E8">
        <w:rPr>
          <w:szCs w:val="22"/>
        </w:rPr>
        <w:t xml:space="preserve">, </w:t>
      </w:r>
      <w:r w:rsidR="006B6097">
        <w:rPr>
          <w:szCs w:val="22"/>
        </w:rPr>
        <w:t>for limited waiver</w:t>
      </w:r>
      <w:r w:rsidR="00FC65ED">
        <w:rPr>
          <w:szCs w:val="22"/>
        </w:rPr>
        <w:t xml:space="preserve"> of 47 CFR §§ 95.1955 and 95.1915(b)</w:t>
      </w:r>
      <w:r w:rsidR="006B6097">
        <w:rPr>
          <w:szCs w:val="22"/>
        </w:rPr>
        <w:t xml:space="preserve"> </w:t>
      </w:r>
      <w:r w:rsidR="003402E8">
        <w:rPr>
          <w:szCs w:val="22"/>
        </w:rPr>
        <w:t xml:space="preserve">with respect to Stations </w:t>
      </w:r>
      <w:r w:rsidR="00AC679A">
        <w:rPr>
          <w:szCs w:val="22"/>
        </w:rPr>
        <w:t>KIVD0001</w:t>
      </w:r>
      <w:r>
        <w:rPr>
          <w:szCs w:val="22"/>
        </w:rPr>
        <w:t xml:space="preserve"> and </w:t>
      </w:r>
      <w:r w:rsidR="00AC679A">
        <w:rPr>
          <w:szCs w:val="22"/>
        </w:rPr>
        <w:t>KIVD0002</w:t>
      </w:r>
      <w:r w:rsidRPr="003D05DC">
        <w:rPr>
          <w:szCs w:val="22"/>
        </w:rPr>
        <w:t xml:space="preserve">, </w:t>
      </w:r>
      <w:r w:rsidR="003402E8">
        <w:rPr>
          <w:szCs w:val="22"/>
        </w:rPr>
        <w:t>ARE</w:t>
      </w:r>
      <w:r w:rsidRPr="00534E7C" w:rsidR="00AC679A">
        <w:rPr>
          <w:szCs w:val="22"/>
        </w:rPr>
        <w:t xml:space="preserve"> GRANTED to the extent provided and subject to all </w:t>
      </w:r>
      <w:r w:rsidR="00F35129">
        <w:rPr>
          <w:szCs w:val="22"/>
        </w:rPr>
        <w:t xml:space="preserve">terms and </w:t>
      </w:r>
      <w:r w:rsidRPr="00D279BB" w:rsidR="00AC679A">
        <w:rPr>
          <w:szCs w:val="22"/>
        </w:rPr>
        <w:t>conditions enumerated above.</w:t>
      </w:r>
    </w:p>
    <w:p w:rsidR="00BE5E68" w:rsidP="00214BE2" w14:paraId="4198084B" w14:textId="7F891BB4">
      <w:pPr>
        <w:pStyle w:val="ParaNum"/>
        <w:numPr>
          <w:ilvl w:val="0"/>
          <w:numId w:val="1"/>
        </w:numPr>
        <w:tabs>
          <w:tab w:val="clear" w:pos="1080"/>
          <w:tab w:val="left" w:pos="1440"/>
        </w:tabs>
        <w:spacing w:after="220"/>
        <w:rPr>
          <w:szCs w:val="22"/>
        </w:rPr>
      </w:pPr>
      <w:r w:rsidRPr="00D279BB">
        <w:rPr>
          <w:szCs w:val="22"/>
        </w:rPr>
        <w:t>IT IS FURTHER ORDERED that</w:t>
      </w:r>
      <w:r w:rsidRPr="00D279BB" w:rsidR="0007751E">
        <w:rPr>
          <w:szCs w:val="22"/>
        </w:rPr>
        <w:t>,</w:t>
      </w:r>
      <w:r w:rsidRPr="00D279BB">
        <w:rPr>
          <w:szCs w:val="22"/>
        </w:rPr>
        <w:t xml:space="preserve"> pursuant to </w:t>
      </w:r>
      <w:r w:rsidRPr="00D279BB" w:rsidR="00E95E3F">
        <w:rPr>
          <w:szCs w:val="22"/>
        </w:rPr>
        <w:t>s</w:t>
      </w:r>
      <w:r w:rsidRPr="00D279BB">
        <w:rPr>
          <w:szCs w:val="22"/>
        </w:rPr>
        <w:t xml:space="preserve">ection 316(a) of the Communications Act of 1934, as amended, 47 U.S.C. § 316(a), </w:t>
      </w:r>
      <w:r w:rsidRPr="00D279BB" w:rsidR="00D605FB">
        <w:rPr>
          <w:szCs w:val="22"/>
        </w:rPr>
        <w:t>and section 1.87(</w:t>
      </w:r>
      <w:r w:rsidRPr="00D279BB" w:rsidR="00D605FB">
        <w:rPr>
          <w:szCs w:val="22"/>
        </w:rPr>
        <w:t>i</w:t>
      </w:r>
      <w:r w:rsidRPr="00D279BB" w:rsidR="00D605FB">
        <w:rPr>
          <w:szCs w:val="22"/>
        </w:rPr>
        <w:t>) of the Commission’s rules, 47 CFR § 1.87(</w:t>
      </w:r>
      <w:r w:rsidRPr="00D279BB" w:rsidR="00D605FB">
        <w:rPr>
          <w:szCs w:val="22"/>
        </w:rPr>
        <w:t>i</w:t>
      </w:r>
      <w:r w:rsidRPr="00D279BB" w:rsidR="00D605FB">
        <w:rPr>
          <w:szCs w:val="22"/>
        </w:rPr>
        <w:t xml:space="preserve">), </w:t>
      </w:r>
      <w:r w:rsidRPr="00D279BB">
        <w:rPr>
          <w:szCs w:val="22"/>
        </w:rPr>
        <w:t xml:space="preserve">the Wireless Telecommunications Bureau SHALL SEND this </w:t>
      </w:r>
      <w:r w:rsidRPr="00D279BB" w:rsidR="000B2532">
        <w:rPr>
          <w:szCs w:val="22"/>
        </w:rPr>
        <w:t>Order</w:t>
      </w:r>
      <w:r w:rsidRPr="00D279BB" w:rsidR="0088194F">
        <w:rPr>
          <w:szCs w:val="22"/>
        </w:rPr>
        <w:t xml:space="preserve"> of </w:t>
      </w:r>
      <w:r w:rsidRPr="00D279BB">
        <w:rPr>
          <w:szCs w:val="22"/>
        </w:rPr>
        <w:t>Modification</w:t>
      </w:r>
      <w:r>
        <w:rPr>
          <w:szCs w:val="22"/>
        </w:rPr>
        <w:t xml:space="preserve"> by certified mail, return receipt requested</w:t>
      </w:r>
      <w:r w:rsidR="00D30348">
        <w:rPr>
          <w:szCs w:val="22"/>
        </w:rPr>
        <w:t>,</w:t>
      </w:r>
      <w:r>
        <w:rPr>
          <w:szCs w:val="22"/>
        </w:rPr>
        <w:t xml:space="preserve"> to the Metropolitan Transportation Authority.</w:t>
      </w:r>
    </w:p>
    <w:p w:rsidR="0085768E" w:rsidRPr="008A25E7" w:rsidP="00214BE2" w14:paraId="0082EE9B" w14:textId="77777777">
      <w:pPr>
        <w:pStyle w:val="ParaNum"/>
        <w:numPr>
          <w:ilvl w:val="0"/>
          <w:numId w:val="1"/>
        </w:numPr>
        <w:tabs>
          <w:tab w:val="clear" w:pos="1080"/>
          <w:tab w:val="left" w:pos="1440"/>
        </w:tabs>
        <w:spacing w:after="220"/>
        <w:rPr>
          <w:szCs w:val="22"/>
        </w:rPr>
      </w:pPr>
      <w:r w:rsidRPr="008A25E7">
        <w:rPr>
          <w:szCs w:val="22"/>
        </w:rPr>
        <w:t>This action is taken under delegated authority pursuant to sections 0.131 and 0.331 of the Commission’s Rules, 47 CFR §§ 0.131, 0.331.</w:t>
      </w:r>
    </w:p>
    <w:p w:rsidR="0085768E" w:rsidRPr="008A25E7" w:rsidP="0085768E" w14:paraId="3A085D1E" w14:textId="77777777">
      <w:pPr>
        <w:tabs>
          <w:tab w:val="left" w:pos="4752"/>
        </w:tabs>
        <w:rPr>
          <w:szCs w:val="22"/>
        </w:rPr>
      </w:pPr>
      <w:r w:rsidRPr="008A25E7">
        <w:rPr>
          <w:szCs w:val="22"/>
        </w:rPr>
        <w:tab/>
        <w:t>FEDERAL COMMUNICATIONS</w:t>
      </w:r>
      <w:r w:rsidRPr="008A25E7">
        <w:rPr>
          <w:b/>
          <w:szCs w:val="22"/>
        </w:rPr>
        <w:t xml:space="preserve"> </w:t>
      </w:r>
      <w:r w:rsidRPr="008A25E7">
        <w:rPr>
          <w:szCs w:val="22"/>
        </w:rPr>
        <w:t>COMMISSION</w:t>
      </w:r>
    </w:p>
    <w:p w:rsidR="0085768E" w:rsidRPr="008A25E7" w:rsidP="0085768E" w14:paraId="6DE91333" w14:textId="77777777">
      <w:pPr>
        <w:tabs>
          <w:tab w:val="left" w:pos="5760"/>
        </w:tabs>
        <w:rPr>
          <w:b/>
          <w:szCs w:val="22"/>
        </w:rPr>
      </w:pPr>
    </w:p>
    <w:p w:rsidR="0085768E" w:rsidRPr="008A25E7" w:rsidP="0085768E" w14:paraId="219285E3" w14:textId="77777777">
      <w:pPr>
        <w:tabs>
          <w:tab w:val="left" w:pos="5760"/>
        </w:tabs>
        <w:rPr>
          <w:b/>
          <w:szCs w:val="22"/>
        </w:rPr>
      </w:pPr>
    </w:p>
    <w:p w:rsidR="0085768E" w:rsidRPr="008A25E7" w:rsidP="0085768E" w14:paraId="0D2720C5" w14:textId="77777777">
      <w:pPr>
        <w:tabs>
          <w:tab w:val="left" w:pos="5760"/>
        </w:tabs>
        <w:rPr>
          <w:b/>
          <w:szCs w:val="22"/>
        </w:rPr>
      </w:pPr>
    </w:p>
    <w:p w:rsidR="0085768E" w:rsidRPr="008A25E7" w:rsidP="0085768E" w14:paraId="3120EE19" w14:textId="77777777">
      <w:pPr>
        <w:tabs>
          <w:tab w:val="left" w:pos="5760"/>
        </w:tabs>
        <w:rPr>
          <w:b/>
          <w:szCs w:val="22"/>
        </w:rPr>
      </w:pPr>
    </w:p>
    <w:p w:rsidR="0085768E" w:rsidRPr="008A25E7" w:rsidP="0085768E" w14:paraId="575B0854" w14:textId="77777777">
      <w:pPr>
        <w:tabs>
          <w:tab w:val="left" w:pos="4752"/>
        </w:tabs>
        <w:rPr>
          <w:szCs w:val="22"/>
        </w:rPr>
      </w:pPr>
      <w:r w:rsidRPr="008A25E7">
        <w:rPr>
          <w:szCs w:val="22"/>
        </w:rPr>
        <w:tab/>
        <w:t xml:space="preserve">Roger S. Noel </w:t>
      </w:r>
    </w:p>
    <w:p w:rsidR="0085768E" w:rsidRPr="008A25E7" w:rsidP="0085768E" w14:paraId="5A5B50C9" w14:textId="77777777">
      <w:pPr>
        <w:tabs>
          <w:tab w:val="left" w:pos="4752"/>
        </w:tabs>
        <w:rPr>
          <w:szCs w:val="22"/>
        </w:rPr>
      </w:pPr>
      <w:r w:rsidRPr="008A25E7">
        <w:rPr>
          <w:szCs w:val="22"/>
        </w:rPr>
        <w:tab/>
        <w:t>Chief, Mobility Division</w:t>
      </w:r>
    </w:p>
    <w:p w:rsidR="0085768E" w:rsidRPr="008A25E7" w:rsidP="0085768E" w14:paraId="7C3719CA" w14:textId="77777777">
      <w:pPr>
        <w:tabs>
          <w:tab w:val="left" w:pos="4752"/>
        </w:tabs>
        <w:rPr>
          <w:szCs w:val="22"/>
        </w:rPr>
      </w:pPr>
      <w:r w:rsidRPr="008A25E7">
        <w:rPr>
          <w:szCs w:val="22"/>
        </w:rPr>
        <w:tab/>
        <w:t xml:space="preserve">Wireless Telecommunications Bureau </w:t>
      </w:r>
    </w:p>
    <w:sectPr>
      <w:headerReference w:type="default" r:id="rId9"/>
      <w:footerReference w:type="default" r:id="rId10"/>
      <w:headerReference w:type="first" r:id="rId11"/>
      <w:pgSz w:w="12240" w:h="15840"/>
      <w:pgMar w:top="1440" w:right="1440" w:bottom="720" w:left="1440" w:header="720" w:footer="72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E68" w14:paraId="5323F7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3E5D" w14:paraId="42CFA3D4" w14:textId="77777777">
      <w:pPr>
        <w:rPr>
          <w:sz w:val="20"/>
        </w:rPr>
      </w:pPr>
      <w:r>
        <w:rPr>
          <w:sz w:val="20"/>
        </w:rPr>
        <w:separator/>
      </w:r>
    </w:p>
  </w:footnote>
  <w:footnote w:type="continuationSeparator" w:id="1">
    <w:p w:rsidR="008F3E5D" w14:paraId="77C79DA2" w14:textId="77777777">
      <w:pPr>
        <w:rPr>
          <w:sz w:val="20"/>
        </w:rPr>
      </w:pPr>
      <w:r>
        <w:rPr>
          <w:sz w:val="20"/>
        </w:rPr>
        <w:separator/>
      </w:r>
    </w:p>
    <w:p w:rsidR="008F3E5D" w14:paraId="3FF73D3F" w14:textId="77777777">
      <w:pPr>
        <w:rPr>
          <w:sz w:val="20"/>
        </w:rPr>
      </w:pPr>
      <w:r>
        <w:rPr>
          <w:sz w:val="20"/>
        </w:rPr>
        <w:t>(...continued from previous page)</w:t>
      </w:r>
    </w:p>
  </w:footnote>
  <w:footnote w:type="continuationNotice" w:id="2">
    <w:p w:rsidR="008F3E5D" w14:paraId="0684EB50" w14:textId="77777777">
      <w:pPr>
        <w:jc w:val="right"/>
        <w:rPr>
          <w:sz w:val="20"/>
        </w:rPr>
      </w:pPr>
      <w:r>
        <w:rPr>
          <w:sz w:val="20"/>
        </w:rPr>
        <w:t>(continued....)</w:t>
      </w:r>
    </w:p>
  </w:footnote>
  <w:footnote w:id="3">
    <w:p w:rsidR="002946BF" w:rsidRPr="007C7481" w:rsidP="002946BF" w14:paraId="743BF438" w14:textId="68A4DB6B">
      <w:pPr>
        <w:pStyle w:val="FootnoteText"/>
      </w:pPr>
      <w:r w:rsidRPr="00A57D96">
        <w:rPr>
          <w:rStyle w:val="FootnoteReference"/>
        </w:rPr>
        <w:footnoteRef/>
      </w:r>
      <w:r w:rsidRPr="00A57D96">
        <w:t xml:space="preserve"> </w:t>
      </w:r>
      <w:r w:rsidRPr="007C7481" w:rsidR="00891D9D">
        <w:t>The 218–219 MHz Service license areas correspond to cellular market areas (CMAs).  47 CFR § 95.1903(c).  There are two 500</w:t>
      </w:r>
      <w:r w:rsidRPr="007C7481" w:rsidR="00927DDC">
        <w:t>-</w:t>
      </w:r>
      <w:r w:rsidRPr="007C7481" w:rsidR="00891D9D">
        <w:t>k</w:t>
      </w:r>
      <w:r w:rsidRPr="007C7481" w:rsidR="00070CBA">
        <w:t>ilohertz</w:t>
      </w:r>
      <w:r w:rsidRPr="007C7481" w:rsidR="00891D9D">
        <w:t xml:space="preserve"> frequency segments available for assignment in each CMA.  Frequency segment A is 218.000–218.500 MHz</w:t>
      </w:r>
      <w:r w:rsidRPr="007C7481" w:rsidR="00791A4E">
        <w:t xml:space="preserve">, </w:t>
      </w:r>
      <w:r w:rsidRPr="007C7481" w:rsidR="00891D9D">
        <w:t xml:space="preserve">and frequency segment B is 218.501–219.000 </w:t>
      </w:r>
      <w:r w:rsidRPr="007C7481" w:rsidR="00891D9D">
        <w:t>MHz.</w:t>
      </w:r>
      <w:r w:rsidRPr="007C7481" w:rsidR="00891D9D">
        <w:t xml:space="preserve">  47 CFR § 95.1953.  </w:t>
      </w:r>
      <w:r w:rsidRPr="007C7481" w:rsidR="005776DC">
        <w:t xml:space="preserve">MTA is currently licensed under </w:t>
      </w:r>
      <w:r w:rsidRPr="007C7481" w:rsidR="00891D9D">
        <w:t xml:space="preserve">Station KIVD0001 </w:t>
      </w:r>
      <w:r w:rsidRPr="007C7481" w:rsidR="005776DC">
        <w:t>for</w:t>
      </w:r>
      <w:r w:rsidRPr="007C7481" w:rsidR="00791A4E">
        <w:t xml:space="preserve"> </w:t>
      </w:r>
      <w:r w:rsidRPr="007C7481" w:rsidR="00891D9D">
        <w:t xml:space="preserve">frequency segment A </w:t>
      </w:r>
      <w:r w:rsidRPr="007C7481" w:rsidR="00D22DCC">
        <w:t xml:space="preserve">in </w:t>
      </w:r>
      <w:r w:rsidRPr="007C7481" w:rsidR="00891D9D">
        <w:t>the New York, NY-NJ/Nassau-Suffolk CMA (New York CMA</w:t>
      </w:r>
      <w:r w:rsidRPr="007C7481" w:rsidR="005B0811">
        <w:t xml:space="preserve"> or CMA001</w:t>
      </w:r>
      <w:r w:rsidRPr="007C7481" w:rsidR="00891D9D">
        <w:t>)</w:t>
      </w:r>
      <w:r w:rsidRPr="007C7481" w:rsidR="005776DC">
        <w:t>,</w:t>
      </w:r>
      <w:r w:rsidRPr="007C7481" w:rsidR="00791A4E">
        <w:t xml:space="preserve"> and </w:t>
      </w:r>
      <w:r w:rsidRPr="007C7481" w:rsidR="005776DC">
        <w:t xml:space="preserve">is currently licensed under Station </w:t>
      </w:r>
      <w:r w:rsidRPr="007C7481" w:rsidR="00791A4E">
        <w:t>KIVD0002</w:t>
      </w:r>
      <w:r w:rsidRPr="007C7481" w:rsidR="00D92262">
        <w:t xml:space="preserve"> </w:t>
      </w:r>
      <w:r w:rsidRPr="007C7481" w:rsidR="005776DC">
        <w:t>for</w:t>
      </w:r>
      <w:r w:rsidRPr="007C7481" w:rsidR="00791A4E">
        <w:t xml:space="preserve"> frequency segment B</w:t>
      </w:r>
      <w:r w:rsidRPr="007C7481" w:rsidR="00A031B2">
        <w:t xml:space="preserve"> in </w:t>
      </w:r>
      <w:r w:rsidRPr="007C7481" w:rsidR="00791A4E">
        <w:t>that same CMA</w:t>
      </w:r>
      <w:r w:rsidRPr="007C7481" w:rsidR="00D22DCC">
        <w:t>,</w:t>
      </w:r>
      <w:r w:rsidRPr="007C7481" w:rsidR="007A66A8">
        <w:t xml:space="preserve"> as well as in </w:t>
      </w:r>
      <w:r w:rsidRPr="007C7481" w:rsidR="00021F22">
        <w:t xml:space="preserve">CMA042, CMA049, CMA144, and CMA151.  </w:t>
      </w:r>
    </w:p>
  </w:footnote>
  <w:footnote w:id="4">
    <w:p w:rsidR="000152FA" w:rsidRPr="007C7481" w:rsidP="000152FA" w14:paraId="587DFF11" w14:textId="705848BB">
      <w:pPr>
        <w:pStyle w:val="FootnoteText"/>
        <w:rPr>
          <w:i/>
          <w:iCs/>
        </w:rPr>
      </w:pPr>
      <w:r w:rsidRPr="007C7481">
        <w:rPr>
          <w:rStyle w:val="FootnoteReference"/>
        </w:rPr>
        <w:footnoteRef/>
      </w:r>
      <w:r w:rsidRPr="007C7481">
        <w:t xml:space="preserve"> </w:t>
      </w:r>
      <w:r w:rsidRPr="007C7481">
        <w:rPr>
          <w:i/>
          <w:iCs/>
        </w:rPr>
        <w:t>See Metropolitan Transportation Authority</w:t>
      </w:r>
      <w:r w:rsidRPr="007C7481">
        <w:t>, Proposed Order of Modification, DA 23-523</w:t>
      </w:r>
      <w:r w:rsidRPr="007C7481" w:rsidR="00A21C32">
        <w:t>, 2023 WL 4348340</w:t>
      </w:r>
      <w:r w:rsidRPr="007C7481">
        <w:t xml:space="preserve"> </w:t>
      </w:r>
      <w:r w:rsidRPr="007C7481" w:rsidR="001E19F0">
        <w:t>(</w:t>
      </w:r>
      <w:r w:rsidRPr="007C7481" w:rsidR="00A21C32">
        <w:t xml:space="preserve">WTB </w:t>
      </w:r>
      <w:r w:rsidRPr="007C7481">
        <w:t>June 16, 2023</w:t>
      </w:r>
      <w:r w:rsidRPr="007C7481" w:rsidR="001E19F0">
        <w:t>)</w:t>
      </w:r>
      <w:r w:rsidRPr="007C7481">
        <w:t xml:space="preserve"> </w:t>
      </w:r>
      <w:r w:rsidRPr="007C7481" w:rsidR="006A2973">
        <w:t>(</w:t>
      </w:r>
      <w:r w:rsidRPr="007C7481" w:rsidR="006A2973">
        <w:rPr>
          <w:i/>
          <w:iCs/>
        </w:rPr>
        <w:t xml:space="preserve">Proposed Order of Modification </w:t>
      </w:r>
      <w:r w:rsidRPr="007C7481" w:rsidR="006A2973">
        <w:t xml:space="preserve">or </w:t>
      </w:r>
      <w:r w:rsidRPr="007C7481" w:rsidR="006A2973">
        <w:rPr>
          <w:i/>
          <w:iCs/>
        </w:rPr>
        <w:t>Proposed Order</w:t>
      </w:r>
      <w:r w:rsidRPr="007C7481" w:rsidR="006A2973">
        <w:t>).</w:t>
      </w:r>
      <w:r w:rsidRPr="007C7481" w:rsidR="00927DDC">
        <w:t xml:space="preserve">  </w:t>
      </w:r>
      <w:r w:rsidRPr="007C7481">
        <w:rPr>
          <w:i/>
          <w:iCs/>
        </w:rPr>
        <w:t xml:space="preserve">See also </w:t>
      </w:r>
      <w:r w:rsidRPr="007C7481">
        <w:t xml:space="preserve">Request for Modification of Licenses of the Metropolitan Transportation Authority, ULS File Nos. 0010144223 (KIVD0001) and 0010144238 (KIVD0002) (filed </w:t>
      </w:r>
      <w:bookmarkStart w:id="1" w:name="_Hlk132710138"/>
      <w:r w:rsidRPr="007C7481">
        <w:t>July 27, 2022, amended Sept. 6 and Oct. 11, 2022, and Mar. 17, 2023</w:t>
      </w:r>
      <w:bookmarkEnd w:id="1"/>
      <w:r w:rsidRPr="007C7481">
        <w:t xml:space="preserve">) (Modification Request).  </w:t>
      </w:r>
    </w:p>
  </w:footnote>
  <w:footnote w:id="5">
    <w:p w:rsidR="005D36C9" w:rsidRPr="007C7481" w:rsidP="005D36C9" w14:paraId="11342E06" w14:textId="7C51FFCD">
      <w:pPr>
        <w:pStyle w:val="FootnoteText"/>
      </w:pPr>
      <w:r w:rsidRPr="007C7481">
        <w:rPr>
          <w:rStyle w:val="FootnoteReference"/>
        </w:rPr>
        <w:footnoteRef/>
      </w:r>
      <w:r w:rsidRPr="007C7481">
        <w:t xml:space="preserve"> This spectrum </w:t>
      </w:r>
      <w:r w:rsidRPr="007C7481" w:rsidR="004F2912">
        <w:t xml:space="preserve">(218.751-219.000 MHz) </w:t>
      </w:r>
      <w:r w:rsidRPr="007C7481">
        <w:t>will augment the 250 kilohertz of adjacent spectrum (218.501-218.750 MHz) that the Bureau provided MTA in 2016 through a prior modification of Station KIVD0002, to enable Metro-North’s then initial PTC deployment in the four counties</w:t>
      </w:r>
      <w:r w:rsidRPr="007C7481" w:rsidR="00705F62">
        <w:t xml:space="preserve"> (each county corresponds to a single CMA):  Dutchess County, NY (CMA 151); Orange County, NY (CMA 144); Fairfield County, CT (CMA 042); and New Haven County, CT (CMA 049).  </w:t>
      </w:r>
      <w:r w:rsidRPr="007C7481">
        <w:rPr>
          <w:i/>
          <w:iCs/>
        </w:rPr>
        <w:t>See Metropolitan Transportation Authority</w:t>
      </w:r>
      <w:r w:rsidRPr="007C7481">
        <w:t xml:space="preserve">, Order of Modification, 31 FCC </w:t>
      </w:r>
      <w:r w:rsidRPr="007C7481">
        <w:t>Rcd</w:t>
      </w:r>
      <w:r w:rsidRPr="007C7481">
        <w:t xml:space="preserve"> 8862 (WTB MD 2016) (</w:t>
      </w:r>
      <w:r w:rsidRPr="007C7481">
        <w:rPr>
          <w:i/>
          <w:iCs/>
        </w:rPr>
        <w:t>2016 Order of Modification</w:t>
      </w:r>
      <w:r w:rsidRPr="007C7481">
        <w:t xml:space="preserve">).  </w:t>
      </w:r>
      <w:r w:rsidRPr="007C7481">
        <w:rPr>
          <w:i/>
          <w:iCs/>
        </w:rPr>
        <w:t>See also</w:t>
      </w:r>
      <w:r w:rsidRPr="007C7481">
        <w:t xml:space="preserve"> </w:t>
      </w:r>
      <w:r w:rsidRPr="007C7481">
        <w:rPr>
          <w:i/>
          <w:iCs/>
        </w:rPr>
        <w:t>Metropolitan Transportation Authority</w:t>
      </w:r>
      <w:r w:rsidRPr="007C7481">
        <w:t>,</w:t>
      </w:r>
      <w:r w:rsidRPr="007C7481">
        <w:rPr>
          <w:i/>
          <w:iCs/>
        </w:rPr>
        <w:t xml:space="preserve"> </w:t>
      </w:r>
      <w:r w:rsidRPr="007C7481">
        <w:t xml:space="preserve">Proposed Order of Modification and Order on Reconsideration, 31 FCC </w:t>
      </w:r>
      <w:r w:rsidRPr="007C7481">
        <w:t>Rcd</w:t>
      </w:r>
      <w:r w:rsidRPr="007C7481">
        <w:t xml:space="preserve"> 1436 (2016) (</w:t>
      </w:r>
      <w:r w:rsidRPr="007C7481">
        <w:rPr>
          <w:i/>
          <w:iCs/>
        </w:rPr>
        <w:t xml:space="preserve">2016 Proposed Order of Modification </w:t>
      </w:r>
      <w:r w:rsidRPr="007C7481">
        <w:t xml:space="preserve">and </w:t>
      </w:r>
      <w:r w:rsidRPr="007C7481">
        <w:rPr>
          <w:i/>
          <w:iCs/>
        </w:rPr>
        <w:t>2016 Order on Reconsideration</w:t>
      </w:r>
      <w:r w:rsidRPr="007C7481">
        <w:t xml:space="preserve">, respectively), </w:t>
      </w:r>
      <w:r w:rsidRPr="007C7481">
        <w:rPr>
          <w:i/>
          <w:iCs/>
        </w:rPr>
        <w:t>recon. pending</w:t>
      </w:r>
      <w:r w:rsidRPr="007C7481">
        <w:t xml:space="preserve">. </w:t>
      </w:r>
    </w:p>
  </w:footnote>
  <w:footnote w:id="6">
    <w:p w:rsidR="005D36C9" w:rsidRPr="007C7481" w14:paraId="55EA7C2A" w14:textId="11D6369F">
      <w:pPr>
        <w:pStyle w:val="FootnoteText"/>
      </w:pPr>
      <w:r w:rsidRPr="007C7481">
        <w:rPr>
          <w:rStyle w:val="FootnoteReference"/>
        </w:rPr>
        <w:footnoteRef/>
      </w:r>
      <w:r w:rsidRPr="007C7481">
        <w:t xml:space="preserve"> Congress established the PTC mandate in the Rail Safety Improvement Act of 2008, Pub. L. No. 110-432, § 104, 122 Stat. 4848, 4857 (2008), which was amended by the</w:t>
      </w:r>
      <w:r w:rsidRPr="007C7481">
        <w:rPr>
          <w:rFonts w:eastAsia="Arial"/>
          <w:i/>
          <w:iCs/>
        </w:rPr>
        <w:t xml:space="preserve"> </w:t>
      </w:r>
      <w:r w:rsidRPr="007C7481">
        <w:rPr>
          <w:rFonts w:eastAsia="Arial"/>
        </w:rPr>
        <w:t>Positive Train Control Enforcement and Implementation Act of 2015, Pub. L. No. 114-73, § 1302, 129 Stat. 568, 576 (2015</w:t>
      </w:r>
      <w:r w:rsidRPr="007C7481">
        <w:t>)</w:t>
      </w:r>
      <w:r w:rsidRPr="007C7481" w:rsidR="005649C3">
        <w:t xml:space="preserve"> (collectively, Rail Safety Act).</w:t>
      </w:r>
    </w:p>
  </w:footnote>
  <w:footnote w:id="7">
    <w:p w:rsidR="00D63D24" w:rsidRPr="007C7481" w:rsidP="003709D4" w14:paraId="184E1705" w14:textId="7F542C62">
      <w:pPr>
        <w:pStyle w:val="FootnoteText"/>
        <w:rPr>
          <w:lang w:val="en"/>
        </w:rPr>
      </w:pPr>
      <w:r w:rsidRPr="007C7481">
        <w:rPr>
          <w:rStyle w:val="FootnoteReference"/>
        </w:rPr>
        <w:footnoteRef/>
      </w:r>
      <w:r w:rsidRPr="007C7481">
        <w:rPr>
          <w:i/>
          <w:iCs/>
        </w:rPr>
        <w:t xml:space="preserve"> See </w:t>
      </w:r>
      <w:r w:rsidRPr="007C7481">
        <w:t>47 U.S.C. § 316(a) (the Commission may modify “[a]</w:t>
      </w:r>
      <w:r w:rsidRPr="007C7481">
        <w:rPr>
          <w:lang w:val="en"/>
        </w:rPr>
        <w:t>ny</w:t>
      </w:r>
      <w:r w:rsidRPr="007C7481">
        <w:rPr>
          <w:lang w:val="en"/>
        </w:rPr>
        <w:t xml:space="preserve"> station license . . . either for a limited time or for the duration of the term thereof, if in the judgment of the Commission such action will promote the public interest, convenience, and necessity, . . .”).</w:t>
      </w:r>
    </w:p>
  </w:footnote>
  <w:footnote w:id="8">
    <w:p w:rsidR="006D06D5" w:rsidRPr="007C7481" w:rsidP="00146A04" w14:paraId="5183815A" w14:textId="05EB2B4B">
      <w:pPr>
        <w:pStyle w:val="FootnoteText"/>
      </w:pPr>
      <w:r w:rsidRPr="007C7481">
        <w:rPr>
          <w:rStyle w:val="FootnoteReference"/>
        </w:rPr>
        <w:footnoteRef/>
      </w:r>
      <w:r w:rsidRPr="007C7481">
        <w:t xml:space="preserve"> </w:t>
      </w:r>
      <w:r w:rsidRPr="007C7481" w:rsidR="00D50F00">
        <w:t xml:space="preserve">47 CFR </w:t>
      </w:r>
      <w:r w:rsidRPr="007C7481" w:rsidR="00341C29">
        <w:t>§§ 95.1955, 95.1915(b)</w:t>
      </w:r>
      <w:r w:rsidRPr="007C7481" w:rsidR="006A2973">
        <w:t>;</w:t>
      </w:r>
      <w:r w:rsidRPr="007C7481" w:rsidR="00C90958">
        <w:t xml:space="preserve"> </w:t>
      </w:r>
      <w:r w:rsidRPr="007C7481" w:rsidR="00C90958">
        <w:rPr>
          <w:i/>
          <w:iCs/>
        </w:rPr>
        <w:t>Proposed Order</w:t>
      </w:r>
      <w:r w:rsidRPr="007C7481" w:rsidR="006A2973">
        <w:rPr>
          <w:i/>
          <w:iCs/>
        </w:rPr>
        <w:t xml:space="preserve"> </w:t>
      </w:r>
      <w:r w:rsidRPr="007C7481" w:rsidR="006A2973">
        <w:t xml:space="preserve">at </w:t>
      </w:r>
      <w:r w:rsidRPr="007C7481" w:rsidR="000028D0">
        <w:t>*1</w:t>
      </w:r>
      <w:r w:rsidRPr="007C7481" w:rsidR="006A2973">
        <w:t xml:space="preserve">, </w:t>
      </w:r>
      <w:r w:rsidRPr="007C7481" w:rsidR="000028D0">
        <w:t>*8-11</w:t>
      </w:r>
      <w:r w:rsidRPr="007C7481" w:rsidR="00C90958">
        <w:t>, paras. 3, 27-40.</w:t>
      </w:r>
      <w:r w:rsidRPr="007C7481" w:rsidR="00C52FBC">
        <w:t xml:space="preserve">  </w:t>
      </w:r>
    </w:p>
  </w:footnote>
  <w:footnote w:id="9">
    <w:p w:rsidR="001437D2" w:rsidRPr="007C7481" w:rsidP="00146A04" w14:paraId="23A668F2" w14:textId="29E88B61">
      <w:pPr>
        <w:pStyle w:val="FootnoteText"/>
      </w:pPr>
      <w:r w:rsidRPr="007C7481">
        <w:rPr>
          <w:rStyle w:val="FootnoteReference"/>
        </w:rPr>
        <w:footnoteRef/>
      </w:r>
      <w:r w:rsidRPr="007C7481">
        <w:t xml:space="preserve"> </w:t>
      </w:r>
      <w:r w:rsidRPr="007C7481" w:rsidR="006A2973">
        <w:rPr>
          <w:i/>
          <w:iCs/>
        </w:rPr>
        <w:t xml:space="preserve">Proposed Order </w:t>
      </w:r>
      <w:r w:rsidRPr="007C7481" w:rsidR="006A2973">
        <w:t xml:space="preserve">at </w:t>
      </w:r>
      <w:r w:rsidRPr="007C7481" w:rsidR="003B0588">
        <w:t>*1, *8-11</w:t>
      </w:r>
      <w:r w:rsidRPr="007C7481" w:rsidR="006A2973">
        <w:t>, paras. 3, 27-40</w:t>
      </w:r>
      <w:r w:rsidRPr="007C7481" w:rsidR="003C2770">
        <w:t>;</w:t>
      </w:r>
      <w:r w:rsidRPr="007C7481" w:rsidR="003C2770">
        <w:rPr>
          <w:b/>
          <w:bCs/>
        </w:rPr>
        <w:t xml:space="preserve"> </w:t>
      </w:r>
      <w:r w:rsidRPr="007C7481">
        <w:rPr>
          <w:i/>
          <w:iCs/>
        </w:rPr>
        <w:t>Metropolitan Transportation Authority Request for Waiver to Facilitate Positive Train Control System</w:t>
      </w:r>
      <w:r w:rsidRPr="007C7481">
        <w:t xml:space="preserve">, </w:t>
      </w:r>
      <w:r w:rsidRPr="007C7481">
        <w:rPr>
          <w:iCs/>
        </w:rPr>
        <w:t>Order,</w:t>
      </w:r>
      <w:r w:rsidRPr="007C7481">
        <w:t xml:space="preserve"> 29 FCC </w:t>
      </w:r>
      <w:r w:rsidRPr="007C7481">
        <w:t>Rcd</w:t>
      </w:r>
      <w:r w:rsidRPr="007C7481">
        <w:t xml:space="preserve"> 2004 (WTB MD 2014) (</w:t>
      </w:r>
      <w:r w:rsidRPr="007C7481" w:rsidR="00AA7FF9">
        <w:rPr>
          <w:i/>
        </w:rPr>
        <w:t>2014</w:t>
      </w:r>
      <w:r w:rsidRPr="007C7481">
        <w:rPr>
          <w:i/>
        </w:rPr>
        <w:t xml:space="preserve"> Power Waiver Order</w:t>
      </w:r>
      <w:r w:rsidRPr="007C7481">
        <w:t>)</w:t>
      </w:r>
      <w:r w:rsidRPr="007C7481" w:rsidR="00064738">
        <w:t xml:space="preserve">, </w:t>
      </w:r>
      <w:r w:rsidRPr="007C7481" w:rsidR="00064738">
        <w:rPr>
          <w:i/>
          <w:iCs/>
        </w:rPr>
        <w:t>modified by</w:t>
      </w:r>
      <w:r w:rsidRPr="007C7481" w:rsidR="00064738">
        <w:t xml:space="preserve"> </w:t>
      </w:r>
      <w:r w:rsidRPr="007C7481" w:rsidR="00064738">
        <w:rPr>
          <w:i/>
          <w:iCs/>
        </w:rPr>
        <w:t>2016 Order on Reconsideration</w:t>
      </w:r>
      <w:r w:rsidRPr="007C7481" w:rsidR="00064738">
        <w:t xml:space="preserve">, 31 FCC </w:t>
      </w:r>
      <w:r w:rsidRPr="007C7481" w:rsidR="00064738">
        <w:t>Rcd</w:t>
      </w:r>
      <w:r w:rsidRPr="007C7481" w:rsidR="00064738">
        <w:t xml:space="preserve"> </w:t>
      </w:r>
      <w:r w:rsidRPr="007C7481" w:rsidR="005B50CB">
        <w:t>at</w:t>
      </w:r>
      <w:r w:rsidRPr="007C7481" w:rsidR="0025401A">
        <w:t xml:space="preserve"> 1446-47, 1458</w:t>
      </w:r>
      <w:r w:rsidRPr="007C7481" w:rsidR="00002076">
        <w:t>-59</w:t>
      </w:r>
      <w:r w:rsidRPr="007C7481" w:rsidR="0025401A">
        <w:t>,</w:t>
      </w:r>
      <w:r w:rsidRPr="007C7481" w:rsidR="005D5DBE">
        <w:t xml:space="preserve"> </w:t>
      </w:r>
      <w:r w:rsidRPr="007C7481" w:rsidR="005B50CB">
        <w:t>paras. 32-33</w:t>
      </w:r>
      <w:r w:rsidRPr="007C7481" w:rsidR="005D5DBE">
        <w:t>, 66.</w:t>
      </w:r>
    </w:p>
  </w:footnote>
  <w:footnote w:id="10">
    <w:p w:rsidR="001468E6" w:rsidRPr="007C7481" w14:paraId="11CF5314" w14:textId="68F8295D">
      <w:pPr>
        <w:pStyle w:val="FootnoteText"/>
      </w:pPr>
      <w:r w:rsidRPr="007C7481">
        <w:rPr>
          <w:rStyle w:val="FootnoteReference"/>
        </w:rPr>
        <w:footnoteRef/>
      </w:r>
      <w:r w:rsidRPr="007C7481">
        <w:t xml:space="preserve"> Modification Request at 2.</w:t>
      </w:r>
    </w:p>
  </w:footnote>
  <w:footnote w:id="11">
    <w:p w:rsidR="00DC643B" w:rsidRPr="007C7481" w14:paraId="3495062E" w14:textId="24B49F4C">
      <w:pPr>
        <w:pStyle w:val="FootnoteText"/>
      </w:pPr>
      <w:r w:rsidRPr="007C7481">
        <w:rPr>
          <w:rStyle w:val="FootnoteReference"/>
        </w:rPr>
        <w:footnoteRef/>
      </w:r>
      <w:r w:rsidRPr="007C7481">
        <w:t xml:space="preserve"> </w:t>
      </w:r>
      <w:r w:rsidRPr="007C7481" w:rsidR="001437D2">
        <w:rPr>
          <w:i/>
          <w:iCs/>
        </w:rPr>
        <w:t>Id</w:t>
      </w:r>
      <w:r w:rsidRPr="007C7481" w:rsidR="001437D2">
        <w:t>.</w:t>
      </w:r>
      <w:r w:rsidRPr="007C7481" w:rsidR="00AC4C57">
        <w:t xml:space="preserve"> at 3.</w:t>
      </w:r>
    </w:p>
  </w:footnote>
  <w:footnote w:id="12">
    <w:p w:rsidR="00DC643B" w:rsidRPr="007C7481" w14:paraId="541ADF49" w14:textId="79050B3D">
      <w:pPr>
        <w:pStyle w:val="FootnoteText"/>
      </w:pPr>
      <w:r w:rsidRPr="007C7481">
        <w:rPr>
          <w:rStyle w:val="FootnoteReference"/>
        </w:rPr>
        <w:footnoteRef/>
      </w:r>
      <w:r w:rsidRPr="007C7481">
        <w:t xml:space="preserve"> </w:t>
      </w:r>
      <w:r w:rsidRPr="007C7481">
        <w:rPr>
          <w:i/>
          <w:iCs/>
        </w:rPr>
        <w:t>Id.</w:t>
      </w:r>
      <w:r w:rsidRPr="007C7481">
        <w:t xml:space="preserve">  Three of Metro-North’s lines terminate in Manhattan’s Grand Central Terminal.  </w:t>
      </w:r>
      <w:r w:rsidRPr="007C7481">
        <w:rPr>
          <w:i/>
          <w:iCs/>
        </w:rPr>
        <w:t>Id</w:t>
      </w:r>
      <w:r w:rsidRPr="007C7481">
        <w:t>.</w:t>
      </w:r>
      <w:r w:rsidRPr="007C7481" w:rsidR="00834FF8">
        <w:t xml:space="preserve">  The</w:t>
      </w:r>
      <w:r w:rsidRPr="007C7481" w:rsidR="00D958A5">
        <w:t xml:space="preserve"> </w:t>
      </w:r>
      <w:r w:rsidRPr="007C7481" w:rsidR="00002076">
        <w:t>Long Island Railroad (</w:t>
      </w:r>
      <w:r w:rsidRPr="007C7481" w:rsidR="008B4DB6">
        <w:t>LIRR</w:t>
      </w:r>
      <w:r w:rsidRPr="007C7481" w:rsidR="00002076">
        <w:t>)</w:t>
      </w:r>
      <w:r w:rsidRPr="007C7481" w:rsidR="00834FF8">
        <w:t xml:space="preserve">, Metro-North’s affiliate, provides commuter rail service from eastern Long Island to Manhattan’s Penn Station, in five New York counties (Brooklyn, Nassau, New York, Queens, and Suffolk).  </w:t>
      </w:r>
      <w:r w:rsidRPr="007C7481" w:rsidR="00834FF8">
        <w:rPr>
          <w:i/>
          <w:iCs/>
        </w:rPr>
        <w:t>Id.</w:t>
      </w:r>
      <w:r w:rsidRPr="007C7481" w:rsidR="00834FF8">
        <w:t xml:space="preserve"> at 2.</w:t>
      </w:r>
    </w:p>
  </w:footnote>
  <w:footnote w:id="13">
    <w:p w:rsidR="00001869" w:rsidRPr="007C7481" w14:paraId="7B33821D" w14:textId="7D8693AC">
      <w:pPr>
        <w:pStyle w:val="FootnoteText"/>
      </w:pPr>
      <w:r w:rsidRPr="007C7481">
        <w:rPr>
          <w:rStyle w:val="FootnoteReference"/>
        </w:rPr>
        <w:footnoteRef/>
      </w:r>
      <w:r w:rsidRPr="007C7481">
        <w:t xml:space="preserve"> </w:t>
      </w:r>
      <w:r w:rsidRPr="007C7481">
        <w:rPr>
          <w:i/>
          <w:iCs/>
        </w:rPr>
        <w:t xml:space="preserve">See supra </w:t>
      </w:r>
      <w:r w:rsidRPr="007C7481">
        <w:t>note 4.</w:t>
      </w:r>
    </w:p>
  </w:footnote>
  <w:footnote w:id="14">
    <w:p w:rsidR="00C00DB6" w:rsidRPr="007C7481" w14:paraId="0BCF6A9E" w14:textId="3769D45B">
      <w:pPr>
        <w:pStyle w:val="FootnoteText"/>
      </w:pPr>
      <w:r w:rsidRPr="007C7481">
        <w:rPr>
          <w:rStyle w:val="FootnoteReference"/>
        </w:rPr>
        <w:footnoteRef/>
      </w:r>
      <w:r w:rsidRPr="007C7481">
        <w:t xml:space="preserve"> The Federal Railroad Administration (FRA) is responsible for approving each railroad’s PTC system, including design, testing, and implementation</w:t>
      </w:r>
      <w:r w:rsidRPr="007C7481" w:rsidR="00B818E8">
        <w:t>,</w:t>
      </w:r>
      <w:r w:rsidRPr="007C7481">
        <w:t xml:space="preserve"> and for ensuring compliance with the Rail Safety Act and FRA regulations implementing that statute.  </w:t>
      </w:r>
      <w:r w:rsidRPr="007C7481" w:rsidR="0070124C">
        <w:t>U</w:t>
      </w:r>
      <w:r w:rsidRPr="007C7481" w:rsidR="00A14C33">
        <w:t>.</w:t>
      </w:r>
      <w:r w:rsidRPr="007C7481" w:rsidR="0070124C">
        <w:t>S</w:t>
      </w:r>
      <w:r w:rsidRPr="007C7481" w:rsidR="00A14C33">
        <w:t>.</w:t>
      </w:r>
      <w:r w:rsidRPr="007C7481" w:rsidR="0070124C">
        <w:t xml:space="preserve"> Department of Transportation (DOT), FRA, </w:t>
      </w:r>
      <w:r w:rsidRPr="007C7481">
        <w:rPr>
          <w:i/>
          <w:iCs/>
        </w:rPr>
        <w:t>Positive Train Control (PTC) Information (R&amp;D)</w:t>
      </w:r>
      <w:r w:rsidRPr="007C7481" w:rsidR="0070124C">
        <w:rPr>
          <w:i/>
          <w:iCs/>
        </w:rPr>
        <w:t xml:space="preserve"> Summary</w:t>
      </w:r>
      <w:r w:rsidRPr="007C7481">
        <w:t xml:space="preserve">, </w:t>
      </w:r>
      <w:hyperlink r:id="rId1" w:history="1">
        <w:r w:rsidRPr="007C7481">
          <w:rPr>
            <w:rStyle w:val="Hyperlink"/>
          </w:rPr>
          <w:t>https://www.fra.dot.gov/Page/P0152</w:t>
        </w:r>
      </w:hyperlink>
      <w:r w:rsidRPr="007C7481">
        <w:t xml:space="preserve"> </w:t>
      </w:r>
      <w:r w:rsidRPr="007C7481" w:rsidR="00267C9D">
        <w:t>(last updated Nov. 13, 2019).</w:t>
      </w:r>
    </w:p>
  </w:footnote>
  <w:footnote w:id="15">
    <w:p w:rsidR="00C00DB6" w:rsidRPr="007C7481" w14:paraId="2F39F7C8" w14:textId="056E5163">
      <w:pPr>
        <w:pStyle w:val="FootnoteText"/>
      </w:pPr>
      <w:r w:rsidRPr="007C7481">
        <w:rPr>
          <w:rStyle w:val="FootnoteReference"/>
        </w:rPr>
        <w:footnoteRef/>
      </w:r>
      <w:r w:rsidRPr="007C7481">
        <w:t xml:space="preserve"> </w:t>
      </w:r>
      <w:r w:rsidRPr="007C7481" w:rsidR="000E3118">
        <w:t xml:space="preserve">USDOT, </w:t>
      </w:r>
      <w:r w:rsidRPr="007C7481">
        <w:rPr>
          <w:i/>
          <w:iCs/>
        </w:rPr>
        <w:t>Statement on Positive Train Control Implementation</w:t>
      </w:r>
      <w:r w:rsidRPr="007C7481">
        <w:t xml:space="preserve">, </w:t>
      </w:r>
      <w:hyperlink r:id="rId2" w:history="1">
        <w:r w:rsidRPr="007C7481">
          <w:rPr>
            <w:rStyle w:val="Hyperlink"/>
          </w:rPr>
          <w:t>https://www.transportation.gov/briefing-room/statement-positive-train-control-implementation</w:t>
        </w:r>
      </w:hyperlink>
      <w:r w:rsidRPr="007C7481">
        <w:t xml:space="preserve"> </w:t>
      </w:r>
      <w:r w:rsidRPr="007C7481" w:rsidR="00145A3C">
        <w:t>(last updated Dec. 31, 2018)</w:t>
      </w:r>
      <w:r w:rsidRPr="007C7481">
        <w:t xml:space="preserve">.  </w:t>
      </w:r>
    </w:p>
  </w:footnote>
  <w:footnote w:id="16">
    <w:p w:rsidR="00C00DB6" w:rsidRPr="007C7481" w14:paraId="5DE378F7" w14:textId="51E844FD">
      <w:pPr>
        <w:pStyle w:val="FootnoteText"/>
      </w:pPr>
      <w:r w:rsidRPr="007C7481">
        <w:rPr>
          <w:rStyle w:val="FootnoteReference"/>
        </w:rPr>
        <w:footnoteRef/>
      </w:r>
      <w:r w:rsidRPr="007C7481">
        <w:t xml:space="preserve"> </w:t>
      </w:r>
      <w:r w:rsidRPr="007C7481" w:rsidR="00607558">
        <w:rPr>
          <w:i/>
          <w:iCs/>
        </w:rPr>
        <w:t>Id</w:t>
      </w:r>
      <w:r w:rsidRPr="007C7481" w:rsidR="00607558">
        <w:t>.</w:t>
      </w:r>
    </w:p>
  </w:footnote>
  <w:footnote w:id="17">
    <w:p w:rsidR="00C00DB6" w:rsidRPr="007C7481" w14:paraId="1259128D" w14:textId="728F44BC">
      <w:pPr>
        <w:pStyle w:val="FootnoteText"/>
      </w:pPr>
      <w:r w:rsidRPr="007C7481">
        <w:rPr>
          <w:rStyle w:val="FootnoteReference"/>
        </w:rPr>
        <w:footnoteRef/>
      </w:r>
      <w:r w:rsidRPr="007C7481">
        <w:t xml:space="preserve"> </w:t>
      </w:r>
      <w:r w:rsidRPr="007C7481" w:rsidR="00607558">
        <w:rPr>
          <w:i/>
          <w:iCs/>
        </w:rPr>
        <w:t>Id</w:t>
      </w:r>
      <w:r w:rsidRPr="007C7481" w:rsidR="00607558">
        <w:t>.</w:t>
      </w:r>
    </w:p>
  </w:footnote>
  <w:footnote w:id="18">
    <w:p w:rsidR="00C00DB6" w:rsidRPr="007C7481" w14:paraId="7E295F98" w14:textId="77777777">
      <w:pPr>
        <w:pStyle w:val="FootnoteText"/>
      </w:pPr>
      <w:r w:rsidRPr="007C7481">
        <w:rPr>
          <w:rStyle w:val="FootnoteReference"/>
        </w:rPr>
        <w:footnoteRef/>
      </w:r>
      <w:r w:rsidRPr="007C7481">
        <w:t xml:space="preserve"> 49 U.S.C. § 20157(</w:t>
      </w:r>
      <w:r w:rsidRPr="007C7481">
        <w:t>i</w:t>
      </w:r>
      <w:r w:rsidRPr="007C7481">
        <w:t>)(5).</w:t>
      </w:r>
    </w:p>
  </w:footnote>
  <w:footnote w:id="19">
    <w:p w:rsidR="005F3516" w:rsidRPr="007C7481" w14:paraId="21D2C381" w14:textId="439571DB">
      <w:pPr>
        <w:pStyle w:val="FootnoteText"/>
      </w:pPr>
      <w:r w:rsidRPr="007C7481">
        <w:rPr>
          <w:rStyle w:val="FootnoteReference"/>
        </w:rPr>
        <w:footnoteRef/>
      </w:r>
      <w:r w:rsidRPr="007C7481">
        <w:t xml:space="preserve"> Modification Request at 8.</w:t>
      </w:r>
    </w:p>
  </w:footnote>
  <w:footnote w:id="20">
    <w:p w:rsidR="00FA3291" w:rsidRPr="007C7481" w14:paraId="25155980" w14:textId="4EDF9F6E">
      <w:pPr>
        <w:pStyle w:val="FootnoteText"/>
      </w:pPr>
      <w:r w:rsidRPr="007C7481">
        <w:rPr>
          <w:rStyle w:val="FootnoteReference"/>
        </w:rPr>
        <w:footnoteRef/>
      </w:r>
      <w:r w:rsidRPr="007C7481">
        <w:t xml:space="preserve"> </w:t>
      </w:r>
      <w:r w:rsidRPr="007C7481">
        <w:rPr>
          <w:i/>
          <w:iCs/>
        </w:rPr>
        <w:t>2016 Proposed Order of Modification</w:t>
      </w:r>
      <w:r w:rsidRPr="007C7481">
        <w:t>, 3</w:t>
      </w:r>
      <w:r w:rsidRPr="007C7481" w:rsidR="00D70691">
        <w:t>1</w:t>
      </w:r>
      <w:r w:rsidRPr="007C7481">
        <w:t xml:space="preserve"> FCC </w:t>
      </w:r>
      <w:r w:rsidRPr="007C7481">
        <w:t>Rcd</w:t>
      </w:r>
      <w:r w:rsidRPr="007C7481">
        <w:t xml:space="preserve"> at 1448-49</w:t>
      </w:r>
      <w:r w:rsidRPr="007C7481" w:rsidR="00257E5A">
        <w:t>,</w:t>
      </w:r>
      <w:r w:rsidRPr="007C7481">
        <w:t xml:space="preserve"> </w:t>
      </w:r>
      <w:r w:rsidRPr="007C7481" w:rsidR="00323165">
        <w:t xml:space="preserve">1456, </w:t>
      </w:r>
      <w:r w:rsidRPr="007C7481">
        <w:t>para</w:t>
      </w:r>
      <w:r w:rsidRPr="007C7481" w:rsidR="00323165">
        <w:t>s</w:t>
      </w:r>
      <w:r w:rsidRPr="007C7481">
        <w:t>. 40</w:t>
      </w:r>
      <w:r w:rsidRPr="007C7481" w:rsidR="00323165">
        <w:t xml:space="preserve">, </w:t>
      </w:r>
      <w:r w:rsidRPr="007C7481">
        <w:t>61.</w:t>
      </w:r>
      <w:r w:rsidRPr="007C7481" w:rsidR="00D4768E">
        <w:t xml:space="preserve">  </w:t>
      </w:r>
    </w:p>
  </w:footnote>
  <w:footnote w:id="21">
    <w:p w:rsidR="00705F62" w:rsidRPr="007C7481" w14:paraId="0748AA04" w14:textId="066D14B5">
      <w:pPr>
        <w:pStyle w:val="FootnoteText"/>
      </w:pPr>
      <w:r w:rsidRPr="007C7481">
        <w:rPr>
          <w:rStyle w:val="FootnoteReference"/>
        </w:rPr>
        <w:footnoteRef/>
      </w:r>
      <w:r w:rsidRPr="007C7481">
        <w:t xml:space="preserve"> </w:t>
      </w:r>
      <w:r w:rsidRPr="007C7481" w:rsidR="00411D66">
        <w:rPr>
          <w:i/>
          <w:iCs/>
        </w:rPr>
        <w:t>2016 Order of Modification</w:t>
      </w:r>
      <w:r w:rsidRPr="007C7481" w:rsidR="00411D66">
        <w:t xml:space="preserve">, 31 FCC </w:t>
      </w:r>
      <w:r w:rsidRPr="007C7481" w:rsidR="00411D66">
        <w:t>Rcd</w:t>
      </w:r>
      <w:r w:rsidRPr="007C7481" w:rsidR="00411D66">
        <w:t xml:space="preserve"> at 8865, para. 8.</w:t>
      </w:r>
      <w:r w:rsidRPr="007C7481" w:rsidR="006900D4">
        <w:t xml:space="preserve">  Skybridge Spectrum Foundation, an entity currently in receivership, previously filed a Petition for Reconsideration opposing the renewal of Station KIVD0002, ULS File No. 0006109691.  That petition will be addressed separately.</w:t>
      </w:r>
      <w:r w:rsidRPr="007C7481" w:rsidR="00830C42">
        <w:t xml:space="preserve"> </w:t>
      </w:r>
    </w:p>
  </w:footnote>
  <w:footnote w:id="22">
    <w:p w:rsidR="00FA3291" w:rsidRPr="007C7481" w14:paraId="7B766607" w14:textId="3EA97C00">
      <w:pPr>
        <w:pStyle w:val="FootnoteText"/>
      </w:pPr>
      <w:r w:rsidRPr="007C7481">
        <w:rPr>
          <w:rStyle w:val="FootnoteReference"/>
        </w:rPr>
        <w:footnoteRef/>
      </w:r>
      <w:r w:rsidRPr="007C7481">
        <w:t xml:space="preserve"> </w:t>
      </w:r>
      <w:r w:rsidRPr="007C7481" w:rsidR="004534C0">
        <w:rPr>
          <w:i/>
          <w:iCs/>
        </w:rPr>
        <w:t>Id</w:t>
      </w:r>
      <w:r w:rsidRPr="007C7481" w:rsidR="004534C0">
        <w:t>.</w:t>
      </w:r>
    </w:p>
  </w:footnote>
  <w:footnote w:id="23">
    <w:p w:rsidR="004534C0" w:rsidRPr="007C7481" w:rsidP="004534C0" w14:paraId="203BFD7E" w14:textId="32BDD444">
      <w:pPr>
        <w:pStyle w:val="FootnoteText"/>
      </w:pPr>
      <w:r w:rsidRPr="007C7481">
        <w:rPr>
          <w:rStyle w:val="FootnoteReference"/>
        </w:rPr>
        <w:footnoteRef/>
      </w:r>
      <w:r w:rsidRPr="007C7481">
        <w:t xml:space="preserve"> </w:t>
      </w:r>
      <w:r w:rsidRPr="007C7481">
        <w:rPr>
          <w:i/>
          <w:iCs/>
        </w:rPr>
        <w:t>Id</w:t>
      </w:r>
      <w:r w:rsidRPr="007C7481">
        <w:t xml:space="preserve">., 31 FCC </w:t>
      </w:r>
      <w:r w:rsidRPr="007C7481">
        <w:t>Rcd</w:t>
      </w:r>
      <w:r w:rsidRPr="007C7481">
        <w:t xml:space="preserve"> at 8865-66, para. 10 (requiring MTA “to sell or lease on commercially reasonable terms sufficient spectrum [] licensed under Station KIVD0002 to NJ Transit to enable its PTC implementation in seven northern New Jersey counties”).  MTA and NJ Transit entered into a spectrum leasing arrangement (a long-term de facto transfer lease) under Station KIVD0002 to enable NJ Transit’s PTC deployment in seven New Jersey counties (Bergen, Essex, Hudson, Morris, Passaic, Somerset, and Union).  </w:t>
      </w:r>
      <w:r w:rsidRPr="007C7481" w:rsidR="00F2397E">
        <w:rPr>
          <w:i/>
          <w:iCs/>
        </w:rPr>
        <w:t>See</w:t>
      </w:r>
      <w:r w:rsidRPr="007C7481" w:rsidR="00F2397E">
        <w:t xml:space="preserve"> ULS </w:t>
      </w:r>
      <w:r w:rsidRPr="007C7481">
        <w:t>Lease ID L000023066.</w:t>
      </w:r>
      <w:r w:rsidRPr="007C7481" w:rsidR="00F2397E">
        <w:t xml:space="preserve">  We note that, although not required by the </w:t>
      </w:r>
      <w:r w:rsidRPr="007C7481" w:rsidR="00F2397E">
        <w:rPr>
          <w:i/>
          <w:iCs/>
        </w:rPr>
        <w:t xml:space="preserve">2016 Order of Modification, </w:t>
      </w:r>
      <w:r w:rsidRPr="007C7481" w:rsidR="00F2397E">
        <w:t xml:space="preserve">MTA also currently leases spectrum to NJ Transit in these same seven NJ counties from Station KIVD0001.  </w:t>
      </w:r>
      <w:r w:rsidRPr="007C7481" w:rsidR="00F2397E">
        <w:rPr>
          <w:i/>
          <w:iCs/>
        </w:rPr>
        <w:t>See</w:t>
      </w:r>
      <w:r w:rsidRPr="007C7481" w:rsidR="00F2397E">
        <w:t xml:space="preserve"> ULS Lease ID L000040457.</w:t>
      </w:r>
    </w:p>
  </w:footnote>
  <w:footnote w:id="24">
    <w:p w:rsidR="00FA3291" w:rsidRPr="007C7481" w14:paraId="428378CE" w14:textId="54409158">
      <w:pPr>
        <w:pStyle w:val="FootnoteText"/>
      </w:pPr>
      <w:r w:rsidRPr="007C7481">
        <w:rPr>
          <w:rStyle w:val="FootnoteReference"/>
        </w:rPr>
        <w:footnoteRef/>
      </w:r>
      <w:r w:rsidRPr="007C7481">
        <w:t xml:space="preserve"> </w:t>
      </w:r>
      <w:r w:rsidRPr="007C7481" w:rsidR="00B869C3">
        <w:t xml:space="preserve">Modification Request </w:t>
      </w:r>
      <w:r w:rsidRPr="007C7481" w:rsidR="00100423">
        <w:t>a</w:t>
      </w:r>
      <w:r w:rsidRPr="007C7481">
        <w:t>t 10.</w:t>
      </w:r>
    </w:p>
  </w:footnote>
  <w:footnote w:id="25">
    <w:p w:rsidR="00725243" w:rsidRPr="007C7481" w14:paraId="14C42B15" w14:textId="0706EE62">
      <w:pPr>
        <w:pStyle w:val="FootnoteText"/>
      </w:pPr>
      <w:r w:rsidRPr="007C7481">
        <w:rPr>
          <w:rStyle w:val="FootnoteReference"/>
        </w:rPr>
        <w:footnoteRef/>
      </w:r>
      <w:r w:rsidRPr="007C7481">
        <w:t xml:space="preserve"> </w:t>
      </w:r>
      <w:r w:rsidRPr="007C7481" w:rsidR="00200370">
        <w:rPr>
          <w:i/>
          <w:iCs/>
        </w:rPr>
        <w:t>Id</w:t>
      </w:r>
      <w:r w:rsidRPr="007C7481" w:rsidR="00200370">
        <w:t xml:space="preserve">.  </w:t>
      </w:r>
      <w:r w:rsidRPr="007C7481" w:rsidR="00EF055B">
        <w:t>MTA state</w:t>
      </w:r>
      <w:r w:rsidRPr="007C7481" w:rsidR="00200370">
        <w:t>s</w:t>
      </w:r>
      <w:r w:rsidRPr="007C7481" w:rsidR="00EF055B">
        <w:t xml:space="preserve"> that its acquisition of Station KIVD0001 provide</w:t>
      </w:r>
      <w:r w:rsidRPr="007C7481" w:rsidR="00200370">
        <w:t>d</w:t>
      </w:r>
      <w:r w:rsidRPr="007C7481" w:rsidR="00EF055B">
        <w:t xml:space="preserve"> it with the flexibility to resolve interference by spacing spectrally adjacent frequencies at locations greater distances apart, thereby improving the reliability of its PTC system</w:t>
      </w:r>
      <w:r w:rsidRPr="007C7481" w:rsidR="00200370">
        <w:t xml:space="preserve">, but that the </w:t>
      </w:r>
      <w:r w:rsidRPr="007C7481" w:rsidR="00EF055B">
        <w:t xml:space="preserve">only PTC radios suitable for use in its service territory can generate internal system interference during implementation, and to address this problem, it implemented additional filtering and spaced frequency-reuse further apart between transmitter sites.  </w:t>
      </w:r>
      <w:r w:rsidRPr="007C7481" w:rsidR="00200370">
        <w:rPr>
          <w:i/>
          <w:iCs/>
        </w:rPr>
        <w:t>Id</w:t>
      </w:r>
      <w:r w:rsidRPr="007C7481" w:rsidR="00200370">
        <w:t xml:space="preserve">.  </w:t>
      </w:r>
      <w:r w:rsidRPr="007C7481" w:rsidR="00EF055B">
        <w:t>However, the need to space frequency-reuse further apart</w:t>
      </w:r>
      <w:r w:rsidRPr="007C7481" w:rsidR="00E657F5">
        <w:t xml:space="preserve"> resulted in </w:t>
      </w:r>
      <w:r w:rsidRPr="007C7481" w:rsidR="00EF055B">
        <w:t xml:space="preserve">channel capacity more </w:t>
      </w:r>
      <w:r w:rsidRPr="007C7481" w:rsidR="00E657F5">
        <w:t xml:space="preserve">limited </w:t>
      </w:r>
      <w:r w:rsidRPr="007C7481" w:rsidR="00EF055B">
        <w:t xml:space="preserve">than initially projected, resulting in a spectrum shortfall.  </w:t>
      </w:r>
      <w:r w:rsidRPr="007C7481" w:rsidR="00EF055B">
        <w:rPr>
          <w:i/>
          <w:iCs/>
        </w:rPr>
        <w:t xml:space="preserve">Id. </w:t>
      </w:r>
    </w:p>
  </w:footnote>
  <w:footnote w:id="26">
    <w:p w:rsidR="0052632B" w:rsidRPr="007C7481" w:rsidP="0052632B" w14:paraId="27B57073" w14:textId="2FF3EC09">
      <w:pPr>
        <w:pStyle w:val="FootnoteText"/>
      </w:pPr>
      <w:r w:rsidRPr="007C7481">
        <w:rPr>
          <w:rStyle w:val="FootnoteReference"/>
        </w:rPr>
        <w:footnoteRef/>
      </w:r>
      <w:r w:rsidRPr="007C7481">
        <w:t xml:space="preserve"> </w:t>
      </w:r>
      <w:r w:rsidRPr="007C7481">
        <w:rPr>
          <w:i/>
          <w:iCs/>
        </w:rPr>
        <w:t>Id</w:t>
      </w:r>
      <w:r w:rsidRPr="007C7481">
        <w:t>.</w:t>
      </w:r>
      <w:r w:rsidRPr="007C7481" w:rsidR="000E761E">
        <w:t xml:space="preserve"> at 11.  </w:t>
      </w:r>
      <w:r w:rsidRPr="007C7481">
        <w:t xml:space="preserve">MTA states that 218-219 MHz Band spectrum is </w:t>
      </w:r>
      <w:r w:rsidRPr="007C7481" w:rsidR="000E761E">
        <w:t xml:space="preserve">not </w:t>
      </w:r>
      <w:r w:rsidRPr="007C7481">
        <w:t>available on the secondary market in the four counties where additional spectrum is needed to improve the reliability of Metro-North’s PTC system</w:t>
      </w:r>
      <w:r w:rsidRPr="007C7481" w:rsidR="002A63EE">
        <w:t>.</w:t>
      </w:r>
      <w:r w:rsidRPr="007C7481" w:rsidR="00BE01C6">
        <w:t xml:space="preserve">  </w:t>
      </w:r>
      <w:r w:rsidRPr="007C7481" w:rsidR="002A63EE">
        <w:rPr>
          <w:i/>
          <w:iCs/>
        </w:rPr>
        <w:t>Id</w:t>
      </w:r>
      <w:r w:rsidRPr="007C7481" w:rsidR="002A63EE">
        <w:t>. at 11-12.  T</w:t>
      </w:r>
      <w:r w:rsidRPr="007C7481">
        <w:t>he Commission holds the entire 500</w:t>
      </w:r>
      <w:r w:rsidRPr="007C7481" w:rsidR="00E657F5">
        <w:t>-</w:t>
      </w:r>
      <w:r w:rsidRPr="007C7481" w:rsidR="00FE575F">
        <w:t xml:space="preserve">kilohertz </w:t>
      </w:r>
      <w:r w:rsidRPr="007C7481">
        <w:t xml:space="preserve">frequency segment </w:t>
      </w:r>
      <w:r w:rsidRPr="007C7481" w:rsidR="00BE01C6">
        <w:t xml:space="preserve">A </w:t>
      </w:r>
      <w:r w:rsidRPr="007C7481">
        <w:t>and 250 kilohertz of the frequency segment</w:t>
      </w:r>
      <w:r w:rsidRPr="007C7481" w:rsidR="00BE01C6">
        <w:t xml:space="preserve"> B</w:t>
      </w:r>
      <w:r w:rsidRPr="007C7481">
        <w:t xml:space="preserve"> not licensed to MTA under Station KIVD0002.</w:t>
      </w:r>
    </w:p>
  </w:footnote>
  <w:footnote w:id="27">
    <w:p w:rsidR="000E761E" w:rsidRPr="007C7481" w14:paraId="2AE20DF8" w14:textId="6E5D85A4">
      <w:pPr>
        <w:pStyle w:val="FootnoteText"/>
      </w:pPr>
      <w:r w:rsidRPr="007C7481">
        <w:rPr>
          <w:rStyle w:val="FootnoteReference"/>
        </w:rPr>
        <w:footnoteRef/>
      </w:r>
      <w:r w:rsidRPr="007C7481">
        <w:t xml:space="preserve"> </w:t>
      </w:r>
      <w:r w:rsidRPr="007C7481" w:rsidR="002A63EE">
        <w:rPr>
          <w:i/>
          <w:iCs/>
        </w:rPr>
        <w:t>Id</w:t>
      </w:r>
      <w:r w:rsidRPr="007C7481" w:rsidR="002A63EE">
        <w:t>. at 11.</w:t>
      </w:r>
    </w:p>
  </w:footnote>
  <w:footnote w:id="28">
    <w:p w:rsidR="00DD2787" w:rsidRPr="007C7481" w:rsidP="00DD2787" w14:paraId="181F35F0" w14:textId="77777777">
      <w:pPr>
        <w:pStyle w:val="FootnoteText"/>
      </w:pPr>
      <w:r w:rsidRPr="007C7481">
        <w:rPr>
          <w:rStyle w:val="FootnoteReference"/>
        </w:rPr>
        <w:footnoteRef/>
      </w:r>
      <w:r w:rsidRPr="007C7481">
        <w:t xml:space="preserve"> </w:t>
      </w:r>
      <w:r w:rsidRPr="007C7481">
        <w:rPr>
          <w:i/>
        </w:rPr>
        <w:t xml:space="preserve">2014 Power Waiver Order, </w:t>
      </w:r>
      <w:r w:rsidRPr="007C7481">
        <w:t xml:space="preserve">29 FCC </w:t>
      </w:r>
      <w:r w:rsidRPr="007C7481">
        <w:t>Rcd</w:t>
      </w:r>
      <w:r w:rsidRPr="007C7481">
        <w:t xml:space="preserve"> 2004. </w:t>
      </w:r>
    </w:p>
  </w:footnote>
  <w:footnote w:id="29">
    <w:p w:rsidR="00DD2787" w:rsidRPr="007C7481" w:rsidP="00DD2787" w14:paraId="0064F961" w14:textId="14C2FE66">
      <w:pPr>
        <w:pStyle w:val="FootnoteText"/>
      </w:pPr>
      <w:r w:rsidRPr="007C7481">
        <w:rPr>
          <w:rStyle w:val="FootnoteReference"/>
        </w:rPr>
        <w:footnoteRef/>
      </w:r>
      <w:r w:rsidRPr="007C7481">
        <w:rPr>
          <w:i/>
          <w:iCs/>
        </w:rPr>
        <w:t xml:space="preserve"> 2016 Order On Reconsideration</w:t>
      </w:r>
      <w:r w:rsidRPr="007C7481">
        <w:t xml:space="preserve">, 31 FCC </w:t>
      </w:r>
      <w:r w:rsidRPr="007C7481">
        <w:t>Rcd</w:t>
      </w:r>
      <w:r w:rsidRPr="007C7481">
        <w:t xml:space="preserve"> at 1446-47, paras. 32-34.</w:t>
      </w:r>
      <w:r w:rsidRPr="007C7481" w:rsidR="00B8286B">
        <w:t xml:space="preserve">  </w:t>
      </w:r>
    </w:p>
  </w:footnote>
  <w:footnote w:id="30">
    <w:p w:rsidR="00DD2787" w:rsidRPr="007C7481" w:rsidP="00DD2787" w14:paraId="3CBFB2C3" w14:textId="04AB7080">
      <w:pPr>
        <w:pStyle w:val="FootnoteText"/>
      </w:pPr>
      <w:r w:rsidRPr="007C7481">
        <w:rPr>
          <w:rStyle w:val="FootnoteReference"/>
        </w:rPr>
        <w:footnoteRef/>
      </w:r>
      <w:r w:rsidRPr="007C7481">
        <w:t xml:space="preserve"> </w:t>
      </w:r>
      <w:r w:rsidRPr="007C7481">
        <w:rPr>
          <w:i/>
          <w:iCs/>
        </w:rPr>
        <w:t xml:space="preserve">2016 Order of Modification, </w:t>
      </w:r>
      <w:r w:rsidRPr="007C7481">
        <w:t xml:space="preserve">31 FCC </w:t>
      </w:r>
      <w:r w:rsidRPr="007C7481">
        <w:t>Rcd</w:t>
      </w:r>
      <w:r w:rsidRPr="007C7481">
        <w:t xml:space="preserve"> </w:t>
      </w:r>
      <w:r w:rsidRPr="007C7481" w:rsidR="00CC78ED">
        <w:t xml:space="preserve">at 8865, </w:t>
      </w:r>
      <w:r w:rsidRPr="007C7481" w:rsidR="00A36DCF">
        <w:t xml:space="preserve">para 9 </w:t>
      </w:r>
      <w:r w:rsidRPr="007C7481" w:rsidR="004B0996">
        <w:t xml:space="preserve">(applying the relief </w:t>
      </w:r>
      <w:r w:rsidRPr="007C7481" w:rsidR="00A36DCF">
        <w:t xml:space="preserve">to MTA’s PTC operations in </w:t>
      </w:r>
      <w:r w:rsidRPr="007C7481" w:rsidR="004B0996">
        <w:t xml:space="preserve"> Dutchess County, New York (CMA151), Orange County, New York (CMA144), Fairfield County, Connecticut (CMA042), and New Haven County, Connecticut (CMA049)). </w:t>
      </w:r>
      <w:r w:rsidRPr="007C7481">
        <w:t xml:space="preserve">  </w:t>
      </w:r>
    </w:p>
  </w:footnote>
  <w:footnote w:id="31">
    <w:p w:rsidR="0096036F" w:rsidRPr="007C7481" w14:paraId="5CA68637" w14:textId="2D9363B7">
      <w:pPr>
        <w:pStyle w:val="FootnoteText"/>
      </w:pPr>
      <w:r w:rsidRPr="007C7481">
        <w:rPr>
          <w:rStyle w:val="FootnoteReference"/>
        </w:rPr>
        <w:footnoteRef/>
      </w:r>
      <w:r w:rsidRPr="007C7481">
        <w:t xml:space="preserve"> Modification Request at </w:t>
      </w:r>
      <w:r w:rsidRPr="007C7481" w:rsidR="00A36DCF">
        <w:t>14</w:t>
      </w:r>
      <w:r w:rsidRPr="007C7481">
        <w:t>.</w:t>
      </w:r>
    </w:p>
  </w:footnote>
  <w:footnote w:id="32">
    <w:p w:rsidR="0096036F" w:rsidRPr="007C7481" w14:paraId="1AFB2561" w14:textId="0C4DFD77">
      <w:pPr>
        <w:pStyle w:val="FootnoteText"/>
      </w:pPr>
      <w:r w:rsidRPr="007C7481">
        <w:rPr>
          <w:rStyle w:val="FootnoteReference"/>
        </w:rPr>
        <w:footnoteRef/>
      </w:r>
      <w:r w:rsidRPr="007C7481">
        <w:t xml:space="preserve"> </w:t>
      </w:r>
      <w:r w:rsidRPr="007C7481" w:rsidR="00F05E46">
        <w:rPr>
          <w:i/>
          <w:iCs/>
        </w:rPr>
        <w:t>Id</w:t>
      </w:r>
      <w:r w:rsidRPr="007C7481" w:rsidR="00CC78ED">
        <w:t>.</w:t>
      </w:r>
    </w:p>
  </w:footnote>
  <w:footnote w:id="33">
    <w:p w:rsidR="00C5235F" w:rsidRPr="007C7481" w:rsidP="00C5235F" w14:paraId="125A4BA4" w14:textId="25BEBCE6">
      <w:pPr>
        <w:pStyle w:val="FootnoteText"/>
      </w:pPr>
      <w:r w:rsidRPr="007C7481">
        <w:rPr>
          <w:rStyle w:val="FootnoteReference"/>
        </w:rPr>
        <w:footnoteRef/>
      </w:r>
      <w:r w:rsidRPr="007C7481">
        <w:t xml:space="preserve"> </w:t>
      </w:r>
      <w:r w:rsidRPr="007C7481" w:rsidR="00CC78ED">
        <w:t xml:space="preserve">47 CFR § 95.1911(b); </w:t>
      </w:r>
      <w:r w:rsidRPr="007C7481">
        <w:t xml:space="preserve">Modification Request at 14.  </w:t>
      </w:r>
    </w:p>
  </w:footnote>
  <w:footnote w:id="34">
    <w:p w:rsidR="007A12E2" w:rsidRPr="007C7481" w:rsidP="007A12E2" w14:paraId="567B3B34" w14:textId="12E8A78C">
      <w:pPr>
        <w:pStyle w:val="FootnoteText"/>
      </w:pPr>
      <w:r w:rsidRPr="007C7481">
        <w:rPr>
          <w:rStyle w:val="FootnoteReference"/>
        </w:rPr>
        <w:footnoteRef/>
      </w:r>
      <w:r w:rsidRPr="007C7481">
        <w:t xml:space="preserve"> 47 CFR § 95.1911(b).  </w:t>
      </w:r>
    </w:p>
  </w:footnote>
  <w:footnote w:id="35">
    <w:p w:rsidR="007A12E2" w:rsidRPr="007C7481" w:rsidP="007A12E2" w14:paraId="509B165A" w14:textId="77777777">
      <w:pPr>
        <w:pStyle w:val="FootnoteText"/>
      </w:pPr>
      <w:r w:rsidRPr="007C7481">
        <w:rPr>
          <w:rStyle w:val="FootnoteReference"/>
        </w:rPr>
        <w:footnoteRef/>
      </w:r>
      <w:r w:rsidRPr="007C7481">
        <w:t xml:space="preserve"> </w:t>
      </w:r>
      <w:r w:rsidRPr="007C7481">
        <w:rPr>
          <w:i/>
          <w:iCs/>
        </w:rPr>
        <w:t>Id</w:t>
      </w:r>
      <w:r w:rsidRPr="007C7481">
        <w:t xml:space="preserve">. § 95.1915(b).  </w:t>
      </w:r>
    </w:p>
  </w:footnote>
  <w:footnote w:id="36">
    <w:p w:rsidR="00DD2787" w:rsidRPr="007C7481" w:rsidP="00DD2787" w14:paraId="1A3655F1" w14:textId="77777777">
      <w:pPr>
        <w:pStyle w:val="FootnoteText"/>
      </w:pPr>
      <w:r w:rsidRPr="007C7481">
        <w:rPr>
          <w:rStyle w:val="FootnoteReference"/>
        </w:rPr>
        <w:footnoteRef/>
      </w:r>
      <w:r w:rsidRPr="007C7481">
        <w:t xml:space="preserve"> </w:t>
      </w:r>
      <w:r w:rsidRPr="007C7481">
        <w:rPr>
          <w:i/>
        </w:rPr>
        <w:t>See supra</w:t>
      </w:r>
      <w:r w:rsidRPr="007C7481">
        <w:t xml:space="preserve"> note 2.</w:t>
      </w:r>
    </w:p>
  </w:footnote>
  <w:footnote w:id="37">
    <w:p w:rsidR="00F349A3" w:rsidRPr="007C7481" w:rsidP="00F349A3" w14:paraId="1308A43E" w14:textId="5E513DDD">
      <w:pPr>
        <w:pStyle w:val="FootnoteText"/>
      </w:pPr>
      <w:r w:rsidRPr="007C7481">
        <w:rPr>
          <w:rStyle w:val="FootnoteReference"/>
        </w:rPr>
        <w:footnoteRef/>
      </w:r>
      <w:r w:rsidRPr="007C7481">
        <w:t xml:space="preserve"> 47 U.S.C. § 316(a)(1).</w:t>
      </w:r>
      <w:r w:rsidRPr="007C7481" w:rsidR="00851ECB">
        <w:t xml:space="preserve">  The Commission’s authority to modify licenses under section 316(a)(1) is well established.  The U.S. Court of Appeals for the District of Columbia Circuit has recognized the Commission’s “broad power to modify licenses” under section 316(a)(1), explaining that the Commission “need only find that the proposed modification serves the public interest, convenience and necessity.”</w:t>
      </w:r>
      <w:r w:rsidRPr="007C7481" w:rsidR="00FA6180">
        <w:t xml:space="preserve">  </w:t>
      </w:r>
      <w:r w:rsidRPr="007C7481" w:rsidR="00FA6180">
        <w:rPr>
          <w:i/>
        </w:rPr>
        <w:t xml:space="preserve">California Metro Mobile </w:t>
      </w:r>
      <w:r w:rsidRPr="007C7481" w:rsidR="00FA6180">
        <w:rPr>
          <w:bCs/>
          <w:i/>
        </w:rPr>
        <w:t>Communications</w:t>
      </w:r>
      <w:r w:rsidRPr="007C7481" w:rsidR="00FA6180">
        <w:rPr>
          <w:i/>
        </w:rPr>
        <w:t xml:space="preserve"> v. FCC, </w:t>
      </w:r>
      <w:r w:rsidRPr="007C7481" w:rsidR="00FA6180">
        <w:t xml:space="preserve">365 F.3d 38, 45 (D.C. Cir. 2004).  </w:t>
      </w:r>
      <w:r w:rsidRPr="007C7481" w:rsidR="00FA6180">
        <w:rPr>
          <w:i/>
          <w:iCs/>
        </w:rPr>
        <w:t>See also Establishing Rules and Policies for the Use of Spectrum for Mobile Satellite Services in the Upper and Lower L-Band</w:t>
      </w:r>
      <w:r w:rsidRPr="007C7481" w:rsidR="00FA6180">
        <w:t>,</w:t>
      </w:r>
      <w:r w:rsidRPr="007C7481" w:rsidR="00FA6180">
        <w:rPr>
          <w:i/>
        </w:rPr>
        <w:t xml:space="preserve"> </w:t>
      </w:r>
      <w:r w:rsidRPr="007C7481" w:rsidR="00FA6180">
        <w:rPr>
          <w:iCs/>
        </w:rPr>
        <w:t>Report and Order</w:t>
      </w:r>
      <w:r w:rsidRPr="007C7481" w:rsidR="00FA6180">
        <w:rPr>
          <w:i/>
        </w:rPr>
        <w:t xml:space="preserve">, </w:t>
      </w:r>
      <w:r w:rsidRPr="007C7481" w:rsidR="00FA6180">
        <w:t xml:space="preserve">IB Docket 96-132, 17 FCC </w:t>
      </w:r>
      <w:r w:rsidRPr="007C7481" w:rsidR="00FA6180">
        <w:t>Rcd</w:t>
      </w:r>
      <w:r w:rsidRPr="007C7481" w:rsidR="00FA6180">
        <w:t xml:space="preserve"> 2704, 2714, para. 25 (2002) (citing </w:t>
      </w:r>
      <w:r w:rsidRPr="007C7481" w:rsidR="00FA6180">
        <w:rPr>
          <w:i/>
          <w:iCs/>
        </w:rPr>
        <w:t>Rainbow Broadcasting Co. v. FCC</w:t>
      </w:r>
      <w:r w:rsidRPr="007C7481" w:rsidR="00FA6180">
        <w:t>, 949 F.2d 405 (D.C. Cir. 1991), noting the court’s finding that “the Commission is afforded significant latitude when it exercises its Section 316 authority”) (subsequent history omitted).</w:t>
      </w:r>
    </w:p>
  </w:footnote>
  <w:footnote w:id="38">
    <w:p w:rsidR="000C1E3A" w:rsidRPr="007C7481" w:rsidP="000C1E3A" w14:paraId="6E2AC331" w14:textId="1B968683">
      <w:pPr>
        <w:pStyle w:val="FootnoteText"/>
        <w:rPr>
          <w:b/>
          <w:bCs/>
        </w:rPr>
      </w:pPr>
      <w:r w:rsidRPr="007C7481">
        <w:rPr>
          <w:rStyle w:val="FootnoteReference"/>
        </w:rPr>
        <w:footnoteRef/>
      </w:r>
      <w:r w:rsidRPr="007C7481">
        <w:t xml:space="preserve"> </w:t>
      </w:r>
      <w:r w:rsidRPr="007C7481" w:rsidR="003D228E">
        <w:rPr>
          <w:i/>
          <w:iCs/>
        </w:rPr>
        <w:t>Proposed Order</w:t>
      </w:r>
      <w:r w:rsidRPr="007C7481" w:rsidR="003D228E">
        <w:t xml:space="preserve"> at </w:t>
      </w:r>
      <w:r w:rsidRPr="007C7481" w:rsidR="00F347C1">
        <w:t>*7</w:t>
      </w:r>
      <w:r w:rsidRPr="007C7481" w:rsidR="003D228E">
        <w:t xml:space="preserve">, para. 24.  The Bureau </w:t>
      </w:r>
      <w:r w:rsidRPr="007C7481" w:rsidR="00FA6180">
        <w:t>also found that the proposed modification of Station KIVD0002 is consistent with the Commission’s fundamental obligation to “</w:t>
      </w:r>
      <w:r w:rsidRPr="007C7481" w:rsidR="00FA6180">
        <w:t>promot</w:t>
      </w:r>
      <w:r w:rsidRPr="007C7481" w:rsidR="00FA6180">
        <w:t xml:space="preserve">[e] safety of life and property through the use of wire and radio communications . . . .” </w:t>
      </w:r>
      <w:r w:rsidRPr="007C7481" w:rsidR="00FA6180">
        <w:rPr>
          <w:b/>
          <w:bCs/>
        </w:rPr>
        <w:t xml:space="preserve"> </w:t>
      </w:r>
      <w:r w:rsidRPr="007C7481" w:rsidR="003D228E">
        <w:rPr>
          <w:i/>
          <w:iCs/>
        </w:rPr>
        <w:t>Id</w:t>
      </w:r>
      <w:r w:rsidRPr="007C7481" w:rsidR="003D228E">
        <w:t xml:space="preserve">. at </w:t>
      </w:r>
      <w:r w:rsidRPr="007C7481" w:rsidR="00F347C1">
        <w:t>*6, para. 19</w:t>
      </w:r>
      <w:r w:rsidRPr="007C7481" w:rsidR="00CD22A6">
        <w:t xml:space="preserve"> </w:t>
      </w:r>
      <w:r w:rsidRPr="007C7481" w:rsidR="00FA6180">
        <w:t>(citing 47 U.S.C. § 151).</w:t>
      </w:r>
    </w:p>
  </w:footnote>
  <w:footnote w:id="39">
    <w:p w:rsidR="00AA6992" w:rsidRPr="007C7481" w:rsidP="00AA6992" w14:paraId="3034B75C" w14:textId="3CE96073">
      <w:pPr>
        <w:pStyle w:val="FootnoteText"/>
      </w:pPr>
      <w:r w:rsidRPr="007C7481">
        <w:rPr>
          <w:rStyle w:val="FootnoteReference"/>
        </w:rPr>
        <w:footnoteRef/>
      </w:r>
      <w:r w:rsidRPr="007C7481">
        <w:t xml:space="preserve"> </w:t>
      </w:r>
      <w:r w:rsidRPr="007C7481">
        <w:rPr>
          <w:i/>
          <w:iCs/>
        </w:rPr>
        <w:t>See id.</w:t>
      </w:r>
      <w:r w:rsidRPr="007C7481">
        <w:t xml:space="preserve"> at *11, para. 42.</w:t>
      </w:r>
    </w:p>
  </w:footnote>
  <w:footnote w:id="40">
    <w:p w:rsidR="001B2E4B" w:rsidRPr="007C7481" w:rsidP="001B2E4B" w14:paraId="4CDAE72A" w14:textId="01694036">
      <w:pPr>
        <w:pStyle w:val="FootnoteText"/>
      </w:pPr>
      <w:r w:rsidRPr="007C7481">
        <w:rPr>
          <w:rStyle w:val="FootnoteReference"/>
        </w:rPr>
        <w:footnoteRef/>
      </w:r>
      <w:r w:rsidRPr="007C7481">
        <w:t xml:space="preserve"> </w:t>
      </w:r>
      <w:r w:rsidRPr="007C7481" w:rsidR="00B0513F">
        <w:rPr>
          <w:i/>
          <w:iCs/>
        </w:rPr>
        <w:t xml:space="preserve">See </w:t>
      </w:r>
      <w:r w:rsidRPr="007C7481">
        <w:t>Modification Request at 12 (noting that “[s]</w:t>
      </w:r>
      <w:r w:rsidRPr="007C7481">
        <w:t>ince</w:t>
      </w:r>
      <w:r w:rsidRPr="007C7481">
        <w:t xml:space="preserve"> 2010, the MTA has exhausted every reasonable possibility for obtaining needed PTC spectrum.”).</w:t>
      </w:r>
    </w:p>
  </w:footnote>
  <w:footnote w:id="41">
    <w:p w:rsidR="001B2E4B" w:rsidRPr="007C7481" w:rsidP="001B2E4B" w14:paraId="04E3139F" w14:textId="78B30AA1">
      <w:pPr>
        <w:pStyle w:val="FootnoteText"/>
      </w:pPr>
      <w:r w:rsidRPr="007C7481">
        <w:rPr>
          <w:rStyle w:val="FootnoteReference"/>
        </w:rPr>
        <w:footnoteRef/>
      </w:r>
      <w:r w:rsidRPr="007C7481" w:rsidR="00DC0190">
        <w:t xml:space="preserve"> </w:t>
      </w:r>
      <w:r w:rsidRPr="007C7481" w:rsidR="00DC0190">
        <w:rPr>
          <w:i/>
          <w:iCs/>
        </w:rPr>
        <w:t>Proposed Order</w:t>
      </w:r>
      <w:r w:rsidRPr="007C7481" w:rsidR="00DC0190">
        <w:t xml:space="preserve"> at</w:t>
      </w:r>
      <w:r w:rsidRPr="007C7481" w:rsidR="00694C80">
        <w:t xml:space="preserve"> </w:t>
      </w:r>
      <w:r w:rsidRPr="007C7481" w:rsidR="00F347C1">
        <w:t>*7</w:t>
      </w:r>
      <w:r w:rsidRPr="007C7481" w:rsidR="00DC0190">
        <w:t xml:space="preserve">, para. </w:t>
      </w:r>
      <w:r w:rsidRPr="007C7481" w:rsidR="00694C80">
        <w:t xml:space="preserve">24 </w:t>
      </w:r>
      <w:r w:rsidRPr="007C7481" w:rsidR="00DC0190">
        <w:t>(citing</w:t>
      </w:r>
      <w:r w:rsidRPr="007C7481" w:rsidR="00694C80">
        <w:t>, at n.73,</w:t>
      </w:r>
      <w:r w:rsidRPr="007C7481" w:rsidR="00DC0190">
        <w:t xml:space="preserve"> Letter from Joseph Giulietti, Commissioner, Connecticut Department of Transportation, to Ajit Pai, Chairman, FCC (filed Mar. 17, 2023), ULS File Nos. 0010144223, 0010144238 (included in “Letters of Support and Certification”) (Letters Attachment).  The CDOT Letter is dated December 20, 2019, and addressed to former FCC Chairman Pai; MTA filed the letter in support of a similar license modification request</w:t>
      </w:r>
      <w:r w:rsidRPr="007C7481" w:rsidR="002C6299">
        <w:t xml:space="preserve">, </w:t>
      </w:r>
      <w:r w:rsidRPr="007C7481" w:rsidR="00DC0190">
        <w:t>ULS File No. 0009012928.  MTA withdrew that request and refiled the CDOT Letter with the instant request.</w:t>
      </w:r>
    </w:p>
  </w:footnote>
  <w:footnote w:id="42">
    <w:p w:rsidR="003332E4" w:rsidRPr="007C7481" w:rsidP="001B2E4B" w14:paraId="09B10F55" w14:textId="63784166">
      <w:pPr>
        <w:pStyle w:val="FootnoteText"/>
      </w:pPr>
      <w:r w:rsidRPr="007C7481">
        <w:rPr>
          <w:rStyle w:val="FootnoteReference"/>
        </w:rPr>
        <w:footnoteRef/>
      </w:r>
      <w:r w:rsidRPr="007C7481">
        <w:t xml:space="preserve"> </w:t>
      </w:r>
      <w:r w:rsidRPr="007C7481">
        <w:rPr>
          <w:i/>
          <w:iCs/>
        </w:rPr>
        <w:t>Proposed Order</w:t>
      </w:r>
      <w:r w:rsidRPr="007C7481">
        <w:t xml:space="preserve"> at </w:t>
      </w:r>
      <w:r w:rsidRPr="007C7481" w:rsidR="00530E1C">
        <w:t>*7</w:t>
      </w:r>
      <w:r w:rsidRPr="007C7481">
        <w:t xml:space="preserve">, para. 24 (citing, at n.74, Letter from Susan </w:t>
      </w:r>
      <w:r w:rsidRPr="007C7481">
        <w:t>Sarch</w:t>
      </w:r>
      <w:r w:rsidRPr="007C7481">
        <w:t>, Vice President and General Counsel, Metro-North Railroad, to FCC (filed Mar. 17, 2023), ULS File Nos. 0010144223, 0010144238 (included in Letters Attachment).</w:t>
      </w:r>
    </w:p>
  </w:footnote>
  <w:footnote w:id="43">
    <w:p w:rsidR="00307467" w:rsidRPr="007C7481" w:rsidP="00307467" w14:paraId="7394FCFA" w14:textId="1771C84A">
      <w:pPr>
        <w:pStyle w:val="FootnoteText"/>
      </w:pPr>
      <w:r w:rsidRPr="007C7481">
        <w:rPr>
          <w:rStyle w:val="FootnoteReference"/>
        </w:rPr>
        <w:footnoteRef/>
      </w:r>
      <w:r w:rsidRPr="007C7481">
        <w:t xml:space="preserve"> </w:t>
      </w:r>
      <w:r w:rsidRPr="007C7481">
        <w:rPr>
          <w:i/>
          <w:iCs/>
        </w:rPr>
        <w:t>Proposed Order</w:t>
      </w:r>
      <w:r w:rsidRPr="007C7481">
        <w:t xml:space="preserve"> at </w:t>
      </w:r>
      <w:r w:rsidRPr="007C7481" w:rsidR="004951C7">
        <w:t>*7-8</w:t>
      </w:r>
      <w:r w:rsidRPr="007C7481">
        <w:t xml:space="preserve">, paras. 24, 26.  MTA has committed to leasing additional spectrum to NJ Transit if needed for PTC operations.  Modification Request at 13.  Importantly, MTA also states that the “modified spectrum requested by the MTA should serve to provide adequate spectral separation for [NJ Transit].”  </w:t>
      </w:r>
      <w:r w:rsidRPr="007C7481">
        <w:rPr>
          <w:i/>
          <w:iCs/>
        </w:rPr>
        <w:t>Id</w:t>
      </w:r>
      <w:r w:rsidRPr="007C7481">
        <w:t xml:space="preserve">. at 12-13.  </w:t>
      </w:r>
      <w:r w:rsidRPr="007C7481">
        <w:rPr>
          <w:i/>
          <w:iCs/>
        </w:rPr>
        <w:t>See also</w:t>
      </w:r>
      <w:r w:rsidRPr="007C7481">
        <w:t xml:space="preserve"> Letter from Frederick N. Chidester, Senior Director, PTC Coordination, NJ Transit, to FCC (filed Mar. 17, 2023), ULS File Nos. 0010144223, 0010144238 (included in Letters Attachment) (stating NJ Transit’s support for MTA’s Modification Request). </w:t>
      </w:r>
    </w:p>
  </w:footnote>
  <w:footnote w:id="44">
    <w:p w:rsidR="001B2E4B" w:rsidRPr="007C7481" w:rsidP="001B2E4B" w14:paraId="18560C74" w14:textId="0D81CDE4">
      <w:pPr>
        <w:pStyle w:val="FootnoteText"/>
      </w:pPr>
      <w:r w:rsidRPr="007C7481">
        <w:rPr>
          <w:rStyle w:val="FootnoteReference"/>
        </w:rPr>
        <w:footnoteRef/>
      </w:r>
      <w:r w:rsidRPr="007C7481">
        <w:t xml:space="preserve"> Based on the 2020 U.S. Census, the population includes, by county:  Essex, NJ, 863,728; Morris, NJ, 509,285; Passaic, NJ, 524,118; Somerset, NJ, 345,361; and Union, NJ, 575,345.  United States Census, QuickFacts,  </w:t>
      </w:r>
      <w:hyperlink r:id="rId3" w:history="1">
        <w:r w:rsidRPr="007C7481">
          <w:rPr>
            <w:rStyle w:val="Hyperlink"/>
          </w:rPr>
          <w:t>https://www.census.gov/quickfacts/fact/table/unioncountynewjersey,somersetcountynewjersey,passaiccountynewjersey,morriscountynewjersey,essexcountynewjersey/PST045222</w:t>
        </w:r>
      </w:hyperlink>
      <w:r w:rsidRPr="007C7481">
        <w:t xml:space="preserve"> (last visited </w:t>
      </w:r>
      <w:r w:rsidRPr="007C7481" w:rsidR="00A659FF">
        <w:t>Aug. 25</w:t>
      </w:r>
      <w:r w:rsidRPr="007C7481">
        <w:t>, 2023).</w:t>
      </w:r>
    </w:p>
  </w:footnote>
  <w:footnote w:id="45">
    <w:p w:rsidR="001B2E4B" w:rsidRPr="007C7481" w:rsidP="001B2E4B" w14:paraId="382880C1" w14:textId="7C2CE510">
      <w:pPr>
        <w:pStyle w:val="FootnoteText"/>
      </w:pPr>
      <w:r w:rsidRPr="007C7481">
        <w:rPr>
          <w:rStyle w:val="FootnoteReference"/>
        </w:rPr>
        <w:footnoteRef/>
      </w:r>
      <w:r w:rsidRPr="007C7481">
        <w:t xml:space="preserve"> Based on the 2020 U.S. Census, the population includes, by county:  Dutchess, NY, 295,911; Fairfield, CT, 957,419; New Haven, CT, 864,835; and Orange, NY, 401,310.  United States Census, QuickFacts,  </w:t>
      </w:r>
      <w:hyperlink r:id="rId4" w:history="1">
        <w:r w:rsidRPr="007C7481">
          <w:rPr>
            <w:rStyle w:val="Hyperlink"/>
          </w:rPr>
          <w:t>https://www.census.gov/quickfacts/fact/table/orangecountynewyork,newhavencountyconnecticut,fairfieldcountyconnecticut,dutchesscountynewyork,US/PST045222</w:t>
        </w:r>
      </w:hyperlink>
      <w:r w:rsidRPr="007C7481">
        <w:t xml:space="preserve"> (last visited </w:t>
      </w:r>
      <w:r w:rsidRPr="007C7481" w:rsidR="00A659FF">
        <w:t>Aug. 25</w:t>
      </w:r>
      <w:r w:rsidRPr="007C7481">
        <w:t>, 2023).</w:t>
      </w:r>
    </w:p>
  </w:footnote>
  <w:footnote w:id="46">
    <w:p w:rsidR="001B2E4B" w:rsidRPr="007C7481" w:rsidP="001B2E4B" w14:paraId="04E031F3" w14:textId="10E969D1">
      <w:pPr>
        <w:pStyle w:val="FootnoteText"/>
        <w:rPr>
          <w:b/>
          <w:bCs/>
        </w:rPr>
      </w:pPr>
      <w:r w:rsidRPr="007C7481">
        <w:rPr>
          <w:rStyle w:val="FootnoteReference"/>
        </w:rPr>
        <w:footnoteRef/>
      </w:r>
      <w:r w:rsidRPr="007C7481">
        <w:t xml:space="preserve"> 250 kilohertz x (2,817,837-2,519,475) = 74,590 MHz/pops.</w:t>
      </w:r>
    </w:p>
  </w:footnote>
  <w:footnote w:id="47">
    <w:p w:rsidR="005A46A5" w:rsidRPr="007C7481" w:rsidP="005A46A5" w14:paraId="1049F94E" w14:textId="031D7762">
      <w:pPr>
        <w:pStyle w:val="FootnoteText"/>
      </w:pPr>
      <w:r w:rsidRPr="007C7481">
        <w:rPr>
          <w:rStyle w:val="FootnoteReference"/>
        </w:rPr>
        <w:footnoteRef/>
      </w:r>
      <w:r w:rsidRPr="007C7481">
        <w:rPr>
          <w:b/>
          <w:bCs/>
        </w:rPr>
        <w:t xml:space="preserve"> </w:t>
      </w:r>
      <w:r w:rsidRPr="007C7481" w:rsidR="00C13EB9">
        <w:rPr>
          <w:i/>
          <w:iCs/>
        </w:rPr>
        <w:t>Proposed Order</w:t>
      </w:r>
      <w:r w:rsidRPr="007C7481" w:rsidR="00C13EB9">
        <w:t xml:space="preserve"> at </w:t>
      </w:r>
      <w:r w:rsidRPr="007C7481" w:rsidR="00167835">
        <w:t>*9</w:t>
      </w:r>
      <w:r w:rsidRPr="007C7481" w:rsidR="00C13EB9">
        <w:t>, para. 31 (noting also that “</w:t>
      </w:r>
      <w:r w:rsidRPr="007C7481">
        <w:t>Congress adopted the PTC mandate to save lives and property, and the higher power limits requested here will enable MTA to meet its obligation to deploy PTC.</w:t>
      </w:r>
      <w:r w:rsidRPr="007C7481" w:rsidR="00C13EB9">
        <w:t>”</w:t>
      </w:r>
      <w:r w:rsidRPr="007C7481">
        <w:t xml:space="preserve"> )</w:t>
      </w:r>
      <w:r w:rsidRPr="007C7481" w:rsidR="00C13EB9">
        <w:t>.</w:t>
      </w:r>
      <w:r w:rsidRPr="007C7481">
        <w:t xml:space="preserve"> </w:t>
      </w:r>
    </w:p>
  </w:footnote>
  <w:footnote w:id="48">
    <w:p w:rsidR="005A46A5" w:rsidRPr="007C7481" w:rsidP="005A46A5" w14:paraId="00EDEF5F" w14:textId="6695F877">
      <w:pPr>
        <w:pStyle w:val="FootnoteText"/>
      </w:pPr>
      <w:r w:rsidRPr="007C7481">
        <w:rPr>
          <w:rStyle w:val="FootnoteReference"/>
        </w:rPr>
        <w:footnoteRef/>
      </w:r>
      <w:r w:rsidRPr="007C7481">
        <w:t xml:space="preserve"> </w:t>
      </w:r>
      <w:r w:rsidRPr="007C7481" w:rsidR="006A5742">
        <w:rPr>
          <w:i/>
          <w:iCs/>
        </w:rPr>
        <w:t>Id</w:t>
      </w:r>
      <w:r w:rsidRPr="007C7481" w:rsidR="006A5742">
        <w:t>.</w:t>
      </w:r>
    </w:p>
  </w:footnote>
  <w:footnote w:id="49">
    <w:p w:rsidR="00AC51BA" w:rsidRPr="007C7481" w:rsidP="00AC51BA" w14:paraId="012AC284" w14:textId="20A26C63">
      <w:pPr>
        <w:pStyle w:val="FootnoteText"/>
      </w:pPr>
      <w:r w:rsidRPr="007C7481">
        <w:rPr>
          <w:rStyle w:val="FootnoteReference"/>
        </w:rPr>
        <w:footnoteRef/>
      </w:r>
      <w:r w:rsidRPr="007C7481">
        <w:t xml:space="preserve"> </w:t>
      </w:r>
      <w:r w:rsidRPr="007C7481" w:rsidR="006A5742">
        <w:rPr>
          <w:i/>
          <w:iCs/>
        </w:rPr>
        <w:t>Id</w:t>
      </w:r>
      <w:r w:rsidRPr="007C7481" w:rsidR="006A5742">
        <w:t>.</w:t>
      </w:r>
    </w:p>
  </w:footnote>
  <w:footnote w:id="50">
    <w:p w:rsidR="002A09C8" w:rsidRPr="007C7481" w:rsidP="002A09C8" w14:paraId="7CED49DE" w14:textId="77777777">
      <w:pPr>
        <w:pStyle w:val="FootnoteText"/>
      </w:pPr>
      <w:r w:rsidRPr="007C7481">
        <w:rPr>
          <w:rStyle w:val="FootnoteReference"/>
        </w:rPr>
        <w:footnoteRef/>
      </w:r>
      <w:r w:rsidRPr="007C7481">
        <w:t xml:space="preserve"> </w:t>
      </w:r>
      <w:r w:rsidRPr="007C7481">
        <w:rPr>
          <w:i/>
          <w:iCs/>
        </w:rPr>
        <w:t>See id.</w:t>
      </w:r>
      <w:r w:rsidRPr="007C7481">
        <w:t xml:space="preserve"> at *11, para. 42.</w:t>
      </w:r>
    </w:p>
  </w:footnote>
  <w:footnote w:id="51">
    <w:p w:rsidR="003C6386" w:rsidRPr="007C7481" w:rsidP="003C6386" w14:paraId="279D0B82" w14:textId="66BBA5F5">
      <w:pPr>
        <w:pStyle w:val="FootnoteText"/>
      </w:pPr>
      <w:r w:rsidRPr="007C7481">
        <w:rPr>
          <w:rStyle w:val="FootnoteReference"/>
        </w:rPr>
        <w:footnoteRef/>
      </w:r>
      <w:r w:rsidRPr="007C7481">
        <w:t xml:space="preserve"> </w:t>
      </w:r>
      <w:r w:rsidRPr="007C7481" w:rsidR="00C9301C">
        <w:rPr>
          <w:i/>
          <w:iCs/>
        </w:rPr>
        <w:t>Id.</w:t>
      </w:r>
      <w:r w:rsidRPr="007C7481">
        <w:rPr>
          <w:i/>
          <w:iCs/>
        </w:rPr>
        <w:t xml:space="preserve"> </w:t>
      </w:r>
      <w:r w:rsidRPr="007C7481">
        <w:t xml:space="preserve">at 13, para. 40.  </w:t>
      </w:r>
    </w:p>
  </w:footnote>
  <w:footnote w:id="52">
    <w:p w:rsidR="00175764" w:rsidRPr="007C7481" w:rsidP="00175764" w14:paraId="2A0749F5" w14:textId="12BC7AF5">
      <w:pPr>
        <w:pStyle w:val="FootnoteText"/>
      </w:pPr>
      <w:r w:rsidRPr="007C7481">
        <w:rPr>
          <w:rStyle w:val="FootnoteReference"/>
        </w:rPr>
        <w:footnoteRef/>
      </w:r>
      <w:r w:rsidRPr="007C7481">
        <w:rPr>
          <w:i/>
        </w:rPr>
        <w:t xml:space="preserve"> </w:t>
      </w:r>
      <w:r w:rsidRPr="007C7481" w:rsidR="00C9301C">
        <w:rPr>
          <w:i/>
          <w:iCs/>
        </w:rPr>
        <w:t>Id.</w:t>
      </w:r>
      <w:r w:rsidRPr="007C7481" w:rsidR="004655F1">
        <w:rPr>
          <w:i/>
        </w:rPr>
        <w:t xml:space="preserve"> </w:t>
      </w:r>
      <w:r w:rsidRPr="007C7481" w:rsidR="004655F1">
        <w:t xml:space="preserve">(citing, at n.103, the Commission’s finding in the </w:t>
      </w:r>
      <w:r w:rsidRPr="007C7481">
        <w:rPr>
          <w:i/>
        </w:rPr>
        <w:t>2014 Power Waiver Order</w:t>
      </w:r>
      <w:r w:rsidRPr="007C7481">
        <w:rPr>
          <w:iCs/>
        </w:rPr>
        <w:t xml:space="preserve">, </w:t>
      </w:r>
      <w:r w:rsidRPr="007C7481">
        <w:t xml:space="preserve">29 FCC </w:t>
      </w:r>
      <w:r w:rsidRPr="007C7481">
        <w:t>Rcd</w:t>
      </w:r>
      <w:r w:rsidRPr="007C7481">
        <w:t xml:space="preserve"> at 2008, para. 14</w:t>
      </w:r>
      <w:r w:rsidRPr="007C7481" w:rsidR="004655F1">
        <w:t>)</w:t>
      </w:r>
      <w:r w:rsidRPr="007C7481">
        <w:t>.</w:t>
      </w:r>
    </w:p>
  </w:footnote>
  <w:footnote w:id="53">
    <w:p w:rsidR="003C6386" w:rsidRPr="007C7481" w:rsidP="003C6386" w14:paraId="68CACA73" w14:textId="7400CCD2">
      <w:pPr>
        <w:pStyle w:val="FootnoteText"/>
      </w:pPr>
      <w:r w:rsidRPr="007C7481">
        <w:rPr>
          <w:rStyle w:val="FootnoteReference"/>
        </w:rPr>
        <w:footnoteRef/>
      </w:r>
      <w:r w:rsidRPr="007C7481">
        <w:t xml:space="preserve"> </w:t>
      </w:r>
      <w:r w:rsidRPr="007C7481" w:rsidR="00D733BA">
        <w:rPr>
          <w:i/>
          <w:iCs/>
        </w:rPr>
        <w:t>Id.</w:t>
      </w:r>
      <w:r w:rsidRPr="007C7481" w:rsidR="004655F1">
        <w:t xml:space="preserve"> (stating, at n.104, that MTA must otherwise comply with section 95.1915(b)’s requirement to file an appropriate application each time it adds, deletes, or modifies an individually licensed base station.</w:t>
      </w:r>
    </w:p>
  </w:footnote>
  <w:footnote w:id="54">
    <w:p w:rsidR="00653442" w:rsidRPr="007C7481" w:rsidP="00653442" w14:paraId="734D443B" w14:textId="6E6FC0D0">
      <w:pPr>
        <w:pStyle w:val="FootnoteText"/>
      </w:pPr>
      <w:r w:rsidRPr="007C7481">
        <w:rPr>
          <w:rStyle w:val="FootnoteReference"/>
        </w:rPr>
        <w:footnoteRef/>
      </w:r>
      <w:r w:rsidRPr="007C7481">
        <w:t xml:space="preserve"> 47 U.S.C. § 316(a)(1)</w:t>
      </w:r>
      <w:r w:rsidRPr="007C7481" w:rsidR="008C3E0B">
        <w:rPr>
          <w:lang w:val="en"/>
        </w:rPr>
        <w:t xml:space="preserve">.  </w:t>
      </w:r>
      <w:r w:rsidRPr="007C7481">
        <w:rPr>
          <w:i/>
        </w:rPr>
        <w:t>See also</w:t>
      </w:r>
      <w:r w:rsidRPr="007C7481">
        <w:t xml:space="preserve"> 47 CFR § 1.87(a) (implementing 47 U.S.C. § 316(a)(1)).</w:t>
      </w:r>
    </w:p>
  </w:footnote>
  <w:footnote w:id="55">
    <w:p w:rsidR="00B44AC8" w:rsidRPr="007C7481" w14:paraId="26D8DADE" w14:textId="5DBE79E4">
      <w:pPr>
        <w:pStyle w:val="FootnoteText"/>
      </w:pPr>
      <w:r w:rsidRPr="007C7481">
        <w:rPr>
          <w:rStyle w:val="FootnoteReference"/>
        </w:rPr>
        <w:footnoteRef/>
      </w:r>
      <w:r w:rsidRPr="007C7481">
        <w:t xml:space="preserve"> </w:t>
      </w:r>
      <w:r w:rsidRPr="007C7481" w:rsidR="00546F51">
        <w:rPr>
          <w:i/>
          <w:iCs/>
        </w:rPr>
        <w:t xml:space="preserve">Proposed Order </w:t>
      </w:r>
      <w:r w:rsidRPr="007C7481" w:rsidR="00546F51">
        <w:t xml:space="preserve">at </w:t>
      </w:r>
      <w:r w:rsidRPr="007C7481" w:rsidR="00995976">
        <w:t>*11</w:t>
      </w:r>
      <w:r w:rsidRPr="007C7481" w:rsidR="00546F51">
        <w:t>, para 41.</w:t>
      </w:r>
    </w:p>
  </w:footnote>
  <w:footnote w:id="56">
    <w:p w:rsidR="00851ECB" w:rsidRPr="007C7481" w:rsidP="00851ECB" w14:paraId="4E827379" w14:textId="77777777">
      <w:pPr>
        <w:pStyle w:val="FootnoteText"/>
      </w:pPr>
      <w:r w:rsidRPr="007C7481">
        <w:rPr>
          <w:rStyle w:val="FootnoteReference"/>
        </w:rPr>
        <w:footnoteRef/>
      </w:r>
      <w:r w:rsidRPr="007C7481">
        <w:t xml:space="preserve"> 47 U.S.C. § 316(a)(2).  </w:t>
      </w:r>
      <w:r w:rsidRPr="007C7481">
        <w:rPr>
          <w:i/>
        </w:rPr>
        <w:t>See also</w:t>
      </w:r>
      <w:r w:rsidRPr="007C7481">
        <w:t xml:space="preserve"> 47 CFR § 1.87(c) (implementing 47 U.S.C. § 316(a)(2)).</w:t>
      </w:r>
    </w:p>
  </w:footnote>
  <w:footnote w:id="57">
    <w:p w:rsidR="00431C30" w:rsidRPr="007C7481" w:rsidP="00431C30" w14:paraId="5173FF7A" w14:textId="0663B9AC">
      <w:pPr>
        <w:pStyle w:val="FootnoteText"/>
      </w:pPr>
      <w:r w:rsidRPr="007C7481">
        <w:rPr>
          <w:rStyle w:val="FootnoteReference"/>
        </w:rPr>
        <w:footnoteRef/>
      </w:r>
      <w:r w:rsidRPr="007C7481" w:rsidR="00030B90">
        <w:t>As t</w:t>
      </w:r>
      <w:r w:rsidRPr="007C7481">
        <w:t xml:space="preserve">he Bureau noted </w:t>
      </w:r>
      <w:r w:rsidRPr="007C7481" w:rsidR="00030B90">
        <w:t xml:space="preserve">in the Proposed Order, and </w:t>
      </w:r>
      <w:r w:rsidRPr="007C7481">
        <w:t xml:space="preserve">as the Commission determined in the </w:t>
      </w:r>
      <w:r w:rsidRPr="007C7481">
        <w:rPr>
          <w:i/>
          <w:iCs/>
        </w:rPr>
        <w:t>2016 Proposed Order of Modification</w:t>
      </w:r>
      <w:r w:rsidRPr="007C7481">
        <w:t xml:space="preserve">, </w:t>
      </w:r>
      <w:r w:rsidRPr="007C7481" w:rsidR="00030B90">
        <w:t xml:space="preserve">the Commission </w:t>
      </w:r>
      <w:r w:rsidRPr="007C7481">
        <w:t xml:space="preserve">is not required to accept mutually exclusive applications for these spectrum licenses.  </w:t>
      </w:r>
      <w:r w:rsidRPr="007C7481" w:rsidR="00030B90">
        <w:rPr>
          <w:i/>
          <w:iCs/>
        </w:rPr>
        <w:t xml:space="preserve">See </w:t>
      </w:r>
      <w:r w:rsidRPr="007C7481">
        <w:rPr>
          <w:i/>
          <w:iCs/>
        </w:rPr>
        <w:t>Proposed Order</w:t>
      </w:r>
      <w:r w:rsidRPr="007C7481">
        <w:t xml:space="preserve"> at *5, para. 17 (citing </w:t>
      </w:r>
      <w:r w:rsidRPr="007C7481">
        <w:rPr>
          <w:i/>
          <w:iCs/>
        </w:rPr>
        <w:t>2016 Proposed Order of Modification</w:t>
      </w:r>
      <w:r w:rsidRPr="007C7481">
        <w:t xml:space="preserve">, 31 FCC </w:t>
      </w:r>
      <w:r w:rsidRPr="007C7481">
        <w:t>Rcd</w:t>
      </w:r>
      <w:r w:rsidRPr="007C7481">
        <w:t xml:space="preserve"> at 1454, para 55).  </w:t>
      </w:r>
      <w:r w:rsidRPr="007C7481" w:rsidR="00030B90">
        <w:t xml:space="preserve">We find </w:t>
      </w:r>
      <w:r w:rsidRPr="007C7481">
        <w:t>in this case</w:t>
      </w:r>
      <w:r w:rsidRPr="007C7481" w:rsidR="00030B90">
        <w:t xml:space="preserve"> that</w:t>
      </w:r>
      <w:r w:rsidRPr="007C7481">
        <w:t>, “[u]</w:t>
      </w:r>
      <w:r w:rsidRPr="007C7481">
        <w:t>nder</w:t>
      </w:r>
      <w:r w:rsidRPr="007C7481">
        <w:t xml:space="preserve"> these exceptional circumstances and consistent with the Commission’s </w:t>
      </w:r>
      <w:r w:rsidRPr="007C7481">
        <w:rPr>
          <w:i/>
          <w:iCs/>
        </w:rPr>
        <w:t>2016 Proposed Order of Modification</w:t>
      </w:r>
      <w:r w:rsidRPr="007C7481">
        <w:t xml:space="preserve">, . . . the public interest is served by not permitting the filing of mutually exclusive applications for the limited spectrum at issue.”  </w:t>
      </w:r>
      <w:r w:rsidRPr="007C7481">
        <w:rPr>
          <w:i/>
          <w:iCs/>
        </w:rPr>
        <w:t>Id</w:t>
      </w:r>
      <w:r w:rsidRPr="007C7481">
        <w:t>.</w:t>
      </w:r>
      <w:r w:rsidRPr="007C7481" w:rsidR="004951C7">
        <w:t xml:space="preserve"> at *6, </w:t>
      </w:r>
      <w:r w:rsidRPr="007C7481">
        <w:t>para</w:t>
      </w:r>
      <w:r w:rsidRPr="007C7481" w:rsidR="004951C7">
        <w:t>.</w:t>
      </w:r>
      <w:r w:rsidRPr="007C7481">
        <w:t xml:space="preserve"> 18 (citing </w:t>
      </w:r>
      <w:r w:rsidRPr="007C7481">
        <w:rPr>
          <w:i/>
          <w:iCs/>
        </w:rPr>
        <w:t>2016 Proposed Order of Modification</w:t>
      </w:r>
      <w:r w:rsidRPr="007C7481">
        <w:t xml:space="preserve">, 31 FCC </w:t>
      </w:r>
      <w:r w:rsidRPr="007C7481">
        <w:t>Rcd</w:t>
      </w:r>
      <w:r w:rsidRPr="007C7481">
        <w:t xml:space="preserve"> at 1455, para. 56).</w:t>
      </w:r>
    </w:p>
  </w:footnote>
  <w:footnote w:id="58">
    <w:p w:rsidR="00AA6992" w:rsidRPr="007C7481" w:rsidP="00AA6992" w14:paraId="3C795B34" w14:textId="77777777">
      <w:pPr>
        <w:pStyle w:val="FootnoteText"/>
      </w:pPr>
      <w:r w:rsidRPr="007C7481">
        <w:rPr>
          <w:rStyle w:val="FootnoteReference"/>
        </w:rPr>
        <w:footnoteRef/>
      </w:r>
      <w:r w:rsidRPr="007C7481">
        <w:t xml:space="preserve"> </w:t>
      </w:r>
      <w:r w:rsidRPr="007C7481">
        <w:rPr>
          <w:i/>
          <w:iCs/>
        </w:rPr>
        <w:t>See id.</w:t>
      </w:r>
      <w:r w:rsidRPr="007C7481">
        <w:t>, para. 42.</w:t>
      </w:r>
    </w:p>
  </w:footnote>
  <w:footnote w:id="59">
    <w:p w:rsidR="00E96E50" w:rsidRPr="007C7481" w14:paraId="44984E97" w14:textId="1F68A3A0">
      <w:pPr>
        <w:pStyle w:val="FootnoteText"/>
      </w:pPr>
      <w:r w:rsidRPr="007C7481">
        <w:rPr>
          <w:rStyle w:val="FootnoteReference"/>
        </w:rPr>
        <w:footnoteRef/>
      </w:r>
      <w:r w:rsidRPr="007C7481">
        <w:t xml:space="preserve"> </w:t>
      </w:r>
      <w:r w:rsidRPr="007C7481" w:rsidR="002A5758">
        <w:rPr>
          <w:i/>
          <w:iCs/>
        </w:rPr>
        <w:t>See also infra</w:t>
      </w:r>
      <w:r w:rsidRPr="007C7481" w:rsidR="00371ED0">
        <w:rPr>
          <w:i/>
          <w:iCs/>
        </w:rPr>
        <w:t xml:space="preserve"> </w:t>
      </w:r>
      <w:r w:rsidRPr="007C7481" w:rsidR="002A5758">
        <w:t>para</w:t>
      </w:r>
      <w:r w:rsidR="007C7481">
        <w:t>.</w:t>
      </w:r>
      <w:r w:rsidRPr="007C7481" w:rsidR="002A5758">
        <w:t xml:space="preserve"> 2</w:t>
      </w:r>
      <w:r w:rsidRPr="007C7481" w:rsidR="001E6ADF">
        <w:t>6</w:t>
      </w:r>
      <w:r w:rsidR="007C7481">
        <w:t xml:space="preserve"> </w:t>
      </w:r>
      <w:r w:rsidRPr="007C7481" w:rsidR="007C7481">
        <w:t>(Ordering Clause)</w:t>
      </w:r>
      <w:r w:rsidRPr="007C7481" w:rsidR="002A5758">
        <w:t>,</w:t>
      </w:r>
      <w:r w:rsidRPr="007C7481" w:rsidR="002A5758">
        <w:rPr>
          <w:b/>
          <w:bCs/>
        </w:rPr>
        <w:t xml:space="preserve"> </w:t>
      </w:r>
      <w:r w:rsidRPr="007C7481" w:rsidR="002A5758">
        <w:t xml:space="preserve">directing MTA and NJ Transit to file in ULS, within five (5) business days of release of this Order, the requisite application to modify their existing </w:t>
      </w:r>
      <w:r w:rsidRPr="007C7481" w:rsidR="002A5758">
        <w:rPr>
          <w:i/>
          <w:iCs/>
        </w:rPr>
        <w:t>de facto</w:t>
      </w:r>
      <w:r w:rsidRPr="007C7481" w:rsidR="002A5758">
        <w:t xml:space="preserve"> transfer leasing arrangement.</w:t>
      </w:r>
    </w:p>
  </w:footnote>
  <w:footnote w:id="60">
    <w:p w:rsidR="00A31EC3" w:rsidRPr="007C7481" w:rsidP="00A31EC3" w14:paraId="5D3076EE" w14:textId="18988E86">
      <w:pPr>
        <w:pStyle w:val="FootnoteText"/>
      </w:pPr>
      <w:r w:rsidRPr="007C7481">
        <w:rPr>
          <w:rStyle w:val="FootnoteReference"/>
        </w:rPr>
        <w:footnoteRef/>
      </w:r>
      <w:r w:rsidRPr="007C7481">
        <w:t xml:space="preserve"> MTA’s non-waiver enabled PTC operations in the 218-219 MHz Band must comply with section 95.1957 of the Commission’s rules, as discussed in detail in the </w:t>
      </w:r>
      <w:r w:rsidRPr="007C7481">
        <w:rPr>
          <w:i/>
          <w:iCs/>
        </w:rPr>
        <w:t>Proposed Order of Modification</w:t>
      </w:r>
      <w:r w:rsidRPr="007C7481">
        <w:t>.</w:t>
      </w:r>
      <w:r w:rsidRPr="007C7481" w:rsidR="008E0C76">
        <w:t xml:space="preserve">  </w:t>
      </w:r>
      <w:r w:rsidRPr="007C7481" w:rsidR="008E0C76">
        <w:rPr>
          <w:i/>
          <w:iCs/>
        </w:rPr>
        <w:t xml:space="preserve">Proposed Order </w:t>
      </w:r>
      <w:r w:rsidRPr="007C7481" w:rsidR="008E0C76">
        <w:t xml:space="preserve">at </w:t>
      </w:r>
      <w:r w:rsidRPr="007C7481" w:rsidR="00995976">
        <w:t>*9</w:t>
      </w:r>
      <w:r w:rsidRPr="007C7481" w:rsidR="008E0C76">
        <w:t>, paras. 32-33.</w:t>
      </w:r>
      <w:r w:rsidRPr="007C7481">
        <w:t xml:space="preserve"> </w:t>
      </w:r>
    </w:p>
  </w:footnote>
  <w:footnote w:id="61">
    <w:p w:rsidR="008E0C76" w:rsidRPr="007C7481" w14:paraId="3CC7DE04" w14:textId="39C6EDFC">
      <w:pPr>
        <w:pStyle w:val="FootnoteText"/>
      </w:pPr>
      <w:r w:rsidRPr="007C7481">
        <w:rPr>
          <w:rStyle w:val="FootnoteReference"/>
        </w:rPr>
        <w:footnoteRef/>
      </w:r>
      <w:r w:rsidRPr="007C7481">
        <w:t xml:space="preserve"> </w:t>
      </w:r>
      <w:r w:rsidRPr="007C7481">
        <w:rPr>
          <w:i/>
          <w:iCs/>
        </w:rPr>
        <w:t xml:space="preserve">See </w:t>
      </w:r>
      <w:r w:rsidRPr="007C7481" w:rsidR="004825CC">
        <w:rPr>
          <w:i/>
          <w:iCs/>
        </w:rPr>
        <w:t>id.</w:t>
      </w:r>
      <w:r w:rsidRPr="007C7481">
        <w:rPr>
          <w:i/>
          <w:iCs/>
        </w:rPr>
        <w:t xml:space="preserve"> </w:t>
      </w:r>
      <w:r w:rsidRPr="007C7481">
        <w:t xml:space="preserve">at </w:t>
      </w:r>
      <w:r w:rsidRPr="007C7481" w:rsidR="00A315EE">
        <w:t>*9-10</w:t>
      </w:r>
      <w:r w:rsidRPr="007C7481">
        <w:t>, paras. 33-35.</w:t>
      </w:r>
    </w:p>
  </w:footnote>
  <w:footnote w:id="62">
    <w:p w:rsidR="008E0C76" w:rsidRPr="007C7481" w14:paraId="18CD0BC5" w14:textId="7DA247D3">
      <w:pPr>
        <w:pStyle w:val="FootnoteText"/>
      </w:pPr>
      <w:r w:rsidRPr="007C7481">
        <w:rPr>
          <w:rStyle w:val="FootnoteReference"/>
        </w:rPr>
        <w:footnoteRef/>
      </w:r>
      <w:r w:rsidRPr="007C7481">
        <w:t xml:space="preserve"> </w:t>
      </w:r>
      <w:r w:rsidRPr="007C7481">
        <w:rPr>
          <w:i/>
          <w:iCs/>
        </w:rPr>
        <w:t xml:space="preserve">See </w:t>
      </w:r>
      <w:r w:rsidRPr="007C7481" w:rsidR="00D733BA">
        <w:rPr>
          <w:i/>
          <w:iCs/>
        </w:rPr>
        <w:t>id.</w:t>
      </w:r>
      <w:r w:rsidRPr="007C7481">
        <w:rPr>
          <w:i/>
          <w:iCs/>
        </w:rPr>
        <w:t xml:space="preserve"> </w:t>
      </w:r>
      <w:r w:rsidRPr="007C7481">
        <w:t xml:space="preserve">at </w:t>
      </w:r>
      <w:r w:rsidRPr="007C7481" w:rsidR="00A315EE">
        <w:t>*10</w:t>
      </w:r>
      <w:r w:rsidRPr="007C7481">
        <w:t>, paras. 36-37.</w:t>
      </w:r>
    </w:p>
  </w:footnote>
  <w:footnote w:id="63">
    <w:p w:rsidR="00980302" w:rsidRPr="007C7481" w:rsidP="00980302" w14:paraId="01F4EBAD" w14:textId="06B71C35">
      <w:pPr>
        <w:pStyle w:val="ParaNum"/>
        <w:numPr>
          <w:ilvl w:val="0"/>
          <w:numId w:val="0"/>
        </w:numPr>
        <w:tabs>
          <w:tab w:val="left" w:pos="1440"/>
        </w:tabs>
        <w:rPr>
          <w:sz w:val="20"/>
        </w:rPr>
      </w:pPr>
      <w:r w:rsidRPr="007C7481">
        <w:rPr>
          <w:rStyle w:val="FootnoteReference"/>
        </w:rPr>
        <w:footnoteRef/>
      </w:r>
      <w:r w:rsidRPr="007C7481">
        <w:rPr>
          <w:sz w:val="20"/>
        </w:rPr>
        <w:t xml:space="preserve"> </w:t>
      </w:r>
      <w:r w:rsidRPr="007C7481" w:rsidR="00D733BA">
        <w:rPr>
          <w:i/>
          <w:iCs/>
          <w:sz w:val="20"/>
        </w:rPr>
        <w:t>Id.</w:t>
      </w:r>
      <w:r w:rsidRPr="007C7481" w:rsidR="006A40B1">
        <w:rPr>
          <w:sz w:val="20"/>
        </w:rPr>
        <w:t xml:space="preserve"> at </w:t>
      </w:r>
      <w:r w:rsidRPr="007C7481" w:rsidR="00AB2240">
        <w:rPr>
          <w:sz w:val="20"/>
        </w:rPr>
        <w:t>*9</w:t>
      </w:r>
      <w:r w:rsidRPr="007C7481" w:rsidR="006A40B1">
        <w:rPr>
          <w:sz w:val="20"/>
        </w:rPr>
        <w:t>, para. 30 (explaining that 47 CFR § 95.1957(b)(4)</w:t>
      </w:r>
      <w:r w:rsidRPr="007C7481">
        <w:rPr>
          <w:sz w:val="20"/>
        </w:rPr>
        <w:t xml:space="preserve"> requires 218-219 MHz Service licensees to attenuate their emissions by a least 43 plus 10 log (base 10) (mean power in watts) dB on any frequency removed from the midpoint of the assigned frequency segment by more than 1250 kHz</w:t>
      </w:r>
      <w:r w:rsidRPr="007C7481" w:rsidR="00906AED">
        <w:rPr>
          <w:sz w:val="20"/>
        </w:rPr>
        <w:t>, and that a</w:t>
      </w:r>
      <w:r w:rsidRPr="007C7481">
        <w:rPr>
          <w:sz w:val="20"/>
        </w:rPr>
        <w:t>dditional attenuation is unnecessary under section 90.1957(b)(4) because the amount of attenuation is directly related to the amount of power used</w:t>
      </w:r>
      <w:r w:rsidRPr="007C7481" w:rsidR="00906AED">
        <w:rPr>
          <w:sz w:val="20"/>
        </w:rPr>
        <w:t>)</w:t>
      </w:r>
      <w:r w:rsidRPr="007C7481">
        <w:rPr>
          <w:sz w:val="20"/>
        </w:rPr>
        <w:t>.</w:t>
      </w:r>
    </w:p>
  </w:footnote>
  <w:footnote w:id="64">
    <w:p w:rsidR="00531C7A" w:rsidRPr="007C7481" w:rsidP="00531C7A" w14:paraId="21333A2E" w14:textId="77777777">
      <w:pPr>
        <w:pStyle w:val="FootnoteText"/>
        <w:rPr>
          <w:i/>
        </w:rPr>
      </w:pPr>
      <w:r w:rsidRPr="007C7481">
        <w:rPr>
          <w:rStyle w:val="FootnoteReference"/>
        </w:rPr>
        <w:footnoteRef/>
      </w:r>
      <w:r w:rsidRPr="007C7481">
        <w:t xml:space="preserve"> 47 CFR § 95.1961(b) (providing that “[t]he use of any frequency segment (or portion thereof) at a given geographical location may be denied when, in the judgment of the Commission, its use in that location is not in the public interest; the use of a frequency segment (or portion thereof) specified for the 218–219 MHz Service system may be restricted as to specified geographical areas, maximum power, or other operating conditions”).  Staff has identified three out-of-band channel 13 digital TV stations (WKOB-LD, WGBY, and WHYY) whose protected service contours partially overlap MTA’s service area.  </w:t>
      </w:r>
    </w:p>
  </w:footnote>
  <w:footnote w:id="65">
    <w:p w:rsidR="00B65DF2" w:rsidRPr="007C7481" w:rsidP="00146A04" w14:paraId="0DDC4CD2" w14:textId="517F81BA">
      <w:pPr>
        <w:pStyle w:val="FootnoteText"/>
      </w:pPr>
      <w:r w:rsidRPr="007C7481">
        <w:rPr>
          <w:rStyle w:val="FootnoteReference"/>
        </w:rPr>
        <w:footnoteRef/>
      </w:r>
      <w:r w:rsidRPr="007C7481">
        <w:t xml:space="preserve"> 47 CFR § 95.1915(b).  </w:t>
      </w:r>
    </w:p>
  </w:footnote>
  <w:footnote w:id="66">
    <w:p w:rsidR="002817FD" w:rsidRPr="007C7481" w14:paraId="1558A4B3" w14:textId="39C1D0A8">
      <w:pPr>
        <w:pStyle w:val="FootnoteText"/>
      </w:pPr>
      <w:r w:rsidRPr="007C7481">
        <w:rPr>
          <w:rStyle w:val="FootnoteReference"/>
        </w:rPr>
        <w:footnoteRef/>
      </w:r>
      <w:r w:rsidRPr="007C7481">
        <w:t xml:space="preserve"> </w:t>
      </w:r>
      <w:r w:rsidRPr="007C7481" w:rsidR="00AB3023">
        <w:rPr>
          <w:i/>
          <w:iCs/>
        </w:rPr>
        <w:t>Proposed Order</w:t>
      </w:r>
      <w:r w:rsidRPr="007C7481" w:rsidR="00AB3023">
        <w:t xml:space="preserve"> at </w:t>
      </w:r>
      <w:r w:rsidRPr="007C7481" w:rsidR="00022C99">
        <w:t>*</w:t>
      </w:r>
      <w:r w:rsidRPr="007C7481" w:rsidR="00AB3023">
        <w:t>1</w:t>
      </w:r>
      <w:r w:rsidRPr="007C7481" w:rsidR="00022C99">
        <w:t>1</w:t>
      </w:r>
      <w:r w:rsidRPr="007C7481" w:rsidR="00AB3023">
        <w:t>, n.104.</w:t>
      </w:r>
    </w:p>
  </w:footnote>
  <w:footnote w:id="67">
    <w:p w:rsidR="00CB1185" w:rsidRPr="00E5118F" w:rsidP="00EC4314" w14:paraId="09D6C07F" w14:textId="14231CF3">
      <w:pPr>
        <w:pStyle w:val="FootnoteText"/>
      </w:pPr>
      <w:r w:rsidRPr="007C7481">
        <w:rPr>
          <w:rStyle w:val="FootnoteReference"/>
        </w:rPr>
        <w:footnoteRef/>
      </w:r>
      <w:r w:rsidRPr="007C7481" w:rsidR="00AB3023">
        <w:t xml:space="preserve"> </w:t>
      </w:r>
      <w:r w:rsidRPr="007C7481" w:rsidR="00AB3023">
        <w:rPr>
          <w:i/>
        </w:rPr>
        <w:t xml:space="preserve">See </w:t>
      </w:r>
      <w:r w:rsidRPr="007C7481" w:rsidR="00E5118F">
        <w:rPr>
          <w:i/>
          <w:iCs/>
        </w:rPr>
        <w:t xml:space="preserve">supra </w:t>
      </w:r>
      <w:r w:rsidRPr="007C7481" w:rsidR="00E5118F">
        <w:t>paras. 1</w:t>
      </w:r>
      <w:r w:rsidR="009A4D19">
        <w:t>3</w:t>
      </w:r>
      <w:r w:rsidRPr="007C7481" w:rsidR="00E5118F">
        <w:t xml:space="preserve"> and 16</w:t>
      </w:r>
      <w:r w:rsidRPr="007C7481" w:rsidR="00536A44">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E68" w:rsidP="00CA4CAC" w14:paraId="7DB3DD6A" w14:textId="3343FCF8">
    <w:pPr>
      <w:pStyle w:val="Header"/>
    </w:pPr>
    <w:r>
      <w:tab/>
      <w:t>Federal Communications Commission</w:t>
    </w:r>
    <w:r>
      <w:tab/>
    </w:r>
    <w:r w:rsidR="002C41A1">
      <w:t>DA</w:t>
    </w:r>
    <w:r>
      <w:t xml:space="preserve"> </w:t>
    </w:r>
    <w:r w:rsidR="002C41A1">
      <w:t>2</w:t>
    </w:r>
    <w:r w:rsidR="00AF6CF6">
      <w:t>3</w:t>
    </w:r>
    <w:r>
      <w:t>-</w:t>
    </w:r>
    <w:r w:rsidR="004C5A11">
      <w:t>951</w:t>
    </w:r>
  </w:p>
  <w:p w:rsidR="00BE5E68" w:rsidP="00CA4CAC" w14:paraId="784222B7" w14:textId="0858674A">
    <w:pPr>
      <w:pStyle w:val="Heade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22224</wp:posOffset>
              </wp:positionV>
              <wp:extent cx="5943600" cy="0"/>
              <wp:effectExtent l="0" t="0" r="0" b="0"/>
              <wp:wrapNone/>
              <wp:docPr id="2" name="Straight Connector 2"/>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2" o:spid="_x0000_s2049" style="mso-height-percent:0;mso-height-relative:page;mso-width-percent:0;mso-width-relative:page;mso-wrap-distance-bottom:0pt;mso-wrap-distance-left:9pt;mso-wrap-distance-right:9pt;mso-wrap-distance-top:0pt;mso-wrap-style:square;position:absolute;visibility:visible;z-index:251661312" from="0,1.75pt" to="468pt,1.75pt" o:allowincell="f" strokeweight="1.5pt"/>
          </w:pict>
        </mc:Fallback>
      </mc:AlternateContent>
    </w:r>
  </w:p>
  <w:p w:rsidR="00BE5E68" w:rsidP="00CA4CAC" w14:paraId="1C3AC663"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5E68" w:rsidP="00CA4CAC" w14:paraId="5069DF4C" w14:textId="3C8EDD7F">
    <w:pPr>
      <w:pStyle w:val="Header"/>
    </w:pPr>
    <w:r>
      <w:tab/>
      <w:t>Federal Communications Commission</w:t>
    </w:r>
    <w:r>
      <w:tab/>
    </w:r>
    <w:r w:rsidR="00587FEE">
      <w:t>DA</w:t>
    </w:r>
    <w:r>
      <w:t xml:space="preserve"> </w:t>
    </w:r>
    <w:r w:rsidR="00F34526">
      <w:t>2</w:t>
    </w:r>
    <w:r w:rsidR="00FB6660">
      <w:t>3</w:t>
    </w:r>
    <w:r>
      <w:t>-</w:t>
    </w:r>
    <w:r w:rsidR="004C5A11">
      <w:t>951</w:t>
    </w:r>
  </w:p>
  <w:p w:rsidR="00BE5E68" w:rsidP="00CA4CAC" w14:paraId="08A834C3" w14:textId="63A5137D">
    <w:pPr>
      <w:pStyle w:val="Header"/>
    </w:pPr>
    <w:r>
      <w:rPr>
        <w:noProof/>
      </w:rPr>
      <mc:AlternateContent>
        <mc:Choice Requires="wps">
          <w:drawing>
            <wp:anchor distT="0" distB="0" distL="114300" distR="114300" simplePos="0" relativeHeight="251658240" behindDoc="0" locked="0" layoutInCell="0" allowOverlap="1">
              <wp:simplePos x="0" y="0"/>
              <wp:positionH relativeFrom="column">
                <wp:posOffset>0</wp:posOffset>
              </wp:positionH>
              <wp:positionV relativeFrom="paragraph">
                <wp:posOffset>22224</wp:posOffset>
              </wp:positionV>
              <wp:extent cx="5943600" cy="0"/>
              <wp:effectExtent l="0" t="0" r="0" b="0"/>
              <wp:wrapNone/>
              <wp:docPr id="1" name="Straight Connector 1"/>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190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 o:spid="_x0000_s2050" style="mso-height-percent:0;mso-height-relative:page;mso-width-percent:0;mso-width-relative:page;mso-wrap-distance-bottom:0pt;mso-wrap-distance-left:9pt;mso-wrap-distance-right:9pt;mso-wrap-distance-top:0pt;mso-wrap-style:square;position:absolute;visibility:visible;z-index:251659264" from="0,1.75pt" to="468pt,1.75pt" o:allowincell="f"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6023D0F"/>
    <w:multiLevelType w:val="hybridMultilevel"/>
    <w:tmpl w:val="6834EAEA"/>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33D5C48"/>
    <w:multiLevelType w:val="hybridMultilevel"/>
    <w:tmpl w:val="0D18C83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6">
    <w:nsid w:val="3D0F1B3D"/>
    <w:multiLevelType w:val="singleLevel"/>
    <w:tmpl w:val="44A8603A"/>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7">
    <w:nsid w:val="490E6A9E"/>
    <w:multiLevelType w:val="hybridMultilevel"/>
    <w:tmpl w:val="F79CC1BE"/>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7A60B83"/>
    <w:multiLevelType w:val="hybridMultilevel"/>
    <w:tmpl w:val="B35ECD82"/>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1">
    <w:nsid w:val="7EB65E4B"/>
    <w:multiLevelType w:val="singleLevel"/>
    <w:tmpl w:val="44A8603A"/>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num w:numId="1">
    <w:abstractNumId w:val="6"/>
  </w:num>
  <w:num w:numId="2">
    <w:abstractNumId w:val="7"/>
  </w:num>
  <w:num w:numId="3">
    <w:abstractNumId w:val="5"/>
  </w:num>
  <w:num w:numId="4">
    <w:abstractNumId w:val="11"/>
  </w:num>
  <w:num w:numId="5">
    <w:abstractNumId w:val="4"/>
  </w:num>
  <w:num w:numId="6">
    <w:abstractNumId w:val="9"/>
  </w:num>
  <w:num w:numId="7">
    <w:abstractNumId w:val="2"/>
  </w:num>
  <w:num w:numId="8">
    <w:abstractNumId w:val="8"/>
  </w:num>
  <w:num w:numId="9">
    <w:abstractNumId w:val="3"/>
  </w:num>
  <w:num w:numId="10">
    <w:abstractNumId w:val="1"/>
  </w:num>
  <w:num w:numId="11">
    <w:abstractNumId w:val="9"/>
  </w:num>
  <w:num w:numId="12">
    <w:abstractNumId w:val="4"/>
  </w:num>
  <w:num w:numId="13">
    <w:abstractNumId w:val="4"/>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0"/>
  </w:num>
  <w:num w:numId="26">
    <w:abstractNumId w:val="10"/>
  </w:num>
  <w:num w:numId="27">
    <w:abstractNumId w:val="9"/>
  </w:num>
  <w:num w:numId="28">
    <w:abstractNumId w:val="9"/>
  </w:num>
  <w:num w:numId="29">
    <w:abstractNumId w:val="9"/>
  </w:num>
  <w:num w:numId="30">
    <w:abstractNumId w:val="9"/>
  </w:num>
  <w:num w:numId="31">
    <w:abstractNumId w:val="9"/>
  </w:num>
  <w:num w:numId="3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DateAndTime/>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47A"/>
    <w:rsid w:val="00000C86"/>
    <w:rsid w:val="00000E0E"/>
    <w:rsid w:val="0000117C"/>
    <w:rsid w:val="00001869"/>
    <w:rsid w:val="00002076"/>
    <w:rsid w:val="000021E0"/>
    <w:rsid w:val="000028D0"/>
    <w:rsid w:val="00003F4F"/>
    <w:rsid w:val="00004F33"/>
    <w:rsid w:val="00006083"/>
    <w:rsid w:val="00007611"/>
    <w:rsid w:val="00010F49"/>
    <w:rsid w:val="00011334"/>
    <w:rsid w:val="00012305"/>
    <w:rsid w:val="00012406"/>
    <w:rsid w:val="0001322F"/>
    <w:rsid w:val="0001427B"/>
    <w:rsid w:val="000152FA"/>
    <w:rsid w:val="00015677"/>
    <w:rsid w:val="00016DA7"/>
    <w:rsid w:val="00017E81"/>
    <w:rsid w:val="00017FD8"/>
    <w:rsid w:val="00021533"/>
    <w:rsid w:val="00021F22"/>
    <w:rsid w:val="00022C99"/>
    <w:rsid w:val="000235F5"/>
    <w:rsid w:val="00030284"/>
    <w:rsid w:val="00030B90"/>
    <w:rsid w:val="00032E96"/>
    <w:rsid w:val="00034B85"/>
    <w:rsid w:val="00037ABA"/>
    <w:rsid w:val="00041F66"/>
    <w:rsid w:val="0004258A"/>
    <w:rsid w:val="00043248"/>
    <w:rsid w:val="00045000"/>
    <w:rsid w:val="0004568C"/>
    <w:rsid w:val="00045966"/>
    <w:rsid w:val="000510FD"/>
    <w:rsid w:val="00051FDB"/>
    <w:rsid w:val="00052792"/>
    <w:rsid w:val="000549A2"/>
    <w:rsid w:val="00055930"/>
    <w:rsid w:val="000566BE"/>
    <w:rsid w:val="0005742F"/>
    <w:rsid w:val="0006014A"/>
    <w:rsid w:val="00060190"/>
    <w:rsid w:val="00063E30"/>
    <w:rsid w:val="00064738"/>
    <w:rsid w:val="00064BBC"/>
    <w:rsid w:val="000670E8"/>
    <w:rsid w:val="00070068"/>
    <w:rsid w:val="0007012D"/>
    <w:rsid w:val="00070CBA"/>
    <w:rsid w:val="00072A8A"/>
    <w:rsid w:val="0007439B"/>
    <w:rsid w:val="00074457"/>
    <w:rsid w:val="00076DBA"/>
    <w:rsid w:val="000773DA"/>
    <w:rsid w:val="0007751E"/>
    <w:rsid w:val="00081EEB"/>
    <w:rsid w:val="000827B6"/>
    <w:rsid w:val="00084D7C"/>
    <w:rsid w:val="00084EC3"/>
    <w:rsid w:val="00086CD8"/>
    <w:rsid w:val="00092B12"/>
    <w:rsid w:val="00093205"/>
    <w:rsid w:val="0009379F"/>
    <w:rsid w:val="00094A2A"/>
    <w:rsid w:val="0009601B"/>
    <w:rsid w:val="000966DE"/>
    <w:rsid w:val="00096B11"/>
    <w:rsid w:val="00096C8C"/>
    <w:rsid w:val="000A0156"/>
    <w:rsid w:val="000A2940"/>
    <w:rsid w:val="000A4649"/>
    <w:rsid w:val="000B0B54"/>
    <w:rsid w:val="000B1C98"/>
    <w:rsid w:val="000B2532"/>
    <w:rsid w:val="000B5BF5"/>
    <w:rsid w:val="000B5E61"/>
    <w:rsid w:val="000C1176"/>
    <w:rsid w:val="000C1E3A"/>
    <w:rsid w:val="000C5D02"/>
    <w:rsid w:val="000D26AD"/>
    <w:rsid w:val="000D2F9F"/>
    <w:rsid w:val="000D377F"/>
    <w:rsid w:val="000D3C31"/>
    <w:rsid w:val="000D4949"/>
    <w:rsid w:val="000D7FA5"/>
    <w:rsid w:val="000E01D4"/>
    <w:rsid w:val="000E0829"/>
    <w:rsid w:val="000E08D6"/>
    <w:rsid w:val="000E0B91"/>
    <w:rsid w:val="000E26A5"/>
    <w:rsid w:val="000E2BA9"/>
    <w:rsid w:val="000E3118"/>
    <w:rsid w:val="000E755B"/>
    <w:rsid w:val="000E761E"/>
    <w:rsid w:val="000E7787"/>
    <w:rsid w:val="000F3BCF"/>
    <w:rsid w:val="000F5000"/>
    <w:rsid w:val="000F7168"/>
    <w:rsid w:val="00100423"/>
    <w:rsid w:val="00101452"/>
    <w:rsid w:val="00102196"/>
    <w:rsid w:val="00105792"/>
    <w:rsid w:val="00106A64"/>
    <w:rsid w:val="001114D9"/>
    <w:rsid w:val="0011154E"/>
    <w:rsid w:val="00111968"/>
    <w:rsid w:val="00112967"/>
    <w:rsid w:val="00112B7A"/>
    <w:rsid w:val="0011476D"/>
    <w:rsid w:val="00114E07"/>
    <w:rsid w:val="001156DC"/>
    <w:rsid w:val="00121DE6"/>
    <w:rsid w:val="00122908"/>
    <w:rsid w:val="00125D1F"/>
    <w:rsid w:val="00125FB9"/>
    <w:rsid w:val="00127E94"/>
    <w:rsid w:val="00130BCF"/>
    <w:rsid w:val="0013438D"/>
    <w:rsid w:val="001362DD"/>
    <w:rsid w:val="00137675"/>
    <w:rsid w:val="001403E0"/>
    <w:rsid w:val="00140CC1"/>
    <w:rsid w:val="001424CA"/>
    <w:rsid w:val="001437D2"/>
    <w:rsid w:val="00145A3C"/>
    <w:rsid w:val="00145C32"/>
    <w:rsid w:val="001468E6"/>
    <w:rsid w:val="00146A04"/>
    <w:rsid w:val="001508D3"/>
    <w:rsid w:val="001555A2"/>
    <w:rsid w:val="00157897"/>
    <w:rsid w:val="00160570"/>
    <w:rsid w:val="001626D4"/>
    <w:rsid w:val="00164DB1"/>
    <w:rsid w:val="001666C4"/>
    <w:rsid w:val="00166A52"/>
    <w:rsid w:val="00167835"/>
    <w:rsid w:val="00172622"/>
    <w:rsid w:val="0017263C"/>
    <w:rsid w:val="00173432"/>
    <w:rsid w:val="00175764"/>
    <w:rsid w:val="001801C5"/>
    <w:rsid w:val="001830C8"/>
    <w:rsid w:val="00185A89"/>
    <w:rsid w:val="0019082C"/>
    <w:rsid w:val="0019209E"/>
    <w:rsid w:val="00192D89"/>
    <w:rsid w:val="001937DA"/>
    <w:rsid w:val="00195DD2"/>
    <w:rsid w:val="0019789F"/>
    <w:rsid w:val="001A04B8"/>
    <w:rsid w:val="001A079F"/>
    <w:rsid w:val="001A24F6"/>
    <w:rsid w:val="001A31C0"/>
    <w:rsid w:val="001A6577"/>
    <w:rsid w:val="001A738F"/>
    <w:rsid w:val="001B0E58"/>
    <w:rsid w:val="001B2020"/>
    <w:rsid w:val="001B2E4B"/>
    <w:rsid w:val="001B6DAB"/>
    <w:rsid w:val="001B6F09"/>
    <w:rsid w:val="001B7CD9"/>
    <w:rsid w:val="001C09A8"/>
    <w:rsid w:val="001C09BD"/>
    <w:rsid w:val="001C28EF"/>
    <w:rsid w:val="001C33D4"/>
    <w:rsid w:val="001C3ABB"/>
    <w:rsid w:val="001C5455"/>
    <w:rsid w:val="001C54AD"/>
    <w:rsid w:val="001C6781"/>
    <w:rsid w:val="001D10DF"/>
    <w:rsid w:val="001D371D"/>
    <w:rsid w:val="001D4622"/>
    <w:rsid w:val="001D5D14"/>
    <w:rsid w:val="001D681E"/>
    <w:rsid w:val="001E19F0"/>
    <w:rsid w:val="001E5294"/>
    <w:rsid w:val="001E61B5"/>
    <w:rsid w:val="001E6ADF"/>
    <w:rsid w:val="001F1326"/>
    <w:rsid w:val="001F28A1"/>
    <w:rsid w:val="001F3332"/>
    <w:rsid w:val="001F4954"/>
    <w:rsid w:val="001F4A01"/>
    <w:rsid w:val="00200370"/>
    <w:rsid w:val="00201960"/>
    <w:rsid w:val="002065E0"/>
    <w:rsid w:val="002071B2"/>
    <w:rsid w:val="00210885"/>
    <w:rsid w:val="002135C7"/>
    <w:rsid w:val="00213797"/>
    <w:rsid w:val="00213927"/>
    <w:rsid w:val="002143E5"/>
    <w:rsid w:val="00214BE2"/>
    <w:rsid w:val="0021607E"/>
    <w:rsid w:val="002163F3"/>
    <w:rsid w:val="00225FFC"/>
    <w:rsid w:val="002264C1"/>
    <w:rsid w:val="00226579"/>
    <w:rsid w:val="002307A1"/>
    <w:rsid w:val="00231A29"/>
    <w:rsid w:val="002348B4"/>
    <w:rsid w:val="00236CAB"/>
    <w:rsid w:val="00240A99"/>
    <w:rsid w:val="002415EA"/>
    <w:rsid w:val="00242A87"/>
    <w:rsid w:val="00252707"/>
    <w:rsid w:val="002529A9"/>
    <w:rsid w:val="00252F2F"/>
    <w:rsid w:val="00253104"/>
    <w:rsid w:val="00253CAB"/>
    <w:rsid w:val="0025401A"/>
    <w:rsid w:val="002566E7"/>
    <w:rsid w:val="00257E5A"/>
    <w:rsid w:val="00260714"/>
    <w:rsid w:val="00260FFC"/>
    <w:rsid w:val="0026311A"/>
    <w:rsid w:val="002659BC"/>
    <w:rsid w:val="0026638A"/>
    <w:rsid w:val="0026720E"/>
    <w:rsid w:val="00267C9D"/>
    <w:rsid w:val="00267CB2"/>
    <w:rsid w:val="0027227F"/>
    <w:rsid w:val="00274543"/>
    <w:rsid w:val="00274C0E"/>
    <w:rsid w:val="00276DDB"/>
    <w:rsid w:val="002773E2"/>
    <w:rsid w:val="00280348"/>
    <w:rsid w:val="002817FD"/>
    <w:rsid w:val="00282081"/>
    <w:rsid w:val="00284F3F"/>
    <w:rsid w:val="00286E8E"/>
    <w:rsid w:val="00287597"/>
    <w:rsid w:val="00287A4E"/>
    <w:rsid w:val="002936D7"/>
    <w:rsid w:val="00293C8A"/>
    <w:rsid w:val="002946BF"/>
    <w:rsid w:val="00297081"/>
    <w:rsid w:val="00297C5E"/>
    <w:rsid w:val="002A09C8"/>
    <w:rsid w:val="002A2C14"/>
    <w:rsid w:val="002A4EE0"/>
    <w:rsid w:val="002A5758"/>
    <w:rsid w:val="002A63EE"/>
    <w:rsid w:val="002A678A"/>
    <w:rsid w:val="002B5E43"/>
    <w:rsid w:val="002B7EB6"/>
    <w:rsid w:val="002C0537"/>
    <w:rsid w:val="002C41A1"/>
    <w:rsid w:val="002C4AF0"/>
    <w:rsid w:val="002C4E02"/>
    <w:rsid w:val="002C505D"/>
    <w:rsid w:val="002C6299"/>
    <w:rsid w:val="002D046F"/>
    <w:rsid w:val="002D0C68"/>
    <w:rsid w:val="002D47E1"/>
    <w:rsid w:val="002D553A"/>
    <w:rsid w:val="002D68FE"/>
    <w:rsid w:val="002D701F"/>
    <w:rsid w:val="002D798A"/>
    <w:rsid w:val="002E0A13"/>
    <w:rsid w:val="002E0F19"/>
    <w:rsid w:val="002E1949"/>
    <w:rsid w:val="002E1D73"/>
    <w:rsid w:val="002E2C2B"/>
    <w:rsid w:val="002E3406"/>
    <w:rsid w:val="002E3E63"/>
    <w:rsid w:val="002E6E64"/>
    <w:rsid w:val="002E7D4F"/>
    <w:rsid w:val="002F0934"/>
    <w:rsid w:val="002F47DA"/>
    <w:rsid w:val="002F6883"/>
    <w:rsid w:val="00301434"/>
    <w:rsid w:val="003020B7"/>
    <w:rsid w:val="00304450"/>
    <w:rsid w:val="0030475D"/>
    <w:rsid w:val="00304877"/>
    <w:rsid w:val="00304A27"/>
    <w:rsid w:val="00305AC2"/>
    <w:rsid w:val="00307467"/>
    <w:rsid w:val="0031110F"/>
    <w:rsid w:val="00311156"/>
    <w:rsid w:val="00311C34"/>
    <w:rsid w:val="003145A6"/>
    <w:rsid w:val="00316FD1"/>
    <w:rsid w:val="0032024B"/>
    <w:rsid w:val="0032306A"/>
    <w:rsid w:val="00323165"/>
    <w:rsid w:val="00323F7F"/>
    <w:rsid w:val="00324BE2"/>
    <w:rsid w:val="00325191"/>
    <w:rsid w:val="003255D5"/>
    <w:rsid w:val="0032602E"/>
    <w:rsid w:val="00327EDB"/>
    <w:rsid w:val="00330215"/>
    <w:rsid w:val="00330E42"/>
    <w:rsid w:val="00333006"/>
    <w:rsid w:val="003332E4"/>
    <w:rsid w:val="0033456E"/>
    <w:rsid w:val="0033512E"/>
    <w:rsid w:val="0033532B"/>
    <w:rsid w:val="00337B08"/>
    <w:rsid w:val="003402E8"/>
    <w:rsid w:val="00340D22"/>
    <w:rsid w:val="00341C29"/>
    <w:rsid w:val="0034338C"/>
    <w:rsid w:val="00347BFB"/>
    <w:rsid w:val="00351230"/>
    <w:rsid w:val="0035172C"/>
    <w:rsid w:val="0035332B"/>
    <w:rsid w:val="00354E1B"/>
    <w:rsid w:val="00355314"/>
    <w:rsid w:val="00356091"/>
    <w:rsid w:val="00356DF2"/>
    <w:rsid w:val="00360169"/>
    <w:rsid w:val="003606A0"/>
    <w:rsid w:val="00365228"/>
    <w:rsid w:val="00366688"/>
    <w:rsid w:val="003709D4"/>
    <w:rsid w:val="00370BB1"/>
    <w:rsid w:val="00371ED0"/>
    <w:rsid w:val="0037382D"/>
    <w:rsid w:val="00375B21"/>
    <w:rsid w:val="003764B3"/>
    <w:rsid w:val="00376C28"/>
    <w:rsid w:val="00380037"/>
    <w:rsid w:val="00380A93"/>
    <w:rsid w:val="003810C6"/>
    <w:rsid w:val="00381FA3"/>
    <w:rsid w:val="00382004"/>
    <w:rsid w:val="00382349"/>
    <w:rsid w:val="00382DB4"/>
    <w:rsid w:val="00383D4C"/>
    <w:rsid w:val="00384BB8"/>
    <w:rsid w:val="003862E1"/>
    <w:rsid w:val="00386EA8"/>
    <w:rsid w:val="00387B07"/>
    <w:rsid w:val="003927B0"/>
    <w:rsid w:val="00392EBE"/>
    <w:rsid w:val="003A06C6"/>
    <w:rsid w:val="003A203E"/>
    <w:rsid w:val="003A20BA"/>
    <w:rsid w:val="003A2315"/>
    <w:rsid w:val="003A45A6"/>
    <w:rsid w:val="003A51D6"/>
    <w:rsid w:val="003A6070"/>
    <w:rsid w:val="003B0588"/>
    <w:rsid w:val="003B0D59"/>
    <w:rsid w:val="003B1781"/>
    <w:rsid w:val="003B1AF0"/>
    <w:rsid w:val="003B25F7"/>
    <w:rsid w:val="003B5905"/>
    <w:rsid w:val="003B595C"/>
    <w:rsid w:val="003B5C63"/>
    <w:rsid w:val="003B709D"/>
    <w:rsid w:val="003B72FC"/>
    <w:rsid w:val="003C1B5C"/>
    <w:rsid w:val="003C1F72"/>
    <w:rsid w:val="003C1FFA"/>
    <w:rsid w:val="003C25BC"/>
    <w:rsid w:val="003C2770"/>
    <w:rsid w:val="003C293B"/>
    <w:rsid w:val="003C3170"/>
    <w:rsid w:val="003C3985"/>
    <w:rsid w:val="003C4985"/>
    <w:rsid w:val="003C6386"/>
    <w:rsid w:val="003C6A26"/>
    <w:rsid w:val="003C77FA"/>
    <w:rsid w:val="003D05DC"/>
    <w:rsid w:val="003D08C2"/>
    <w:rsid w:val="003D0F58"/>
    <w:rsid w:val="003D228E"/>
    <w:rsid w:val="003D279D"/>
    <w:rsid w:val="003D301D"/>
    <w:rsid w:val="003D33F8"/>
    <w:rsid w:val="003D5731"/>
    <w:rsid w:val="003E0ADE"/>
    <w:rsid w:val="003E1307"/>
    <w:rsid w:val="003E1500"/>
    <w:rsid w:val="003E19AD"/>
    <w:rsid w:val="003E1C8D"/>
    <w:rsid w:val="003E2C9A"/>
    <w:rsid w:val="003E6A14"/>
    <w:rsid w:val="003E6ADA"/>
    <w:rsid w:val="003E73EB"/>
    <w:rsid w:val="003F2015"/>
    <w:rsid w:val="003F2C63"/>
    <w:rsid w:val="003F388D"/>
    <w:rsid w:val="003F4386"/>
    <w:rsid w:val="003F5F81"/>
    <w:rsid w:val="003F68FE"/>
    <w:rsid w:val="003F6978"/>
    <w:rsid w:val="004006A4"/>
    <w:rsid w:val="004010F7"/>
    <w:rsid w:val="00403E9E"/>
    <w:rsid w:val="00406A95"/>
    <w:rsid w:val="00411D66"/>
    <w:rsid w:val="00411D7B"/>
    <w:rsid w:val="00415D04"/>
    <w:rsid w:val="0041628A"/>
    <w:rsid w:val="004176EC"/>
    <w:rsid w:val="004178D5"/>
    <w:rsid w:val="00417F8F"/>
    <w:rsid w:val="00417FD5"/>
    <w:rsid w:val="00420A1D"/>
    <w:rsid w:val="0042131F"/>
    <w:rsid w:val="0042180B"/>
    <w:rsid w:val="004228F1"/>
    <w:rsid w:val="00426BCD"/>
    <w:rsid w:val="00431C30"/>
    <w:rsid w:val="00433575"/>
    <w:rsid w:val="00434B77"/>
    <w:rsid w:val="00437D4C"/>
    <w:rsid w:val="00441ACA"/>
    <w:rsid w:val="0044279C"/>
    <w:rsid w:val="004441D2"/>
    <w:rsid w:val="00445BE3"/>
    <w:rsid w:val="0044697F"/>
    <w:rsid w:val="00447007"/>
    <w:rsid w:val="004478F7"/>
    <w:rsid w:val="00447B21"/>
    <w:rsid w:val="00452351"/>
    <w:rsid w:val="00452428"/>
    <w:rsid w:val="0045347B"/>
    <w:rsid w:val="004534C0"/>
    <w:rsid w:val="0045350B"/>
    <w:rsid w:val="004543D7"/>
    <w:rsid w:val="004552B1"/>
    <w:rsid w:val="00456C73"/>
    <w:rsid w:val="00461718"/>
    <w:rsid w:val="004625AC"/>
    <w:rsid w:val="004655F1"/>
    <w:rsid w:val="004670F3"/>
    <w:rsid w:val="00471C2C"/>
    <w:rsid w:val="00472C64"/>
    <w:rsid w:val="0047351C"/>
    <w:rsid w:val="00473694"/>
    <w:rsid w:val="00473E09"/>
    <w:rsid w:val="0047642A"/>
    <w:rsid w:val="004774C9"/>
    <w:rsid w:val="004803EA"/>
    <w:rsid w:val="0048137F"/>
    <w:rsid w:val="0048244D"/>
    <w:rsid w:val="004825CC"/>
    <w:rsid w:val="004826BF"/>
    <w:rsid w:val="00482CCA"/>
    <w:rsid w:val="00482F8B"/>
    <w:rsid w:val="00483B1A"/>
    <w:rsid w:val="00484568"/>
    <w:rsid w:val="0048550F"/>
    <w:rsid w:val="0048626F"/>
    <w:rsid w:val="004902D5"/>
    <w:rsid w:val="00490D40"/>
    <w:rsid w:val="00493331"/>
    <w:rsid w:val="00494321"/>
    <w:rsid w:val="004951C7"/>
    <w:rsid w:val="004961DD"/>
    <w:rsid w:val="004971EB"/>
    <w:rsid w:val="004A1828"/>
    <w:rsid w:val="004A3007"/>
    <w:rsid w:val="004A3266"/>
    <w:rsid w:val="004A704B"/>
    <w:rsid w:val="004B0520"/>
    <w:rsid w:val="004B0996"/>
    <w:rsid w:val="004B431C"/>
    <w:rsid w:val="004B5437"/>
    <w:rsid w:val="004B733E"/>
    <w:rsid w:val="004B7787"/>
    <w:rsid w:val="004C12A7"/>
    <w:rsid w:val="004C21C0"/>
    <w:rsid w:val="004C3BC4"/>
    <w:rsid w:val="004C4191"/>
    <w:rsid w:val="004C5A11"/>
    <w:rsid w:val="004C628C"/>
    <w:rsid w:val="004C7413"/>
    <w:rsid w:val="004C7C46"/>
    <w:rsid w:val="004D06F9"/>
    <w:rsid w:val="004D0871"/>
    <w:rsid w:val="004D1350"/>
    <w:rsid w:val="004D30DB"/>
    <w:rsid w:val="004D3CCC"/>
    <w:rsid w:val="004D78C0"/>
    <w:rsid w:val="004E03F8"/>
    <w:rsid w:val="004E093E"/>
    <w:rsid w:val="004E0C44"/>
    <w:rsid w:val="004E1184"/>
    <w:rsid w:val="004E23B1"/>
    <w:rsid w:val="004E39A5"/>
    <w:rsid w:val="004E5428"/>
    <w:rsid w:val="004F242E"/>
    <w:rsid w:val="004F2912"/>
    <w:rsid w:val="004F2E12"/>
    <w:rsid w:val="004F3BB2"/>
    <w:rsid w:val="004F4A67"/>
    <w:rsid w:val="004F6C2D"/>
    <w:rsid w:val="005000CC"/>
    <w:rsid w:val="0050099C"/>
    <w:rsid w:val="00502EB3"/>
    <w:rsid w:val="00504798"/>
    <w:rsid w:val="005059C4"/>
    <w:rsid w:val="00506850"/>
    <w:rsid w:val="0051166F"/>
    <w:rsid w:val="005130DD"/>
    <w:rsid w:val="00513555"/>
    <w:rsid w:val="00513982"/>
    <w:rsid w:val="005148BE"/>
    <w:rsid w:val="00514D4E"/>
    <w:rsid w:val="00515B8B"/>
    <w:rsid w:val="005164B0"/>
    <w:rsid w:val="00516E62"/>
    <w:rsid w:val="00517438"/>
    <w:rsid w:val="00517BC6"/>
    <w:rsid w:val="00520A14"/>
    <w:rsid w:val="0052260D"/>
    <w:rsid w:val="0052632B"/>
    <w:rsid w:val="005264EE"/>
    <w:rsid w:val="00530C90"/>
    <w:rsid w:val="00530E1C"/>
    <w:rsid w:val="00531C7A"/>
    <w:rsid w:val="0053210B"/>
    <w:rsid w:val="00534E7C"/>
    <w:rsid w:val="0053541E"/>
    <w:rsid w:val="0053610D"/>
    <w:rsid w:val="00536A44"/>
    <w:rsid w:val="0053771E"/>
    <w:rsid w:val="005408A3"/>
    <w:rsid w:val="00541336"/>
    <w:rsid w:val="005418ED"/>
    <w:rsid w:val="0054296E"/>
    <w:rsid w:val="00542C52"/>
    <w:rsid w:val="00544440"/>
    <w:rsid w:val="005445AF"/>
    <w:rsid w:val="00546F51"/>
    <w:rsid w:val="00547D08"/>
    <w:rsid w:val="00547EF6"/>
    <w:rsid w:val="005569DF"/>
    <w:rsid w:val="00561CF7"/>
    <w:rsid w:val="0056225F"/>
    <w:rsid w:val="005649C3"/>
    <w:rsid w:val="00566F0D"/>
    <w:rsid w:val="00570238"/>
    <w:rsid w:val="00570347"/>
    <w:rsid w:val="0057333C"/>
    <w:rsid w:val="0057429C"/>
    <w:rsid w:val="005744AC"/>
    <w:rsid w:val="0057612C"/>
    <w:rsid w:val="005762B1"/>
    <w:rsid w:val="00576BBB"/>
    <w:rsid w:val="005776DC"/>
    <w:rsid w:val="00581351"/>
    <w:rsid w:val="00583495"/>
    <w:rsid w:val="0058588C"/>
    <w:rsid w:val="00587FEE"/>
    <w:rsid w:val="00590121"/>
    <w:rsid w:val="00591815"/>
    <w:rsid w:val="00591D4D"/>
    <w:rsid w:val="005923C4"/>
    <w:rsid w:val="00593CBE"/>
    <w:rsid w:val="005944DB"/>
    <w:rsid w:val="00596468"/>
    <w:rsid w:val="005A029D"/>
    <w:rsid w:val="005A0A8F"/>
    <w:rsid w:val="005A14C1"/>
    <w:rsid w:val="005A1569"/>
    <w:rsid w:val="005A46A5"/>
    <w:rsid w:val="005A59B6"/>
    <w:rsid w:val="005A632A"/>
    <w:rsid w:val="005A7FF2"/>
    <w:rsid w:val="005B0811"/>
    <w:rsid w:val="005B2128"/>
    <w:rsid w:val="005B50CB"/>
    <w:rsid w:val="005B56FA"/>
    <w:rsid w:val="005B5A33"/>
    <w:rsid w:val="005B5BCC"/>
    <w:rsid w:val="005B6121"/>
    <w:rsid w:val="005B65F2"/>
    <w:rsid w:val="005B7942"/>
    <w:rsid w:val="005C0157"/>
    <w:rsid w:val="005C047E"/>
    <w:rsid w:val="005C5070"/>
    <w:rsid w:val="005C669C"/>
    <w:rsid w:val="005C70EA"/>
    <w:rsid w:val="005D0411"/>
    <w:rsid w:val="005D1A11"/>
    <w:rsid w:val="005D36C9"/>
    <w:rsid w:val="005D5DBE"/>
    <w:rsid w:val="005D7528"/>
    <w:rsid w:val="005D7A97"/>
    <w:rsid w:val="005E4034"/>
    <w:rsid w:val="005E4809"/>
    <w:rsid w:val="005E4FBD"/>
    <w:rsid w:val="005E6688"/>
    <w:rsid w:val="005E7D6A"/>
    <w:rsid w:val="005F14B2"/>
    <w:rsid w:val="005F1C81"/>
    <w:rsid w:val="005F3516"/>
    <w:rsid w:val="005F4AF3"/>
    <w:rsid w:val="006002F9"/>
    <w:rsid w:val="0060127D"/>
    <w:rsid w:val="006017C5"/>
    <w:rsid w:val="00602B82"/>
    <w:rsid w:val="00603508"/>
    <w:rsid w:val="00603916"/>
    <w:rsid w:val="00605E3C"/>
    <w:rsid w:val="006074D4"/>
    <w:rsid w:val="00607558"/>
    <w:rsid w:val="0061147A"/>
    <w:rsid w:val="0061276A"/>
    <w:rsid w:val="006171A9"/>
    <w:rsid w:val="00625360"/>
    <w:rsid w:val="0062553F"/>
    <w:rsid w:val="006300A0"/>
    <w:rsid w:val="00630C83"/>
    <w:rsid w:val="00630CBC"/>
    <w:rsid w:val="00631E8C"/>
    <w:rsid w:val="00634E11"/>
    <w:rsid w:val="00640C6C"/>
    <w:rsid w:val="006446C9"/>
    <w:rsid w:val="0064539B"/>
    <w:rsid w:val="00645451"/>
    <w:rsid w:val="00647038"/>
    <w:rsid w:val="006477FD"/>
    <w:rsid w:val="00653442"/>
    <w:rsid w:val="0065346E"/>
    <w:rsid w:val="006541F5"/>
    <w:rsid w:val="006574E7"/>
    <w:rsid w:val="00657613"/>
    <w:rsid w:val="00660002"/>
    <w:rsid w:val="00663359"/>
    <w:rsid w:val="00663832"/>
    <w:rsid w:val="00664608"/>
    <w:rsid w:val="00665AB8"/>
    <w:rsid w:val="00666097"/>
    <w:rsid w:val="00667A33"/>
    <w:rsid w:val="00667DB3"/>
    <w:rsid w:val="0067077F"/>
    <w:rsid w:val="00672137"/>
    <w:rsid w:val="00672B89"/>
    <w:rsid w:val="00673258"/>
    <w:rsid w:val="00673F64"/>
    <w:rsid w:val="00674963"/>
    <w:rsid w:val="00675A64"/>
    <w:rsid w:val="0067760B"/>
    <w:rsid w:val="00680102"/>
    <w:rsid w:val="006819B6"/>
    <w:rsid w:val="00681F19"/>
    <w:rsid w:val="00683621"/>
    <w:rsid w:val="00684CBA"/>
    <w:rsid w:val="00686BA9"/>
    <w:rsid w:val="006900D4"/>
    <w:rsid w:val="00691675"/>
    <w:rsid w:val="00691BDB"/>
    <w:rsid w:val="0069469C"/>
    <w:rsid w:val="00694C80"/>
    <w:rsid w:val="00697CD9"/>
    <w:rsid w:val="006A1A12"/>
    <w:rsid w:val="006A2973"/>
    <w:rsid w:val="006A3BC1"/>
    <w:rsid w:val="006A40B1"/>
    <w:rsid w:val="006A56EE"/>
    <w:rsid w:val="006A5742"/>
    <w:rsid w:val="006A5BE9"/>
    <w:rsid w:val="006B0421"/>
    <w:rsid w:val="006B1E51"/>
    <w:rsid w:val="006B2570"/>
    <w:rsid w:val="006B53CC"/>
    <w:rsid w:val="006B6097"/>
    <w:rsid w:val="006B627A"/>
    <w:rsid w:val="006B6CD3"/>
    <w:rsid w:val="006C03A0"/>
    <w:rsid w:val="006C0DE7"/>
    <w:rsid w:val="006C2B40"/>
    <w:rsid w:val="006C6F5E"/>
    <w:rsid w:val="006D06D5"/>
    <w:rsid w:val="006D0996"/>
    <w:rsid w:val="006D1C77"/>
    <w:rsid w:val="006D3120"/>
    <w:rsid w:val="006D3539"/>
    <w:rsid w:val="006D7C0A"/>
    <w:rsid w:val="006E14BB"/>
    <w:rsid w:val="006E2B4A"/>
    <w:rsid w:val="006E32F7"/>
    <w:rsid w:val="006E35F0"/>
    <w:rsid w:val="006E5DD9"/>
    <w:rsid w:val="006F0107"/>
    <w:rsid w:val="006F3A0B"/>
    <w:rsid w:val="006F4B35"/>
    <w:rsid w:val="006F4E7F"/>
    <w:rsid w:val="006F7ECE"/>
    <w:rsid w:val="0070124C"/>
    <w:rsid w:val="00701645"/>
    <w:rsid w:val="00702010"/>
    <w:rsid w:val="00702CBE"/>
    <w:rsid w:val="007059C0"/>
    <w:rsid w:val="00705F62"/>
    <w:rsid w:val="007074FD"/>
    <w:rsid w:val="00707E82"/>
    <w:rsid w:val="00710658"/>
    <w:rsid w:val="00710F17"/>
    <w:rsid w:val="00711F10"/>
    <w:rsid w:val="00712EAB"/>
    <w:rsid w:val="00713A10"/>
    <w:rsid w:val="00713A1D"/>
    <w:rsid w:val="00716F72"/>
    <w:rsid w:val="00723677"/>
    <w:rsid w:val="007238DF"/>
    <w:rsid w:val="00725243"/>
    <w:rsid w:val="00727A6E"/>
    <w:rsid w:val="00727F7A"/>
    <w:rsid w:val="007301E1"/>
    <w:rsid w:val="00731B38"/>
    <w:rsid w:val="00731F0D"/>
    <w:rsid w:val="007330BB"/>
    <w:rsid w:val="00733679"/>
    <w:rsid w:val="00735CDD"/>
    <w:rsid w:val="00737CE0"/>
    <w:rsid w:val="00742152"/>
    <w:rsid w:val="00742217"/>
    <w:rsid w:val="00742246"/>
    <w:rsid w:val="00745516"/>
    <w:rsid w:val="0074652C"/>
    <w:rsid w:val="00757DBF"/>
    <w:rsid w:val="00761425"/>
    <w:rsid w:val="0076157E"/>
    <w:rsid w:val="00762CDF"/>
    <w:rsid w:val="00764C7D"/>
    <w:rsid w:val="007677DF"/>
    <w:rsid w:val="00770E52"/>
    <w:rsid w:val="0077245C"/>
    <w:rsid w:val="0077259B"/>
    <w:rsid w:val="00774737"/>
    <w:rsid w:val="00774860"/>
    <w:rsid w:val="00776134"/>
    <w:rsid w:val="00776B12"/>
    <w:rsid w:val="007807FA"/>
    <w:rsid w:val="00784044"/>
    <w:rsid w:val="007847AB"/>
    <w:rsid w:val="00785942"/>
    <w:rsid w:val="00787111"/>
    <w:rsid w:val="00787C0E"/>
    <w:rsid w:val="00790803"/>
    <w:rsid w:val="00791A4E"/>
    <w:rsid w:val="00791EF5"/>
    <w:rsid w:val="007920A1"/>
    <w:rsid w:val="00795955"/>
    <w:rsid w:val="007959E1"/>
    <w:rsid w:val="00797581"/>
    <w:rsid w:val="00797B7E"/>
    <w:rsid w:val="00797D1B"/>
    <w:rsid w:val="007A0F4F"/>
    <w:rsid w:val="007A12E2"/>
    <w:rsid w:val="007A1BE1"/>
    <w:rsid w:val="007A24A4"/>
    <w:rsid w:val="007A6316"/>
    <w:rsid w:val="007A66A8"/>
    <w:rsid w:val="007B0104"/>
    <w:rsid w:val="007B0460"/>
    <w:rsid w:val="007B2049"/>
    <w:rsid w:val="007B337C"/>
    <w:rsid w:val="007B3814"/>
    <w:rsid w:val="007B3FF3"/>
    <w:rsid w:val="007B4C43"/>
    <w:rsid w:val="007B4F3A"/>
    <w:rsid w:val="007B5202"/>
    <w:rsid w:val="007C04EA"/>
    <w:rsid w:val="007C097B"/>
    <w:rsid w:val="007C5F9E"/>
    <w:rsid w:val="007C7481"/>
    <w:rsid w:val="007D4CAC"/>
    <w:rsid w:val="007D56BB"/>
    <w:rsid w:val="007D6279"/>
    <w:rsid w:val="007D69A5"/>
    <w:rsid w:val="007D6BAC"/>
    <w:rsid w:val="007D6F66"/>
    <w:rsid w:val="007D71D1"/>
    <w:rsid w:val="007D7B05"/>
    <w:rsid w:val="007E07D7"/>
    <w:rsid w:val="007E12B3"/>
    <w:rsid w:val="007E13E3"/>
    <w:rsid w:val="007E2BBC"/>
    <w:rsid w:val="007E3052"/>
    <w:rsid w:val="007E67E8"/>
    <w:rsid w:val="007E7D8A"/>
    <w:rsid w:val="007F11C3"/>
    <w:rsid w:val="007F21A8"/>
    <w:rsid w:val="007F291E"/>
    <w:rsid w:val="007F4805"/>
    <w:rsid w:val="007F4DA5"/>
    <w:rsid w:val="007F6395"/>
    <w:rsid w:val="007F7A39"/>
    <w:rsid w:val="00801E8D"/>
    <w:rsid w:val="00803C23"/>
    <w:rsid w:val="00804258"/>
    <w:rsid w:val="00811382"/>
    <w:rsid w:val="008146B0"/>
    <w:rsid w:val="00815FCD"/>
    <w:rsid w:val="00820390"/>
    <w:rsid w:val="00821462"/>
    <w:rsid w:val="0082201D"/>
    <w:rsid w:val="00822E92"/>
    <w:rsid w:val="00823EC5"/>
    <w:rsid w:val="0082415F"/>
    <w:rsid w:val="008243CA"/>
    <w:rsid w:val="00826C37"/>
    <w:rsid w:val="00830C42"/>
    <w:rsid w:val="00832EA5"/>
    <w:rsid w:val="00834FF8"/>
    <w:rsid w:val="0083555E"/>
    <w:rsid w:val="00835B86"/>
    <w:rsid w:val="00835E5B"/>
    <w:rsid w:val="00837E75"/>
    <w:rsid w:val="008412C0"/>
    <w:rsid w:val="008435E8"/>
    <w:rsid w:val="00843EFE"/>
    <w:rsid w:val="0084537E"/>
    <w:rsid w:val="0084661C"/>
    <w:rsid w:val="00846D7A"/>
    <w:rsid w:val="00851ECB"/>
    <w:rsid w:val="00852391"/>
    <w:rsid w:val="0085406E"/>
    <w:rsid w:val="008548C1"/>
    <w:rsid w:val="00854ADE"/>
    <w:rsid w:val="00855BA4"/>
    <w:rsid w:val="008562A5"/>
    <w:rsid w:val="00856572"/>
    <w:rsid w:val="0085699C"/>
    <w:rsid w:val="0085768E"/>
    <w:rsid w:val="00860A61"/>
    <w:rsid w:val="00860F82"/>
    <w:rsid w:val="0086124B"/>
    <w:rsid w:val="00862719"/>
    <w:rsid w:val="00863310"/>
    <w:rsid w:val="008647DE"/>
    <w:rsid w:val="00864ADB"/>
    <w:rsid w:val="00864F46"/>
    <w:rsid w:val="00866CF0"/>
    <w:rsid w:val="00867048"/>
    <w:rsid w:val="008670C1"/>
    <w:rsid w:val="00870050"/>
    <w:rsid w:val="008722B9"/>
    <w:rsid w:val="008722BE"/>
    <w:rsid w:val="00877F96"/>
    <w:rsid w:val="00880903"/>
    <w:rsid w:val="00880AA2"/>
    <w:rsid w:val="0088194F"/>
    <w:rsid w:val="00882F8B"/>
    <w:rsid w:val="00883A20"/>
    <w:rsid w:val="008848A0"/>
    <w:rsid w:val="00884A05"/>
    <w:rsid w:val="00885793"/>
    <w:rsid w:val="00886894"/>
    <w:rsid w:val="00886AF1"/>
    <w:rsid w:val="00887EE8"/>
    <w:rsid w:val="00890610"/>
    <w:rsid w:val="00891885"/>
    <w:rsid w:val="00891D9D"/>
    <w:rsid w:val="00891FB7"/>
    <w:rsid w:val="00892EC6"/>
    <w:rsid w:val="00893BBC"/>
    <w:rsid w:val="008954E3"/>
    <w:rsid w:val="008978D0"/>
    <w:rsid w:val="00897BD5"/>
    <w:rsid w:val="008A02F4"/>
    <w:rsid w:val="008A0AFA"/>
    <w:rsid w:val="008A238E"/>
    <w:rsid w:val="008A25E7"/>
    <w:rsid w:val="008A4981"/>
    <w:rsid w:val="008A5A88"/>
    <w:rsid w:val="008B1EE5"/>
    <w:rsid w:val="008B4ACD"/>
    <w:rsid w:val="008B4C9C"/>
    <w:rsid w:val="008B4DB6"/>
    <w:rsid w:val="008B50FA"/>
    <w:rsid w:val="008C17A3"/>
    <w:rsid w:val="008C1BA1"/>
    <w:rsid w:val="008C202E"/>
    <w:rsid w:val="008C3BDA"/>
    <w:rsid w:val="008C3E0B"/>
    <w:rsid w:val="008C61A5"/>
    <w:rsid w:val="008C6C8F"/>
    <w:rsid w:val="008C77ED"/>
    <w:rsid w:val="008D15AB"/>
    <w:rsid w:val="008D2A30"/>
    <w:rsid w:val="008D7473"/>
    <w:rsid w:val="008E05EB"/>
    <w:rsid w:val="008E0C76"/>
    <w:rsid w:val="008E2729"/>
    <w:rsid w:val="008E3F64"/>
    <w:rsid w:val="008E43A7"/>
    <w:rsid w:val="008E47CF"/>
    <w:rsid w:val="008E5284"/>
    <w:rsid w:val="008E59FC"/>
    <w:rsid w:val="008E6558"/>
    <w:rsid w:val="008F14BD"/>
    <w:rsid w:val="008F1651"/>
    <w:rsid w:val="008F3E5D"/>
    <w:rsid w:val="008F3EDF"/>
    <w:rsid w:val="008F54A4"/>
    <w:rsid w:val="008F76F3"/>
    <w:rsid w:val="008F7F23"/>
    <w:rsid w:val="00900CD0"/>
    <w:rsid w:val="00901863"/>
    <w:rsid w:val="00906AED"/>
    <w:rsid w:val="00911574"/>
    <w:rsid w:val="009125A4"/>
    <w:rsid w:val="009162D8"/>
    <w:rsid w:val="00925950"/>
    <w:rsid w:val="00927DDC"/>
    <w:rsid w:val="009301C4"/>
    <w:rsid w:val="00930A4D"/>
    <w:rsid w:val="00930FC3"/>
    <w:rsid w:val="00933B27"/>
    <w:rsid w:val="00933E53"/>
    <w:rsid w:val="00934A2E"/>
    <w:rsid w:val="00935A3A"/>
    <w:rsid w:val="00937F89"/>
    <w:rsid w:val="00940584"/>
    <w:rsid w:val="009413EF"/>
    <w:rsid w:val="009416CA"/>
    <w:rsid w:val="0094233F"/>
    <w:rsid w:val="009425FB"/>
    <w:rsid w:val="0094744C"/>
    <w:rsid w:val="009476CA"/>
    <w:rsid w:val="009505F8"/>
    <w:rsid w:val="00951BF3"/>
    <w:rsid w:val="009534E2"/>
    <w:rsid w:val="009548A4"/>
    <w:rsid w:val="009549EC"/>
    <w:rsid w:val="00955749"/>
    <w:rsid w:val="00955907"/>
    <w:rsid w:val="00956D96"/>
    <w:rsid w:val="00957094"/>
    <w:rsid w:val="0096036F"/>
    <w:rsid w:val="00962396"/>
    <w:rsid w:val="00962783"/>
    <w:rsid w:val="00964713"/>
    <w:rsid w:val="0097152D"/>
    <w:rsid w:val="00972414"/>
    <w:rsid w:val="009731D2"/>
    <w:rsid w:val="009732B7"/>
    <w:rsid w:val="00973B37"/>
    <w:rsid w:val="00973CEA"/>
    <w:rsid w:val="00974035"/>
    <w:rsid w:val="009742A6"/>
    <w:rsid w:val="0097522C"/>
    <w:rsid w:val="00980302"/>
    <w:rsid w:val="00990A3F"/>
    <w:rsid w:val="00990BF2"/>
    <w:rsid w:val="0099510D"/>
    <w:rsid w:val="00995976"/>
    <w:rsid w:val="00995AA5"/>
    <w:rsid w:val="00995EB9"/>
    <w:rsid w:val="009978F8"/>
    <w:rsid w:val="009A0C4E"/>
    <w:rsid w:val="009A0DD8"/>
    <w:rsid w:val="009A1909"/>
    <w:rsid w:val="009A3DA4"/>
    <w:rsid w:val="009A3F9D"/>
    <w:rsid w:val="009A4046"/>
    <w:rsid w:val="009A40D1"/>
    <w:rsid w:val="009A4D19"/>
    <w:rsid w:val="009B165B"/>
    <w:rsid w:val="009B1712"/>
    <w:rsid w:val="009B2B10"/>
    <w:rsid w:val="009B3950"/>
    <w:rsid w:val="009B7945"/>
    <w:rsid w:val="009C0D0C"/>
    <w:rsid w:val="009C0F4C"/>
    <w:rsid w:val="009C1899"/>
    <w:rsid w:val="009C221B"/>
    <w:rsid w:val="009C2FB4"/>
    <w:rsid w:val="009C3432"/>
    <w:rsid w:val="009C60E6"/>
    <w:rsid w:val="009C6611"/>
    <w:rsid w:val="009D15ED"/>
    <w:rsid w:val="009D3326"/>
    <w:rsid w:val="009D4085"/>
    <w:rsid w:val="009D4FE0"/>
    <w:rsid w:val="009D701E"/>
    <w:rsid w:val="009F012E"/>
    <w:rsid w:val="009F2E34"/>
    <w:rsid w:val="009F4995"/>
    <w:rsid w:val="009F4CFB"/>
    <w:rsid w:val="009F53CF"/>
    <w:rsid w:val="009F6DE3"/>
    <w:rsid w:val="00A00D4B"/>
    <w:rsid w:val="00A00DAF"/>
    <w:rsid w:val="00A0236E"/>
    <w:rsid w:val="00A031B2"/>
    <w:rsid w:val="00A034EA"/>
    <w:rsid w:val="00A03D56"/>
    <w:rsid w:val="00A03E59"/>
    <w:rsid w:val="00A04672"/>
    <w:rsid w:val="00A04C77"/>
    <w:rsid w:val="00A05B29"/>
    <w:rsid w:val="00A118E9"/>
    <w:rsid w:val="00A11F01"/>
    <w:rsid w:val="00A1366E"/>
    <w:rsid w:val="00A13680"/>
    <w:rsid w:val="00A14C33"/>
    <w:rsid w:val="00A14EC1"/>
    <w:rsid w:val="00A14FAD"/>
    <w:rsid w:val="00A15B43"/>
    <w:rsid w:val="00A15F61"/>
    <w:rsid w:val="00A210CD"/>
    <w:rsid w:val="00A21C32"/>
    <w:rsid w:val="00A21DFF"/>
    <w:rsid w:val="00A237F8"/>
    <w:rsid w:val="00A26FE0"/>
    <w:rsid w:val="00A315EE"/>
    <w:rsid w:val="00A31B2B"/>
    <w:rsid w:val="00A31EC3"/>
    <w:rsid w:val="00A35228"/>
    <w:rsid w:val="00A35438"/>
    <w:rsid w:val="00A36DCF"/>
    <w:rsid w:val="00A37007"/>
    <w:rsid w:val="00A41203"/>
    <w:rsid w:val="00A42836"/>
    <w:rsid w:val="00A4358D"/>
    <w:rsid w:val="00A4446F"/>
    <w:rsid w:val="00A4449F"/>
    <w:rsid w:val="00A45772"/>
    <w:rsid w:val="00A46244"/>
    <w:rsid w:val="00A515F6"/>
    <w:rsid w:val="00A52674"/>
    <w:rsid w:val="00A53544"/>
    <w:rsid w:val="00A554DF"/>
    <w:rsid w:val="00A579EC"/>
    <w:rsid w:val="00A57D96"/>
    <w:rsid w:val="00A60321"/>
    <w:rsid w:val="00A659FF"/>
    <w:rsid w:val="00A66954"/>
    <w:rsid w:val="00A673BD"/>
    <w:rsid w:val="00A72058"/>
    <w:rsid w:val="00A7256B"/>
    <w:rsid w:val="00A72617"/>
    <w:rsid w:val="00A73363"/>
    <w:rsid w:val="00A73ABC"/>
    <w:rsid w:val="00A75D9C"/>
    <w:rsid w:val="00A77C8B"/>
    <w:rsid w:val="00A82218"/>
    <w:rsid w:val="00A82CB9"/>
    <w:rsid w:val="00A84E84"/>
    <w:rsid w:val="00A86467"/>
    <w:rsid w:val="00A87337"/>
    <w:rsid w:val="00A90ECF"/>
    <w:rsid w:val="00A9141E"/>
    <w:rsid w:val="00A91CB1"/>
    <w:rsid w:val="00A91DA6"/>
    <w:rsid w:val="00A922E7"/>
    <w:rsid w:val="00A94BF4"/>
    <w:rsid w:val="00A96EAB"/>
    <w:rsid w:val="00A97F08"/>
    <w:rsid w:val="00AA60F0"/>
    <w:rsid w:val="00AA64D1"/>
    <w:rsid w:val="00AA6992"/>
    <w:rsid w:val="00AA6D3F"/>
    <w:rsid w:val="00AA6FC3"/>
    <w:rsid w:val="00AA7FF9"/>
    <w:rsid w:val="00AB2240"/>
    <w:rsid w:val="00AB290A"/>
    <w:rsid w:val="00AB3023"/>
    <w:rsid w:val="00AB4ED2"/>
    <w:rsid w:val="00AB55ED"/>
    <w:rsid w:val="00AB7B77"/>
    <w:rsid w:val="00AC0CAA"/>
    <w:rsid w:val="00AC4C57"/>
    <w:rsid w:val="00AC51BA"/>
    <w:rsid w:val="00AC679A"/>
    <w:rsid w:val="00AC79BE"/>
    <w:rsid w:val="00AD0027"/>
    <w:rsid w:val="00AD18F1"/>
    <w:rsid w:val="00AD36F2"/>
    <w:rsid w:val="00AD47FB"/>
    <w:rsid w:val="00AD60E1"/>
    <w:rsid w:val="00AD75D8"/>
    <w:rsid w:val="00AE1D96"/>
    <w:rsid w:val="00AE4A80"/>
    <w:rsid w:val="00AE523E"/>
    <w:rsid w:val="00AE5EB9"/>
    <w:rsid w:val="00AE7061"/>
    <w:rsid w:val="00AF013A"/>
    <w:rsid w:val="00AF036F"/>
    <w:rsid w:val="00AF04CF"/>
    <w:rsid w:val="00AF19C6"/>
    <w:rsid w:val="00AF6CF6"/>
    <w:rsid w:val="00AF77CA"/>
    <w:rsid w:val="00B00C08"/>
    <w:rsid w:val="00B0513F"/>
    <w:rsid w:val="00B05962"/>
    <w:rsid w:val="00B0741A"/>
    <w:rsid w:val="00B07DCC"/>
    <w:rsid w:val="00B101E6"/>
    <w:rsid w:val="00B16EBD"/>
    <w:rsid w:val="00B16FF5"/>
    <w:rsid w:val="00B20E0B"/>
    <w:rsid w:val="00B222EC"/>
    <w:rsid w:val="00B24B01"/>
    <w:rsid w:val="00B24F3A"/>
    <w:rsid w:val="00B2662B"/>
    <w:rsid w:val="00B3161E"/>
    <w:rsid w:val="00B3211C"/>
    <w:rsid w:val="00B32485"/>
    <w:rsid w:val="00B32EE7"/>
    <w:rsid w:val="00B34055"/>
    <w:rsid w:val="00B364FB"/>
    <w:rsid w:val="00B37DCE"/>
    <w:rsid w:val="00B37E63"/>
    <w:rsid w:val="00B40E00"/>
    <w:rsid w:val="00B41264"/>
    <w:rsid w:val="00B42AF2"/>
    <w:rsid w:val="00B44973"/>
    <w:rsid w:val="00B44AC8"/>
    <w:rsid w:val="00B45BFB"/>
    <w:rsid w:val="00B46929"/>
    <w:rsid w:val="00B5079F"/>
    <w:rsid w:val="00B50DAD"/>
    <w:rsid w:val="00B52F2C"/>
    <w:rsid w:val="00B53C87"/>
    <w:rsid w:val="00B55B71"/>
    <w:rsid w:val="00B566C8"/>
    <w:rsid w:val="00B60A16"/>
    <w:rsid w:val="00B615FF"/>
    <w:rsid w:val="00B61A2A"/>
    <w:rsid w:val="00B63723"/>
    <w:rsid w:val="00B65DF2"/>
    <w:rsid w:val="00B66E74"/>
    <w:rsid w:val="00B66F6D"/>
    <w:rsid w:val="00B70DBC"/>
    <w:rsid w:val="00B724EB"/>
    <w:rsid w:val="00B751CB"/>
    <w:rsid w:val="00B7749F"/>
    <w:rsid w:val="00B7761A"/>
    <w:rsid w:val="00B81201"/>
    <w:rsid w:val="00B818E8"/>
    <w:rsid w:val="00B8286B"/>
    <w:rsid w:val="00B829A3"/>
    <w:rsid w:val="00B82DB8"/>
    <w:rsid w:val="00B869C3"/>
    <w:rsid w:val="00B87902"/>
    <w:rsid w:val="00B92281"/>
    <w:rsid w:val="00B93198"/>
    <w:rsid w:val="00B93E1E"/>
    <w:rsid w:val="00B94A34"/>
    <w:rsid w:val="00B953CF"/>
    <w:rsid w:val="00BA01EF"/>
    <w:rsid w:val="00BA0F60"/>
    <w:rsid w:val="00BA1A21"/>
    <w:rsid w:val="00BA2575"/>
    <w:rsid w:val="00BA27BE"/>
    <w:rsid w:val="00BA2B85"/>
    <w:rsid w:val="00BA567B"/>
    <w:rsid w:val="00BA5740"/>
    <w:rsid w:val="00BA582D"/>
    <w:rsid w:val="00BA65AA"/>
    <w:rsid w:val="00BA76EF"/>
    <w:rsid w:val="00BA7877"/>
    <w:rsid w:val="00BB123C"/>
    <w:rsid w:val="00BB17D5"/>
    <w:rsid w:val="00BB3489"/>
    <w:rsid w:val="00BB6117"/>
    <w:rsid w:val="00BB7195"/>
    <w:rsid w:val="00BB7536"/>
    <w:rsid w:val="00BC0BD6"/>
    <w:rsid w:val="00BC1F5D"/>
    <w:rsid w:val="00BC3EB0"/>
    <w:rsid w:val="00BD0824"/>
    <w:rsid w:val="00BD087C"/>
    <w:rsid w:val="00BD3AD1"/>
    <w:rsid w:val="00BD724F"/>
    <w:rsid w:val="00BE01C6"/>
    <w:rsid w:val="00BE17B4"/>
    <w:rsid w:val="00BE198E"/>
    <w:rsid w:val="00BE3F01"/>
    <w:rsid w:val="00BE4DA3"/>
    <w:rsid w:val="00BE5E68"/>
    <w:rsid w:val="00BE60EA"/>
    <w:rsid w:val="00BF2767"/>
    <w:rsid w:val="00BF537C"/>
    <w:rsid w:val="00BF7257"/>
    <w:rsid w:val="00C0029E"/>
    <w:rsid w:val="00C00DA0"/>
    <w:rsid w:val="00C00DB6"/>
    <w:rsid w:val="00C033D7"/>
    <w:rsid w:val="00C034AD"/>
    <w:rsid w:val="00C04052"/>
    <w:rsid w:val="00C0505B"/>
    <w:rsid w:val="00C061E0"/>
    <w:rsid w:val="00C10E19"/>
    <w:rsid w:val="00C11571"/>
    <w:rsid w:val="00C12822"/>
    <w:rsid w:val="00C12CDE"/>
    <w:rsid w:val="00C13EB9"/>
    <w:rsid w:val="00C16161"/>
    <w:rsid w:val="00C213AD"/>
    <w:rsid w:val="00C21F41"/>
    <w:rsid w:val="00C2289F"/>
    <w:rsid w:val="00C23449"/>
    <w:rsid w:val="00C23C2C"/>
    <w:rsid w:val="00C2484E"/>
    <w:rsid w:val="00C2565F"/>
    <w:rsid w:val="00C25EE6"/>
    <w:rsid w:val="00C27A46"/>
    <w:rsid w:val="00C31626"/>
    <w:rsid w:val="00C34DEF"/>
    <w:rsid w:val="00C374E4"/>
    <w:rsid w:val="00C42ABD"/>
    <w:rsid w:val="00C460FF"/>
    <w:rsid w:val="00C46579"/>
    <w:rsid w:val="00C46AF2"/>
    <w:rsid w:val="00C50D00"/>
    <w:rsid w:val="00C5235F"/>
    <w:rsid w:val="00C52FBC"/>
    <w:rsid w:val="00C550F2"/>
    <w:rsid w:val="00C55378"/>
    <w:rsid w:val="00C62830"/>
    <w:rsid w:val="00C6291B"/>
    <w:rsid w:val="00C62CF9"/>
    <w:rsid w:val="00C63678"/>
    <w:rsid w:val="00C666A2"/>
    <w:rsid w:val="00C667C6"/>
    <w:rsid w:val="00C66E9E"/>
    <w:rsid w:val="00C678F5"/>
    <w:rsid w:val="00C67E63"/>
    <w:rsid w:val="00C705A5"/>
    <w:rsid w:val="00C747DF"/>
    <w:rsid w:val="00C75506"/>
    <w:rsid w:val="00C76BEA"/>
    <w:rsid w:val="00C80C31"/>
    <w:rsid w:val="00C8285D"/>
    <w:rsid w:val="00C83AD0"/>
    <w:rsid w:val="00C85543"/>
    <w:rsid w:val="00C85751"/>
    <w:rsid w:val="00C8581F"/>
    <w:rsid w:val="00C85C4D"/>
    <w:rsid w:val="00C85FB5"/>
    <w:rsid w:val="00C90958"/>
    <w:rsid w:val="00C90D3A"/>
    <w:rsid w:val="00C91644"/>
    <w:rsid w:val="00C9301C"/>
    <w:rsid w:val="00C93289"/>
    <w:rsid w:val="00C95764"/>
    <w:rsid w:val="00C961DA"/>
    <w:rsid w:val="00CA1B89"/>
    <w:rsid w:val="00CA4CAC"/>
    <w:rsid w:val="00CA58A9"/>
    <w:rsid w:val="00CA59CB"/>
    <w:rsid w:val="00CB1185"/>
    <w:rsid w:val="00CB15E9"/>
    <w:rsid w:val="00CB29FA"/>
    <w:rsid w:val="00CB30E2"/>
    <w:rsid w:val="00CB4079"/>
    <w:rsid w:val="00CB5CCE"/>
    <w:rsid w:val="00CC0A53"/>
    <w:rsid w:val="00CC0A65"/>
    <w:rsid w:val="00CC4127"/>
    <w:rsid w:val="00CC4CBD"/>
    <w:rsid w:val="00CC52DD"/>
    <w:rsid w:val="00CC78ED"/>
    <w:rsid w:val="00CD1BA7"/>
    <w:rsid w:val="00CD224E"/>
    <w:rsid w:val="00CD22A6"/>
    <w:rsid w:val="00CD3C73"/>
    <w:rsid w:val="00CD754B"/>
    <w:rsid w:val="00CD7817"/>
    <w:rsid w:val="00CD7987"/>
    <w:rsid w:val="00CE037D"/>
    <w:rsid w:val="00CE03F0"/>
    <w:rsid w:val="00CE334F"/>
    <w:rsid w:val="00CE337D"/>
    <w:rsid w:val="00CE4F96"/>
    <w:rsid w:val="00CE505E"/>
    <w:rsid w:val="00CE5CE7"/>
    <w:rsid w:val="00CF01B9"/>
    <w:rsid w:val="00CF0D9D"/>
    <w:rsid w:val="00CF1941"/>
    <w:rsid w:val="00CF1991"/>
    <w:rsid w:val="00CF2B0E"/>
    <w:rsid w:val="00CF3666"/>
    <w:rsid w:val="00CF412D"/>
    <w:rsid w:val="00D003CA"/>
    <w:rsid w:val="00D00A4A"/>
    <w:rsid w:val="00D00EA3"/>
    <w:rsid w:val="00D01B68"/>
    <w:rsid w:val="00D05081"/>
    <w:rsid w:val="00D05226"/>
    <w:rsid w:val="00D06350"/>
    <w:rsid w:val="00D0643E"/>
    <w:rsid w:val="00D072F9"/>
    <w:rsid w:val="00D078AC"/>
    <w:rsid w:val="00D111D7"/>
    <w:rsid w:val="00D13FFD"/>
    <w:rsid w:val="00D14C06"/>
    <w:rsid w:val="00D1580D"/>
    <w:rsid w:val="00D16CDD"/>
    <w:rsid w:val="00D16ECF"/>
    <w:rsid w:val="00D1768D"/>
    <w:rsid w:val="00D20A67"/>
    <w:rsid w:val="00D22AFC"/>
    <w:rsid w:val="00D22DCC"/>
    <w:rsid w:val="00D23015"/>
    <w:rsid w:val="00D238C8"/>
    <w:rsid w:val="00D24A39"/>
    <w:rsid w:val="00D24C82"/>
    <w:rsid w:val="00D279BB"/>
    <w:rsid w:val="00D30348"/>
    <w:rsid w:val="00D309FD"/>
    <w:rsid w:val="00D322A0"/>
    <w:rsid w:val="00D32FA2"/>
    <w:rsid w:val="00D350C2"/>
    <w:rsid w:val="00D35938"/>
    <w:rsid w:val="00D36544"/>
    <w:rsid w:val="00D3780F"/>
    <w:rsid w:val="00D42BC6"/>
    <w:rsid w:val="00D43286"/>
    <w:rsid w:val="00D464C6"/>
    <w:rsid w:val="00D4768E"/>
    <w:rsid w:val="00D50F00"/>
    <w:rsid w:val="00D53459"/>
    <w:rsid w:val="00D534B8"/>
    <w:rsid w:val="00D568A2"/>
    <w:rsid w:val="00D5710D"/>
    <w:rsid w:val="00D575A7"/>
    <w:rsid w:val="00D605FB"/>
    <w:rsid w:val="00D621DD"/>
    <w:rsid w:val="00D62AD7"/>
    <w:rsid w:val="00D62D65"/>
    <w:rsid w:val="00D63D24"/>
    <w:rsid w:val="00D64744"/>
    <w:rsid w:val="00D653D8"/>
    <w:rsid w:val="00D70691"/>
    <w:rsid w:val="00D72A28"/>
    <w:rsid w:val="00D72F0F"/>
    <w:rsid w:val="00D733BA"/>
    <w:rsid w:val="00D75FE7"/>
    <w:rsid w:val="00D8006B"/>
    <w:rsid w:val="00D8035E"/>
    <w:rsid w:val="00D81028"/>
    <w:rsid w:val="00D84474"/>
    <w:rsid w:val="00D85BEA"/>
    <w:rsid w:val="00D902CF"/>
    <w:rsid w:val="00D91386"/>
    <w:rsid w:val="00D91B5D"/>
    <w:rsid w:val="00D92262"/>
    <w:rsid w:val="00D93A5E"/>
    <w:rsid w:val="00D958A5"/>
    <w:rsid w:val="00D96465"/>
    <w:rsid w:val="00D97DC3"/>
    <w:rsid w:val="00DA0929"/>
    <w:rsid w:val="00DA2558"/>
    <w:rsid w:val="00DA266C"/>
    <w:rsid w:val="00DA31C5"/>
    <w:rsid w:val="00DA4E1C"/>
    <w:rsid w:val="00DA656F"/>
    <w:rsid w:val="00DB4904"/>
    <w:rsid w:val="00DB4DDF"/>
    <w:rsid w:val="00DB5557"/>
    <w:rsid w:val="00DC0190"/>
    <w:rsid w:val="00DC1889"/>
    <w:rsid w:val="00DC1DE6"/>
    <w:rsid w:val="00DC3AB7"/>
    <w:rsid w:val="00DC3CB7"/>
    <w:rsid w:val="00DC5DE1"/>
    <w:rsid w:val="00DC643B"/>
    <w:rsid w:val="00DD0E83"/>
    <w:rsid w:val="00DD2787"/>
    <w:rsid w:val="00DD2C85"/>
    <w:rsid w:val="00DD3781"/>
    <w:rsid w:val="00DD4317"/>
    <w:rsid w:val="00DD5BC4"/>
    <w:rsid w:val="00DD6B65"/>
    <w:rsid w:val="00DD78B2"/>
    <w:rsid w:val="00DE017D"/>
    <w:rsid w:val="00DE0CEC"/>
    <w:rsid w:val="00DE1B9D"/>
    <w:rsid w:val="00DE289D"/>
    <w:rsid w:val="00DE58D7"/>
    <w:rsid w:val="00DE5936"/>
    <w:rsid w:val="00DE6B6E"/>
    <w:rsid w:val="00DF1E51"/>
    <w:rsid w:val="00DF4CEF"/>
    <w:rsid w:val="00E02D1F"/>
    <w:rsid w:val="00E06CD3"/>
    <w:rsid w:val="00E1183C"/>
    <w:rsid w:val="00E125EC"/>
    <w:rsid w:val="00E13EAE"/>
    <w:rsid w:val="00E15784"/>
    <w:rsid w:val="00E161D2"/>
    <w:rsid w:val="00E165B9"/>
    <w:rsid w:val="00E174E1"/>
    <w:rsid w:val="00E20490"/>
    <w:rsid w:val="00E20E3B"/>
    <w:rsid w:val="00E24676"/>
    <w:rsid w:val="00E30262"/>
    <w:rsid w:val="00E31525"/>
    <w:rsid w:val="00E32253"/>
    <w:rsid w:val="00E34348"/>
    <w:rsid w:val="00E35AC5"/>
    <w:rsid w:val="00E36123"/>
    <w:rsid w:val="00E40680"/>
    <w:rsid w:val="00E4157C"/>
    <w:rsid w:val="00E42E4E"/>
    <w:rsid w:val="00E4564F"/>
    <w:rsid w:val="00E45D6B"/>
    <w:rsid w:val="00E465D9"/>
    <w:rsid w:val="00E46A58"/>
    <w:rsid w:val="00E4789D"/>
    <w:rsid w:val="00E502DF"/>
    <w:rsid w:val="00E5118F"/>
    <w:rsid w:val="00E542E0"/>
    <w:rsid w:val="00E55845"/>
    <w:rsid w:val="00E56860"/>
    <w:rsid w:val="00E57707"/>
    <w:rsid w:val="00E60273"/>
    <w:rsid w:val="00E606C2"/>
    <w:rsid w:val="00E610D0"/>
    <w:rsid w:val="00E6311E"/>
    <w:rsid w:val="00E63437"/>
    <w:rsid w:val="00E657F5"/>
    <w:rsid w:val="00E71B97"/>
    <w:rsid w:val="00E77392"/>
    <w:rsid w:val="00E808CC"/>
    <w:rsid w:val="00E813F0"/>
    <w:rsid w:val="00E81EAE"/>
    <w:rsid w:val="00E87E29"/>
    <w:rsid w:val="00E91A71"/>
    <w:rsid w:val="00E91CEC"/>
    <w:rsid w:val="00E9282D"/>
    <w:rsid w:val="00E939FB"/>
    <w:rsid w:val="00E93DAC"/>
    <w:rsid w:val="00E952FA"/>
    <w:rsid w:val="00E95E3F"/>
    <w:rsid w:val="00E95F51"/>
    <w:rsid w:val="00E96E50"/>
    <w:rsid w:val="00EA059F"/>
    <w:rsid w:val="00EA3E59"/>
    <w:rsid w:val="00EA41E2"/>
    <w:rsid w:val="00EA43F6"/>
    <w:rsid w:val="00EA445E"/>
    <w:rsid w:val="00EA56B5"/>
    <w:rsid w:val="00EA580E"/>
    <w:rsid w:val="00EA5E5C"/>
    <w:rsid w:val="00EA5E6E"/>
    <w:rsid w:val="00EA7E4B"/>
    <w:rsid w:val="00EB1529"/>
    <w:rsid w:val="00EB1CA9"/>
    <w:rsid w:val="00EB30FC"/>
    <w:rsid w:val="00EB362D"/>
    <w:rsid w:val="00EB3D6B"/>
    <w:rsid w:val="00EB4195"/>
    <w:rsid w:val="00EC0DC9"/>
    <w:rsid w:val="00EC149E"/>
    <w:rsid w:val="00EC17E1"/>
    <w:rsid w:val="00EC2A5A"/>
    <w:rsid w:val="00EC2F39"/>
    <w:rsid w:val="00EC33D1"/>
    <w:rsid w:val="00EC4314"/>
    <w:rsid w:val="00EC6BBF"/>
    <w:rsid w:val="00EC724A"/>
    <w:rsid w:val="00EC7DC0"/>
    <w:rsid w:val="00ED1016"/>
    <w:rsid w:val="00ED1408"/>
    <w:rsid w:val="00ED1E47"/>
    <w:rsid w:val="00ED2A14"/>
    <w:rsid w:val="00ED37AC"/>
    <w:rsid w:val="00ED44B0"/>
    <w:rsid w:val="00ED5762"/>
    <w:rsid w:val="00ED6918"/>
    <w:rsid w:val="00ED6C19"/>
    <w:rsid w:val="00ED7DEE"/>
    <w:rsid w:val="00EE0CBE"/>
    <w:rsid w:val="00EE2A06"/>
    <w:rsid w:val="00EE335D"/>
    <w:rsid w:val="00EE4765"/>
    <w:rsid w:val="00EE5639"/>
    <w:rsid w:val="00EE5BCB"/>
    <w:rsid w:val="00EE7EF8"/>
    <w:rsid w:val="00EF029D"/>
    <w:rsid w:val="00EF04B5"/>
    <w:rsid w:val="00EF055B"/>
    <w:rsid w:val="00EF22DD"/>
    <w:rsid w:val="00EF73F0"/>
    <w:rsid w:val="00EF79B4"/>
    <w:rsid w:val="00F0071F"/>
    <w:rsid w:val="00F007CA"/>
    <w:rsid w:val="00F008C6"/>
    <w:rsid w:val="00F0104C"/>
    <w:rsid w:val="00F05D3E"/>
    <w:rsid w:val="00F05E46"/>
    <w:rsid w:val="00F0709F"/>
    <w:rsid w:val="00F10F12"/>
    <w:rsid w:val="00F11869"/>
    <w:rsid w:val="00F14C79"/>
    <w:rsid w:val="00F14E49"/>
    <w:rsid w:val="00F16290"/>
    <w:rsid w:val="00F21226"/>
    <w:rsid w:val="00F21361"/>
    <w:rsid w:val="00F21A07"/>
    <w:rsid w:val="00F2397E"/>
    <w:rsid w:val="00F23B4D"/>
    <w:rsid w:val="00F2480B"/>
    <w:rsid w:val="00F25292"/>
    <w:rsid w:val="00F253C7"/>
    <w:rsid w:val="00F26418"/>
    <w:rsid w:val="00F30801"/>
    <w:rsid w:val="00F324D5"/>
    <w:rsid w:val="00F330CC"/>
    <w:rsid w:val="00F34526"/>
    <w:rsid w:val="00F347C1"/>
    <w:rsid w:val="00F349A3"/>
    <w:rsid w:val="00F35129"/>
    <w:rsid w:val="00F35DC2"/>
    <w:rsid w:val="00F4008F"/>
    <w:rsid w:val="00F40B8C"/>
    <w:rsid w:val="00F42571"/>
    <w:rsid w:val="00F436FE"/>
    <w:rsid w:val="00F44BEA"/>
    <w:rsid w:val="00F46118"/>
    <w:rsid w:val="00F50DEC"/>
    <w:rsid w:val="00F50F1C"/>
    <w:rsid w:val="00F5239A"/>
    <w:rsid w:val="00F544ED"/>
    <w:rsid w:val="00F54795"/>
    <w:rsid w:val="00F63A8E"/>
    <w:rsid w:val="00F6440B"/>
    <w:rsid w:val="00F65491"/>
    <w:rsid w:val="00F71763"/>
    <w:rsid w:val="00F72536"/>
    <w:rsid w:val="00F764E2"/>
    <w:rsid w:val="00F7750F"/>
    <w:rsid w:val="00F80F7A"/>
    <w:rsid w:val="00F82575"/>
    <w:rsid w:val="00F85D7A"/>
    <w:rsid w:val="00F867EC"/>
    <w:rsid w:val="00F9086A"/>
    <w:rsid w:val="00F9187B"/>
    <w:rsid w:val="00F92796"/>
    <w:rsid w:val="00F92D09"/>
    <w:rsid w:val="00F9440A"/>
    <w:rsid w:val="00F95DC3"/>
    <w:rsid w:val="00FA0519"/>
    <w:rsid w:val="00FA05ED"/>
    <w:rsid w:val="00FA19C9"/>
    <w:rsid w:val="00FA3291"/>
    <w:rsid w:val="00FA3A47"/>
    <w:rsid w:val="00FA4306"/>
    <w:rsid w:val="00FA4AF8"/>
    <w:rsid w:val="00FA6180"/>
    <w:rsid w:val="00FB1357"/>
    <w:rsid w:val="00FB23F9"/>
    <w:rsid w:val="00FB5B83"/>
    <w:rsid w:val="00FB6660"/>
    <w:rsid w:val="00FC0574"/>
    <w:rsid w:val="00FC2CD3"/>
    <w:rsid w:val="00FC4CFB"/>
    <w:rsid w:val="00FC50D5"/>
    <w:rsid w:val="00FC51B7"/>
    <w:rsid w:val="00FC65ED"/>
    <w:rsid w:val="00FC7BE3"/>
    <w:rsid w:val="00FC7C75"/>
    <w:rsid w:val="00FD1E93"/>
    <w:rsid w:val="00FE0D3A"/>
    <w:rsid w:val="00FE2268"/>
    <w:rsid w:val="00FE575F"/>
    <w:rsid w:val="00FE6963"/>
    <w:rsid w:val="00FF1574"/>
    <w:rsid w:val="00FF19B4"/>
    <w:rsid w:val="00FF24F5"/>
    <w:rsid w:val="00FF4769"/>
    <w:rsid w:val="00FF6431"/>
    <w:rsid w:val="00FF6904"/>
    <w:rsid w:val="00FF78A5"/>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49E6285A"/>
  <w15:docId w15:val="{1F10CE96-0EB9-4BF9-9DA7-4B58CFB1A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C5A11"/>
    <w:pPr>
      <w:widowControl w:val="0"/>
    </w:pPr>
    <w:rPr>
      <w:snapToGrid w:val="0"/>
      <w:kern w:val="28"/>
      <w:sz w:val="22"/>
    </w:rPr>
  </w:style>
  <w:style w:type="paragraph" w:styleId="Heading1">
    <w:name w:val="heading 1"/>
    <w:basedOn w:val="Normal"/>
    <w:next w:val="ParaNum"/>
    <w:qFormat/>
    <w:rsid w:val="004C5A11"/>
    <w:pPr>
      <w:keepNext/>
      <w:numPr>
        <w:numId w:val="5"/>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4C5A11"/>
    <w:pPr>
      <w:keepNext/>
      <w:numPr>
        <w:ilvl w:val="1"/>
        <w:numId w:val="5"/>
      </w:numPr>
      <w:spacing w:after="120"/>
      <w:outlineLvl w:val="1"/>
    </w:pPr>
    <w:rPr>
      <w:b/>
    </w:rPr>
  </w:style>
  <w:style w:type="paragraph" w:styleId="Heading3">
    <w:name w:val="heading 3"/>
    <w:basedOn w:val="Normal"/>
    <w:next w:val="ParaNum"/>
    <w:qFormat/>
    <w:rsid w:val="004C5A11"/>
    <w:pPr>
      <w:keepNext/>
      <w:numPr>
        <w:ilvl w:val="2"/>
        <w:numId w:val="5"/>
      </w:numPr>
      <w:tabs>
        <w:tab w:val="left" w:pos="2160"/>
      </w:tabs>
      <w:spacing w:after="120"/>
      <w:outlineLvl w:val="2"/>
    </w:pPr>
    <w:rPr>
      <w:b/>
    </w:rPr>
  </w:style>
  <w:style w:type="paragraph" w:styleId="Heading4">
    <w:name w:val="heading 4"/>
    <w:basedOn w:val="Normal"/>
    <w:next w:val="ParaNum"/>
    <w:qFormat/>
    <w:rsid w:val="004C5A11"/>
    <w:pPr>
      <w:keepNext/>
      <w:numPr>
        <w:ilvl w:val="3"/>
        <w:numId w:val="5"/>
      </w:numPr>
      <w:tabs>
        <w:tab w:val="left" w:pos="2880"/>
      </w:tabs>
      <w:spacing w:after="120"/>
      <w:outlineLvl w:val="3"/>
    </w:pPr>
    <w:rPr>
      <w:b/>
    </w:rPr>
  </w:style>
  <w:style w:type="paragraph" w:styleId="Heading5">
    <w:name w:val="heading 5"/>
    <w:basedOn w:val="Normal"/>
    <w:next w:val="ParaNum"/>
    <w:qFormat/>
    <w:rsid w:val="004C5A11"/>
    <w:pPr>
      <w:keepNext/>
      <w:numPr>
        <w:ilvl w:val="4"/>
        <w:numId w:val="5"/>
      </w:numPr>
      <w:tabs>
        <w:tab w:val="left" w:pos="3600"/>
      </w:tabs>
      <w:suppressAutoHyphens/>
      <w:spacing w:after="120"/>
      <w:outlineLvl w:val="4"/>
    </w:pPr>
    <w:rPr>
      <w:b/>
    </w:rPr>
  </w:style>
  <w:style w:type="paragraph" w:styleId="Heading6">
    <w:name w:val="heading 6"/>
    <w:basedOn w:val="Normal"/>
    <w:next w:val="ParaNum"/>
    <w:qFormat/>
    <w:rsid w:val="004C5A11"/>
    <w:pPr>
      <w:numPr>
        <w:ilvl w:val="5"/>
        <w:numId w:val="5"/>
      </w:numPr>
      <w:tabs>
        <w:tab w:val="left" w:pos="4320"/>
      </w:tabs>
      <w:spacing w:after="120"/>
      <w:outlineLvl w:val="5"/>
    </w:pPr>
    <w:rPr>
      <w:b/>
    </w:rPr>
  </w:style>
  <w:style w:type="paragraph" w:styleId="Heading7">
    <w:name w:val="heading 7"/>
    <w:basedOn w:val="Normal"/>
    <w:next w:val="ParaNum"/>
    <w:qFormat/>
    <w:rsid w:val="004C5A11"/>
    <w:pPr>
      <w:numPr>
        <w:ilvl w:val="6"/>
        <w:numId w:val="5"/>
      </w:numPr>
      <w:tabs>
        <w:tab w:val="left" w:pos="5040"/>
      </w:tabs>
      <w:spacing w:after="120"/>
      <w:ind w:left="5040" w:hanging="720"/>
      <w:outlineLvl w:val="6"/>
    </w:pPr>
    <w:rPr>
      <w:b/>
    </w:rPr>
  </w:style>
  <w:style w:type="paragraph" w:styleId="Heading8">
    <w:name w:val="heading 8"/>
    <w:basedOn w:val="Normal"/>
    <w:next w:val="ParaNum"/>
    <w:qFormat/>
    <w:rsid w:val="004C5A11"/>
    <w:pPr>
      <w:numPr>
        <w:ilvl w:val="7"/>
        <w:numId w:val="5"/>
      </w:numPr>
      <w:tabs>
        <w:tab w:val="clear" w:pos="5400"/>
        <w:tab w:val="left" w:pos="5760"/>
      </w:tabs>
      <w:spacing w:after="120"/>
      <w:ind w:left="5760" w:hanging="720"/>
      <w:outlineLvl w:val="7"/>
    </w:pPr>
    <w:rPr>
      <w:b/>
    </w:rPr>
  </w:style>
  <w:style w:type="paragraph" w:styleId="Heading9">
    <w:name w:val="heading 9"/>
    <w:basedOn w:val="Normal"/>
    <w:next w:val="ParaNum"/>
    <w:qFormat/>
    <w:rsid w:val="004C5A11"/>
    <w:pPr>
      <w:numPr>
        <w:ilvl w:val="8"/>
        <w:numId w:val="5"/>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4C5A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C5A11"/>
  </w:style>
  <w:style w:type="paragraph" w:styleId="Caption">
    <w:name w:val="caption"/>
    <w:basedOn w:val="Normal"/>
    <w:next w:val="Normal"/>
    <w:qFormat/>
    <w:pPr>
      <w:spacing w:before="120" w:after="120"/>
    </w:pPr>
    <w:rPr>
      <w:b/>
    </w:rPr>
  </w:style>
  <w:style w:type="paragraph" w:customStyle="1" w:styleId="ParaNum">
    <w:name w:val="ParaNum"/>
    <w:basedOn w:val="Normal"/>
    <w:link w:val="ParaNumChar"/>
    <w:rsid w:val="004C5A11"/>
    <w:pPr>
      <w:numPr>
        <w:numId w:val="6"/>
      </w:numPr>
      <w:tabs>
        <w:tab w:val="clear" w:pos="1080"/>
        <w:tab w:val="num" w:pos="1440"/>
      </w:tabs>
      <w:spacing w:after="120"/>
    </w:pPr>
  </w:style>
  <w:style w:type="paragraph" w:styleId="FootnoteText">
    <w:name w:val="footnote text"/>
    <w:aliases w:val="Footnote Text Char Char,Footnote Text Char Char Char1 Char Char Char Char1,Footnote Text Char2,Footnote Text Char2 Char Char,Footnote Text Char2 Char Char Char Char1,Footnote Text Char3,Footnote Text Char3 Char Char Char1,f,fn,fn Char,ft"/>
    <w:link w:val="FootnoteTextChar"/>
    <w:rsid w:val="004C5A11"/>
    <w:pPr>
      <w:spacing w:after="120"/>
    </w:pPr>
  </w:style>
  <w:style w:type="paragraph" w:customStyle="1" w:styleId="Bullet">
    <w:name w:val="Bullet"/>
    <w:basedOn w:val="Normal"/>
    <w:rsid w:val="004C5A11"/>
    <w:pPr>
      <w:tabs>
        <w:tab w:val="left" w:pos="2160"/>
      </w:tabs>
      <w:spacing w:after="220"/>
      <w:ind w:left="2160" w:hanging="720"/>
    </w:pPr>
  </w:style>
  <w:style w:type="paragraph" w:styleId="BlockText">
    <w:name w:val="Block Text"/>
    <w:basedOn w:val="Normal"/>
    <w:rsid w:val="004C5A11"/>
    <w:pPr>
      <w:spacing w:after="240"/>
      <w:ind w:left="1440" w:right="1440"/>
    </w:pPr>
  </w:style>
  <w:style w:type="paragraph" w:customStyle="1" w:styleId="TableFormat">
    <w:name w:val="TableFormat"/>
    <w:basedOn w:val="Bullet"/>
    <w:rsid w:val="004C5A11"/>
    <w:pPr>
      <w:tabs>
        <w:tab w:val="clear" w:pos="2160"/>
        <w:tab w:val="left" w:pos="5040"/>
      </w:tabs>
      <w:ind w:left="5040" w:hanging="3600"/>
    </w:pPr>
  </w:style>
  <w:style w:type="character" w:styleId="FootnoteReference">
    <w:name w:val="footnote reference"/>
    <w:aliases w:val="(NECG) Footnote Reference,Appel note de bas de p,FR,Footnote Reference/,Style 12,Style 124,Style 13,Style 17,Style 3,Style 4,Style 6,fr,o"/>
    <w:rsid w:val="004C5A11"/>
    <w:rPr>
      <w:rFonts w:ascii="Times New Roman" w:hAnsi="Times New Roman"/>
      <w:dstrike w:val="0"/>
      <w:color w:val="auto"/>
      <w:sz w:val="20"/>
      <w:vertAlign w:val="superscript"/>
    </w:rPr>
  </w:style>
  <w:style w:type="paragraph" w:styleId="Header">
    <w:name w:val="header"/>
    <w:basedOn w:val="Normal"/>
    <w:autoRedefine/>
    <w:rsid w:val="004C5A11"/>
    <w:pPr>
      <w:tabs>
        <w:tab w:val="center" w:pos="4680"/>
        <w:tab w:val="right" w:pos="9360"/>
      </w:tabs>
    </w:pPr>
    <w:rPr>
      <w:b/>
    </w:rPr>
  </w:style>
  <w:style w:type="paragraph" w:styleId="Footer">
    <w:name w:val="footer"/>
    <w:basedOn w:val="Normal"/>
    <w:link w:val="FooterChar"/>
    <w:uiPriority w:val="99"/>
    <w:rsid w:val="004C5A11"/>
    <w:pPr>
      <w:tabs>
        <w:tab w:val="center" w:pos="4320"/>
        <w:tab w:val="right" w:pos="8640"/>
      </w:tabs>
    </w:pPr>
  </w:style>
  <w:style w:type="paragraph" w:styleId="TOC2">
    <w:name w:val="toc 2"/>
    <w:basedOn w:val="Normal"/>
    <w:next w:val="Normal"/>
    <w:rsid w:val="004C5A11"/>
    <w:pPr>
      <w:tabs>
        <w:tab w:val="left" w:pos="720"/>
        <w:tab w:val="right" w:leader="dot" w:pos="9360"/>
      </w:tabs>
      <w:suppressAutoHyphens/>
      <w:ind w:left="720" w:right="720" w:hanging="360"/>
    </w:pPr>
    <w:rPr>
      <w:noProof/>
    </w:rPr>
  </w:style>
  <w:style w:type="paragraph" w:customStyle="1" w:styleId="NumberedList">
    <w:name w:val="Numbered List"/>
    <w:basedOn w:val="Normal"/>
    <w:pPr>
      <w:spacing w:after="220"/>
    </w:pPr>
  </w:style>
  <w:style w:type="paragraph" w:styleId="TOC1">
    <w:name w:val="toc 1"/>
    <w:basedOn w:val="Normal"/>
    <w:next w:val="Normal"/>
    <w:rsid w:val="004C5A11"/>
    <w:pPr>
      <w:tabs>
        <w:tab w:val="left" w:pos="360"/>
        <w:tab w:val="right" w:leader="dot" w:pos="9360"/>
      </w:tabs>
      <w:suppressAutoHyphens/>
      <w:ind w:left="360" w:right="720" w:hanging="360"/>
    </w:pPr>
    <w:rPr>
      <w:caps/>
      <w:noProof/>
    </w:rPr>
  </w:style>
  <w:style w:type="paragraph" w:styleId="TOC3">
    <w:name w:val="toc 3"/>
    <w:basedOn w:val="Normal"/>
    <w:next w:val="Normal"/>
    <w:rsid w:val="004C5A1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4C5A1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4C5A1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4C5A1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4C5A1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4C5A1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4C5A11"/>
    <w:pPr>
      <w:tabs>
        <w:tab w:val="left" w:pos="3240"/>
        <w:tab w:val="right" w:leader="dot" w:pos="9360"/>
      </w:tabs>
      <w:suppressAutoHyphens/>
      <w:ind w:left="3240" w:hanging="360"/>
    </w:pPr>
    <w:rPr>
      <w:noProof/>
    </w:rPr>
  </w:style>
  <w:style w:type="character" w:styleId="PageNumber">
    <w:name w:val="page number"/>
    <w:basedOn w:val="DefaultParagraphFont"/>
    <w:rsid w:val="004C5A11"/>
  </w:style>
  <w:style w:type="paragraph" w:styleId="Title">
    <w:name w:val="Title"/>
    <w:basedOn w:val="Normal"/>
    <w:qFormat/>
    <w:pPr>
      <w:jc w:val="center"/>
    </w:pPr>
    <w:rPr>
      <w:b/>
    </w:rPr>
  </w:style>
  <w:style w:type="paragraph" w:styleId="EndnoteText">
    <w:name w:val="endnote text"/>
    <w:basedOn w:val="Normal"/>
    <w:link w:val="EndnoteTextChar"/>
    <w:semiHidden/>
    <w:rsid w:val="004C5A11"/>
    <w:rPr>
      <w:sz w:val="20"/>
    </w:rPr>
  </w:style>
  <w:style w:type="character" w:styleId="EndnoteReference">
    <w:name w:val="endnote reference"/>
    <w:semiHidden/>
    <w:rsid w:val="004C5A11"/>
    <w:rPr>
      <w:vertAlign w:val="superscript"/>
    </w:rPr>
  </w:style>
  <w:style w:type="character" w:customStyle="1" w:styleId="documentbody1">
    <w:name w:val="documentbody1"/>
    <w:rPr>
      <w:rFonts w:ascii="Verdana" w:hAnsi="Verdana" w:hint="default"/>
      <w:sz w:val="19"/>
      <w:szCs w:val="19"/>
    </w:rPr>
  </w:style>
  <w:style w:type="character" w:customStyle="1" w:styleId="text-blue1">
    <w:name w:val="text-blue1"/>
    <w:rPr>
      <w:rFonts w:ascii="Verdana" w:hAnsi="Verdana" w:hint="default"/>
      <w:color w:val="000099"/>
      <w:sz w:val="16"/>
      <w:szCs w:val="16"/>
    </w:rPr>
  </w:style>
  <w:style w:type="character" w:customStyle="1" w:styleId="h21">
    <w:name w:val="h21"/>
    <w:rPr>
      <w:rFonts w:ascii="Verdana" w:hAnsi="Verdana" w:hint="default"/>
      <w:b/>
      <w:bCs/>
      <w:color w:val="000099"/>
      <w:sz w:val="24"/>
      <w:szCs w:val="24"/>
    </w:rPr>
  </w:style>
  <w:style w:type="character" w:styleId="Hyperlink">
    <w:name w:val="Hyperlink"/>
    <w:rsid w:val="004C5A11"/>
    <w:rPr>
      <w:color w:val="0000FF"/>
      <w:u w:val="single"/>
    </w:rPr>
  </w:style>
  <w:style w:type="character" w:customStyle="1" w:styleId="FootnoteTextChar">
    <w:name w:val="Footnote Text Char"/>
    <w:aliases w:val="Footnote Text Char Char Char1,Footnote Text Char2 Char Char Char Char1 Char1,Footnote Text Char2 Char Char Char1,Footnote Text Char2 Char1,Footnote Text Char3 Char Char Char1 Char1,f Char1,fn Char Char,fn Char1,ft Char1"/>
    <w:link w:val="FootnoteText"/>
  </w:style>
  <w:style w:type="character" w:customStyle="1" w:styleId="documentbody5">
    <w:name w:val="documentbody5"/>
    <w:rPr>
      <w:rFonts w:ascii="Verdana" w:hAnsi="Verdana" w:hint="default"/>
      <w:sz w:val="19"/>
      <w:szCs w:val="19"/>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FootnoteTextChar1CharCharChar">
    <w:name w:val="Footnote Text Char1 Char Char Char"/>
    <w:aliases w:val="ALTS FOOTNOTE Char,Footnote Text Char Char Char Char Char,Footnote Text Char1 Char,Footnote Text Char1 Char Char Char Char Char Char Char,Footnote Text Char1 Char2 Char Char Char Char,Footnote Text Char3 Char,ft Char"/>
    <w:locked/>
    <w:rPr>
      <w:rFonts w:cs="Times New Roman"/>
      <w:lang w:val="en-US" w:eastAsia="en-US" w:bidi="ar-SA"/>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character" w:styleId="FollowedHyperlink">
    <w:name w:val="FollowedHyperlink"/>
    <w:rPr>
      <w:color w:val="800080"/>
      <w:u w:val="single"/>
    </w:rPr>
  </w:style>
  <w:style w:type="character" w:styleId="Emphasis">
    <w:name w:val="Emphasis"/>
    <w:uiPriority w:val="20"/>
    <w:qFormat/>
    <w:rPr>
      <w:i/>
      <w:iCs/>
    </w:rPr>
  </w:style>
  <w:style w:type="character" w:customStyle="1" w:styleId="FootnoteTextCharChar1">
    <w:name w:val="Footnote Text Char Char1"/>
    <w:aliases w:val="Footnote Text Char Char4 Char1 Char1,Footnote Text Char4 Char1 Char Char1 Char Char1,Footnote Text Char4 Char1 Char1,Footnote Text Char5 Char1 Char Char Char1,Footnote Text Char6 Char,f Char,ft Char Char Char"/>
    <w:semiHidden/>
    <w:locked/>
    <w:rPr>
      <w:rFonts w:cs="Times New Roman"/>
      <w:lang w:val="en-US" w:eastAsia="en-US" w:bidi="ar-SA"/>
    </w:rPr>
  </w:style>
  <w:style w:type="paragraph" w:styleId="ListParagraph">
    <w:name w:val="List Paragraph"/>
    <w:basedOn w:val="Normal"/>
    <w:uiPriority w:val="34"/>
    <w:qFormat/>
    <w:pPr>
      <w:ind w:left="720"/>
    </w:pPr>
  </w:style>
  <w:style w:type="character" w:customStyle="1" w:styleId="cosearchterm7">
    <w:name w:val="co_searchterm7"/>
    <w:rPr>
      <w:b/>
      <w:bCs/>
      <w:color w:val="252525"/>
    </w:rPr>
  </w:style>
  <w:style w:type="paragraph" w:styleId="TOAHeading">
    <w:name w:val="toa heading"/>
    <w:basedOn w:val="Normal"/>
    <w:next w:val="Normal"/>
    <w:semiHidden/>
    <w:rsid w:val="004C5A11"/>
    <w:pPr>
      <w:tabs>
        <w:tab w:val="right" w:pos="9360"/>
      </w:tabs>
      <w:suppressAutoHyphens/>
    </w:pPr>
  </w:style>
  <w:style w:type="character" w:customStyle="1" w:styleId="EquationCaption">
    <w:name w:val="_Equation Caption"/>
    <w:rsid w:val="004C5A11"/>
  </w:style>
  <w:style w:type="paragraph" w:customStyle="1" w:styleId="Paratitle">
    <w:name w:val="Para title"/>
    <w:basedOn w:val="Normal"/>
    <w:rsid w:val="004C5A11"/>
    <w:pPr>
      <w:tabs>
        <w:tab w:val="center" w:pos="9270"/>
      </w:tabs>
      <w:spacing w:after="240"/>
    </w:pPr>
    <w:rPr>
      <w:spacing w:val="-2"/>
    </w:rPr>
  </w:style>
  <w:style w:type="paragraph" w:customStyle="1" w:styleId="TOCTitle">
    <w:name w:val="TOC Title"/>
    <w:basedOn w:val="Normal"/>
    <w:rsid w:val="004C5A1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C5A11"/>
    <w:pPr>
      <w:jc w:val="center"/>
    </w:pPr>
    <w:rPr>
      <w:rFonts w:ascii="Times New Roman Bold" w:hAnsi="Times New Roman Bold"/>
      <w:b/>
      <w:bCs/>
      <w:caps/>
      <w:szCs w:val="22"/>
    </w:rPr>
  </w:style>
  <w:style w:type="character" w:customStyle="1" w:styleId="CommentTextChar">
    <w:name w:val="Comment Text Char"/>
    <w:link w:val="CommentText"/>
    <w:semiHidden/>
    <w:rPr>
      <w:snapToGrid w:val="0"/>
      <w:kern w:val="28"/>
    </w:rPr>
  </w:style>
  <w:style w:type="paragraph" w:styleId="NormalWeb">
    <w:name w:val="Normal (Web)"/>
    <w:basedOn w:val="Normal"/>
    <w:uiPriority w:val="99"/>
    <w:unhideWhenUsed/>
    <w:pPr>
      <w:widowControl/>
      <w:spacing w:before="100" w:beforeAutospacing="1" w:after="100" w:afterAutospacing="1"/>
    </w:pPr>
    <w:rPr>
      <w:snapToGrid/>
      <w:kern w:val="0"/>
      <w:sz w:val="24"/>
      <w:szCs w:val="24"/>
    </w:rPr>
  </w:style>
  <w:style w:type="paragraph" w:styleId="Revision">
    <w:name w:val="Revision"/>
    <w:hidden/>
    <w:uiPriority w:val="99"/>
    <w:semiHidden/>
    <w:rPr>
      <w:snapToGrid w:val="0"/>
      <w:kern w:val="28"/>
      <w:sz w:val="22"/>
    </w:rPr>
  </w:style>
  <w:style w:type="character" w:customStyle="1" w:styleId="FooterChar">
    <w:name w:val="Footer Char"/>
    <w:link w:val="Footer"/>
    <w:uiPriority w:val="99"/>
    <w:rsid w:val="004C5A11"/>
    <w:rPr>
      <w:snapToGrid w:val="0"/>
      <w:kern w:val="28"/>
      <w:sz w:val="22"/>
    </w:rPr>
  </w:style>
  <w:style w:type="character" w:customStyle="1" w:styleId="ParaNumChar">
    <w:name w:val="ParaNum Char"/>
    <w:link w:val="ParaNum"/>
    <w:rsid w:val="0085768E"/>
    <w:rPr>
      <w:snapToGrid w:val="0"/>
      <w:kern w:val="28"/>
      <w:sz w:val="22"/>
    </w:rPr>
  </w:style>
  <w:style w:type="character" w:customStyle="1" w:styleId="EndnoteTextChar">
    <w:name w:val="Endnote Text Char"/>
    <w:link w:val="EndnoteText"/>
    <w:semiHidden/>
    <w:rsid w:val="0082201D"/>
    <w:rPr>
      <w:snapToGrid w:val="0"/>
      <w:kern w:val="28"/>
    </w:rPr>
  </w:style>
  <w:style w:type="character" w:styleId="UnresolvedMention">
    <w:name w:val="Unresolved Mention"/>
    <w:basedOn w:val="DefaultParagraphFont"/>
    <w:uiPriority w:val="99"/>
    <w:semiHidden/>
    <w:unhideWhenUsed/>
    <w:rsid w:val="00D53459"/>
    <w:rPr>
      <w:color w:val="605E5C"/>
      <w:shd w:val="clear" w:color="auto" w:fill="E1DFDD"/>
    </w:rPr>
  </w:style>
  <w:style w:type="character" w:customStyle="1" w:styleId="FootnoteTextChar1">
    <w:name w:val="Footnote Text Char1"/>
    <w:aliases w:val="Footnote Text Char Char Char,Footnote Text Char Char Char1 Char Char Char Char1 Char,Footnote Text Char2 Char,Footnote Text Char2 Char Char Char,Footnote Text Char2 Char Char Char Char1 Char,Footnote Text Char3 Char Char Char1 Char"/>
    <w:rsid w:val="00901863"/>
  </w:style>
  <w:style w:type="character" w:customStyle="1" w:styleId="markedcontent">
    <w:name w:val="markedcontent"/>
    <w:basedOn w:val="DefaultParagraphFont"/>
    <w:rsid w:val="007920A1"/>
  </w:style>
  <w:style w:type="character" w:customStyle="1" w:styleId="cf01">
    <w:name w:val="cf01"/>
    <w:basedOn w:val="DefaultParagraphFont"/>
    <w:rsid w:val="00AB55ED"/>
    <w:rPr>
      <w:rFonts w:ascii="Segoe UI" w:hAnsi="Segoe UI" w:cs="Segoe UI" w:hint="default"/>
      <w:sz w:val="18"/>
      <w:szCs w:val="18"/>
    </w:rPr>
  </w:style>
  <w:style w:type="character" w:styleId="Mention">
    <w:name w:val="Mention"/>
    <w:basedOn w:val="DefaultParagraphFont"/>
    <w:uiPriority w:val="99"/>
    <w:unhideWhenUsed/>
    <w:rsid w:val="002F688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a.next.westlaw.com/Link/Document/FullText?findType=L&amp;pubNum=1000546&amp;cite=47USCAS154&amp;originatingDoc=If0bcd4d0419011e39ac8bab74931929c&amp;refType=RB&amp;originationContext=document&amp;transitionType=DocumentItem&amp;contextData=(sc.Search)" TargetMode="External" /><Relationship Id="rId6" Type="http://schemas.openxmlformats.org/officeDocument/2006/relationships/hyperlink" Target="https://a.next.westlaw.com/Link/Document/FullText?findType=L&amp;pubNum=1000546&amp;cite=47USCAS303&amp;originatingDoc=If0bcd4d0419011e39ac8bab74931929c&amp;refType=RB&amp;originationContext=document&amp;transitionType=DocumentItem&amp;contextData=(sc.Search)" TargetMode="External" /><Relationship Id="rId7" Type="http://schemas.openxmlformats.org/officeDocument/2006/relationships/hyperlink" Target="https://a.next.westlaw.com/Link/Document/FullText?findType=L&amp;pubNum=1000546&amp;cite=47USCAS316&amp;originatingDoc=If0bcd4d0419011e39ac8bab74931929c&amp;refType=LQ&amp;originationContext=document&amp;transitionType=DocumentItem&amp;contextData=(sc.Search)" TargetMode="External" /><Relationship Id="rId8" Type="http://schemas.openxmlformats.org/officeDocument/2006/relationships/hyperlink" Target="https://a.next.westlaw.com/Link/Document/FullText?findType=L&amp;pubNum=1000547&amp;cite=47CFRS1.87&amp;originatingDoc=If0bcd4d0419011e39ac8bab74931929c&amp;refType=LQ&amp;originationContext=document&amp;transitionType=DocumentItem&amp;contextData=(sc.Search)"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ra.dot.gov/Page/P0152" TargetMode="External" /><Relationship Id="rId2" Type="http://schemas.openxmlformats.org/officeDocument/2006/relationships/hyperlink" Target="https://www.transportation.gov/briefing-room/statement-positive-train-control-implementation" TargetMode="External" /><Relationship Id="rId3" Type="http://schemas.openxmlformats.org/officeDocument/2006/relationships/hyperlink" Target="https://www.census.gov/quickfacts/fact/table/unioncountynewjersey,somersetcountynewjersey,passaiccountynewjersey,morriscountynewjersey,essexcountynewjersey/PST045222" TargetMode="External" /><Relationship Id="rId4" Type="http://schemas.openxmlformats.org/officeDocument/2006/relationships/hyperlink" Target="https://www.census.gov/quickfacts/fact/table/orangecountynewyork,newhavencountyconnecticut,fairfieldcountyconnecticut,dutchesscountynewyork,US/PST045222"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