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P="00E4677C" w14:paraId="0172E43D" w14:textId="77777777">
      <w:pPr>
        <w:jc w:val="center"/>
        <w:rPr>
          <w:b/>
        </w:rPr>
      </w:pPr>
      <w:r w:rsidRPr="0070224F">
        <w:rPr>
          <w:rFonts w:ascii="Times New Roman Bold" w:hAnsi="Times New Roman Bold"/>
          <w:b/>
          <w:kern w:val="0"/>
          <w:szCs w:val="22"/>
        </w:rPr>
        <w:t>Before</w:t>
      </w:r>
      <w:r>
        <w:rPr>
          <w:b/>
        </w:rPr>
        <w:t xml:space="preserve"> the</w:t>
      </w:r>
    </w:p>
    <w:p w:rsidR="00E4677C" w:rsidP="00E4677C" w14:paraId="2FAAB72D" w14:textId="77777777">
      <w:pPr>
        <w:pStyle w:val="StyleBoldCentered"/>
      </w:pPr>
      <w:r>
        <w:t>F</w:t>
      </w:r>
      <w:r>
        <w:rPr>
          <w:caps w:val="0"/>
        </w:rPr>
        <w:t>ederal Communications Commission</w:t>
      </w:r>
    </w:p>
    <w:p w:rsidR="00E4677C" w:rsidP="00E4677C" w14:paraId="434209F9" w14:textId="77777777">
      <w:pPr>
        <w:pStyle w:val="StyleBoldCentered"/>
      </w:pPr>
      <w:r>
        <w:rPr>
          <w:caps w:val="0"/>
        </w:rPr>
        <w:t>Washington, D.C. 20554</w:t>
      </w:r>
    </w:p>
    <w:p w:rsidR="00E4677C" w:rsidP="00E4677C" w14:paraId="57856584" w14:textId="77777777"/>
    <w:p w:rsidR="00E4677C"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P="00292B7E" w14:paraId="5F9480BF" w14:textId="77777777">
            <w:pPr>
              <w:tabs>
                <w:tab w:val="center" w:pos="4680"/>
              </w:tabs>
              <w:suppressAutoHyphens/>
              <w:rPr>
                <w:spacing w:val="-2"/>
              </w:rPr>
            </w:pPr>
            <w:r>
              <w:rPr>
                <w:spacing w:val="-2"/>
              </w:rPr>
              <w:t>In the Matter of</w:t>
            </w:r>
          </w:p>
          <w:p w:rsidR="00E4677C" w:rsidP="00292B7E" w14:paraId="5F1C1A91" w14:textId="77777777">
            <w:pPr>
              <w:tabs>
                <w:tab w:val="center" w:pos="4680"/>
              </w:tabs>
              <w:suppressAutoHyphens/>
              <w:rPr>
                <w:spacing w:val="-2"/>
              </w:rPr>
            </w:pPr>
          </w:p>
          <w:p w:rsidR="00E4677C" w:rsidRPr="007115F7" w:rsidP="00292B7E" w14:paraId="54341E31" w14:textId="4A47A084">
            <w:pPr>
              <w:tabs>
                <w:tab w:val="center" w:pos="4680"/>
              </w:tabs>
              <w:suppressAutoHyphens/>
              <w:rPr>
                <w:spacing w:val="-2"/>
              </w:rPr>
            </w:pPr>
            <w:r w:rsidRPr="008F3371">
              <w:rPr>
                <w:spacing w:val="-2"/>
              </w:rPr>
              <w:t>Etihad Etisalat (Mobily)</w:t>
            </w:r>
          </w:p>
        </w:tc>
        <w:tc>
          <w:tcPr>
            <w:tcW w:w="630" w:type="dxa"/>
          </w:tcPr>
          <w:p w:rsidR="00E4677C" w:rsidP="00292B7E" w14:paraId="6E771EC1" w14:textId="77777777">
            <w:pPr>
              <w:tabs>
                <w:tab w:val="center" w:pos="4680"/>
              </w:tabs>
              <w:suppressAutoHyphens/>
              <w:rPr>
                <w:b/>
                <w:spacing w:val="-2"/>
              </w:rPr>
            </w:pPr>
            <w:r>
              <w:rPr>
                <w:b/>
                <w:spacing w:val="-2"/>
              </w:rPr>
              <w:t>)</w:t>
            </w:r>
          </w:p>
          <w:p w:rsidR="00E4677C" w:rsidP="00292B7E" w14:paraId="6AE3D3F6" w14:textId="77777777">
            <w:pPr>
              <w:tabs>
                <w:tab w:val="center" w:pos="4680"/>
              </w:tabs>
              <w:suppressAutoHyphens/>
              <w:rPr>
                <w:b/>
                <w:spacing w:val="-2"/>
              </w:rPr>
            </w:pPr>
            <w:r>
              <w:rPr>
                <w:b/>
                <w:spacing w:val="-2"/>
              </w:rPr>
              <w:t>)</w:t>
            </w:r>
          </w:p>
          <w:p w:rsidR="00E4677C" w:rsidP="00292B7E" w14:paraId="41477C54" w14:textId="77777777">
            <w:pPr>
              <w:tabs>
                <w:tab w:val="center" w:pos="4680"/>
              </w:tabs>
              <w:suppressAutoHyphens/>
              <w:rPr>
                <w:b/>
                <w:spacing w:val="-2"/>
              </w:rPr>
            </w:pPr>
            <w:r>
              <w:rPr>
                <w:b/>
                <w:spacing w:val="-2"/>
              </w:rPr>
              <w:t>)</w:t>
            </w:r>
          </w:p>
          <w:p w:rsidR="00E4677C" w:rsidRPr="006B4180" w:rsidP="00292B7E" w14:paraId="6E797502" w14:textId="77777777">
            <w:pPr>
              <w:tabs>
                <w:tab w:val="center" w:pos="4680"/>
              </w:tabs>
              <w:suppressAutoHyphens/>
              <w:rPr>
                <w:b/>
                <w:spacing w:val="-2"/>
              </w:rPr>
            </w:pPr>
            <w:r>
              <w:rPr>
                <w:b/>
                <w:spacing w:val="-2"/>
              </w:rPr>
              <w:t>)</w:t>
            </w:r>
          </w:p>
        </w:tc>
        <w:tc>
          <w:tcPr>
            <w:tcW w:w="4248" w:type="dxa"/>
          </w:tcPr>
          <w:p w:rsidR="00E4677C" w:rsidP="00292B7E" w14:paraId="448ACD68" w14:textId="77777777">
            <w:pPr>
              <w:tabs>
                <w:tab w:val="center" w:pos="4680"/>
              </w:tabs>
              <w:suppressAutoHyphens/>
              <w:rPr>
                <w:spacing w:val="-2"/>
              </w:rPr>
            </w:pPr>
          </w:p>
          <w:p w:rsidR="00E4677C" w:rsidP="00292B7E" w14:paraId="1BF6D60A" w14:textId="77777777">
            <w:pPr>
              <w:pStyle w:val="TOAHeading"/>
              <w:tabs>
                <w:tab w:val="center" w:pos="4680"/>
                <w:tab w:val="clear" w:pos="9360"/>
              </w:tabs>
              <w:rPr>
                <w:spacing w:val="-2"/>
              </w:rPr>
            </w:pPr>
          </w:p>
          <w:p w:rsidR="00E4677C" w:rsidP="00292B7E" w14:paraId="677E0D81" w14:textId="537798AD">
            <w:pPr>
              <w:tabs>
                <w:tab w:val="center" w:pos="4680"/>
              </w:tabs>
              <w:suppressAutoHyphens/>
              <w:rPr>
                <w:spacing w:val="-2"/>
              </w:rPr>
            </w:pPr>
            <w:r w:rsidRPr="00C90256">
              <w:rPr>
                <w:spacing w:val="-2"/>
              </w:rPr>
              <w:t>EB-TCD-23-00034920</w:t>
            </w:r>
          </w:p>
        </w:tc>
      </w:tr>
    </w:tbl>
    <w:p w:rsidR="00E4677C" w:rsidP="00E4677C" w14:paraId="44DB4C6B" w14:textId="77777777"/>
    <w:p w:rsidR="00E4677C" w:rsidP="00E4677C" w14:paraId="2C0F8DFF" w14:textId="77777777">
      <w:pPr>
        <w:pStyle w:val="StyleBoldCentered"/>
      </w:pPr>
      <w:r>
        <w:t>Order</w:t>
      </w:r>
    </w:p>
    <w:p w:rsidR="00E4677C" w:rsidP="00E4677C" w14:paraId="6BC74367" w14:textId="77777777">
      <w:pPr>
        <w:tabs>
          <w:tab w:val="left" w:pos="-720"/>
        </w:tabs>
        <w:suppressAutoHyphens/>
        <w:spacing w:line="227" w:lineRule="auto"/>
        <w:rPr>
          <w:spacing w:val="-2"/>
        </w:rPr>
      </w:pPr>
    </w:p>
    <w:p w:rsidR="00E4677C" w:rsidP="00E4677C" w14:paraId="5671C977" w14:textId="0E2B1DB0">
      <w:pPr>
        <w:tabs>
          <w:tab w:val="left" w:pos="720"/>
          <w:tab w:val="right" w:pos="9360"/>
        </w:tabs>
        <w:suppressAutoHyphens/>
        <w:spacing w:line="227" w:lineRule="auto"/>
        <w:rPr>
          <w:spacing w:val="-2"/>
        </w:rPr>
      </w:pPr>
      <w:r>
        <w:rPr>
          <w:b/>
          <w:spacing w:val="-2"/>
        </w:rPr>
        <w:t xml:space="preserve">Adopted:  </w:t>
      </w:r>
      <w:r w:rsidR="000D74ED">
        <w:rPr>
          <w:b/>
          <w:spacing w:val="-2"/>
        </w:rPr>
        <w:t>October 16, 2023</w:t>
      </w:r>
      <w:r>
        <w:rPr>
          <w:b/>
          <w:spacing w:val="-2"/>
        </w:rPr>
        <w:tab/>
        <w:t xml:space="preserve">Released:  </w:t>
      </w:r>
      <w:r w:rsidR="000D74ED">
        <w:rPr>
          <w:b/>
          <w:spacing w:val="-2"/>
        </w:rPr>
        <w:t>October 16, 2023</w:t>
      </w:r>
    </w:p>
    <w:p w:rsidR="00E4677C" w:rsidP="00E4677C" w14:paraId="664ACE98" w14:textId="77777777"/>
    <w:p w:rsidR="00E4677C" w:rsidP="00E4677C" w14:paraId="5EE47A6E" w14:textId="77777777">
      <w:pPr>
        <w:rPr>
          <w:spacing w:val="-2"/>
        </w:rPr>
      </w:pPr>
      <w:r>
        <w:t>By the Chief</w:t>
      </w:r>
      <w:r w:rsidR="00AD0882">
        <w:t xml:space="preserve">, </w:t>
      </w:r>
      <w:r>
        <w:t>Enforcement Bureau</w:t>
      </w:r>
      <w:r>
        <w:rPr>
          <w:spacing w:val="-2"/>
        </w:rPr>
        <w:t>:</w:t>
      </w:r>
    </w:p>
    <w:p w:rsidR="00E4677C" w:rsidP="00E4677C" w14:paraId="7E39A64C" w14:textId="77777777">
      <w:pPr>
        <w:rPr>
          <w:spacing w:val="-2"/>
        </w:rPr>
      </w:pPr>
    </w:p>
    <w:p w:rsidR="00E4677C" w:rsidP="00E4677C" w14:paraId="04ADB7BC" w14:textId="77777777">
      <w:pPr>
        <w:pStyle w:val="Heading1"/>
      </w:pPr>
      <w:r>
        <w:t>introduction</w:t>
      </w:r>
    </w:p>
    <w:p w:rsidR="00E4677C" w:rsidP="00E4677C" w14:paraId="176E602C" w14:textId="4E19C6DA">
      <w:pPr>
        <w:pStyle w:val="ParaNum"/>
      </w:pPr>
      <w:r>
        <w:t xml:space="preserve">By this Order, we direct </w:t>
      </w:r>
      <w:r w:rsidRPr="008F3371" w:rsidR="008F3371">
        <w:t>Etihad Etisalat (Mobily)</w:t>
      </w:r>
      <w:r>
        <w:t xml:space="preserve"> (</w:t>
      </w:r>
      <w:r w:rsidRPr="008F3371" w:rsidR="008F3371">
        <w:t xml:space="preserve">Mobily </w:t>
      </w:r>
      <w:r>
        <w:t xml:space="preserve">or Company) to demonstrate why the Enforcement Bureau of the Federal Communications Commission (Commission or FCC) should not remove </w:t>
      </w:r>
      <w:r w:rsidRPr="008F3371" w:rsidR="008F3371">
        <w:t xml:space="preserve">Mobily </w:t>
      </w:r>
      <w:r>
        <w:t xml:space="preserve">from the Robocall Mitigation Database.  </w:t>
      </w:r>
      <w:bookmarkStart w:id="0" w:name="_Hlk146702098"/>
      <w:r w:rsidR="006901C1">
        <w:t xml:space="preserve">Mobily’s robocall mitigation plan does not satisfy the Commission’s rules requiring voice service providers describe </w:t>
      </w:r>
      <w:r w:rsidRPr="00120D21" w:rsidR="006901C1">
        <w:t xml:space="preserve">the specific reasonable steps </w:t>
      </w:r>
      <w:r w:rsidR="006901C1">
        <w:t>they have</w:t>
      </w:r>
      <w:r w:rsidRPr="00120D21" w:rsidR="006901C1">
        <w:t xml:space="preserve"> taken to avoid originating illegal robocall traffic</w:t>
      </w:r>
      <w:r w:rsidR="006901C1">
        <w:t xml:space="preserve"> and is therefore apparently deficient.</w:t>
      </w:r>
      <w:r w:rsidRPr="00DA3E5A" w:rsidR="006901C1">
        <w:rPr>
          <w:b/>
          <w:bCs/>
        </w:rPr>
        <w:t xml:space="preserve"> </w:t>
      </w:r>
      <w:r w:rsidR="006901C1">
        <w:rPr>
          <w:b/>
          <w:bCs/>
        </w:rPr>
        <w:t xml:space="preserve"> </w:t>
      </w:r>
      <w:bookmarkEnd w:id="0"/>
      <w:r w:rsidRPr="00DA3E5A">
        <w:rPr>
          <w:b/>
          <w:bCs/>
        </w:rPr>
        <w:t>Removal from the database would require all intermediate providers and terminating voice service providers to cease accepting the Company’s traffic.</w:t>
      </w:r>
      <w:bookmarkStart w:id="1" w:name="_Ref140565332"/>
      <w:r>
        <w:rPr>
          <w:rStyle w:val="FootnoteReference"/>
          <w:b/>
          <w:bCs/>
        </w:rPr>
        <w:footnoteReference w:id="3"/>
      </w:r>
      <w:bookmarkEnd w:id="1"/>
      <w:r w:rsidR="008061DD">
        <w:rPr>
          <w:b/>
          <w:bCs/>
        </w:rPr>
        <w:t xml:space="preserve">  If that were to occur, </w:t>
      </w:r>
      <w:r w:rsidR="00A6225E">
        <w:rPr>
          <w:b/>
          <w:bCs/>
        </w:rPr>
        <w:t xml:space="preserve">intermediate providers and voice service providers would be required to block </w:t>
      </w:r>
      <w:r w:rsidR="00A6225E">
        <w:rPr>
          <w:b/>
          <w:bCs/>
          <w:i/>
          <w:iCs/>
        </w:rPr>
        <w:t>all</w:t>
      </w:r>
      <w:r w:rsidR="00A6225E">
        <w:rPr>
          <w:b/>
          <w:bCs/>
        </w:rPr>
        <w:t xml:space="preserve"> calls from the Company</w:t>
      </w:r>
      <w:r w:rsidR="000032A2">
        <w:rPr>
          <w:b/>
          <w:bCs/>
        </w:rPr>
        <w:t xml:space="preserve"> using U.S. North American Numbering Plan (NANP) resources to send voice traffic to </w:t>
      </w:r>
      <w:r w:rsidR="003810D2">
        <w:rPr>
          <w:b/>
          <w:bCs/>
        </w:rPr>
        <w:t>residential or business subscribers in the United States</w:t>
      </w:r>
      <w:r w:rsidR="008061DD">
        <w:rPr>
          <w:b/>
          <w:bCs/>
        </w:rPr>
        <w:t>.</w:t>
      </w:r>
      <w:r>
        <w:rPr>
          <w:rStyle w:val="FootnoteReference"/>
          <w:b/>
          <w:bCs/>
        </w:rPr>
        <w:footnoteReference w:id="4"/>
      </w:r>
      <w:r>
        <w:t xml:space="preserve">  </w:t>
      </w:r>
      <w:r w:rsidRPr="00230159" w:rsidR="00230159">
        <w:t>Mobily</w:t>
      </w:r>
      <w:r w:rsidR="007C4281">
        <w:t xml:space="preserve"> </w:t>
      </w:r>
      <w:r>
        <w:t xml:space="preserve">must </w:t>
      </w:r>
      <w:r w:rsidR="00AD1921">
        <w:t>provide its response</w:t>
      </w:r>
      <w:r>
        <w:t xml:space="preserve"> to the</w:t>
      </w:r>
      <w:r w:rsidR="00AC67CA">
        <w:t xml:space="preserve"> Enforcement</w:t>
      </w:r>
      <w:r>
        <w:t xml:space="preserve"> Bureau no later than </w:t>
      </w:r>
      <w:r w:rsidR="000D74ED">
        <w:t>October 30, 2023.</w:t>
      </w:r>
    </w:p>
    <w:p w:rsidR="00E4677C" w:rsidP="00E4677C" w14:paraId="006C264B" w14:textId="77777777">
      <w:pPr>
        <w:pStyle w:val="Heading1"/>
      </w:pPr>
      <w:r>
        <w:t>Backround</w:t>
      </w:r>
    </w:p>
    <w:p w:rsidR="00E4677C" w:rsidP="00FB2567" w14:paraId="5005C876" w14:textId="11398756">
      <w:pPr>
        <w:pStyle w:val="Heading2"/>
      </w:pPr>
      <w:r>
        <w:t>Robocall Mitigation Database Requirements</w:t>
      </w:r>
    </w:p>
    <w:p w:rsidR="005F3F5C" w:rsidP="007F4D98" w14:paraId="08E84012" w14:textId="4C06118D">
      <w:pPr>
        <w:pStyle w:val="ParaNum"/>
      </w:pPr>
      <w:r>
        <w:t>Protecting Americans from the dangers of unwanted and illegal robocalls is the Commission’s top consumer protection priority.</w:t>
      </w:r>
      <w:r>
        <w:rPr>
          <w:rStyle w:val="FootnoteReference"/>
        </w:rPr>
        <w:footnoteReference w:id="5"/>
      </w:r>
      <w:r>
        <w:t xml:space="preserve">  As part of the Commission’s multiprong</w:t>
      </w:r>
      <w:r w:rsidR="00A921E9">
        <w:t>ed</w:t>
      </w:r>
      <w:r>
        <w:t xml:space="preserve"> approach to combatting illegal robocalls, the Commission has mandated adoption of the Secure Telephony Identity Revisited/Signature-based Handling of Asserted Information using </w:t>
      </w:r>
      <w:r>
        <w:t>toKENs</w:t>
      </w:r>
      <w:r>
        <w:t xml:space="preserve"> (STIR/SHAKEN) caller ID </w:t>
      </w:r>
      <w:r>
        <w:t>authentication framework.</w:t>
      </w:r>
      <w:r>
        <w:rPr>
          <w:rStyle w:val="FootnoteReference"/>
        </w:rPr>
        <w:footnoteReference w:id="6"/>
      </w:r>
      <w:r>
        <w:t xml:space="preserve">  The Commission extended the implementation deadline for certain voice service providers</w:t>
      </w:r>
      <w:r>
        <w:rPr>
          <w:rStyle w:val="FootnoteReference"/>
        </w:rPr>
        <w:footnoteReference w:id="7"/>
      </w:r>
      <w:r>
        <w:t xml:space="preserve"> on the basis of undue hardship or material reliance on a non-</w:t>
      </w:r>
      <w:r w:rsidR="006901C1">
        <w:t>Internet Protocol (</w:t>
      </w:r>
      <w:r>
        <w:t>IP</w:t>
      </w:r>
      <w:r w:rsidR="006901C1">
        <w:t>)</w:t>
      </w:r>
      <w:r>
        <w:t xml:space="preserve"> network</w:t>
      </w:r>
      <w:r w:rsidR="00A921E9">
        <w:t>.</w:t>
      </w:r>
      <w:r>
        <w:rPr>
          <w:rStyle w:val="FootnoteReference"/>
        </w:rPr>
        <w:footnoteReference w:id="8"/>
      </w:r>
      <w:r>
        <w:t xml:space="preserve"> </w:t>
      </w:r>
      <w:r w:rsidR="00AD1921">
        <w:t xml:space="preserve"> </w:t>
      </w:r>
      <w:r w:rsidR="00CA46D9">
        <w:t>Voice s</w:t>
      </w:r>
      <w:r w:rsidR="00A921E9">
        <w:t>ervice</w:t>
      </w:r>
      <w:r>
        <w:t xml:space="preserve"> providers</w:t>
      </w:r>
      <w:r w:rsidR="00A921E9">
        <w:t xml:space="preserve"> that received an extension were required to</w:t>
      </w:r>
      <w:r>
        <w:t xml:space="preserve"> implement a robocall mitigation program to prevent unlawful robocalls from originating on their networks.</w:t>
      </w:r>
      <w:r>
        <w:rPr>
          <w:rStyle w:val="FootnoteReference"/>
        </w:rPr>
        <w:footnoteReference w:id="9"/>
      </w:r>
      <w:r>
        <w:t xml:space="preserve">  Furthermore, all voice service providers</w:t>
      </w:r>
      <w:r w:rsidR="00F86C22">
        <w:t xml:space="preserve"> </w:t>
      </w:r>
      <w:r w:rsidR="00A921E9">
        <w:t>were required to</w:t>
      </w:r>
      <w:r>
        <w:t xml:space="preserve"> file certifications with the Commission</w:t>
      </w:r>
      <w:r w:rsidR="00A921E9">
        <w:t>,</w:t>
      </w:r>
      <w:r>
        <w:t xml:space="preserve"> stating whether their traffic is authenticated with STIR/SHAKEN or subject to a robocall mitigation program.</w:t>
      </w:r>
      <w:r>
        <w:rPr>
          <w:rStyle w:val="FootnoteReference"/>
        </w:rPr>
        <w:footnoteReference w:id="10"/>
      </w:r>
      <w:r>
        <w:t xml:space="preserve">  Voice service providers</w:t>
      </w:r>
      <w:r w:rsidR="00C52BC8">
        <w:t xml:space="preserve"> whose traffic is</w:t>
      </w:r>
      <w:r>
        <w:t xml:space="preserve"> subject to a robocall mitigation </w:t>
      </w:r>
      <w:r w:rsidR="00C52BC8">
        <w:t xml:space="preserve">program </w:t>
      </w:r>
      <w:r>
        <w:t xml:space="preserve">must detail in </w:t>
      </w:r>
      <w:r w:rsidR="00F86C22">
        <w:t>a robocall mitigati</w:t>
      </w:r>
      <w:r w:rsidR="00B60DDF">
        <w:t>on plan</w:t>
      </w:r>
      <w:r w:rsidR="00F86C22">
        <w:t xml:space="preserve"> attached to their certification</w:t>
      </w:r>
      <w:r w:rsidR="00F07FC9">
        <w:t>s</w:t>
      </w:r>
      <w:r w:rsidR="00F86C22">
        <w:t xml:space="preserve"> </w:t>
      </w:r>
      <w:r>
        <w:t>the specific reasonable steps they have taken to avoid originating illegal robocall traffic.</w:t>
      </w:r>
      <w:r>
        <w:rPr>
          <w:rStyle w:val="FootnoteReference"/>
        </w:rPr>
        <w:footnoteReference w:id="11"/>
      </w:r>
      <w:r>
        <w:t xml:space="preserve">   </w:t>
      </w:r>
    </w:p>
    <w:p w:rsidR="005F3F5C" w:rsidP="005F3F5C" w14:paraId="50EEB261" w14:textId="77777777">
      <w:pPr>
        <w:pStyle w:val="ParaNum"/>
      </w:pPr>
      <w:r>
        <w:t>In 2022, the Commission adopted rules requiring gateway providers to implement STIR/SHAKEN for foreign-originated calls made to U.S. numbers.</w:t>
      </w:r>
      <w:r>
        <w:rPr>
          <w:rStyle w:val="FootnoteReference"/>
        </w:rPr>
        <w:footnoteReference w:id="12"/>
      </w:r>
      <w:r w:rsidR="007C3D2B">
        <w:t xml:space="preserve">  The Commission also required all gateway providers to </w:t>
      </w:r>
      <w:r w:rsidR="00F31F5D">
        <w:t>implement</w:t>
      </w:r>
      <w:r w:rsidR="007C3D2B">
        <w:t xml:space="preserve"> a robocall mitigation </w:t>
      </w:r>
      <w:r w:rsidR="00F31F5D">
        <w:t>program</w:t>
      </w:r>
      <w:r w:rsidR="007C3D2B">
        <w:t>, regardless of whether they had implemented STIR/SHAKEN on their networks.</w:t>
      </w:r>
      <w:r>
        <w:rPr>
          <w:rStyle w:val="FootnoteReference"/>
        </w:rPr>
        <w:footnoteReference w:id="13"/>
      </w:r>
      <w:r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4"/>
      </w:r>
      <w:r w:rsidR="000F75C8">
        <w:t xml:space="preserve"> </w:t>
      </w:r>
      <w:r w:rsidR="00870B72">
        <w:t xml:space="preserve"> </w:t>
      </w:r>
    </w:p>
    <w:p w:rsidR="001159A4" w:rsidP="009E1CBD" w14:paraId="703E03C9" w14:textId="223F37ED">
      <w:pPr>
        <w:pStyle w:val="ParaNum"/>
      </w:pPr>
      <w:r>
        <w:t xml:space="preserve">In March 2023, </w:t>
      </w:r>
      <w:r w:rsidR="006901C1">
        <w:t>t</w:t>
      </w:r>
      <w:r w:rsidR="00FB4CC8">
        <w:t xml:space="preserve">he Commission </w:t>
      </w:r>
      <w:r>
        <w:t>adopted rules</w:t>
      </w:r>
      <w:r w:rsidR="00B45BE3">
        <w:t xml:space="preserve"> extending to</w:t>
      </w:r>
      <w:r>
        <w:t xml:space="preserve"> all </w:t>
      </w:r>
      <w:r w:rsidR="00B45BE3">
        <w:t xml:space="preserve">providers—whether they are </w:t>
      </w:r>
      <w:r>
        <w:t xml:space="preserve">voice service providers, </w:t>
      </w:r>
      <w:r w:rsidR="00B45BE3">
        <w:t>gateway</w:t>
      </w:r>
      <w:r>
        <w:t xml:space="preserve"> providers</w:t>
      </w:r>
      <w:r w:rsidR="00B45BE3">
        <w:t>, or non-gateway intermediate providers—the requirement to implement a robocall mitigation</w:t>
      </w:r>
      <w:r w:rsidR="00B41221">
        <w:t xml:space="preserve"> program, regardless of whether their traffic is authenticated with STIR/SHAKEN.</w:t>
      </w:r>
      <w:r>
        <w:rPr>
          <w:rStyle w:val="FootnoteReference"/>
        </w:rPr>
        <w:footnoteReference w:id="15"/>
      </w:r>
      <w:r w:rsidR="00B41221">
        <w:t xml:space="preserve">  </w:t>
      </w:r>
      <w:r w:rsidR="00B45BE3">
        <w:t xml:space="preserve">The Commission also expanded to all providers </w:t>
      </w:r>
      <w:r w:rsidR="000F75C8">
        <w:t xml:space="preserve">the requirement to file certifications in the </w:t>
      </w:r>
      <w:r w:rsidR="00B41221">
        <w:t>Robocall Mitigation Database</w:t>
      </w:r>
      <w:r w:rsidR="00A035BA">
        <w:t xml:space="preserve"> reporting</w:t>
      </w:r>
      <w:r w:rsidR="006901C1">
        <w:t xml:space="preserve">: </w:t>
      </w:r>
      <w:r w:rsidR="00B41221">
        <w:t xml:space="preserve"> </w:t>
      </w:r>
      <w:r w:rsidR="006B0239">
        <w:t>(1</w:t>
      </w:r>
      <w:r w:rsidR="00B41221">
        <w:t>) the extent to which they have implemented STIR/SHAKEN authentication on their networks, and</w:t>
      </w:r>
      <w:r w:rsidR="006B0239">
        <w:t xml:space="preserve"> (2</w:t>
      </w:r>
      <w:r w:rsidR="00B41221">
        <w:t>)</w:t>
      </w:r>
      <w:r w:rsidR="00A035BA">
        <w:t xml:space="preserve"> </w:t>
      </w:r>
      <w:r>
        <w:t>the</w:t>
      </w:r>
      <w:r w:rsidR="00A035BA">
        <w:t xml:space="preserve"> details of their robocall mitigation programs, including the specific reasonable steps</w:t>
      </w:r>
      <w:r w:rsidR="00C30493">
        <w:t xml:space="preserve"> they have taken to avoid originating, carrying, or processing illegal robocall traffic.</w:t>
      </w:r>
      <w:r>
        <w:rPr>
          <w:rStyle w:val="FootnoteReference"/>
        </w:rPr>
        <w:footnoteReference w:id="16"/>
      </w:r>
      <w:r>
        <w:t xml:space="preserve"> </w:t>
      </w:r>
      <w:r w:rsidR="00082CED">
        <w:t xml:space="preserve"> </w:t>
      </w:r>
      <w:r>
        <w:t>The expanded certification requirements are not yet in effec</w:t>
      </w:r>
      <w:r w:rsidR="00121E41">
        <w:t>t.</w:t>
      </w:r>
      <w:r>
        <w:rPr>
          <w:rStyle w:val="FootnoteReference"/>
        </w:rPr>
        <w:footnoteReference w:id="17"/>
      </w:r>
      <w:r w:rsidR="00121E41">
        <w:t xml:space="preserve">  </w:t>
      </w:r>
      <w:r>
        <w:t xml:space="preserve"> </w:t>
      </w:r>
    </w:p>
    <w:p w:rsidR="00FB4CC8" w:rsidP="009E1CBD" w14:paraId="162419FA" w14:textId="6B5EC6F6">
      <w:pPr>
        <w:pStyle w:val="ParaNum"/>
      </w:pPr>
      <w:r>
        <w:t>Currently, voice service providers</w:t>
      </w:r>
      <w:r w:rsidR="00121E41">
        <w:t xml:space="preserve"> that have not fully implemented STIR/SHAKEN authentication on their networks pursuant to an extension granted by the Commission</w:t>
      </w:r>
      <w:r w:rsidR="007F0B73">
        <w:t>,</w:t>
      </w:r>
      <w:r w:rsidR="00121E41">
        <w:t xml:space="preserve"> </w:t>
      </w:r>
      <w:r w:rsidR="00A036E8">
        <w:t xml:space="preserve">and </w:t>
      </w:r>
      <w:r>
        <w:t xml:space="preserve">gateway providers </w:t>
      </w:r>
      <w:r w:rsidR="00121E41">
        <w:t>must</w:t>
      </w:r>
      <w:r>
        <w:t xml:space="preserve"> submit certifications </w:t>
      </w:r>
      <w:r w:rsidR="00A036E8">
        <w:t>to the Robocall Mitigation Database</w:t>
      </w:r>
      <w:r w:rsidR="00121E41">
        <w:t xml:space="preserve"> that include adequate robocall mitigation plans.</w:t>
      </w:r>
      <w:r>
        <w:rPr>
          <w:rStyle w:val="FootnoteReference"/>
        </w:rPr>
        <w:footnoteReference w:id="18"/>
      </w:r>
      <w:r>
        <w:t xml:space="preserve"> </w:t>
      </w:r>
      <w:r w:rsidR="000F75C8">
        <w:t xml:space="preserve"> </w:t>
      </w:r>
      <w:r w:rsidR="00FD2C6B">
        <w:t>Although Commission rules do not require foreign voice service providers to submit a certification in the Robocall Mitigation Database, foreign voice service providers that use U.S. telephone numbers to send voice traffic to U.S. subscribers must follow the same certification requirements as domestic voice service providers in order to be listed in the database.</w:t>
      </w:r>
      <w:r>
        <w:rPr>
          <w:rStyle w:val="FootnoteReference"/>
        </w:rPr>
        <w:footnoteReference w:id="19"/>
      </w:r>
      <w:r w:rsidR="00A93C18">
        <w:t xml:space="preserve"> </w:t>
      </w:r>
      <w:r w:rsidR="00034611">
        <w:t xml:space="preserve"> </w:t>
      </w:r>
      <w:r w:rsidR="00121E41">
        <w:t>Provider certifications and robocall mitigation plans are publicly available in the Robocall Mitigation Database.</w:t>
      </w:r>
      <w:r>
        <w:rPr>
          <w:rStyle w:val="FootnoteReference"/>
        </w:rPr>
        <w:footnoteReference w:id="20"/>
      </w:r>
      <w:r w:rsidR="00121E41">
        <w:t xml:space="preserve">  </w:t>
      </w:r>
    </w:p>
    <w:p w:rsidR="00E4677C" w:rsidP="00E4677C" w14:paraId="02054B4A" w14:textId="63B78E9A">
      <w:pPr>
        <w:pStyle w:val="ParaNum"/>
      </w:pPr>
      <w:r>
        <w:t>Commission rules prohibit any intermediate provider or terminating voice service provider from accepting voice traffic directly from any voice service provider</w:t>
      </w:r>
      <w:r w:rsidR="004A723B">
        <w:t xml:space="preserve"> or gateway provider</w:t>
      </w:r>
      <w:r w:rsidR="008926A2">
        <w:t>, including any foreign voice service provider using North American Numbering Plan (NANP) resources,</w:t>
      </w:r>
      <w:r>
        <w:t xml:space="preserve"> that does not appear in the </w:t>
      </w:r>
      <w:r w:rsidR="00A921E9">
        <w:t>Robocall Mitigation D</w:t>
      </w:r>
      <w:r>
        <w:t>atabase.</w:t>
      </w:r>
      <w:r>
        <w:rPr>
          <w:rStyle w:val="FootnoteReference"/>
        </w:rPr>
        <w:footnoteReference w:id="21"/>
      </w:r>
      <w:r>
        <w:t xml:space="preserve">  The </w:t>
      </w:r>
      <w:r w:rsidR="009663CC">
        <w:t xml:space="preserve">Enforcement </w:t>
      </w:r>
      <w:r>
        <w:t xml:space="preserve">Bureau may take enforcement action, including removal of a certification from the Robocall Mitigation Database, against voice service providers </w:t>
      </w:r>
      <w:r w:rsidR="003F78A5">
        <w:t>or gateway providers</w:t>
      </w:r>
      <w:r w:rsidR="00E152CD">
        <w:t>, including foreign voice service providers,</w:t>
      </w:r>
      <w:r w:rsidR="003F78A5">
        <w:t xml:space="preserve"> </w:t>
      </w:r>
      <w:r>
        <w:t>that have deficient certifications.</w:t>
      </w:r>
      <w:r>
        <w:rPr>
          <w:rStyle w:val="FootnoteReference"/>
        </w:rPr>
        <w:footnoteReference w:id="22"/>
      </w:r>
      <w:r>
        <w:t xml:space="preserve">  A deficient certification includes one that fails to describe specific robocall </w:t>
      </w:r>
      <w:r>
        <w:t>mitigation steps as required by section 64.6305(</w:t>
      </w:r>
      <w:r w:rsidR="00181E8D">
        <w:t>d</w:t>
      </w:r>
      <w:r>
        <w:t>)</w:t>
      </w:r>
      <w:r w:rsidR="003F78A5">
        <w:t>-(</w:t>
      </w:r>
      <w:r w:rsidR="00181E8D">
        <w:t>e</w:t>
      </w:r>
      <w:r w:rsidR="003F78A5">
        <w:t>)</w:t>
      </w:r>
      <w:r>
        <w:t xml:space="preserve"> of the Commission’s rules.</w:t>
      </w:r>
      <w:r>
        <w:rPr>
          <w:rStyle w:val="FootnoteReference"/>
        </w:rPr>
        <w:footnoteReference w:id="23"/>
      </w:r>
      <w:r>
        <w:t xml:space="preserve">  Prior to removing a certification from the Robocall Mitigation Database, the </w:t>
      </w:r>
      <w:r w:rsidR="009663CC">
        <w:t xml:space="preserve">Enforcement </w:t>
      </w:r>
      <w:r>
        <w:t>Bureau must provide notice to the originating voice service provider and allow an opportunity to cure.</w:t>
      </w:r>
      <w:r>
        <w:rPr>
          <w:rStyle w:val="FootnoteReference"/>
        </w:rPr>
        <w:footnoteReference w:id="24"/>
      </w:r>
      <w:r w:rsidRPr="000A13F1">
        <w:t xml:space="preserve"> </w:t>
      </w:r>
    </w:p>
    <w:p w:rsidR="00E4677C" w:rsidP="00FB2567" w14:paraId="20260397" w14:textId="6565C6D6">
      <w:pPr>
        <w:pStyle w:val="Heading2"/>
      </w:pPr>
      <w:r w:rsidRPr="007C4281">
        <w:t>Mobily</w:t>
      </w:r>
      <w:r>
        <w:t>’s Deficient Certification</w:t>
      </w:r>
    </w:p>
    <w:p w:rsidR="00E4677C" w:rsidP="00E4677C" w14:paraId="6D648A0D" w14:textId="78A7364F">
      <w:pPr>
        <w:pStyle w:val="ParaNum"/>
      </w:pPr>
      <w:r w:rsidRPr="007C4281">
        <w:t xml:space="preserve">Mobily </w:t>
      </w:r>
      <w:r>
        <w:t xml:space="preserve">filed a Robocall Mitigation Database certification on </w:t>
      </w:r>
      <w:r w:rsidRPr="00C002AD" w:rsidR="00C002AD">
        <w:t>August 16, 2021</w:t>
      </w:r>
      <w:r w:rsidR="001031EB">
        <w:t xml:space="preserve">, </w:t>
      </w:r>
      <w:r w:rsidR="00BB444F">
        <w:t>and indicated that it is a foreign voice service provider</w:t>
      </w:r>
      <w:r>
        <w:t>.</w:t>
      </w:r>
      <w:r>
        <w:rPr>
          <w:rStyle w:val="FootnoteReference"/>
        </w:rPr>
        <w:footnoteReference w:id="25"/>
      </w:r>
      <w:r>
        <w:t xml:space="preserve"> </w:t>
      </w:r>
      <w:r w:rsidR="00AD1921">
        <w:t xml:space="preserve"> </w:t>
      </w:r>
      <w:r w:rsidRPr="007C4281">
        <w:t>Mobily</w:t>
      </w:r>
      <w:r>
        <w:t xml:space="preserve"> </w:t>
      </w:r>
      <w:r w:rsidR="002D0919">
        <w:t xml:space="preserve">certified that it </w:t>
      </w:r>
      <w:r w:rsidRPr="004C33D4" w:rsidR="002D0919">
        <w:t>has not implemented</w:t>
      </w:r>
      <w:r w:rsidR="002D0919">
        <w:t xml:space="preserve"> the STIR/SHAKEN authentication framework on any portion of its network, </w:t>
      </w:r>
      <w:r w:rsidRPr="009F5A12" w:rsidR="002D0919">
        <w:t>and all</w:t>
      </w:r>
      <w:r w:rsidR="004C33D4">
        <w:t xml:space="preserve"> </w:t>
      </w:r>
      <w:r w:rsidR="002D0919">
        <w:t>of the calls that originate on its network are subject to a robocall mitigation program.</w:t>
      </w:r>
      <w:r>
        <w:rPr>
          <w:rStyle w:val="FootnoteReference"/>
        </w:rPr>
        <w:footnoteReference w:id="26"/>
      </w:r>
      <w:r w:rsidR="002D0919">
        <w:t xml:space="preserve"> </w:t>
      </w:r>
      <w:r w:rsidR="00033F55">
        <w:t xml:space="preserve"> </w:t>
      </w:r>
      <w:r w:rsidR="001031EB">
        <w:t>The</w:t>
      </w:r>
      <w:r w:rsidRPr="00840392" w:rsidR="00840392">
        <w:t xml:space="preserve"> </w:t>
      </w:r>
      <w:r w:rsidR="00840392">
        <w:t>robocall mitigation plan</w:t>
      </w:r>
      <w:r w:rsidR="00B316A8">
        <w:t xml:space="preserve"> </w:t>
      </w:r>
      <w:r w:rsidR="001031EB">
        <w:t>attached to its certification wa</w:t>
      </w:r>
      <w:r w:rsidRPr="00DA76E9" w:rsidR="00DA76E9">
        <w:t>s a blank page</w:t>
      </w:r>
      <w:r w:rsidRPr="002264AA">
        <w:t>.</w:t>
      </w:r>
      <w:r>
        <w:rPr>
          <w:rStyle w:val="FootnoteReference"/>
        </w:rPr>
        <w:footnoteReference w:id="27"/>
      </w:r>
      <w:r>
        <w:t xml:space="preserve">  The </w:t>
      </w:r>
      <w:r w:rsidR="00CC4F84">
        <w:t>FCC</w:t>
      </w:r>
      <w:r w:rsidR="008061DD">
        <w:t xml:space="preserve">’s </w:t>
      </w:r>
      <w:r>
        <w:t xml:space="preserve">Wireline Competition Bureau (Wireline Bureau) contacted the Company on </w:t>
      </w:r>
      <w:r w:rsidRPr="00AE0016" w:rsidR="00AE0016">
        <w:t>February 18, 2022</w:t>
      </w:r>
      <w:r w:rsidR="00AD1921">
        <w:t>,</w:t>
      </w:r>
      <w:r>
        <w:t xml:space="preserve"> to inform it that its robocall mitigation program attachment contained with its certification may have been uploaded in error </w:t>
      </w:r>
      <w:r w:rsidR="00FC136A">
        <w:t>because it did not satisfy</w:t>
      </w:r>
      <w:r w:rsidR="00A921E9">
        <w:t xml:space="preserve"> </w:t>
      </w:r>
      <w:r w:rsidR="00AD1921">
        <w:t xml:space="preserve">the </w:t>
      </w:r>
      <w:r w:rsidR="00A921E9">
        <w:t>Commission</w:t>
      </w:r>
      <w:r w:rsidR="00AD1921">
        <w:t>’s</w:t>
      </w:r>
      <w:r w:rsidR="00A921E9">
        <w:t xml:space="preserve"> </w:t>
      </w:r>
      <w:r w:rsidR="00AD1921">
        <w:t>rules</w:t>
      </w:r>
      <w:r w:rsidR="00FC136A">
        <w:t xml:space="preserve"> requiring it </w:t>
      </w:r>
      <w:r w:rsidR="00A921E9">
        <w:t>to</w:t>
      </w:r>
      <w:r>
        <w:t xml:space="preserve"> describe</w:t>
      </w:r>
      <w:r w:rsidR="003078A2">
        <w:t xml:space="preserve"> its</w:t>
      </w:r>
      <w:r>
        <w:t xml:space="preserve"> robocall mitigation efforts</w:t>
      </w:r>
      <w:r w:rsidR="00AC67CA">
        <w:t>.</w:t>
      </w:r>
      <w:r>
        <w:rPr>
          <w:rStyle w:val="FootnoteReference"/>
        </w:rPr>
        <w:footnoteReference w:id="28"/>
      </w:r>
      <w:r w:rsidR="0009272A">
        <w:t xml:space="preserve">  </w:t>
      </w:r>
      <w:r w:rsidR="00C95481">
        <w:t>The Wireline Bureau</w:t>
      </w:r>
      <w:r w:rsidR="00734079">
        <w:t>’s notice</w:t>
      </w:r>
      <w:r w:rsidR="00C95481">
        <w:t xml:space="preserve"> asked </w:t>
      </w:r>
      <w:r w:rsidRPr="004C33D4" w:rsidR="004C33D4">
        <w:t>Mobily</w:t>
      </w:r>
      <w:r w:rsidR="00C95481">
        <w:t xml:space="preserve"> to </w:t>
      </w:r>
      <w:r w:rsidR="003269AE">
        <w:t xml:space="preserve">upload </w:t>
      </w:r>
      <w:r w:rsidR="00C95481">
        <w:t xml:space="preserve">a </w:t>
      </w:r>
      <w:r w:rsidR="003269AE">
        <w:t>revised</w:t>
      </w:r>
      <w:r w:rsidR="00C95481">
        <w:t xml:space="preserve"> attachment that complie</w:t>
      </w:r>
      <w:r w:rsidR="00CC4F84">
        <w:t>d</w:t>
      </w:r>
      <w:r w:rsidR="00C95481">
        <w:t xml:space="preserve"> with th</w:t>
      </w:r>
      <w:r w:rsidR="003269AE">
        <w:t xml:space="preserve">e Commission’s </w:t>
      </w:r>
      <w:r w:rsidR="00C95481">
        <w:t>rules.</w:t>
      </w:r>
      <w:r w:rsidR="00EB36F9">
        <w:t xml:space="preserve"> </w:t>
      </w:r>
      <w:r>
        <w:t xml:space="preserve"> The Wireline Bureau </w:t>
      </w:r>
      <w:r w:rsidRPr="006905FE" w:rsidR="00F549D3">
        <w:t>did not</w:t>
      </w:r>
      <w:r w:rsidR="00F549D3">
        <w:t xml:space="preserve"> </w:t>
      </w:r>
      <w:r w:rsidR="008061DD">
        <w:t xml:space="preserve">receive a response from </w:t>
      </w:r>
      <w:r w:rsidRPr="006905FE" w:rsidR="006905FE">
        <w:t>Mobily</w:t>
      </w:r>
      <w:r w:rsidR="008061DD">
        <w:t xml:space="preserve"> acknowledging or addressing this notice, and </w:t>
      </w:r>
      <w:r w:rsidR="004C33D4">
        <w:t>the Company</w:t>
      </w:r>
      <w:r w:rsidR="00F549D3">
        <w:t xml:space="preserve"> </w:t>
      </w:r>
      <w:r w:rsidR="008061DD">
        <w:t>did not correct</w:t>
      </w:r>
      <w:r w:rsidR="006363BC">
        <w:t xml:space="preserve"> the identified deficiencies in</w:t>
      </w:r>
      <w:r w:rsidR="008061DD">
        <w:t xml:space="preserve"> its certification</w:t>
      </w:r>
      <w:r>
        <w:t>.</w:t>
      </w:r>
      <w:r w:rsidR="00A065C4">
        <w:t xml:space="preserve"> </w:t>
      </w:r>
    </w:p>
    <w:p w:rsidR="00E4677C" w:rsidP="00E4677C" w14:paraId="45110F88" w14:textId="77777777">
      <w:pPr>
        <w:pStyle w:val="Heading1"/>
      </w:pPr>
      <w:r>
        <w:t>Discussion</w:t>
      </w:r>
    </w:p>
    <w:p w:rsidR="00E4677C" w:rsidP="00E4677C" w14:paraId="3A8DA328" w14:textId="1B08A0E1">
      <w:pPr>
        <w:pStyle w:val="ParaNum"/>
      </w:pPr>
      <w:r>
        <w:t xml:space="preserve">Our review of the evidence finds that </w:t>
      </w:r>
      <w:r w:rsidRPr="00B316A8" w:rsidR="00B316A8">
        <w:t>Mobily</w:t>
      </w:r>
      <w:r>
        <w:t xml:space="preserve"> apparently has filed a deficient Robocall Mitigation Database certification.  The Company certified that it is subject to a robocall mitigation program,</w:t>
      </w:r>
      <w:r>
        <w:rPr>
          <w:rStyle w:val="FootnoteReference"/>
        </w:rPr>
        <w:footnoteReference w:id="29"/>
      </w:r>
      <w:r>
        <w:t xml:space="preserve"> but it failed to describe </w:t>
      </w:r>
      <w:r w:rsidR="00AD1921">
        <w:t xml:space="preserve">specific </w:t>
      </w:r>
      <w:r>
        <w:t>reasonable steps that the Company is taking to prevent the originati</w:t>
      </w:r>
      <w:r w:rsidR="00A921E9">
        <w:t>on</w:t>
      </w:r>
      <w:r>
        <w:t xml:space="preserve"> of illegal robocall traffic.</w:t>
      </w:r>
      <w:r>
        <w:rPr>
          <w:rStyle w:val="FootnoteReference"/>
        </w:rPr>
        <w:footnoteReference w:id="30"/>
      </w:r>
      <w:r>
        <w:t xml:space="preserve">  </w:t>
      </w:r>
      <w:r w:rsidR="00022497">
        <w:t>The Company’s</w:t>
      </w:r>
      <w:r w:rsidRPr="00561549" w:rsidR="00022497">
        <w:t xml:space="preserve"> public mitigation plan does not offer any specific mitigation steps.</w:t>
      </w:r>
      <w:r w:rsidR="00022497">
        <w:t xml:space="preserve"> </w:t>
      </w:r>
      <w:r w:rsidRPr="00561549" w:rsidR="00022497">
        <w:t xml:space="preserve"> </w:t>
      </w:r>
      <w:r w:rsidRPr="00120D21" w:rsidR="00120D21">
        <w:t xml:space="preserve">Rather, </w:t>
      </w:r>
      <w:r w:rsidR="001031EB">
        <w:t>it</w:t>
      </w:r>
      <w:r w:rsidRPr="00120D21" w:rsidR="00120D21">
        <w:t xml:space="preserve"> </w:t>
      </w:r>
      <w:r w:rsidRPr="009E6267" w:rsidR="009E6267">
        <w:t>is a blank page</w:t>
      </w:r>
      <w:r w:rsidRPr="00120D21" w:rsidR="00120D21">
        <w:t>.</w:t>
      </w:r>
      <w:r w:rsidR="000B0DBC">
        <w:t xml:space="preserve"> </w:t>
      </w:r>
      <w:r w:rsidRPr="00120D21" w:rsidR="00120D21">
        <w:t xml:space="preserve"> Because the </w:t>
      </w:r>
      <w:r w:rsidR="001031EB">
        <w:t xml:space="preserve">mitigation </w:t>
      </w:r>
      <w:r w:rsidRPr="00120D21" w:rsidR="00120D21">
        <w:t xml:space="preserve">plan does not provide the specific reasonable steps the voice service provider has taken to avoid originating illegal robocall traffic as part of its robocall mitigation program, it is insufficient under </w:t>
      </w:r>
      <w:r w:rsidR="00CC4F84">
        <w:t>section</w:t>
      </w:r>
      <w:r w:rsidRPr="00120D21" w:rsidR="00120D21">
        <w:t xml:space="preserve"> 64.6305(</w:t>
      </w:r>
      <w:r w:rsidR="003654FB">
        <w:t>d</w:t>
      </w:r>
      <w:r w:rsidRPr="00120D21" w:rsidR="00120D21">
        <w:t>)(2)(ii)</w:t>
      </w:r>
      <w:r w:rsidR="00CC4F84">
        <w:t xml:space="preserve"> of the Commission’s rules</w:t>
      </w:r>
      <w:r w:rsidRPr="00120D21" w:rsidR="00120D21">
        <w:t>.</w:t>
      </w:r>
      <w:r>
        <w:rPr>
          <w:rStyle w:val="FootnoteReference"/>
        </w:rPr>
        <w:footnoteReference w:id="31"/>
      </w:r>
      <w:r w:rsidRPr="00120D21">
        <w:t xml:space="preserve"> </w:t>
      </w:r>
      <w:r w:rsidR="000B0DBC">
        <w:t xml:space="preserve"> </w:t>
      </w:r>
      <w:r w:rsidRPr="00FE09E4">
        <w:t xml:space="preserve">Moreover, </w:t>
      </w:r>
      <w:r w:rsidRPr="00FE09E4" w:rsidR="00FE09E4">
        <w:t>Mobily</w:t>
      </w:r>
      <w:r w:rsidRPr="00FE09E4">
        <w:t xml:space="preserve"> did not </w:t>
      </w:r>
      <w:r w:rsidRPr="00FE09E4" w:rsidR="00415EEE">
        <w:t xml:space="preserve">respond or </w:t>
      </w:r>
      <w:r w:rsidRPr="00FE09E4">
        <w:t>take any corrective action after</w:t>
      </w:r>
      <w:r w:rsidRPr="00FE09E4" w:rsidR="00A921E9">
        <w:t xml:space="preserve"> the Wireline Bureau</w:t>
      </w:r>
      <w:r w:rsidRPr="00FE09E4">
        <w:t xml:space="preserve"> informed</w:t>
      </w:r>
      <w:r w:rsidRPr="00FE09E4" w:rsidR="0007680F">
        <w:t xml:space="preserve"> </w:t>
      </w:r>
      <w:r w:rsidRPr="00FE09E4" w:rsidR="00FE09E4">
        <w:t>the Company</w:t>
      </w:r>
      <w:r w:rsidRPr="00FE09E4" w:rsidR="00096471">
        <w:t xml:space="preserve"> </w:t>
      </w:r>
      <w:r w:rsidRPr="00FE09E4">
        <w:t xml:space="preserve">of errors </w:t>
      </w:r>
      <w:r w:rsidRPr="00FE09E4" w:rsidR="00A921E9">
        <w:t xml:space="preserve">or </w:t>
      </w:r>
      <w:r w:rsidRPr="00FE09E4" w:rsidR="008061DD">
        <w:t xml:space="preserve">the apparent </w:t>
      </w:r>
      <w:r w:rsidRPr="00FE09E4" w:rsidR="00A921E9">
        <w:t xml:space="preserve">deficiencies </w:t>
      </w:r>
      <w:r w:rsidRPr="00FE09E4">
        <w:t>in its certification.</w:t>
      </w:r>
      <w:r>
        <w:rPr>
          <w:rStyle w:val="FootnoteReference"/>
        </w:rPr>
        <w:footnoteReference w:id="32"/>
      </w:r>
      <w:r>
        <w:t xml:space="preserve">  </w:t>
      </w:r>
    </w:p>
    <w:p w:rsidR="00E4677C" w:rsidP="00E4677C" w14:paraId="66B90BB2" w14:textId="2C5837DA">
      <w:pPr>
        <w:pStyle w:val="ParaNum"/>
      </w:pPr>
      <w:r>
        <w:t xml:space="preserve">Accordingly, we direct </w:t>
      </w:r>
      <w:r w:rsidRPr="00387882" w:rsidR="00387882">
        <w:t xml:space="preserve">Mobily </w:t>
      </w:r>
      <w:r>
        <w:t xml:space="preserve">to explain why the </w:t>
      </w:r>
      <w:r w:rsidR="00E60B6B">
        <w:t>Enforcement Bureau</w:t>
      </w:r>
      <w:r>
        <w:t xml:space="preserve"> should not </w:t>
      </w:r>
      <w:r w:rsidR="00FC136A">
        <w:t xml:space="preserve">remove </w:t>
      </w:r>
      <w:r w:rsidR="00FE09E4">
        <w:t>the Company</w:t>
      </w:r>
      <w:r w:rsidR="00282DFC">
        <w:t>’s certification</w:t>
      </w:r>
      <w:r w:rsidR="00FC136A">
        <w:t xml:space="preserve"> </w:t>
      </w:r>
      <w:r>
        <w:t>from the Robocall Mitigation Database.</w:t>
      </w:r>
      <w:r>
        <w:rPr>
          <w:rStyle w:val="FootnoteReference"/>
        </w:rPr>
        <w:footnoteReference w:id="33"/>
      </w:r>
      <w:r>
        <w:t xml:space="preserve">  This Order affords </w:t>
      </w:r>
      <w:r w:rsidRPr="00FE09E4" w:rsidR="00FE09E4">
        <w:t xml:space="preserve">Mobily </w:t>
      </w:r>
      <w:r>
        <w:t xml:space="preserve">notice and an opportunity to cure any deficiencies in its robocall mitigation program </w:t>
      </w:r>
      <w:r w:rsidR="00282DFC">
        <w:t xml:space="preserve">description </w:t>
      </w:r>
      <w:r>
        <w:t xml:space="preserve">or explain why its certification is not deficient.  </w:t>
      </w:r>
    </w:p>
    <w:p w:rsidR="00E4677C" w:rsidP="00E4677C" w14:paraId="6402A785" w14:textId="4A031825">
      <w:pPr>
        <w:pStyle w:val="ParaNum"/>
      </w:pPr>
      <w:r w:rsidRPr="00FE09E4">
        <w:t xml:space="preserve">Mobily </w:t>
      </w:r>
      <w:r>
        <w:t>shall file its response with the</w:t>
      </w:r>
      <w:r w:rsidR="009663CC">
        <w:t xml:space="preserve"> Enforcement</w:t>
      </w:r>
      <w:r>
        <w:t xml:space="preserve"> Bureau within fourteen (14) calendar days</w:t>
      </w:r>
      <w:r w:rsidR="008061DD">
        <w:t xml:space="preserve"> of the date of this Order</w:t>
      </w:r>
      <w:r>
        <w:t>.</w:t>
      </w:r>
      <w:r>
        <w:rPr>
          <w:rStyle w:val="FootnoteReference"/>
        </w:rPr>
        <w:footnoteReference w:id="34"/>
      </w:r>
      <w:r>
        <w:t xml:space="preserve">  Failure to respond </w:t>
      </w:r>
      <w:r w:rsidR="00130EAA">
        <w:t xml:space="preserve">and correct the deficiency, </w:t>
      </w:r>
      <w:r>
        <w:t xml:space="preserve">or </w:t>
      </w:r>
      <w:r w:rsidR="009A6782">
        <w:t xml:space="preserve">provide </w:t>
      </w:r>
      <w:r>
        <w:t xml:space="preserve">a </w:t>
      </w:r>
      <w:r w:rsidR="009A6782">
        <w:t>sufficient explanation</w:t>
      </w:r>
      <w:r>
        <w:t xml:space="preserve"> for why </w:t>
      </w:r>
      <w:r w:rsidRPr="00FE09E4">
        <w:t xml:space="preserve">Mobily </w:t>
      </w:r>
      <w:r>
        <w:t xml:space="preserve">should retain its certification in the Robocall Mitigation Database will result in </w:t>
      </w:r>
      <w:r w:rsidR="005F61D5">
        <w:t>removal</w:t>
      </w:r>
      <w:r>
        <w:t xml:space="preserve"> of the certification</w:t>
      </w:r>
      <w:r w:rsidR="005F61D5">
        <w:t xml:space="preserve"> and accompanying filing</w:t>
      </w:r>
      <w:r>
        <w:t>.</w:t>
      </w:r>
      <w:r>
        <w:rPr>
          <w:rStyle w:val="FootnoteReference"/>
        </w:rPr>
        <w:footnoteReference w:id="35"/>
      </w:r>
      <w:r>
        <w:t xml:space="preserve">  </w:t>
      </w:r>
      <w:r w:rsidRPr="008061DD">
        <w:rPr>
          <w:b/>
          <w:bCs/>
        </w:rPr>
        <w:t>Removal of</w:t>
      </w:r>
      <w:r w:rsidRPr="00FE09E4">
        <w:t xml:space="preserve"> </w:t>
      </w:r>
      <w:r w:rsidRPr="00FE09E4">
        <w:rPr>
          <w:b/>
          <w:bCs/>
        </w:rPr>
        <w:t>Mobily</w:t>
      </w:r>
      <w:r w:rsidRPr="008061DD">
        <w:rPr>
          <w:b/>
          <w:bCs/>
        </w:rPr>
        <w:t xml:space="preserve">’s certification </w:t>
      </w:r>
      <w:r w:rsidR="008061DD">
        <w:rPr>
          <w:b/>
          <w:bCs/>
        </w:rPr>
        <w:t xml:space="preserve">from the Robocall Mitigation Database </w:t>
      </w:r>
      <w:r w:rsidRPr="008061DD">
        <w:rPr>
          <w:b/>
          <w:bCs/>
        </w:rPr>
        <w:t xml:space="preserve">will require any intermediate providers and terminating voice service providers to cease accepting </w:t>
      </w:r>
      <w:r w:rsidR="00721C55">
        <w:rPr>
          <w:b/>
          <w:bCs/>
        </w:rPr>
        <w:t xml:space="preserve">calls from </w:t>
      </w:r>
      <w:r w:rsidRPr="00FE09E4">
        <w:rPr>
          <w:b/>
          <w:bCs/>
        </w:rPr>
        <w:t>Mobily</w:t>
      </w:r>
      <w:r w:rsidR="00721C55">
        <w:rPr>
          <w:b/>
          <w:bCs/>
        </w:rPr>
        <w:t xml:space="preserve"> sent to </w:t>
      </w:r>
      <w:r w:rsidRPr="00E00214" w:rsidR="00721C55">
        <w:rPr>
          <w:b/>
          <w:bCs/>
        </w:rPr>
        <w:t>residential or business subscribers in the United States</w:t>
      </w:r>
      <w:r w:rsidR="00721C55">
        <w:rPr>
          <w:b/>
          <w:bCs/>
        </w:rPr>
        <w:t xml:space="preserve"> </w:t>
      </w:r>
      <w:r w:rsidRPr="00E00214" w:rsidR="00721C55">
        <w:rPr>
          <w:b/>
          <w:bCs/>
        </w:rPr>
        <w:t>us</w:t>
      </w:r>
      <w:r w:rsidR="00721C55">
        <w:rPr>
          <w:b/>
          <w:bCs/>
        </w:rPr>
        <w:t>ing U.S. NANP numbers</w:t>
      </w:r>
      <w:r w:rsidRPr="008061DD">
        <w:rPr>
          <w:b/>
          <w:bCs/>
        </w:rPr>
        <w:t>.</w:t>
      </w:r>
      <w:r>
        <w:rPr>
          <w:rStyle w:val="FootnoteReference"/>
        </w:rPr>
        <w:footnoteReference w:id="36"/>
      </w:r>
      <w:r>
        <w:t xml:space="preserve">  </w:t>
      </w:r>
      <w:r>
        <w:rPr>
          <w:color w:val="000000"/>
        </w:rPr>
        <w:t xml:space="preserve">If </w:t>
      </w:r>
      <w:r w:rsidRPr="00FE09E4">
        <w:rPr>
          <w:color w:val="000000"/>
        </w:rPr>
        <w:t>Mobily</w:t>
      </w:r>
      <w:r>
        <w:rPr>
          <w:color w:val="000000"/>
        </w:rPr>
        <w:t xml:space="preserve"> is removed from the Robocall Mitigation Database, </w:t>
      </w:r>
      <w:r>
        <w:rPr>
          <w:color w:val="000000"/>
        </w:rPr>
        <w:t>the Company</w:t>
      </w:r>
      <w:r>
        <w:rPr>
          <w:color w:val="000000"/>
        </w:rPr>
        <w:t xml:space="preserve"> shall not</w:t>
      </w:r>
      <w:r w:rsidR="004B35CF">
        <w:rPr>
          <w:color w:val="000000"/>
        </w:rPr>
        <w:t xml:space="preserve"> be permitted to</w:t>
      </w:r>
      <w:r>
        <w:rPr>
          <w:color w:val="000000"/>
        </w:rPr>
        <w:t xml:space="preserve"> refile until the Wireline Bureau and the Enforcement Bureau determine that </w:t>
      </w:r>
      <w:r w:rsidRPr="00FE09E4">
        <w:rPr>
          <w:color w:val="000000"/>
        </w:rPr>
        <w:t xml:space="preserve">Mobily </w:t>
      </w:r>
      <w:r>
        <w:rPr>
          <w:color w:val="000000"/>
        </w:rPr>
        <w:t>has addressed and resolved any deficiencies in its Robocall Mitigation Database certification.</w:t>
      </w:r>
    </w:p>
    <w:p w:rsidR="00E4677C" w:rsidP="00E4677C" w14:paraId="54E17CD2" w14:textId="77777777">
      <w:pPr>
        <w:pStyle w:val="Heading1"/>
      </w:pPr>
      <w:r>
        <w:t>ordering clauses</w:t>
      </w:r>
    </w:p>
    <w:p w:rsidR="00E4677C" w:rsidP="00E4677C" w14:paraId="697E6685" w14:textId="7FC8A592">
      <w:pPr>
        <w:pStyle w:val="ParaNum"/>
      </w:pPr>
      <w:r>
        <w:t xml:space="preserve">Accordingly, </w:t>
      </w:r>
      <w:r w:rsidRPr="000A1222">
        <w:rPr>
          <w:b/>
          <w:bCs/>
        </w:rPr>
        <w:t>IT IS ORDERED</w:t>
      </w:r>
      <w:r>
        <w:t xml:space="preserve"> that, pursuant to sections 4(</w:t>
      </w:r>
      <w:r>
        <w:t>i</w:t>
      </w:r>
      <w:r>
        <w:t>), 4(j), 227(b)</w:t>
      </w:r>
      <w:r w:rsidR="00637515">
        <w:t>,</w:t>
      </w:r>
      <w:r>
        <w:t xml:space="preserve"> 251(e), and 403 of the </w:t>
      </w:r>
      <w:r w:rsidR="00AD1921">
        <w:t xml:space="preserve">Communications </w:t>
      </w:r>
      <w:r>
        <w:t>Act</w:t>
      </w:r>
      <w:r w:rsidR="00AD1921">
        <w:t xml:space="preserve"> of 1934, as amended</w:t>
      </w:r>
      <w:r>
        <w:t>,</w:t>
      </w:r>
      <w:r w:rsidR="0067175B">
        <w:t xml:space="preserve"> 47 U.S.C. §§ </w:t>
      </w:r>
      <w:r w:rsidR="00637515">
        <w:t>15</w:t>
      </w:r>
      <w:r w:rsidR="0067175B">
        <w:t>4(</w:t>
      </w:r>
      <w:r w:rsidR="0067175B">
        <w:t>i</w:t>
      </w:r>
      <w:r w:rsidR="0067175B">
        <w:t xml:space="preserve">), </w:t>
      </w:r>
      <w:r w:rsidR="00637515">
        <w:t>15</w:t>
      </w:r>
      <w:r w:rsidR="0067175B">
        <w:t>4(j), 227(b), 251(e), 403</w:t>
      </w:r>
      <w:r w:rsidR="00D81153">
        <w:t>;</w:t>
      </w:r>
      <w:r>
        <w:t xml:space="preserve"> sections 0.111, 0.311, 1.1, 1.102(b)(1), </w:t>
      </w:r>
      <w:r w:rsidR="005B3A15">
        <w:t xml:space="preserve">64.1200, </w:t>
      </w:r>
      <w:r>
        <w:t>and 64.6305 of the Commission’s rules,</w:t>
      </w:r>
      <w:r w:rsidR="0067175B">
        <w:t xml:space="preserve"> 47 CFR §§ 0.111, 0.311, 1.1, 1.102(b)(1), 64.1200, 64.6305</w:t>
      </w:r>
      <w:r w:rsidR="00D81153">
        <w:t>;</w:t>
      </w:r>
      <w:r w:rsidR="008061DD">
        <w:t xml:space="preserve"> and the </w:t>
      </w:r>
      <w:r w:rsidR="008061DD">
        <w:rPr>
          <w:i/>
          <w:iCs/>
        </w:rPr>
        <w:t>Second Caller ID Authentication Order</w:t>
      </w:r>
      <w:r w:rsidR="005C27EC">
        <w:t>,</w:t>
      </w:r>
      <w:r>
        <w:rPr>
          <w:rStyle w:val="FootnoteReference"/>
        </w:rPr>
        <w:footnoteReference w:id="37"/>
      </w:r>
      <w:r>
        <w:t xml:space="preserve"> </w:t>
      </w:r>
      <w:r w:rsidRPr="00FE09E4" w:rsidR="00FE09E4">
        <w:t xml:space="preserve">Mobily </w:t>
      </w:r>
      <w:r w:rsidRPr="00F7577E">
        <w:rPr>
          <w:b/>
          <w:bCs/>
        </w:rPr>
        <w:t>SHALL FILE</w:t>
      </w:r>
      <w:r>
        <w:t xml:space="preserve"> </w:t>
      </w:r>
      <w:r w:rsidR="007770D8">
        <w:t xml:space="preserve">a </w:t>
      </w:r>
      <w:r>
        <w:t>written response to this Order</w:t>
      </w:r>
      <w:r w:rsidR="00803641">
        <w:t xml:space="preserve"> </w:t>
      </w:r>
      <w:r w:rsidRPr="007C6367" w:rsidR="00803641">
        <w:rPr>
          <w:b/>
          <w:bCs/>
        </w:rPr>
        <w:t>within fourteen (14) calendar days</w:t>
      </w:r>
      <w:r w:rsidR="005836BD">
        <w:t xml:space="preserve"> from the release date of this Order</w:t>
      </w:r>
      <w:r>
        <w:t>.</w:t>
      </w:r>
    </w:p>
    <w:p w:rsidR="00803641" w:rsidP="00E4677C" w14:paraId="312FDB2D" w14:textId="133ADB21">
      <w:pPr>
        <w:pStyle w:val="ParaNum"/>
      </w:pPr>
      <w:r>
        <w:t xml:space="preserve">The written response must either inform the Enforcement Bureau that </w:t>
      </w:r>
      <w:r w:rsidRPr="00FE09E4" w:rsidR="00FE09E4">
        <w:t>Mobily</w:t>
      </w:r>
      <w:r>
        <w:t xml:space="preserve"> has corrected </w:t>
      </w:r>
      <w:r w:rsidR="00B47DB4">
        <w:t xml:space="preserve">the deficiencies </w:t>
      </w:r>
      <w:r>
        <w:t xml:space="preserve">in </w:t>
      </w:r>
      <w:r w:rsidR="00B47DB4">
        <w:t>its</w:t>
      </w:r>
      <w:r>
        <w:t xml:space="preserve"> Robocall Mitigation Database </w:t>
      </w:r>
      <w:r w:rsidR="00B47DB4">
        <w:t xml:space="preserve">certification </w:t>
      </w:r>
      <w:r>
        <w:t>or explain why its certification should not be removed from the Robocall Mitigation Database.</w:t>
      </w:r>
    </w:p>
    <w:p w:rsidR="000D74ED" w:rsidP="00E4677C" w14:paraId="13F8258B" w14:textId="71E7D934">
      <w:pPr>
        <w:pStyle w:val="ParaNum"/>
      </w:pPr>
      <w:r>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D835C6">
          <w:rPr>
            <w:rStyle w:val="Hyperlink"/>
          </w:rPr>
          <w:t>kristi.thompson@fcc.gov</w:t>
        </w:r>
      </w:hyperlink>
      <w:r>
        <w:t xml:space="preserve">, and </w:t>
      </w:r>
      <w:r w:rsidR="00A47175">
        <w:t>Alexander Hobbs, Attorney Advisor</w:t>
      </w:r>
      <w:r>
        <w:t>, Telecommunications Consumers Division, at</w:t>
      </w:r>
      <w:r w:rsidR="00A47175">
        <w:t xml:space="preserve"> </w:t>
      </w:r>
      <w:hyperlink r:id="rId6" w:history="1">
        <w:r w:rsidRPr="003D4818" w:rsidR="00A47175">
          <w:rPr>
            <w:rStyle w:val="Hyperlink"/>
          </w:rPr>
          <w:t>alexander.hobbs@fcc.gov</w:t>
        </w:r>
      </w:hyperlink>
      <w:r>
        <w:t>.</w:t>
      </w:r>
    </w:p>
    <w:p w:rsidR="00E4677C" w:rsidP="000D74ED" w14:paraId="01CB5E28" w14:textId="073B55C7">
      <w:pPr>
        <w:widowControl/>
      </w:pPr>
      <w:r>
        <w:br w:type="page"/>
      </w:r>
    </w:p>
    <w:p w:rsidR="00E4677C" w:rsidP="0038294C" w14:paraId="6B5CA7F7" w14:textId="052C753A">
      <w:pPr>
        <w:pStyle w:val="ParaNum"/>
      </w:pPr>
      <w:r w:rsidRPr="008A73F7">
        <w:rPr>
          <w:b/>
          <w:bCs/>
        </w:rPr>
        <w:t>IT IS FURTHER ORDERED</w:t>
      </w:r>
      <w:r>
        <w:t xml:space="preserve"> that copies of this Order shall be sent by</w:t>
      </w:r>
      <w:r w:rsidR="00F75776">
        <w:t xml:space="preserve"> email and</w:t>
      </w:r>
      <w:r>
        <w:t xml:space="preserve"> registered mail, return receipt requested, to:</w:t>
      </w:r>
      <w:r w:rsidR="002115B7">
        <w:t xml:space="preserve"> </w:t>
      </w:r>
      <w:r w:rsidRPr="002115B7" w:rsidR="002115B7">
        <w:t>C4 King Fahd Road, Riyadh 11423, Saudi Arabia.</w:t>
      </w:r>
    </w:p>
    <w:p w:rsidR="00A47175" w:rsidP="0038294C" w14:paraId="39272803" w14:textId="77777777">
      <w:pPr>
        <w:pStyle w:val="ParaNum"/>
        <w:numPr>
          <w:ilvl w:val="0"/>
          <w:numId w:val="0"/>
        </w:numPr>
        <w:ind w:left="4320"/>
      </w:pPr>
    </w:p>
    <w:p w:rsidR="00E4677C" w:rsidP="0038294C" w14:paraId="239A2C52" w14:textId="4F0CCD27">
      <w:pPr>
        <w:pStyle w:val="ParaNum"/>
        <w:numPr>
          <w:ilvl w:val="0"/>
          <w:numId w:val="0"/>
        </w:numPr>
        <w:ind w:left="4320"/>
      </w:pPr>
      <w:r>
        <w:t>FEDERAL COMMUNICATIONS COMMISSION</w:t>
      </w:r>
    </w:p>
    <w:p w:rsidR="0038294C" w:rsidP="0038294C" w14:paraId="440E6E20" w14:textId="77777777">
      <w:pPr>
        <w:pStyle w:val="ParaNum"/>
        <w:numPr>
          <w:ilvl w:val="0"/>
          <w:numId w:val="0"/>
        </w:numPr>
        <w:ind w:left="4320"/>
      </w:pPr>
    </w:p>
    <w:p w:rsidR="000D74ED" w:rsidP="0038294C" w14:paraId="2E89528F" w14:textId="77777777">
      <w:pPr>
        <w:pStyle w:val="ParaNum"/>
        <w:numPr>
          <w:ilvl w:val="0"/>
          <w:numId w:val="0"/>
        </w:numPr>
        <w:ind w:left="4320"/>
      </w:pPr>
    </w:p>
    <w:p w:rsidR="00A47175" w:rsidP="0038294C" w14:paraId="05D33FD2" w14:textId="77777777">
      <w:pPr>
        <w:pStyle w:val="ParaNum"/>
        <w:numPr>
          <w:ilvl w:val="0"/>
          <w:numId w:val="0"/>
        </w:numPr>
        <w:ind w:left="4320"/>
      </w:pPr>
    </w:p>
    <w:p w:rsidR="00E4677C" w:rsidP="00E4677C" w14:paraId="6CA2F870" w14:textId="77777777">
      <w:pPr>
        <w:pStyle w:val="ParaNum"/>
        <w:numPr>
          <w:ilvl w:val="0"/>
          <w:numId w:val="0"/>
        </w:numPr>
        <w:ind w:left="4320"/>
        <w:contextualSpacing/>
      </w:pPr>
      <w:r>
        <w:t>Loyaan A. Egal</w:t>
      </w:r>
    </w:p>
    <w:p w:rsidR="00E4677C" w:rsidP="00E4677C" w14:paraId="4321D8CC" w14:textId="77777777">
      <w:pPr>
        <w:pStyle w:val="ParaNum"/>
        <w:numPr>
          <w:ilvl w:val="0"/>
          <w:numId w:val="0"/>
        </w:numPr>
        <w:ind w:left="4320"/>
        <w:contextualSpacing/>
      </w:pPr>
      <w:r>
        <w:t>Chief</w:t>
      </w:r>
    </w:p>
    <w:p w:rsidR="00E4677C" w:rsidRPr="008A73F7" w:rsidP="00E4677C" w14:paraId="0486EA8C" w14:textId="77777777">
      <w:pPr>
        <w:pStyle w:val="ParaNum"/>
        <w:numPr>
          <w:ilvl w:val="0"/>
          <w:numId w:val="0"/>
        </w:numPr>
        <w:ind w:left="4320"/>
        <w:contextualSpacing/>
      </w:pPr>
      <w:r>
        <w:t>Enforcement Bureau</w:t>
      </w:r>
    </w:p>
    <w:p w:rsidR="00412FC5" w:rsidRPr="00DA3E5A" w:rsidP="00DA3E5A" w14:paraId="46E0A792" w14:textId="031F143A">
      <w:pPr>
        <w:pStyle w:val="Heading1"/>
        <w:numPr>
          <w:ilvl w:val="0"/>
          <w:numId w:val="0"/>
        </w:numPr>
        <w:jc w:val="center"/>
        <w:rPr>
          <w:b w:val="0"/>
          <w:bCs/>
          <w:sz w:val="48"/>
          <w:szCs w:val="48"/>
        </w:rPr>
      </w:pPr>
      <w:r>
        <w:br w:type="page"/>
      </w:r>
      <w:r w:rsidR="0051307C">
        <w:rPr>
          <w:b w:val="0"/>
          <w:bCs/>
          <w:sz w:val="48"/>
          <w:szCs w:val="48"/>
        </w:rPr>
        <w:t xml:space="preserve">exhibit </w:t>
      </w:r>
      <w:r w:rsidR="00255816">
        <w:rPr>
          <w:b w:val="0"/>
          <w:bCs/>
          <w:sz w:val="48"/>
          <w:szCs w:val="48"/>
        </w:rPr>
        <w:t xml:space="preserve"> </w:t>
      </w:r>
      <w:r w:rsidR="0051307C">
        <w:rPr>
          <w:b w:val="0"/>
          <w:bCs/>
          <w:sz w:val="48"/>
          <w:szCs w:val="48"/>
        </w:rPr>
        <w:t>A</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D74ED" w14:paraId="764CC5C5" w14:textId="5C84C19C">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44E5" w14:paraId="4A57E975" w14:textId="77777777">
      <w:r>
        <w:separator/>
      </w:r>
    </w:p>
  </w:footnote>
  <w:footnote w:type="continuationSeparator" w:id="1">
    <w:p w:rsidR="000F44E5" w:rsidP="00C721AC" w14:paraId="17F0A7A8" w14:textId="77777777">
      <w:pPr>
        <w:spacing w:before="120"/>
        <w:rPr>
          <w:sz w:val="20"/>
        </w:rPr>
      </w:pPr>
      <w:r>
        <w:rPr>
          <w:sz w:val="20"/>
        </w:rPr>
        <w:t xml:space="preserve">(Continued from previous page)  </w:t>
      </w:r>
      <w:r>
        <w:rPr>
          <w:sz w:val="20"/>
        </w:rPr>
        <w:separator/>
      </w:r>
    </w:p>
  </w:footnote>
  <w:footnote w:type="continuationNotice" w:id="2">
    <w:p w:rsidR="000F44E5" w:rsidP="00C721AC" w14:paraId="28E7BA50" w14:textId="77777777">
      <w:pPr>
        <w:jc w:val="right"/>
        <w:rPr>
          <w:sz w:val="20"/>
        </w:rPr>
      </w:pPr>
      <w:r>
        <w:rPr>
          <w:sz w:val="20"/>
        </w:rPr>
        <w:t>(continued….)</w:t>
      </w:r>
    </w:p>
  </w:footnote>
  <w:footnote w:id="3">
    <w:p w:rsidR="00E4677C" w:rsidP="00E4677C" w14:paraId="7F48213E" w14:textId="60496CE0">
      <w:pPr>
        <w:pStyle w:val="FootnoteText"/>
      </w:pPr>
      <w:r>
        <w:rPr>
          <w:rStyle w:val="FootnoteReference"/>
        </w:rPr>
        <w:footnoteRef/>
      </w:r>
      <w:r>
        <w:t xml:space="preserve"> </w:t>
      </w:r>
      <w:r>
        <w:rPr>
          <w:i/>
          <w:iCs/>
        </w:rPr>
        <w:t>Call Authentication Trust Anchor</w:t>
      </w:r>
      <w:r>
        <w:t xml:space="preserve">, WC Docket No. 17-97, Second Report and Order, 36 FCC </w:t>
      </w:r>
      <w:r>
        <w:t>Rcd</w:t>
      </w:r>
      <w:r>
        <w:t xml:space="preserve"> 1859, 1903, para. 83 </w:t>
      </w:r>
      <w:r w:rsidR="006901C1">
        <w:t>and</w:t>
      </w:r>
      <w:r>
        <w:t xml:space="preserve"> 1904, para. 86 (2020) (</w:t>
      </w:r>
      <w:r>
        <w:rPr>
          <w:i/>
          <w:iCs/>
        </w:rPr>
        <w:t>Second Caller ID Authentication Order</w:t>
      </w:r>
      <w:r>
        <w:t xml:space="preserve">); </w:t>
      </w:r>
      <w:r w:rsidR="000E3ABB">
        <w:rPr>
          <w:i/>
          <w:iCs/>
        </w:rPr>
        <w:t>Advanced Methods to Target and Eliminate Unlawful Robocalls; Call Authentication Trust Anchor</w:t>
      </w:r>
      <w:r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00C6190E">
        <w:t xml:space="preserve">37 FCC </w:t>
      </w:r>
      <w:r w:rsidR="00C6190E">
        <w:t>Rcd</w:t>
      </w:r>
      <w:r w:rsidR="00C6190E">
        <w:t xml:space="preserve"> 6865,</w:t>
      </w:r>
      <w:r w:rsidR="00ED3734">
        <w:t xml:space="preserve"> </w:t>
      </w:r>
      <w:r w:rsidR="00C6190E">
        <w:t>6882-83</w:t>
      </w:r>
      <w:r w:rsidR="00934712">
        <w:t>,</w:t>
      </w:r>
      <w:r w:rsidR="00ED3734">
        <w:t xml:space="preserve"> paras. 40, 44 (May 20, 2022) (</w:t>
      </w:r>
      <w:r w:rsidR="00ED3734">
        <w:rPr>
          <w:i/>
          <w:iCs/>
        </w:rPr>
        <w:t>Gateway Provider Order</w:t>
      </w:r>
      <w:r w:rsidR="00ED3734">
        <w:t>);</w:t>
      </w:r>
      <w:r w:rsidR="000E3ABB">
        <w:rPr>
          <w:i/>
          <w:iCs/>
        </w:rPr>
        <w:t xml:space="preserve"> </w:t>
      </w:r>
      <w:r>
        <w:t xml:space="preserve">47 CFR </w:t>
      </w:r>
      <w:r w:rsidRPr="009511C9">
        <w:t>§</w:t>
      </w:r>
      <w:r>
        <w:t xml:space="preserve"> 64.6305(</w:t>
      </w:r>
      <w:r w:rsidR="00CE6AB8">
        <w:t>g</w:t>
      </w:r>
      <w:r>
        <w:t>).</w:t>
      </w:r>
      <w:r w:rsidR="00CE6AB8">
        <w:t xml:space="preserve"> </w:t>
      </w:r>
    </w:p>
  </w:footnote>
  <w:footnote w:id="4">
    <w:p w:rsidR="00D30CDC" w14:paraId="271DD9D4" w14:textId="4539D9DA">
      <w:pPr>
        <w:pStyle w:val="FootnoteText"/>
      </w:pPr>
      <w:r>
        <w:rPr>
          <w:rStyle w:val="FootnoteReference"/>
        </w:rPr>
        <w:footnoteRef/>
      </w:r>
      <w:r>
        <w:t xml:space="preserve"> 47 CFR </w:t>
      </w:r>
      <w:r w:rsidRPr="009511C9">
        <w:t>§</w:t>
      </w:r>
      <w:r>
        <w:t xml:space="preserve"> 64.6305(g)(2) (“[I]</w:t>
      </w:r>
      <w:r w:rsidRPr="00E00214">
        <w:t>ntermediate</w:t>
      </w:r>
      <w:r w:rsidRPr="00E00214">
        <w:t xml:space="preserve"> providers and voice service providers shall accept calls directly from a foreign voice service provider or foreign intermediate provider that uses North American Numbering Plan resources that pertain to the United States in the caller ID field to send voice traffic to residential or business subscribers in the United States, only if that foreign provider</w:t>
      </w:r>
      <w:r>
        <w:t>’</w:t>
      </w:r>
      <w:r w:rsidRPr="00E00214">
        <w:t>s filing appears in the Robocall Mitigation Database in accordance with paragraph (</w:t>
      </w:r>
      <w:r w:rsidR="000E460F">
        <w:t>d</w:t>
      </w:r>
      <w:r w:rsidRPr="00E00214">
        <w:t>) of this section and that filing has not been de-listed pursuant to an enforcement action</w:t>
      </w:r>
      <w:r>
        <w:t xml:space="preserve">.”); </w:t>
      </w:r>
      <w:r w:rsidRPr="00C84FD1">
        <w:rPr>
          <w:i/>
          <w:iCs/>
        </w:rPr>
        <w:t>see also</w:t>
      </w:r>
      <w:r>
        <w:t xml:space="preserve"> </w:t>
      </w:r>
      <w:r>
        <w:rPr>
          <w:i/>
          <w:iCs/>
        </w:rPr>
        <w:t>Gateway Provider Order</w:t>
      </w:r>
      <w:r>
        <w:t xml:space="preserve">, 37 FCC </w:t>
      </w:r>
      <w:r>
        <w:t>Rcd</w:t>
      </w:r>
      <w:r>
        <w:t xml:space="preserve"> </w:t>
      </w:r>
      <w:r w:rsidR="002737A0">
        <w:t>at</w:t>
      </w:r>
      <w:r>
        <w:t xml:space="preserve"> 6914-15,</w:t>
      </w:r>
      <w:r w:rsidRPr="00E339DA">
        <w:t xml:space="preserve"> para</w:t>
      </w:r>
      <w:r>
        <w:t>. 122.</w:t>
      </w:r>
    </w:p>
  </w:footnote>
  <w:footnote w:id="5">
    <w:p w:rsidR="00AD1921" w14:paraId="0D304B07" w14:textId="0C3434DC">
      <w:pPr>
        <w:pStyle w:val="FootnoteText"/>
      </w:pPr>
      <w:r>
        <w:rPr>
          <w:rStyle w:val="FootnoteReference"/>
        </w:rPr>
        <w:footnoteRef/>
      </w:r>
      <w:r>
        <w:t xml:space="preserve"> The Commission receives more complaints about unwanted and illegal calls than any other issue. </w:t>
      </w:r>
      <w:r w:rsidR="00082CED">
        <w:t xml:space="preserve"> </w:t>
      </w:r>
      <w:r w:rsidRPr="006B0239" w:rsidR="006B0239">
        <w:rPr>
          <w:i/>
          <w:iCs/>
        </w:rPr>
        <w:t xml:space="preserve">See </w:t>
      </w:r>
      <w:r w:rsidR="00927147">
        <w:t>FCC</w:t>
      </w:r>
      <w:r w:rsidR="00CC4F84">
        <w:t>,</w:t>
      </w:r>
      <w:r w:rsidR="00CC4F84">
        <w:rPr>
          <w:i/>
          <w:iCs/>
        </w:rPr>
        <w:t xml:space="preserve"> </w:t>
      </w:r>
      <w:r>
        <w:rPr>
          <w:i/>
          <w:iCs/>
        </w:rPr>
        <w:t>Consumer Complaint Data Center</w:t>
      </w:r>
      <w:r w:rsidR="00CC4F84">
        <w:t>,</w:t>
      </w:r>
      <w:r>
        <w:t xml:space="preserve"> </w:t>
      </w:r>
      <w:hyperlink r:id="rId1" w:history="1">
        <w:r w:rsidRPr="00FE1E61">
          <w:rPr>
            <w:rStyle w:val="Hyperlink"/>
          </w:rPr>
          <w:t>https://www.fcc.gov/consumer-help-center-data</w:t>
        </w:r>
      </w:hyperlink>
      <w:r>
        <w:t xml:space="preserve"> (last visited </w:t>
      </w:r>
      <w:r w:rsidR="006B0239">
        <w:t>Aug.</w:t>
      </w:r>
      <w:r>
        <w:t xml:space="preserve"> </w:t>
      </w:r>
      <w:r w:rsidR="006B0239">
        <w:t>22</w:t>
      </w:r>
      <w:r>
        <w:t>, 202</w:t>
      </w:r>
      <w:r w:rsidR="006B0239">
        <w:t>3</w:t>
      </w:r>
      <w:r>
        <w:t>).</w:t>
      </w:r>
    </w:p>
  </w:footnote>
  <w:footnote w:id="6">
    <w:p w:rsidR="00E4677C" w:rsidRPr="00CE6AB8" w:rsidP="00E4677C" w14:paraId="10BAF6A1" w14:textId="70B9D214">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xml:space="preserve">, WC Docket Nos. 17-97 and 20-67, Report and Order and Further Notice of Proposed Rulemaking, 35 FCC </w:t>
      </w:r>
      <w:r>
        <w:t>Rcd</w:t>
      </w:r>
      <w:r>
        <w:t xml:space="preserve"> 3241 (Mar. 31, 2020) (</w:t>
      </w:r>
      <w:r>
        <w:rPr>
          <w:i/>
          <w:iCs/>
        </w:rPr>
        <w:t>First Caller ID Authentication Report and Order and Further Notice</w:t>
      </w:r>
      <w:r>
        <w:t>)</w:t>
      </w:r>
      <w:r w:rsidR="00056734">
        <w:t xml:space="preserve">; </w:t>
      </w:r>
      <w:r w:rsidR="00056734">
        <w:rPr>
          <w:i/>
          <w:iCs/>
        </w:rPr>
        <w:t>see also Gateway Provider Order</w:t>
      </w:r>
      <w:r w:rsidR="00056734">
        <w:t xml:space="preserve">, </w:t>
      </w:r>
      <w:r w:rsidR="00C6190E">
        <w:t xml:space="preserve">37 FCC </w:t>
      </w:r>
      <w:r w:rsidR="00C6190E">
        <w:t>Rcd</w:t>
      </w:r>
      <w:r w:rsidR="00C6190E">
        <w:t xml:space="preserve"> </w:t>
      </w:r>
      <w:r w:rsidR="00056734">
        <w:t xml:space="preserve">at </w:t>
      </w:r>
      <w:r w:rsidR="00C6190E">
        <w:t xml:space="preserve">6886-87, </w:t>
      </w:r>
      <w:r w:rsidR="00056734">
        <w:t>para.</w:t>
      </w:r>
      <w:r w:rsidR="006B0239">
        <w:t xml:space="preserve"> </w:t>
      </w:r>
      <w:r w:rsidR="00056734">
        <w:t>51</w:t>
      </w:r>
      <w:r w:rsidR="00CE6AB8">
        <w:t xml:space="preserve"> (expanding STIR/SHAKEN requirements to gateway providers);</w:t>
      </w:r>
      <w:r w:rsidRPr="00CE6AB8" w:rsidR="00CE6AB8">
        <w:rPr>
          <w:i/>
          <w:iCs/>
        </w:rPr>
        <w:t xml:space="preserve"> </w:t>
      </w:r>
      <w:r w:rsidR="00CE6AB8">
        <w:rPr>
          <w:i/>
          <w:iCs/>
        </w:rPr>
        <w:t>Call Authentication Trust Anchor</w:t>
      </w:r>
      <w:r w:rsidR="00CE6AB8">
        <w:t>, WC Docket No. 17-97, Sixth Report and Order and Further Notice of Proposed Rulemaking, FCC 23-18, at</w:t>
      </w:r>
      <w:r w:rsidR="00934712">
        <w:t xml:space="preserve"> 8-9,</w:t>
      </w:r>
      <w:r w:rsidR="00CE6AB8">
        <w:t xml:space="preserve"> para. </w:t>
      </w:r>
      <w:r w:rsidR="000A2984">
        <w:t>15</w:t>
      </w:r>
      <w:r w:rsidR="006B0239">
        <w:t xml:space="preserve"> (Mar. 17, 2023) </w:t>
      </w:r>
      <w:r w:rsidR="000A2984">
        <w:t>(</w:t>
      </w:r>
      <w:r w:rsidR="000A2984">
        <w:rPr>
          <w:i/>
          <w:iCs/>
        </w:rPr>
        <w:t>Sixth Caller ID Authentication Order</w:t>
      </w:r>
      <w:r w:rsidR="000A2984">
        <w:t xml:space="preserve">) (expanding STIR/SHAKEN authentication requirements to non-gateway intermediate providers that receive an unauthenticated SIP call directly from an originating provider). </w:t>
      </w:r>
      <w:r w:rsidR="00082CED">
        <w:t xml:space="preserve"> </w:t>
      </w:r>
      <w:r w:rsidR="000A2984">
        <w:t xml:space="preserve">The STIR/SHAKEN requirements for non-gateway intermediate providers have not yet gone into effect. </w:t>
      </w:r>
      <w:r w:rsidR="00082CED">
        <w:t xml:space="preserve"> </w:t>
      </w:r>
      <w:r w:rsidR="00934712">
        <w:rPr>
          <w:i/>
          <w:iCs/>
        </w:rPr>
        <w:t>See id.</w:t>
      </w:r>
      <w:r w:rsidR="00934712">
        <w:t xml:space="preserve"> at </w:t>
      </w:r>
      <w:r w:rsidR="00FB4CC8">
        <w:t>15</w:t>
      </w:r>
      <w:r w:rsidR="00934712">
        <w:t xml:space="preserve">, para. </w:t>
      </w:r>
      <w:r w:rsidR="00FB4CC8">
        <w:t>27</w:t>
      </w:r>
      <w:r>
        <w:t>.</w:t>
      </w:r>
      <w:r w:rsidR="000E41B6">
        <w:t xml:space="preserve"> </w:t>
      </w:r>
    </w:p>
  </w:footnote>
  <w:footnote w:id="7">
    <w:p w:rsidR="00DB21D7" w:rsidRPr="00614B60" w14:paraId="6F9442F8" w14:textId="07945DE6">
      <w:pPr>
        <w:pStyle w:val="FootnoteText"/>
      </w:pPr>
      <w:r>
        <w:rPr>
          <w:rStyle w:val="FootnoteReference"/>
        </w:rPr>
        <w:footnoteRef/>
      </w:r>
      <w:r>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00C6190E">
        <w:t xml:space="preserve"> </w:t>
      </w:r>
      <w:r w:rsidR="00614B60">
        <w:t xml:space="preserve">In other words, a voice service provider is an originating or terminating provider. </w:t>
      </w:r>
      <w:r w:rsidR="00C6190E">
        <w:t xml:space="preserve"> </w:t>
      </w:r>
      <w:r>
        <w:rPr>
          <w:i/>
          <w:iCs/>
        </w:rPr>
        <w:t xml:space="preserve">See </w:t>
      </w:r>
      <w:r>
        <w:t xml:space="preserve">47 CFR </w:t>
      </w:r>
      <w:r w:rsidR="00614B60">
        <w:t>§</w:t>
      </w:r>
      <w:r>
        <w:t xml:space="preserve"> </w:t>
      </w:r>
      <w:r w:rsidR="00614B60">
        <w:t xml:space="preserve">64.6300(n); </w:t>
      </w:r>
      <w:r w:rsidR="00614B60">
        <w:rPr>
          <w:i/>
          <w:iCs/>
        </w:rPr>
        <w:t>Sixth Caller ID Authentication Order</w:t>
      </w:r>
      <w:r w:rsidR="00614B60">
        <w:t>, FCC 23-18 at 3, para. 4 n.11.</w:t>
      </w:r>
    </w:p>
  </w:footnote>
  <w:footnote w:id="8">
    <w:p w:rsidR="00E4677C" w:rsidRPr="000F7041" w:rsidP="00E4677C" w14:paraId="25DA250C" w14:textId="24CC2167">
      <w:pPr>
        <w:pStyle w:val="FootnoteText"/>
      </w:pPr>
      <w:r>
        <w:rPr>
          <w:rStyle w:val="FootnoteReference"/>
        </w:rPr>
        <w:footnoteRef/>
      </w:r>
      <w:r>
        <w:t xml:space="preserve"> </w:t>
      </w:r>
      <w:r>
        <w:rPr>
          <w:i/>
          <w:iCs/>
        </w:rPr>
        <w:t>Second Caller ID Authentication Order</w:t>
      </w:r>
      <w:r>
        <w:t xml:space="preserve">, </w:t>
      </w:r>
      <w:r w:rsidRPr="00043B7C" w:rsidR="00B53683">
        <w:rPr>
          <w:i/>
          <w:iCs/>
        </w:rPr>
        <w:t>supra</w:t>
      </w:r>
      <w:r w:rsidR="00B53683">
        <w:t xml:space="preserve"> note 1,</w:t>
      </w:r>
      <w:r>
        <w:t xml:space="preserve"> at 1892-93, para. 66; Pallone-Thune Telephone Robocall Abuse Criminal Enforcement and Deterrence (TRACED Act), Pub. L. No. 116-105, 133 Stat. 3274, § 4(b)(5)(A)(</w:t>
      </w:r>
      <w:r>
        <w:t>i</w:t>
      </w:r>
      <w:r>
        <w:t>) (TRACED Act).</w:t>
      </w:r>
      <w:r w:rsidR="008061DD">
        <w:t xml:space="preserve"> </w:t>
      </w:r>
      <w:r w:rsidRPr="000F7041">
        <w:t xml:space="preserve"> </w:t>
      </w:r>
      <w:r>
        <w:t xml:space="preserve">On December 9, 2021, the Commission shortened the deadline to implement STIR/SHAKEN for non-facilities-based small voice services providers and small voice service providers of any kind suspected of originating illegal robocalls.  </w:t>
      </w:r>
      <w:r>
        <w:rPr>
          <w:i/>
          <w:iCs/>
        </w:rPr>
        <w:t>Call Authentication Trust Anchor</w:t>
      </w:r>
      <w:r>
        <w:t>, WC Docket No</w:t>
      </w:r>
      <w:r w:rsidR="00927147">
        <w:t>.</w:t>
      </w:r>
      <w:r>
        <w:t xml:space="preserve"> 17-97, Fourth Report and Order, </w:t>
      </w:r>
      <w:r w:rsidR="00C6190E">
        <w:t xml:space="preserve">36 FCC </w:t>
      </w:r>
      <w:r w:rsidR="00C6190E">
        <w:t>Rcd</w:t>
      </w:r>
      <w:r w:rsidR="00C6190E">
        <w:t xml:space="preserve"> 17840, 17844, </w:t>
      </w:r>
      <w:r>
        <w:t>para. 9 (2021) (</w:t>
      </w:r>
      <w:r>
        <w:rPr>
          <w:i/>
          <w:iCs/>
        </w:rPr>
        <w:t>Fourth Caller Authentication Order</w:t>
      </w:r>
      <w:r>
        <w:t xml:space="preserve">); </w:t>
      </w:r>
      <w:r>
        <w:rPr>
          <w:i/>
          <w:iCs/>
        </w:rPr>
        <w:t>see also</w:t>
      </w:r>
      <w:r>
        <w:t xml:space="preserve"> TRACED Act § 4(b)(5).</w:t>
      </w:r>
    </w:p>
  </w:footnote>
  <w:footnote w:id="9">
    <w:p w:rsidR="00E4677C" w:rsidP="00E4677C" w14:paraId="3CCC0810" w14:textId="4DA3C15F">
      <w:pPr>
        <w:pStyle w:val="FootnoteText"/>
      </w:pPr>
      <w:r>
        <w:rPr>
          <w:rStyle w:val="FootnoteReference"/>
        </w:rPr>
        <w:footnoteRef/>
      </w:r>
      <w:r>
        <w:t xml:space="preserve"> TRACED Act § 4(b)(5)(C)(</w:t>
      </w:r>
      <w:r>
        <w:t>i</w:t>
      </w:r>
      <w:r>
        <w:t xml:space="preserve">); 47 CFR § 64.6305(a); </w:t>
      </w:r>
      <w:r>
        <w:rPr>
          <w:i/>
          <w:iCs/>
        </w:rPr>
        <w:t>Second Caller ID Authentication Order</w:t>
      </w:r>
      <w:r>
        <w:t>,</w:t>
      </w:r>
      <w:r w:rsidR="00A47175">
        <w:t xml:space="preserve"> </w:t>
      </w:r>
      <w:r w:rsidR="00A47175">
        <w:rPr>
          <w:i/>
          <w:iCs/>
        </w:rPr>
        <w:t xml:space="preserve">supra </w:t>
      </w:r>
      <w:r w:rsidR="00A47175">
        <w:t>note 1,</w:t>
      </w:r>
      <w:r>
        <w:t xml:space="preserve"> at 1897-98, para. 75.</w:t>
      </w:r>
    </w:p>
  </w:footnote>
  <w:footnote w:id="10">
    <w:p w:rsidR="00E4677C" w:rsidP="00E4677C" w14:paraId="7A5E2B52" w14:textId="6A155F5E">
      <w:pPr>
        <w:pStyle w:val="FootnoteText"/>
      </w:pPr>
      <w:r>
        <w:rPr>
          <w:rStyle w:val="FootnoteReference"/>
        </w:rPr>
        <w:footnoteRef/>
      </w:r>
      <w:r>
        <w:t xml:space="preserve"> </w:t>
      </w:r>
      <w:bookmarkStart w:id="2" w:name="_Hlk91060767"/>
      <w:r>
        <w:t>47 CFR § 64.6305(</w:t>
      </w:r>
      <w:r w:rsidR="00CA46D9">
        <w:t>d</w:t>
      </w:r>
      <w:r>
        <w:t xml:space="preserve">); </w:t>
      </w:r>
      <w:bookmarkEnd w:id="2"/>
      <w:r>
        <w:rPr>
          <w:i/>
          <w:iCs/>
        </w:rPr>
        <w:t>Second Caller ID Authentication Order</w:t>
      </w:r>
      <w:r>
        <w:t>,</w:t>
      </w:r>
      <w:r w:rsidRPr="00A47175" w:rsidR="00A47175">
        <w:rPr>
          <w:i/>
          <w:iCs/>
        </w:rPr>
        <w:t xml:space="preserve"> </w:t>
      </w:r>
      <w:r w:rsidR="00A47175">
        <w:rPr>
          <w:i/>
          <w:iCs/>
        </w:rPr>
        <w:t xml:space="preserve">supra </w:t>
      </w:r>
      <w:r w:rsidR="00A47175">
        <w:t>note 1,</w:t>
      </w:r>
      <w:r>
        <w:t xml:space="preserve"> </w:t>
      </w:r>
      <w:r w:rsidR="00C6190E">
        <w:t xml:space="preserve">at </w:t>
      </w:r>
      <w:r>
        <w:t xml:space="preserve">1902, para. 82. </w:t>
      </w:r>
    </w:p>
  </w:footnote>
  <w:footnote w:id="11">
    <w:p w:rsidR="00E4677C" w:rsidP="00E4677C" w14:paraId="09B0DD02" w14:textId="16D5493D">
      <w:pPr>
        <w:pStyle w:val="FootnoteText"/>
      </w:pPr>
      <w:r>
        <w:rPr>
          <w:rStyle w:val="FootnoteReference"/>
        </w:rPr>
        <w:footnoteRef/>
      </w:r>
      <w:r>
        <w:t xml:space="preserve"> 47 CFR § 64.6305(</w:t>
      </w:r>
      <w:r w:rsidR="00CA46D9">
        <w:t>d</w:t>
      </w:r>
      <w:r>
        <w:t xml:space="preserve">)(2)(ii); </w:t>
      </w:r>
      <w:r>
        <w:rPr>
          <w:i/>
          <w:iCs/>
        </w:rPr>
        <w:t>Second Caller ID Authentication Order</w:t>
      </w:r>
      <w:r>
        <w:t>,</w:t>
      </w:r>
      <w:r w:rsidRPr="00A47175" w:rsidR="00A47175">
        <w:rPr>
          <w:i/>
          <w:iCs/>
        </w:rPr>
        <w:t xml:space="preserve"> </w:t>
      </w:r>
      <w:r w:rsidR="00A47175">
        <w:rPr>
          <w:i/>
          <w:iCs/>
        </w:rPr>
        <w:t xml:space="preserve">supra </w:t>
      </w:r>
      <w:r w:rsidR="00A47175">
        <w:t>note 1,</w:t>
      </w:r>
      <w:r>
        <w:t xml:space="preserve"> </w:t>
      </w:r>
      <w:r w:rsidR="00C6190E">
        <w:t xml:space="preserve">at </w:t>
      </w:r>
      <w:r>
        <w:t>1902, para. 82 (</w:t>
      </w:r>
      <w:r w:rsidR="001C3ABD">
        <w:t>quotations</w:t>
      </w:r>
      <w:r>
        <w:t xml:space="preserve"> omitted).</w:t>
      </w:r>
    </w:p>
  </w:footnote>
  <w:footnote w:id="12">
    <w:p w:rsidR="004028E9" w:rsidRPr="004028E9" w14:paraId="6D41B3AA" w14:textId="1FDC3D6B">
      <w:pPr>
        <w:pStyle w:val="FootnoteText"/>
      </w:pPr>
      <w:r>
        <w:rPr>
          <w:rStyle w:val="FootnoteReference"/>
        </w:rPr>
        <w:footnoteRef/>
      </w:r>
      <w:r>
        <w:t xml:space="preserve"> </w:t>
      </w:r>
      <w:r>
        <w:rPr>
          <w:i/>
          <w:iCs/>
        </w:rPr>
        <w:t>Gateway Provider Order</w:t>
      </w:r>
      <w:r>
        <w:t xml:space="preserve">, </w:t>
      </w:r>
      <w:r w:rsidR="00C6190E">
        <w:rPr>
          <w:i/>
          <w:iCs/>
        </w:rPr>
        <w:t xml:space="preserve">supra </w:t>
      </w:r>
      <w:r w:rsidR="00C6190E">
        <w:t xml:space="preserve">note 1, </w:t>
      </w:r>
      <w:r>
        <w:t>at</w:t>
      </w:r>
      <w:r w:rsidR="00C6190E">
        <w:t xml:space="preserve"> 6886-87</w:t>
      </w:r>
      <w:r w:rsidR="00CA46D9">
        <w:t>,</w:t>
      </w:r>
      <w:r>
        <w:t xml:space="preserve"> para. 51</w:t>
      </w:r>
      <w:r w:rsidR="007C3D2B">
        <w:t>.</w:t>
      </w:r>
      <w:r>
        <w:t xml:space="preserve"> </w:t>
      </w:r>
      <w:r w:rsidR="00C6190E">
        <w:t xml:space="preserve"> </w:t>
      </w:r>
      <w:r>
        <w:t>A “gateway provider”</w:t>
      </w:r>
      <w:r w:rsidR="007C3D2B">
        <w:rPr>
          <w:snapToGrid w:val="0"/>
          <w:color w:val="333333"/>
          <w:kern w:val="28"/>
          <w:shd w:val="clear" w:color="auto" w:fill="FFFFFF"/>
        </w:rPr>
        <w:t xml:space="preserve"> is “</w:t>
      </w:r>
      <w:r w:rsidRPr="007C3D2B" w:rsidR="007C3D2B">
        <w:t>a U.S.-based intermediate provider that receives a call directly from a foreign originating provider or foreign intermediate provider at its U.S.-based facilities before transmitting the call downstream to another U.S.-based provider.</w:t>
      </w:r>
      <w:r w:rsidR="007C3D2B">
        <w:t xml:space="preserve">” </w:t>
      </w:r>
      <w:r w:rsidR="006901C1">
        <w:t xml:space="preserve"> </w:t>
      </w:r>
      <w:r w:rsidR="007C3D2B">
        <w:t>47 CFR § 64.6300</w:t>
      </w:r>
      <w:r w:rsidR="001159A4">
        <w:t>(d)</w:t>
      </w:r>
      <w:r w:rsidR="007C3D2B">
        <w:t>.</w:t>
      </w:r>
    </w:p>
  </w:footnote>
  <w:footnote w:id="13">
    <w:p w:rsidR="007C3D2B" w:rsidRPr="007C3D2B" w14:paraId="0C968203" w14:textId="516878B1">
      <w:pPr>
        <w:pStyle w:val="FootnoteText"/>
      </w:pPr>
      <w:r>
        <w:rPr>
          <w:rStyle w:val="FootnoteReference"/>
        </w:rPr>
        <w:footnoteRef/>
      </w:r>
      <w:r>
        <w:t xml:space="preserve"> </w:t>
      </w:r>
      <w:r>
        <w:rPr>
          <w:i/>
          <w:iCs/>
        </w:rPr>
        <w:t>Gateway Provider Order</w:t>
      </w:r>
      <w:r>
        <w:t>,</w:t>
      </w:r>
      <w:r w:rsidRPr="00A47175" w:rsidR="00A47175">
        <w:rPr>
          <w:i/>
          <w:iCs/>
        </w:rPr>
        <w:t xml:space="preserve"> </w:t>
      </w:r>
      <w:r w:rsidR="00A47175">
        <w:rPr>
          <w:i/>
          <w:iCs/>
        </w:rPr>
        <w:t xml:space="preserve">supra </w:t>
      </w:r>
      <w:r w:rsidR="00A47175">
        <w:t>note 1,</w:t>
      </w:r>
      <w:r>
        <w:t xml:space="preserve"> </w:t>
      </w:r>
      <w:r w:rsidR="00082CED">
        <w:t>at 6880</w:t>
      </w:r>
      <w:r w:rsidR="00CA46D9">
        <w:t>,</w:t>
      </w:r>
      <w:r>
        <w:t xml:space="preserve"> para</w:t>
      </w:r>
      <w:r w:rsidR="004550AF">
        <w:t>s</w:t>
      </w:r>
      <w:r>
        <w:t>.</w:t>
      </w:r>
      <w:r w:rsidR="004550AF">
        <w:t xml:space="preserve"> 34</w:t>
      </w:r>
      <w:r w:rsidR="00F31F5D">
        <w:t>-</w:t>
      </w:r>
      <w:r w:rsidR="004550AF">
        <w:t>35</w:t>
      </w:r>
      <w:r w:rsidR="00F31F5D">
        <w:t>; 47 CFR § 64.6305(b).</w:t>
      </w:r>
    </w:p>
  </w:footnote>
  <w:footnote w:id="14">
    <w:p w:rsidR="00F31F5D" w:rsidRPr="00753BBF" w14:paraId="05066D4F" w14:textId="235735CC">
      <w:pPr>
        <w:pStyle w:val="FootnoteText"/>
      </w:pPr>
      <w:r>
        <w:rPr>
          <w:rStyle w:val="FootnoteReference"/>
        </w:rPr>
        <w:footnoteRef/>
      </w:r>
      <w:r>
        <w:t xml:space="preserve"> 47 CFR § 64.6305(</w:t>
      </w:r>
      <w:r w:rsidR="00CA46D9">
        <w:t>e</w:t>
      </w:r>
      <w:r>
        <w:t>)(1), (</w:t>
      </w:r>
      <w:r w:rsidR="00CA46D9">
        <w:t>e</w:t>
      </w:r>
      <w:r>
        <w:t>)(2)</w:t>
      </w:r>
      <w:r w:rsidR="00753BBF">
        <w:t xml:space="preserve">(ii); </w:t>
      </w:r>
      <w:r w:rsidR="00753BBF">
        <w:rPr>
          <w:i/>
          <w:iCs/>
        </w:rPr>
        <w:t>Gateway Provider Order</w:t>
      </w:r>
      <w:r w:rsidR="00753BBF">
        <w:t>,</w:t>
      </w:r>
      <w:r w:rsidRPr="00A47175" w:rsidR="00A47175">
        <w:rPr>
          <w:i/>
          <w:iCs/>
        </w:rPr>
        <w:t xml:space="preserve"> </w:t>
      </w:r>
      <w:r w:rsidR="00A47175">
        <w:rPr>
          <w:i/>
          <w:iCs/>
        </w:rPr>
        <w:t xml:space="preserve">supra </w:t>
      </w:r>
      <w:r w:rsidR="00A47175">
        <w:t>note 1,</w:t>
      </w:r>
      <w:r w:rsidR="00753BBF">
        <w:t xml:space="preserve"> </w:t>
      </w:r>
      <w:r w:rsidR="00082CED">
        <w:t>at 6880-82</w:t>
      </w:r>
      <w:r w:rsidR="0018572F">
        <w:t xml:space="preserve">, </w:t>
      </w:r>
      <w:r w:rsidR="00753BBF">
        <w:t xml:space="preserve">paras. 35-38. </w:t>
      </w:r>
      <w:r w:rsidR="00082CED">
        <w:t xml:space="preserve"> </w:t>
      </w:r>
      <w:r w:rsidR="00753BBF">
        <w:t xml:space="preserve">Gateway providers’ mitigation programs must also include a description of their compliance with the know-your-upstream-provider requirements in section 64.1200(n)(4) of the rules. </w:t>
      </w:r>
      <w:r w:rsidR="00082CED">
        <w:t xml:space="preserve"> </w:t>
      </w:r>
      <w:r w:rsidR="007F0B73">
        <w:rPr>
          <w:i/>
          <w:iCs/>
        </w:rPr>
        <w:t xml:space="preserve">See </w:t>
      </w:r>
      <w:r w:rsidR="00753BBF">
        <w:t>47 CFR § 64.6305(</w:t>
      </w:r>
      <w:r w:rsidR="0018572F">
        <w:t>e</w:t>
      </w:r>
      <w:r w:rsidR="00753BBF">
        <w:t>)(2)(ii).</w:t>
      </w:r>
    </w:p>
  </w:footnote>
  <w:footnote w:id="15">
    <w:p w:rsidR="00B41221" w:rsidRPr="002451C9" w14:paraId="629C165C" w14:textId="76B83833">
      <w:pPr>
        <w:pStyle w:val="FootnoteText"/>
      </w:pPr>
      <w:r>
        <w:rPr>
          <w:rStyle w:val="FootnoteReference"/>
        </w:rPr>
        <w:footnoteRef/>
      </w:r>
      <w:r>
        <w:t xml:space="preserve"> </w:t>
      </w:r>
      <w:r w:rsidR="002451C9">
        <w:rPr>
          <w:i/>
          <w:iCs/>
        </w:rPr>
        <w:t xml:space="preserve">See </w:t>
      </w:r>
      <w:r w:rsidR="002451C9">
        <w:t xml:space="preserve">47 CFR § 64.6305(a)-(c); </w:t>
      </w:r>
      <w:r w:rsidR="002451C9">
        <w:rPr>
          <w:i/>
          <w:iCs/>
        </w:rPr>
        <w:t>Sixth Caller ID Authentication Order</w:t>
      </w:r>
      <w:r w:rsidR="002451C9">
        <w:t xml:space="preserve">, </w:t>
      </w:r>
      <w:r w:rsidRPr="00D457CD" w:rsidR="00D457CD">
        <w:rPr>
          <w:i/>
          <w:iCs/>
        </w:rPr>
        <w:t>supra</w:t>
      </w:r>
      <w:r w:rsidR="00D457CD">
        <w:t xml:space="preserve"> note </w:t>
      </w:r>
      <w:r w:rsidR="0044246E">
        <w:t>4</w:t>
      </w:r>
      <w:r w:rsidR="00D457CD">
        <w:t xml:space="preserve">, </w:t>
      </w:r>
      <w:r w:rsidR="002451C9">
        <w:t xml:space="preserve">at 16-20, paras. 29-34.  This requirement went into effect on August 21, 2023. </w:t>
      </w:r>
      <w:r w:rsidRPr="00350257" w:rsidR="003269AE">
        <w:t xml:space="preserve"> </w:t>
      </w:r>
      <w:r w:rsidR="007F0B73">
        <w:rPr>
          <w:i/>
          <w:iCs/>
        </w:rPr>
        <w:t xml:space="preserve">See </w:t>
      </w:r>
      <w:r w:rsidR="007F0B73">
        <w:t xml:space="preserve">Call Authentication Trust Anchor, </w:t>
      </w:r>
      <w:r w:rsidRPr="00350257" w:rsidR="003269AE">
        <w:t xml:space="preserve">88 </w:t>
      </w:r>
      <w:r w:rsidR="003269AE">
        <w:t>Fed. Reg.</w:t>
      </w:r>
      <w:r w:rsidRPr="00350257" w:rsidR="003269AE">
        <w:t xml:space="preserve"> 40096</w:t>
      </w:r>
      <w:r w:rsidR="003269AE">
        <w:t xml:space="preserve"> (June 21, 2023).</w:t>
      </w:r>
    </w:p>
  </w:footnote>
  <w:footnote w:id="16">
    <w:p w:rsidR="00C30493" w:rsidRPr="00AF3E81" w14:paraId="1912BD23" w14:textId="0EA238F4">
      <w:pPr>
        <w:pStyle w:val="FootnoteText"/>
      </w:pPr>
      <w:r>
        <w:rPr>
          <w:rStyle w:val="FootnoteReference"/>
        </w:rPr>
        <w:footnoteRef/>
      </w:r>
      <w:r>
        <w:t xml:space="preserve"> </w:t>
      </w:r>
      <w:r w:rsidR="00120329">
        <w:rPr>
          <w:i/>
          <w:iCs/>
        </w:rPr>
        <w:t>See</w:t>
      </w:r>
      <w:r w:rsidR="00120329">
        <w:t xml:space="preserve"> 47 CFR § </w:t>
      </w:r>
      <w:r w:rsidR="00CC773B">
        <w:t xml:space="preserve">64.6305(d)-(f); </w:t>
      </w:r>
      <w:r w:rsidR="00CC773B">
        <w:rPr>
          <w:i/>
          <w:iCs/>
        </w:rPr>
        <w:t>Sixth Caller ID Authentication Order</w:t>
      </w:r>
      <w:r w:rsidR="00CC773B">
        <w:t>,</w:t>
      </w:r>
      <w:r w:rsidRPr="00A47175" w:rsidR="00A47175">
        <w:rPr>
          <w:i/>
          <w:iCs/>
        </w:rPr>
        <w:t xml:space="preserve"> </w:t>
      </w:r>
      <w:r w:rsidR="00A47175">
        <w:rPr>
          <w:i/>
          <w:iCs/>
        </w:rPr>
        <w:t xml:space="preserve">supra </w:t>
      </w:r>
      <w:r w:rsidR="00A47175">
        <w:t>note 1,</w:t>
      </w:r>
      <w:r w:rsidR="00CC773B">
        <w:t xml:space="preserve"> at 20-</w:t>
      </w:r>
      <w:r w:rsidR="00106F63">
        <w:t>21</w:t>
      </w:r>
      <w:r w:rsidR="00D457CD">
        <w:t>,</w:t>
      </w:r>
      <w:r w:rsidR="00CC773B">
        <w:t xml:space="preserve"> paras. </w:t>
      </w:r>
      <w:r w:rsidR="00106F63">
        <w:t xml:space="preserve">36-37. </w:t>
      </w:r>
      <w:r w:rsidR="000F75C8">
        <w:t xml:space="preserve"> </w:t>
      </w:r>
      <w:r w:rsidR="00106F63">
        <w:t xml:space="preserve">The Commission also adopted rules requiring all providers to submit additional information </w:t>
      </w:r>
      <w:r w:rsidR="004002C7">
        <w:t xml:space="preserve">regarding their </w:t>
      </w:r>
      <w:r w:rsidR="00AF3E81">
        <w:t>robocall mitigation plans</w:t>
      </w:r>
      <w:r w:rsidR="00106F63">
        <w:t xml:space="preserve">. </w:t>
      </w:r>
      <w:r w:rsidR="00D457CD">
        <w:t xml:space="preserve"> </w:t>
      </w:r>
      <w:r w:rsidR="00106F63">
        <w:rPr>
          <w:i/>
          <w:iCs/>
        </w:rPr>
        <w:t>Id.</w:t>
      </w:r>
      <w:r w:rsidR="00106F63">
        <w:t xml:space="preserve"> at 24</w:t>
      </w:r>
      <w:r w:rsidR="00AF3E81">
        <w:t>-27</w:t>
      </w:r>
      <w:r w:rsidR="00106F63">
        <w:t>, paras. 43-</w:t>
      </w:r>
      <w:r w:rsidR="00AF3E81">
        <w:t>48</w:t>
      </w:r>
      <w:r w:rsidR="000F75C8">
        <w:t>.</w:t>
      </w:r>
      <w:r w:rsidR="00AF3E81">
        <w:t xml:space="preserve"> </w:t>
      </w:r>
    </w:p>
  </w:footnote>
  <w:footnote w:id="17">
    <w:p w:rsidR="00121E41" w14:paraId="7EEEA8E6" w14:textId="67C96EA2">
      <w:pPr>
        <w:pStyle w:val="FootnoteText"/>
      </w:pPr>
      <w:r>
        <w:rPr>
          <w:rStyle w:val="FootnoteReference"/>
        </w:rPr>
        <w:footnoteRef/>
      </w:r>
      <w:r>
        <w:t xml:space="preserve"> </w:t>
      </w:r>
      <w:r>
        <w:rPr>
          <w:i/>
          <w:iCs/>
        </w:rPr>
        <w:t>See</w:t>
      </w:r>
      <w:r w:rsidRPr="00121E41">
        <w:rPr>
          <w:i/>
          <w:iCs/>
        </w:rPr>
        <w:t xml:space="preserve"> </w:t>
      </w:r>
      <w:r>
        <w:rPr>
          <w:i/>
          <w:iCs/>
        </w:rPr>
        <w:t>Sixth Caller ID Authentication Order</w:t>
      </w:r>
      <w:r>
        <w:t>,</w:t>
      </w:r>
      <w:r w:rsidRPr="00A47175" w:rsidR="00A47175">
        <w:rPr>
          <w:i/>
          <w:iCs/>
        </w:rPr>
        <w:t xml:space="preserve"> </w:t>
      </w:r>
      <w:r w:rsidR="00A47175">
        <w:rPr>
          <w:i/>
          <w:iCs/>
        </w:rPr>
        <w:t xml:space="preserve">supra </w:t>
      </w:r>
      <w:r w:rsidR="00A47175">
        <w:t>note 1,</w:t>
      </w:r>
      <w:r>
        <w:t xml:space="preserve"> at 27, para. 49.</w:t>
      </w:r>
      <w:r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8">
    <w:p w:rsidR="00A036E8" w14:paraId="24D280CF" w14:textId="161B7007">
      <w:pPr>
        <w:pStyle w:val="FootnoteText"/>
      </w:pPr>
      <w:r>
        <w:rPr>
          <w:rStyle w:val="FootnoteReference"/>
        </w:rPr>
        <w:footnoteRef/>
      </w:r>
      <w:r>
        <w:t xml:space="preserve"> </w:t>
      </w:r>
      <w:r>
        <w:rPr>
          <w:i/>
          <w:iCs/>
        </w:rPr>
        <w:t>See</w:t>
      </w:r>
      <w:r>
        <w:t xml:space="preserve"> 47 CFR § 64.6305(d) (voice service provider certifications); 47 CFR § 64.6305(e) (gateway provider certifications);</w:t>
      </w:r>
      <w:r w:rsidR="00121E41">
        <w:t xml:space="preserve"> </w:t>
      </w:r>
      <w:r w:rsidR="00121E41">
        <w:rPr>
          <w:i/>
          <w:iCs/>
        </w:rPr>
        <w:t>see also</w:t>
      </w:r>
      <w:r>
        <w:rPr>
          <w:i/>
          <w:iCs/>
        </w:rPr>
        <w:t xml:space="preserve"> Sixth Caller ID Authentication Order</w:t>
      </w:r>
      <w:r>
        <w:t>,</w:t>
      </w:r>
      <w:r w:rsidRPr="00A47175" w:rsidR="00A47175">
        <w:rPr>
          <w:i/>
          <w:iCs/>
        </w:rPr>
        <w:t xml:space="preserve"> </w:t>
      </w:r>
      <w:r w:rsidR="00A47175">
        <w:rPr>
          <w:i/>
          <w:iCs/>
        </w:rPr>
        <w:t xml:space="preserve">supra </w:t>
      </w:r>
      <w:r w:rsidR="00A47175">
        <w:t>note 1,</w:t>
      </w:r>
      <w:r>
        <w:t xml:space="preserve"> at 27, para. 49 (effective date for new </w:t>
      </w:r>
      <w:r w:rsidR="004002C7">
        <w:t>filers and those with expanded filing obligations</w:t>
      </w:r>
      <w:r w:rsidR="00BE24A1">
        <w:t>).</w:t>
      </w:r>
      <w:r>
        <w:t xml:space="preserve">  </w:t>
      </w:r>
    </w:p>
  </w:footnote>
  <w:footnote w:id="19">
    <w:p w:rsidR="00FD2C6B" w:rsidP="00FD2C6B" w14:paraId="21470866" w14:textId="59FF3B63">
      <w:pPr>
        <w:pStyle w:val="FootnoteText"/>
      </w:pPr>
      <w:r>
        <w:rPr>
          <w:rStyle w:val="FootnoteReference"/>
        </w:rPr>
        <w:footnoteRef/>
      </w:r>
      <w:r>
        <w:t xml:space="preserve"> </w:t>
      </w:r>
      <w:r>
        <w:rPr>
          <w:i/>
          <w:iCs/>
        </w:rPr>
        <w:t>Second Caller ID Authentication Order</w:t>
      </w:r>
      <w:r>
        <w:t xml:space="preserve">, </w:t>
      </w:r>
      <w:r w:rsidR="00350257">
        <w:rPr>
          <w:i/>
          <w:iCs/>
        </w:rPr>
        <w:t>supra</w:t>
      </w:r>
      <w:r w:rsidR="00350257">
        <w:t xml:space="preserve"> note 1,</w:t>
      </w:r>
      <w:r>
        <w:t xml:space="preserve"> at 1905-</w:t>
      </w:r>
      <w:r w:rsidR="00927147">
        <w:t>19</w:t>
      </w:r>
      <w:r>
        <w:t>06, paras. 90, 93.</w:t>
      </w:r>
    </w:p>
  </w:footnote>
  <w:footnote w:id="20">
    <w:p w:rsidR="00121E41" w:rsidRPr="00046106" w:rsidP="00121E41" w14:paraId="3AA4456A" w14:textId="2D39B072">
      <w:pPr>
        <w:pStyle w:val="FootnoteText"/>
      </w:pPr>
      <w:r>
        <w:rPr>
          <w:rStyle w:val="FootnoteReference"/>
        </w:rPr>
        <w:footnoteRef/>
      </w:r>
      <w:r>
        <w:t xml:space="preserve"> </w:t>
      </w:r>
      <w:r w:rsidR="00927147">
        <w:t>FCC</w:t>
      </w:r>
      <w:r>
        <w:t xml:space="preserve">, </w:t>
      </w:r>
      <w:r w:rsidRPr="006850E9">
        <w:rPr>
          <w:i/>
        </w:rPr>
        <w:t>Robocall Mitigation Database</w:t>
      </w:r>
      <w:r>
        <w:t xml:space="preserve">, </w:t>
      </w:r>
      <w:hyperlink r:id="rId2" w:history="1">
        <w:r w:rsidRPr="00046106">
          <w:rPr>
            <w:rStyle w:val="Hyperlink"/>
          </w:rPr>
          <w:t>https://fccprod.servicenowservices.com/rmd?id=rmd_welcome</w:t>
        </w:r>
      </w:hyperlink>
      <w:r>
        <w:t xml:space="preserve"> (last visited </w:t>
      </w:r>
      <w:r w:rsidR="00D457CD">
        <w:t>Aug. 22</w:t>
      </w:r>
      <w:r>
        <w:t>, 202</w:t>
      </w:r>
      <w:r w:rsidR="00D457CD">
        <w:t>3</w:t>
      </w:r>
      <w:r>
        <w:t>)</w:t>
      </w:r>
      <w:r w:rsidRPr="00046106">
        <w:t xml:space="preserve">. </w:t>
      </w:r>
    </w:p>
  </w:footnote>
  <w:footnote w:id="21">
    <w:p w:rsidR="00E4677C" w:rsidP="00E4677C" w14:paraId="4B07C089" w14:textId="315EF146">
      <w:pPr>
        <w:pStyle w:val="FootnoteText"/>
      </w:pPr>
      <w:r>
        <w:rPr>
          <w:rStyle w:val="FootnoteReference"/>
        </w:rPr>
        <w:footnoteRef/>
      </w:r>
      <w:r>
        <w:t xml:space="preserve"> 47 CFR § 64.6305(</w:t>
      </w:r>
      <w:r w:rsidR="00181E8D">
        <w:t>g</w:t>
      </w:r>
      <w:r>
        <w:t xml:space="preserve">); </w:t>
      </w:r>
      <w:r>
        <w:rPr>
          <w:i/>
          <w:iCs/>
        </w:rPr>
        <w:t>Second Caller ID Authentication Order</w:t>
      </w:r>
      <w:r>
        <w:t>,</w:t>
      </w:r>
      <w:r w:rsidRPr="00A47175" w:rsidR="00A47175">
        <w:rPr>
          <w:i/>
          <w:iCs/>
        </w:rPr>
        <w:t xml:space="preserve"> </w:t>
      </w:r>
      <w:r w:rsidR="00A47175">
        <w:rPr>
          <w:i/>
          <w:iCs/>
        </w:rPr>
        <w:t xml:space="preserve">supra </w:t>
      </w:r>
      <w:r w:rsidR="00A47175">
        <w:t>note 1,</w:t>
      </w:r>
      <w:r>
        <w:t xml:space="preserve"> at 1904, para. 86</w:t>
      </w:r>
      <w:r w:rsidR="004A723B">
        <w:t xml:space="preserve">; </w:t>
      </w:r>
      <w:r w:rsidR="004A723B">
        <w:rPr>
          <w:i/>
          <w:iCs/>
        </w:rPr>
        <w:t>Gateway Provider Order</w:t>
      </w:r>
      <w:r w:rsidR="004A723B">
        <w:t xml:space="preserve">, </w:t>
      </w:r>
      <w:r w:rsidR="00D457CD">
        <w:rPr>
          <w:i/>
          <w:iCs/>
        </w:rPr>
        <w:t xml:space="preserve">supra </w:t>
      </w:r>
      <w:r w:rsidR="00D457CD">
        <w:t xml:space="preserve">note 1, </w:t>
      </w:r>
      <w:r w:rsidR="004A723B">
        <w:t>at</w:t>
      </w:r>
      <w:r w:rsidR="00D457CD">
        <w:t xml:space="preserve"> 6883-84</w:t>
      </w:r>
      <w:r w:rsidR="00C63691">
        <w:t>,</w:t>
      </w:r>
      <w:r w:rsidR="004A723B">
        <w:t xml:space="preserve"> para. 44</w:t>
      </w:r>
      <w:r w:rsidR="00E11F5A">
        <w:t xml:space="preserve">. </w:t>
      </w:r>
      <w:r w:rsidR="00F3505E">
        <w:t xml:space="preserve"> </w:t>
      </w:r>
      <w:r w:rsidR="00E11F5A">
        <w:t xml:space="preserve">The Commission has emphasized that these rules do not constitute the exercise of jurisdiction over foreign voice service providers.  </w:t>
      </w:r>
      <w:r w:rsidRPr="679761B7" w:rsidR="00E11F5A">
        <w:rPr>
          <w:i/>
          <w:iCs/>
        </w:rPr>
        <w:t>Second Caller ID Authentication Report and Order</w:t>
      </w:r>
      <w:r w:rsidRPr="679761B7" w:rsidR="00E11F5A">
        <w:t xml:space="preserve">, </w:t>
      </w:r>
      <w:r w:rsidR="00A47175">
        <w:rPr>
          <w:i/>
          <w:iCs/>
        </w:rPr>
        <w:t xml:space="preserve">supra </w:t>
      </w:r>
      <w:r w:rsidR="00A47175">
        <w:t>note 1,</w:t>
      </w:r>
      <w:r w:rsidRPr="679761B7" w:rsidR="00E11F5A">
        <w:t xml:space="preserve"> </w:t>
      </w:r>
      <w:r w:rsidR="00E11F5A">
        <w:t xml:space="preserve">para. 99 </w:t>
      </w:r>
      <w:r w:rsidRPr="679761B7" w:rsidR="00E11F5A">
        <w:t>n.370</w:t>
      </w:r>
      <w:r w:rsidR="00E11F5A">
        <w:t xml:space="preserve">; </w:t>
      </w:r>
      <w:r w:rsidR="00E11F5A">
        <w:rPr>
          <w:i/>
          <w:iCs/>
        </w:rPr>
        <w:t>Gateway Provider Order</w:t>
      </w:r>
      <w:r w:rsidR="00E11F5A">
        <w:t xml:space="preserve">, </w:t>
      </w:r>
      <w:r w:rsidR="006D2340">
        <w:rPr>
          <w:i/>
          <w:iCs/>
        </w:rPr>
        <w:t>supra</w:t>
      </w:r>
      <w:r w:rsidR="006D2340">
        <w:t xml:space="preserve"> note 1,</w:t>
      </w:r>
      <w:r w:rsidR="00E11F5A">
        <w:t xml:space="preserve"> at </w:t>
      </w:r>
      <w:r w:rsidR="006D2340">
        <w:t>6913-94</w:t>
      </w:r>
      <w:r w:rsidR="00E11F5A">
        <w:t xml:space="preserve">, </w:t>
      </w:r>
      <w:r w:rsidRPr="00722C34" w:rsidR="00E11F5A">
        <w:t xml:space="preserve">para. 120 </w:t>
      </w:r>
      <w:r w:rsidR="007F0B73">
        <w:t>and</w:t>
      </w:r>
      <w:r w:rsidRPr="00722C34" w:rsidR="00E11F5A">
        <w:t xml:space="preserve"> n.354</w:t>
      </w:r>
      <w:r w:rsidR="00E11F5A">
        <w:t xml:space="preserve"> (finding that these provisions did not have an impermissible, direct effect on foreign voice service providers)</w:t>
      </w:r>
      <w:r>
        <w:t>.</w:t>
      </w:r>
    </w:p>
  </w:footnote>
  <w:footnote w:id="22">
    <w:p w:rsidR="00E4677C" w:rsidRPr="00362096" w:rsidP="00E4677C" w14:paraId="0372171F" w14:textId="2ECF2380">
      <w:pPr>
        <w:pStyle w:val="FootnoteText"/>
      </w:pPr>
      <w:r>
        <w:rPr>
          <w:rStyle w:val="FootnoteReference"/>
        </w:rPr>
        <w:footnoteRef/>
      </w:r>
      <w:r>
        <w:t xml:space="preserve">  </w:t>
      </w:r>
      <w:r>
        <w:rPr>
          <w:i/>
          <w:iCs/>
        </w:rPr>
        <w:t>Second Caller ID Authentication Order</w:t>
      </w:r>
      <w:r>
        <w:t>,</w:t>
      </w:r>
      <w:r w:rsidRPr="00A47175" w:rsidR="00A47175">
        <w:rPr>
          <w:i/>
          <w:iCs/>
        </w:rPr>
        <w:t xml:space="preserve"> </w:t>
      </w:r>
      <w:r w:rsidR="00A47175">
        <w:rPr>
          <w:i/>
          <w:iCs/>
        </w:rPr>
        <w:t xml:space="preserve">supra </w:t>
      </w:r>
      <w:r w:rsidR="00A47175">
        <w:t>note 1,</w:t>
      </w:r>
      <w:r>
        <w:t xml:space="preserve"> at</w:t>
      </w:r>
      <w:r w:rsidR="00D457CD">
        <w:t xml:space="preserve"> </w:t>
      </w:r>
      <w:r>
        <w:t>190</w:t>
      </w:r>
      <w:r w:rsidR="00D457CD">
        <w:t>1-</w:t>
      </w:r>
      <w:r w:rsidR="00927147">
        <w:t>19</w:t>
      </w:r>
      <w:r w:rsidR="00D457CD">
        <w:t>02</w:t>
      </w:r>
      <w:r>
        <w:t>,</w:t>
      </w:r>
      <w:r w:rsidR="00BD4CCE">
        <w:t xml:space="preserve"> 1906</w:t>
      </w:r>
      <w:r w:rsidR="005B3A15">
        <w:t>,</w:t>
      </w:r>
      <w:r>
        <w:t xml:space="preserve"> para</w:t>
      </w:r>
      <w:r w:rsidR="00BB0D10">
        <w:t>s</w:t>
      </w:r>
      <w:r>
        <w:t>.</w:t>
      </w:r>
      <w:r w:rsidR="00BB0D10">
        <w:t xml:space="preserve"> 81 </w:t>
      </w:r>
      <w:r w:rsidR="005B3A15">
        <w:t xml:space="preserve">and </w:t>
      </w:r>
      <w:r w:rsidR="00BB0D10">
        <w:t>n.322,</w:t>
      </w:r>
      <w:r>
        <w:t xml:space="preserve"> 83</w:t>
      </w:r>
      <w:r w:rsidR="00BD4CCE">
        <w:t>, 93</w:t>
      </w:r>
      <w:r w:rsidR="003F78A5">
        <w:t xml:space="preserve">; </w:t>
      </w:r>
      <w:r w:rsidR="003F78A5">
        <w:rPr>
          <w:i/>
          <w:iCs/>
        </w:rPr>
        <w:t>Gateway Provider Order</w:t>
      </w:r>
      <w:r w:rsidR="003F78A5">
        <w:t>,</w:t>
      </w:r>
      <w:r w:rsidRPr="00A47175" w:rsidR="00A47175">
        <w:rPr>
          <w:i/>
          <w:iCs/>
        </w:rPr>
        <w:t xml:space="preserve"> </w:t>
      </w:r>
      <w:r w:rsidR="00A47175">
        <w:rPr>
          <w:i/>
          <w:iCs/>
        </w:rPr>
        <w:t xml:space="preserve">supra </w:t>
      </w:r>
      <w:r w:rsidR="00A47175">
        <w:t>note 1,</w:t>
      </w:r>
      <w:r w:rsidR="003F78A5">
        <w:t xml:space="preserve"> </w:t>
      </w:r>
      <w:r w:rsidR="00D457CD">
        <w:t>at 6882</w:t>
      </w:r>
      <w:r w:rsidR="00C63691">
        <w:t>,</w:t>
      </w:r>
      <w:r w:rsidR="003F78A5">
        <w:t xml:space="preserve"> para. 40</w:t>
      </w:r>
      <w:r>
        <w:t>.</w:t>
      </w:r>
    </w:p>
  </w:footnote>
  <w:footnote w:id="23">
    <w:p w:rsidR="00E4677C" w:rsidP="00E4677C" w14:paraId="4AEDC173" w14:textId="70D0DDD6">
      <w:pPr>
        <w:pStyle w:val="FootnoteText"/>
      </w:pPr>
      <w:r>
        <w:rPr>
          <w:rStyle w:val="FootnoteReference"/>
        </w:rPr>
        <w:footnoteRef/>
      </w:r>
      <w:r>
        <w:t xml:space="preserve"> 47 CFR § 64.6305(</w:t>
      </w:r>
      <w:r w:rsidR="00181E8D">
        <w:t>d</w:t>
      </w:r>
      <w:r>
        <w:t>)(2)(ii)</w:t>
      </w:r>
      <w:r w:rsidR="00BB0D10">
        <w:t>;</w:t>
      </w:r>
      <w:r w:rsidR="003F78A5">
        <w:t xml:space="preserve"> 47 CFR § 64.6305</w:t>
      </w:r>
      <w:r w:rsidR="00C63691">
        <w:t>(e)</w:t>
      </w:r>
      <w:r w:rsidR="003F78A5">
        <w:t>(2)(ii);</w:t>
      </w:r>
      <w:r w:rsidR="00BB0D10">
        <w:t xml:space="preserve"> </w:t>
      </w:r>
      <w:r w:rsidR="00BB0D10">
        <w:rPr>
          <w:i/>
          <w:iCs/>
        </w:rPr>
        <w:t>see also</w:t>
      </w:r>
      <w:r w:rsidR="00BB0D10">
        <w:t xml:space="preserve"> </w:t>
      </w:r>
      <w:r w:rsidR="00BB0D10">
        <w:rPr>
          <w:i/>
          <w:iCs/>
        </w:rPr>
        <w:t>Second Caller ID Authentication Order</w:t>
      </w:r>
      <w:r w:rsidR="00BB0D10">
        <w:t>,</w:t>
      </w:r>
      <w:r w:rsidRPr="00A47175" w:rsidR="00A47175">
        <w:rPr>
          <w:i/>
          <w:iCs/>
        </w:rPr>
        <w:t xml:space="preserve"> </w:t>
      </w:r>
      <w:r w:rsidR="00A47175">
        <w:rPr>
          <w:i/>
          <w:iCs/>
        </w:rPr>
        <w:t xml:space="preserve">supra </w:t>
      </w:r>
      <w:r w:rsidR="00A47175">
        <w:t>note 1,</w:t>
      </w:r>
      <w:r w:rsidR="00BB0D10">
        <w:t xml:space="preserve"> at </w:t>
      </w:r>
      <w:r w:rsidR="007F7008">
        <w:t>1900-02</w:t>
      </w:r>
      <w:r w:rsidR="00BB0D10">
        <w:t>, paras. 77-8</w:t>
      </w:r>
      <w:r w:rsidR="00416FCF">
        <w:t>2</w:t>
      </w:r>
      <w:r w:rsidR="003F78A5">
        <w:t xml:space="preserve">; </w:t>
      </w:r>
      <w:r w:rsidR="003F78A5">
        <w:rPr>
          <w:i/>
          <w:iCs/>
        </w:rPr>
        <w:t>Gateway Provider Order</w:t>
      </w:r>
      <w:r w:rsidR="003F78A5">
        <w:t>,</w:t>
      </w:r>
      <w:r w:rsidRPr="00A47175" w:rsidR="00A47175">
        <w:rPr>
          <w:i/>
          <w:iCs/>
        </w:rPr>
        <w:t xml:space="preserve"> </w:t>
      </w:r>
      <w:r w:rsidR="00A47175">
        <w:rPr>
          <w:i/>
          <w:iCs/>
        </w:rPr>
        <w:t xml:space="preserve">supra </w:t>
      </w:r>
      <w:r w:rsidR="00A47175">
        <w:t>note 1,</w:t>
      </w:r>
      <w:r w:rsidR="003F78A5">
        <w:t xml:space="preserve"> at</w:t>
      </w:r>
      <w:r w:rsidR="00C63691">
        <w:t xml:space="preserve"> </w:t>
      </w:r>
      <w:r w:rsidR="003F7F50">
        <w:t>6882</w:t>
      </w:r>
      <w:r w:rsidR="00C63691">
        <w:t>,</w:t>
      </w:r>
      <w:r w:rsidR="003F78A5">
        <w:t xml:space="preserve"> para.</w:t>
      </w:r>
      <w:r w:rsidR="00F70978">
        <w:t xml:space="preserve"> 40</w:t>
      </w:r>
      <w:r>
        <w:t>.</w:t>
      </w:r>
    </w:p>
  </w:footnote>
  <w:footnote w:id="24">
    <w:p w:rsidR="00E4677C" w:rsidRPr="009D3A8C" w:rsidP="00E4677C" w14:paraId="1E2333AB" w14:textId="7CC8D36D">
      <w:pPr>
        <w:pStyle w:val="FootnoteText"/>
      </w:pPr>
      <w:r>
        <w:rPr>
          <w:rStyle w:val="FootnoteReference"/>
        </w:rPr>
        <w:footnoteRef/>
      </w:r>
      <w:r>
        <w:t xml:space="preserve"> </w:t>
      </w:r>
      <w:r w:rsidRPr="00787F95">
        <w:rPr>
          <w:i/>
          <w:iCs/>
        </w:rPr>
        <w:t xml:space="preserve">Second </w:t>
      </w:r>
      <w:r>
        <w:rPr>
          <w:i/>
          <w:iCs/>
        </w:rPr>
        <w:t>Call Authentication Trust Anchor Order</w:t>
      </w:r>
      <w:r>
        <w:t xml:space="preserve">, </w:t>
      </w:r>
      <w:r w:rsidR="00DD4364">
        <w:rPr>
          <w:i/>
          <w:iCs/>
        </w:rPr>
        <w:t>supra</w:t>
      </w:r>
      <w:r w:rsidR="00DD4364">
        <w:t xml:space="preserve"> note 1,</w:t>
      </w:r>
      <w:r w:rsidR="003F7F50">
        <w:t xml:space="preserve"> </w:t>
      </w:r>
      <w:r>
        <w:t>at</w:t>
      </w:r>
      <w:r>
        <w:rPr>
          <w:b/>
        </w:rPr>
        <w:t xml:space="preserve"> </w:t>
      </w:r>
      <w:r>
        <w:rPr>
          <w:bCs/>
        </w:rPr>
        <w:t>1904-</w:t>
      </w:r>
      <w:r w:rsidR="00927147">
        <w:rPr>
          <w:bCs/>
        </w:rPr>
        <w:t>19</w:t>
      </w:r>
      <w:r>
        <w:rPr>
          <w:bCs/>
        </w:rPr>
        <w:t>05</w:t>
      </w:r>
      <w:r>
        <w:t>, para. 88</w:t>
      </w:r>
      <w:r w:rsidR="00794204">
        <w:t xml:space="preserve">; </w:t>
      </w:r>
      <w:r w:rsidR="00794204">
        <w:rPr>
          <w:i/>
          <w:iCs/>
        </w:rPr>
        <w:t>Gateway Provider Order</w:t>
      </w:r>
      <w:r w:rsidR="00794204">
        <w:t xml:space="preserve">, </w:t>
      </w:r>
      <w:r w:rsidR="00DD4364">
        <w:rPr>
          <w:i/>
          <w:iCs/>
        </w:rPr>
        <w:t xml:space="preserve">supra </w:t>
      </w:r>
      <w:r w:rsidR="00DD4364">
        <w:t>note 1,</w:t>
      </w:r>
      <w:r w:rsidR="003F7F50">
        <w:t xml:space="preserve"> at 6882,</w:t>
      </w:r>
      <w:r w:rsidR="00794204">
        <w:t xml:space="preserve"> para. 40</w:t>
      </w:r>
      <w:r w:rsidR="000C020C">
        <w:t xml:space="preserve">; </w:t>
      </w:r>
      <w:bookmarkStart w:id="3" w:name="_Hlk143165723"/>
      <w:r w:rsidRPr="00E4700D" w:rsidR="000C020C">
        <w:rPr>
          <w:i/>
          <w:iCs/>
        </w:rPr>
        <w:t>see also</w:t>
      </w:r>
      <w:r w:rsidR="000C020C">
        <w:t xml:space="preserve"> </w:t>
      </w:r>
      <w:r w:rsidRPr="00E7014B" w:rsidR="000C020C">
        <w:rPr>
          <w:i/>
          <w:iCs/>
        </w:rPr>
        <w:t xml:space="preserve">Sixth </w:t>
      </w:r>
      <w:r w:rsidR="000C020C">
        <w:rPr>
          <w:i/>
          <w:iCs/>
        </w:rPr>
        <w:t>Caller ID Authentication Order</w:t>
      </w:r>
      <w:r w:rsidR="00DD4364">
        <w:t xml:space="preserve">, </w:t>
      </w:r>
      <w:r w:rsidR="00DD4364">
        <w:rPr>
          <w:i/>
          <w:iCs/>
        </w:rPr>
        <w:t>supra</w:t>
      </w:r>
      <w:r w:rsidR="00DD4364">
        <w:t xml:space="preserve"> note 4,</w:t>
      </w:r>
      <w:r w:rsidR="000C020C">
        <w:t xml:space="preserve"> at 32, para. 60</w:t>
      </w:r>
      <w:bookmarkEnd w:id="3"/>
      <w:r>
        <w:t xml:space="preserve">.  We may take other enforcement actions such as requiring the voice service provider to submit more specific robocall mitigation measures or imposing a forfeiture.  </w:t>
      </w:r>
      <w:r w:rsidR="00794204">
        <w:rPr>
          <w:i/>
          <w:iCs/>
        </w:rPr>
        <w:t>Second Call Authentication Trust Anchor Order</w:t>
      </w:r>
      <w:r w:rsidR="00D80B13">
        <w:t>,</w:t>
      </w:r>
      <w:r w:rsidRPr="00A47175" w:rsidR="00A47175">
        <w:rPr>
          <w:i/>
          <w:iCs/>
        </w:rPr>
        <w:t xml:space="preserve"> </w:t>
      </w:r>
      <w:r w:rsidR="00A47175">
        <w:rPr>
          <w:i/>
          <w:iCs/>
        </w:rPr>
        <w:t xml:space="preserve">supra </w:t>
      </w:r>
      <w:r w:rsidR="00A47175">
        <w:t>note 1,</w:t>
      </w:r>
      <w:r>
        <w:t xml:space="preserve"> at</w:t>
      </w:r>
      <w:r w:rsidR="00D80B13">
        <w:t xml:space="preserve"> </w:t>
      </w:r>
      <w:r>
        <w:t>1903, para. 83</w:t>
      </w:r>
      <w:r w:rsidR="00794204">
        <w:t xml:space="preserve">; </w:t>
      </w:r>
      <w:r w:rsidR="00794204">
        <w:rPr>
          <w:i/>
          <w:iCs/>
        </w:rPr>
        <w:t>Gateway Provider Order</w:t>
      </w:r>
      <w:r w:rsidR="00794204">
        <w:t>,</w:t>
      </w:r>
      <w:r w:rsidRPr="00A47175" w:rsidR="00A47175">
        <w:rPr>
          <w:i/>
          <w:iCs/>
        </w:rPr>
        <w:t xml:space="preserve"> </w:t>
      </w:r>
      <w:r w:rsidR="00A47175">
        <w:rPr>
          <w:i/>
          <w:iCs/>
        </w:rPr>
        <w:t xml:space="preserve">supra </w:t>
      </w:r>
      <w:r w:rsidR="00A47175">
        <w:t>note 1,</w:t>
      </w:r>
      <w:r w:rsidR="00794204">
        <w:t xml:space="preserve"> at </w:t>
      </w:r>
      <w:r w:rsidR="007100CA">
        <w:t>6882</w:t>
      </w:r>
      <w:r w:rsidR="00C63691">
        <w:t xml:space="preserve">, </w:t>
      </w:r>
      <w:r w:rsidR="00794204">
        <w:t>para. 40</w:t>
      </w:r>
      <w:r w:rsidR="00EB62A2">
        <w:t xml:space="preserve">; </w:t>
      </w:r>
      <w:bookmarkStart w:id="4" w:name="_Hlk143165743"/>
      <w:r w:rsidRPr="00E4700D" w:rsidR="00EB62A2">
        <w:rPr>
          <w:i/>
          <w:iCs/>
        </w:rPr>
        <w:t>see also</w:t>
      </w:r>
      <w:r w:rsidR="00EB62A2">
        <w:t xml:space="preserve"> </w:t>
      </w:r>
      <w:r w:rsidRPr="00E7014B" w:rsidR="00EB62A2">
        <w:rPr>
          <w:i/>
          <w:iCs/>
        </w:rPr>
        <w:t xml:space="preserve">Sixth </w:t>
      </w:r>
      <w:r w:rsidR="00EB62A2">
        <w:rPr>
          <w:i/>
          <w:iCs/>
        </w:rPr>
        <w:t>Caller ID Authentication Order</w:t>
      </w:r>
      <w:r w:rsidR="00E45A64">
        <w:t>,</w:t>
      </w:r>
      <w:r w:rsidRPr="00A47175" w:rsidR="00A47175">
        <w:rPr>
          <w:i/>
          <w:iCs/>
        </w:rPr>
        <w:t xml:space="preserve"> </w:t>
      </w:r>
      <w:r w:rsidR="00A47175">
        <w:rPr>
          <w:i/>
          <w:iCs/>
        </w:rPr>
        <w:t xml:space="preserve">supra </w:t>
      </w:r>
      <w:r w:rsidR="00A47175">
        <w:t>note 1,</w:t>
      </w:r>
      <w:r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4"/>
      <w:r>
        <w:t>.</w:t>
      </w:r>
    </w:p>
  </w:footnote>
  <w:footnote w:id="25">
    <w:p w:rsidR="00E4677C" w:rsidRPr="000B0DBC" w:rsidP="000B0DBC" w14:paraId="4781E742" w14:textId="4B532455">
      <w:pPr>
        <w:widowControl/>
        <w:spacing w:after="120"/>
        <w:rPr>
          <w:snapToGrid/>
          <w:color w:val="0563C1"/>
          <w:kern w:val="0"/>
          <w:sz w:val="20"/>
          <w:u w:val="single"/>
        </w:rPr>
      </w:pPr>
      <w:r>
        <w:rPr>
          <w:rStyle w:val="FootnoteReference"/>
        </w:rPr>
        <w:footnoteRef/>
      </w:r>
      <w:r>
        <w:t xml:space="preserve"> </w:t>
      </w:r>
      <w:r w:rsidRPr="00E50DD9" w:rsidR="00E50DD9">
        <w:rPr>
          <w:sz w:val="20"/>
        </w:rPr>
        <w:t xml:space="preserve">Etihad Etisalat (Mobily), Robocall Mitigation Database, </w:t>
      </w:r>
      <w:r w:rsidR="00927147">
        <w:rPr>
          <w:sz w:val="20"/>
        </w:rPr>
        <w:t>FCC</w:t>
      </w:r>
      <w:r w:rsidRPr="00E50DD9" w:rsidR="00E50DD9">
        <w:rPr>
          <w:sz w:val="20"/>
        </w:rPr>
        <w:t xml:space="preserve"> (Aug. 16, 2021), </w:t>
      </w:r>
      <w:hyperlink r:id="rId3" w:history="1">
        <w:r w:rsidRPr="007B4F45" w:rsidR="00E50DD9">
          <w:rPr>
            <w:rStyle w:val="Hyperlink"/>
            <w:sz w:val="20"/>
          </w:rPr>
          <w:t>https://fccprod.servicenowservices.com/rmd?id=rmd_form&amp;table=x_g_fmc_rmd_robocall_mitigation_database&amp;sys_id=bf9f0bfc1b0a7010dabd2f41f54bcb9c&amp;view=sp</w:t>
        </w:r>
      </w:hyperlink>
      <w:r w:rsidR="00E50DD9">
        <w:rPr>
          <w:sz w:val="20"/>
        </w:rPr>
        <w:t xml:space="preserve"> </w:t>
      </w:r>
      <w:r w:rsidRPr="00E50DD9" w:rsidR="00E50DD9">
        <w:rPr>
          <w:sz w:val="20"/>
        </w:rPr>
        <w:t>(Robocall Mitigation Database Filing).</w:t>
      </w:r>
    </w:p>
  </w:footnote>
  <w:footnote w:id="26">
    <w:p w:rsidR="002D0919" w:rsidP="002D0919" w14:paraId="37A9F325" w14:textId="77777777">
      <w:pPr>
        <w:pStyle w:val="FootnoteText"/>
      </w:pPr>
      <w:r>
        <w:rPr>
          <w:rStyle w:val="FootnoteReference"/>
        </w:rPr>
        <w:footnoteRef/>
      </w:r>
      <w:r>
        <w:t xml:space="preserve"> </w:t>
      </w:r>
      <w:r w:rsidRPr="000A26ED">
        <w:rPr>
          <w:i/>
          <w:iCs/>
        </w:rPr>
        <w:t>Id.</w:t>
      </w:r>
    </w:p>
  </w:footnote>
  <w:footnote w:id="27">
    <w:p w:rsidR="004372ED" w:rsidRPr="004372ED" w14:paraId="5D91BB65" w14:textId="77777777">
      <w:pPr>
        <w:pStyle w:val="FootnoteText"/>
        <w:rPr>
          <w:i/>
          <w:iCs/>
        </w:rPr>
      </w:pPr>
      <w:r>
        <w:rPr>
          <w:rStyle w:val="FootnoteReference"/>
        </w:rPr>
        <w:footnoteRef/>
      </w:r>
      <w:r>
        <w:t xml:space="preserve"> </w:t>
      </w:r>
      <w:r>
        <w:rPr>
          <w:i/>
          <w:iCs/>
        </w:rPr>
        <w:t>Id.</w:t>
      </w:r>
    </w:p>
  </w:footnote>
  <w:footnote w:id="28">
    <w:p w:rsidR="00E4677C" w:rsidRPr="002616FE" w:rsidP="000B0DBC" w14:paraId="3ACF0B87" w14:textId="7599D122">
      <w:pPr>
        <w:pStyle w:val="FootnoteText"/>
      </w:pPr>
      <w:r w:rsidRPr="000B0DBC">
        <w:rPr>
          <w:rStyle w:val="FootnoteReference"/>
        </w:rPr>
        <w:footnoteRef/>
      </w:r>
      <w:r w:rsidRPr="000B0DBC">
        <w:t xml:space="preserve"> Email from</w:t>
      </w:r>
      <w:r w:rsidRPr="000B0DBC" w:rsidR="00753F26">
        <w:t xml:space="preserve"> Wireline Competition Bureau </w:t>
      </w:r>
      <w:r w:rsidRPr="000B0DBC">
        <w:t xml:space="preserve">to </w:t>
      </w:r>
      <w:r w:rsidRPr="00285C97" w:rsidR="00285C97">
        <w:t>Mobily</w:t>
      </w:r>
      <w:r w:rsidR="00D80B13">
        <w:t xml:space="preserve"> </w:t>
      </w:r>
      <w:r w:rsidRPr="000B0DBC">
        <w:t>(</w:t>
      </w:r>
      <w:r w:rsidRPr="00452EEC" w:rsidR="00452EEC">
        <w:t>Feb</w:t>
      </w:r>
      <w:r w:rsidR="005B3A15">
        <w:t>.</w:t>
      </w:r>
      <w:r w:rsidRPr="00452EEC" w:rsidR="00452EEC">
        <w:t xml:space="preserve"> 18, 2022</w:t>
      </w:r>
      <w:r w:rsidRPr="000B0DBC">
        <w:t>) (Warning Notice).</w:t>
      </w:r>
      <w:r w:rsidRPr="000B0DBC" w:rsidR="002616FE">
        <w:t xml:space="preserve">  </w:t>
      </w:r>
      <w:r w:rsidRPr="000B0DBC" w:rsidR="002616FE">
        <w:rPr>
          <w:i/>
          <w:iCs/>
        </w:rPr>
        <w:t xml:space="preserve">See also </w:t>
      </w:r>
      <w:r w:rsidRPr="000B0DBC" w:rsidR="002616FE">
        <w:t>Exhibit A.</w:t>
      </w:r>
    </w:p>
  </w:footnote>
  <w:footnote w:id="29">
    <w:p w:rsidR="00E4677C" w:rsidRPr="00EC16F2" w:rsidP="00E4677C" w14:paraId="33F9FADB" w14:textId="01F7C89E">
      <w:pPr>
        <w:pStyle w:val="FootnoteText"/>
      </w:pPr>
      <w:r>
        <w:rPr>
          <w:rStyle w:val="FootnoteReference"/>
        </w:rPr>
        <w:footnoteRef/>
      </w:r>
      <w:r>
        <w:t xml:space="preserve"> </w:t>
      </w:r>
      <w:r>
        <w:rPr>
          <w:i/>
          <w:iCs/>
        </w:rPr>
        <w:t>See</w:t>
      </w:r>
      <w:r>
        <w:t xml:space="preserve"> Robocall Mitigation Database Filing (attesting that the Company has </w:t>
      </w:r>
      <w:r w:rsidRPr="007866BF" w:rsidR="00120D21">
        <w:t>no</w:t>
      </w:r>
      <w:r w:rsidRPr="007866BF">
        <w:t xml:space="preserve"> </w:t>
      </w:r>
      <w:r w:rsidRPr="007866BF" w:rsidR="00D80B13">
        <w:t>STIR/SHAKEN implementation</w:t>
      </w:r>
      <w:r>
        <w:t xml:space="preserve"> and is performing robocall mitigation).</w:t>
      </w:r>
    </w:p>
  </w:footnote>
  <w:footnote w:id="30">
    <w:p w:rsidR="00E4677C" w:rsidRPr="00C740E2" w:rsidP="00E4677C" w14:paraId="181981F9" w14:textId="4C69362B">
      <w:pPr>
        <w:pStyle w:val="FootnoteText"/>
        <w:rPr>
          <w:i/>
          <w:iCs/>
        </w:rPr>
      </w:pPr>
      <w:r>
        <w:rPr>
          <w:rStyle w:val="FootnoteReference"/>
        </w:rPr>
        <w:footnoteRef/>
      </w:r>
      <w:r>
        <w:t xml:space="preserve"> </w:t>
      </w:r>
      <w:r>
        <w:rPr>
          <w:i/>
          <w:iCs/>
        </w:rPr>
        <w:t xml:space="preserve">See </w:t>
      </w:r>
      <w:r>
        <w:t>47 CFR § 64.6305(</w:t>
      </w:r>
      <w:r w:rsidR="003654FB">
        <w:t>d</w:t>
      </w:r>
      <w:r>
        <w:t>)</w:t>
      </w:r>
      <w:r w:rsidR="003269AE">
        <w:t>(2)(ii)</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67175B">
        <w:t>,</w:t>
      </w:r>
      <w:r>
        <w:t xml:space="preserve"> at 1902, para. 82.</w:t>
      </w:r>
    </w:p>
  </w:footnote>
  <w:footnote w:id="31">
    <w:p w:rsidR="00E4677C" w:rsidP="00E4677C" w14:paraId="259BDBD7" w14:textId="09338C97">
      <w:pPr>
        <w:pStyle w:val="FootnoteText"/>
      </w:pPr>
      <w:r>
        <w:rPr>
          <w:rStyle w:val="FootnoteReference"/>
        </w:rPr>
        <w:footnoteRef/>
      </w:r>
      <w:r>
        <w:t xml:space="preserve"> </w:t>
      </w:r>
      <w:r w:rsidR="00587290">
        <w:t>47 CFR § 64.6305(</w:t>
      </w:r>
      <w:r w:rsidR="003654FB">
        <w:t>d</w:t>
      </w:r>
      <w:r w:rsidR="00587290">
        <w:t xml:space="preserve">)(2)(ii); </w:t>
      </w:r>
      <w:r>
        <w:rPr>
          <w:i/>
          <w:iCs/>
        </w:rPr>
        <w:t>Second Caller ID Authentication Order</w:t>
      </w:r>
      <w:r w:rsidR="003F7F50">
        <w:t>,</w:t>
      </w:r>
      <w:r w:rsidRPr="00A47175" w:rsidR="00A47175">
        <w:rPr>
          <w:i/>
          <w:iCs/>
        </w:rPr>
        <w:t xml:space="preserve"> </w:t>
      </w:r>
      <w:r w:rsidR="00A47175">
        <w:rPr>
          <w:i/>
          <w:iCs/>
        </w:rPr>
        <w:t xml:space="preserve">supra </w:t>
      </w:r>
      <w:r w:rsidR="00A47175">
        <w:t>note 1,</w:t>
      </w:r>
      <w:r w:rsidR="003F7F50">
        <w:t xml:space="preserve"> </w:t>
      </w:r>
      <w:r>
        <w:t>at 1903, para. 83.</w:t>
      </w:r>
    </w:p>
  </w:footnote>
  <w:footnote w:id="32">
    <w:p w:rsidR="00E4677C" w:rsidRPr="0017783E" w:rsidP="00E4677C" w14:paraId="674D8B4A" w14:textId="77777777">
      <w:pPr>
        <w:pStyle w:val="FootnoteText"/>
      </w:pPr>
      <w:r>
        <w:rPr>
          <w:rStyle w:val="FootnoteReference"/>
        </w:rPr>
        <w:footnoteRef/>
      </w:r>
      <w:r>
        <w:t xml:space="preserve"> </w:t>
      </w:r>
      <w:r>
        <w:rPr>
          <w:i/>
          <w:iCs/>
        </w:rPr>
        <w:t>See</w:t>
      </w:r>
      <w:r>
        <w:t xml:space="preserve"> Warning Notice</w:t>
      </w:r>
      <w:r w:rsidR="000B0DBC">
        <w:t>.</w:t>
      </w:r>
    </w:p>
  </w:footnote>
  <w:footnote w:id="33">
    <w:p w:rsidR="00E4677C" w:rsidP="00E4677C" w14:paraId="24E57AF7" w14:textId="32F9DC4E">
      <w:pPr>
        <w:pStyle w:val="FootnoteText"/>
      </w:pPr>
      <w:r>
        <w:rPr>
          <w:rStyle w:val="FootnoteReference"/>
        </w:rPr>
        <w:footnoteRef/>
      </w:r>
      <w:r>
        <w:t xml:space="preserve"> </w:t>
      </w:r>
      <w:r>
        <w:rPr>
          <w:i/>
          <w:iCs/>
        </w:rPr>
        <w:t>See Second Caller ID Authentication Order</w:t>
      </w:r>
      <w:r>
        <w:t>,</w:t>
      </w:r>
      <w:r w:rsidRPr="00A47175" w:rsidR="00A47175">
        <w:rPr>
          <w:i/>
          <w:iCs/>
        </w:rPr>
        <w:t xml:space="preserve"> </w:t>
      </w:r>
      <w:r w:rsidR="00A47175">
        <w:rPr>
          <w:i/>
          <w:iCs/>
        </w:rPr>
        <w:t xml:space="preserve">supra </w:t>
      </w:r>
      <w:r w:rsidR="00A47175">
        <w:t>note 1,</w:t>
      </w:r>
      <w:r>
        <w:t xml:space="preserve"> at 1903, para. 83 (“Enforcement Actions may include, among others, removing a defective certification from the database after providing notice to the voice service provider and an opportunity to cure the filing . . . .”).</w:t>
      </w:r>
    </w:p>
  </w:footnote>
  <w:footnote w:id="34">
    <w:p w:rsidR="00753306" w:rsidP="00753306" w14:paraId="0F82839D" w14:textId="4E5B1615">
      <w:pPr>
        <w:pStyle w:val="FootnoteText"/>
      </w:pPr>
      <w:r>
        <w:rPr>
          <w:rStyle w:val="FootnoteReference"/>
        </w:rPr>
        <w:footnoteRef/>
      </w:r>
      <w:r>
        <w:t xml:space="preserve"> </w:t>
      </w:r>
      <w:r>
        <w:rPr>
          <w:i/>
          <w:iCs/>
        </w:rPr>
        <w:t xml:space="preserve">See </w:t>
      </w:r>
      <w:r w:rsidRPr="001E530E">
        <w:rPr>
          <w:i/>
          <w:iCs/>
        </w:rPr>
        <w:t>Sixth Caller ID Authentication Order</w:t>
      </w:r>
      <w:r w:rsidR="00FB1735">
        <w:t xml:space="preserve">, </w:t>
      </w:r>
      <w:r w:rsidR="00FB1735">
        <w:rPr>
          <w:i/>
          <w:iCs/>
        </w:rPr>
        <w:t>supra</w:t>
      </w:r>
      <w:r w:rsidR="00FB1735">
        <w:t xml:space="preserve"> note 4,</w:t>
      </w:r>
      <w:r w:rsidRPr="004F0097">
        <w:t xml:space="preserve"> at 32</w:t>
      </w:r>
      <w:r>
        <w:t>,</w:t>
      </w:r>
      <w:r w:rsidRPr="004F0097">
        <w:t xml:space="preserve"> para. 60</w:t>
      </w:r>
      <w:r>
        <w:t>.</w:t>
      </w:r>
    </w:p>
  </w:footnote>
  <w:footnote w:id="35">
    <w:p w:rsidR="00753306" w:rsidRPr="00753306" w14:paraId="48DF8B19" w14:textId="352A8EAA">
      <w:pPr>
        <w:pStyle w:val="FootnoteText"/>
      </w:pPr>
      <w:r>
        <w:rPr>
          <w:rStyle w:val="FootnoteReference"/>
        </w:rPr>
        <w:footnoteRef/>
      </w:r>
      <w:r>
        <w:t xml:space="preserve"> </w:t>
      </w:r>
      <w:r>
        <w:rPr>
          <w:i/>
          <w:iCs/>
        </w:rPr>
        <w:t>See id.</w:t>
      </w:r>
    </w:p>
  </w:footnote>
  <w:footnote w:id="36">
    <w:p w:rsidR="00E4677C" w:rsidP="00E4677C" w14:paraId="12AB0A7C" w14:textId="2F446091">
      <w:pPr>
        <w:pStyle w:val="FootnoteText"/>
      </w:pPr>
      <w:r>
        <w:rPr>
          <w:rStyle w:val="FootnoteReference"/>
        </w:rPr>
        <w:footnoteRef/>
      </w:r>
      <w:r>
        <w:t xml:space="preserve"> 47 CFR § 64.6305(</w:t>
      </w:r>
      <w:r w:rsidR="003654FB">
        <w:t>g</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CD1F68">
        <w:t>,</w:t>
      </w:r>
      <w:r>
        <w:t xml:space="preserve"> at 1904, para. 86.</w:t>
      </w:r>
    </w:p>
  </w:footnote>
  <w:footnote w:id="37">
    <w:p w:rsidR="008061DD" w14:paraId="46BDE5BA" w14:textId="12CC6620">
      <w:pPr>
        <w:pStyle w:val="FootnoteText"/>
      </w:pPr>
      <w:r>
        <w:rPr>
          <w:rStyle w:val="FootnoteReference"/>
        </w:rPr>
        <w:footnoteRef/>
      </w:r>
      <w:r>
        <w:t xml:space="preserve"> </w:t>
      </w:r>
      <w:r w:rsidRPr="008061DD">
        <w:rPr>
          <w:i/>
          <w:iCs/>
        </w:rPr>
        <w:t>Second Caller ID Authentication Order</w:t>
      </w:r>
      <w:r w:rsidR="0067175B">
        <w:t>,</w:t>
      </w:r>
      <w:r w:rsidRPr="00A47175" w:rsidR="00A47175">
        <w:rPr>
          <w:i/>
          <w:iCs/>
        </w:rPr>
        <w:t xml:space="preserve"> </w:t>
      </w:r>
      <w:r w:rsidR="00A47175">
        <w:rPr>
          <w:i/>
          <w:iCs/>
        </w:rPr>
        <w:t xml:space="preserve">supra </w:t>
      </w:r>
      <w:r w:rsidR="00A47175">
        <w:t>note 1,</w:t>
      </w:r>
      <w:r w:rsidRPr="0067175B" w:rsidR="0067175B">
        <w:rPr>
          <w:i/>
          <w:iCs/>
        </w:rPr>
        <w:t xml:space="preserve"> </w:t>
      </w:r>
      <w:r w:rsidRPr="008061DD">
        <w:t xml:space="preserve">at 1902, 1903, paras. 81 </w:t>
      </w:r>
      <w:r w:rsidR="005B3A15">
        <w:t xml:space="preserve">and </w:t>
      </w:r>
      <w:r w:rsidRPr="008061DD">
        <w:t xml:space="preserve">n.322,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169BF8A1">
    <w:pPr>
      <w:pStyle w:val="Header"/>
      <w:rPr>
        <w:b w:val="0"/>
      </w:rPr>
    </w:pPr>
    <w:r>
      <w:tab/>
      <w:t>Federal Communications Commission</w:t>
    </w:r>
    <w:r>
      <w:tab/>
    </w:r>
    <w:r w:rsidR="00E4677C">
      <w:t xml:space="preserve">DA </w:t>
    </w:r>
    <w:r w:rsidR="005B2FD4">
      <w:t>23-967</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5195AB8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5B2FD4">
      <w:rPr>
        <w:spacing w:val="-2"/>
      </w:rPr>
      <w:t>23-967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32A2"/>
    <w:rsid w:val="0000775E"/>
    <w:rsid w:val="00014169"/>
    <w:rsid w:val="00022497"/>
    <w:rsid w:val="00033F55"/>
    <w:rsid w:val="00034611"/>
    <w:rsid w:val="00036039"/>
    <w:rsid w:val="00037F90"/>
    <w:rsid w:val="00043B7C"/>
    <w:rsid w:val="00044D29"/>
    <w:rsid w:val="00045BF6"/>
    <w:rsid w:val="00046106"/>
    <w:rsid w:val="000528FB"/>
    <w:rsid w:val="000534B8"/>
    <w:rsid w:val="00056734"/>
    <w:rsid w:val="00063B90"/>
    <w:rsid w:val="0007680F"/>
    <w:rsid w:val="00077417"/>
    <w:rsid w:val="00082CED"/>
    <w:rsid w:val="000875BF"/>
    <w:rsid w:val="0009272A"/>
    <w:rsid w:val="00096471"/>
    <w:rsid w:val="00096D8C"/>
    <w:rsid w:val="000A1222"/>
    <w:rsid w:val="000A13F1"/>
    <w:rsid w:val="000A26ED"/>
    <w:rsid w:val="000A2984"/>
    <w:rsid w:val="000A5501"/>
    <w:rsid w:val="000A7EC3"/>
    <w:rsid w:val="000B0DBC"/>
    <w:rsid w:val="000B5668"/>
    <w:rsid w:val="000B6519"/>
    <w:rsid w:val="000C020C"/>
    <w:rsid w:val="000C0B65"/>
    <w:rsid w:val="000C1ACA"/>
    <w:rsid w:val="000D5276"/>
    <w:rsid w:val="000D74ED"/>
    <w:rsid w:val="000E05FE"/>
    <w:rsid w:val="000E3ABB"/>
    <w:rsid w:val="000E3D42"/>
    <w:rsid w:val="000E41B6"/>
    <w:rsid w:val="000E460F"/>
    <w:rsid w:val="000F2B46"/>
    <w:rsid w:val="000F3FF6"/>
    <w:rsid w:val="000F44E5"/>
    <w:rsid w:val="000F7041"/>
    <w:rsid w:val="000F75C8"/>
    <w:rsid w:val="001031EB"/>
    <w:rsid w:val="00106F63"/>
    <w:rsid w:val="00107E8C"/>
    <w:rsid w:val="001159A4"/>
    <w:rsid w:val="00120329"/>
    <w:rsid w:val="00120D21"/>
    <w:rsid w:val="00121E41"/>
    <w:rsid w:val="00122BD5"/>
    <w:rsid w:val="0012797E"/>
    <w:rsid w:val="00130EAA"/>
    <w:rsid w:val="00133F79"/>
    <w:rsid w:val="00134F2E"/>
    <w:rsid w:val="001356E1"/>
    <w:rsid w:val="0013577E"/>
    <w:rsid w:val="001459CF"/>
    <w:rsid w:val="00150DEB"/>
    <w:rsid w:val="00170AF1"/>
    <w:rsid w:val="001756E5"/>
    <w:rsid w:val="0017783E"/>
    <w:rsid w:val="00181E8D"/>
    <w:rsid w:val="0018372C"/>
    <w:rsid w:val="0018572F"/>
    <w:rsid w:val="00194A66"/>
    <w:rsid w:val="00194F46"/>
    <w:rsid w:val="001A68A5"/>
    <w:rsid w:val="001B2C9F"/>
    <w:rsid w:val="001C3ABD"/>
    <w:rsid w:val="001C54D7"/>
    <w:rsid w:val="001D6BCF"/>
    <w:rsid w:val="001E01CA"/>
    <w:rsid w:val="001E0A7B"/>
    <w:rsid w:val="001E530E"/>
    <w:rsid w:val="001F4EAC"/>
    <w:rsid w:val="0020608E"/>
    <w:rsid w:val="00207086"/>
    <w:rsid w:val="002115B7"/>
    <w:rsid w:val="00211E7A"/>
    <w:rsid w:val="0022387C"/>
    <w:rsid w:val="002264AA"/>
    <w:rsid w:val="00230159"/>
    <w:rsid w:val="00242A72"/>
    <w:rsid w:val="002451C9"/>
    <w:rsid w:val="00255816"/>
    <w:rsid w:val="00260105"/>
    <w:rsid w:val="002616FE"/>
    <w:rsid w:val="00262F8C"/>
    <w:rsid w:val="00271575"/>
    <w:rsid w:val="002737A0"/>
    <w:rsid w:val="00275CF5"/>
    <w:rsid w:val="00276C89"/>
    <w:rsid w:val="002778C7"/>
    <w:rsid w:val="00282195"/>
    <w:rsid w:val="00282DFC"/>
    <w:rsid w:val="0028301F"/>
    <w:rsid w:val="00285017"/>
    <w:rsid w:val="00285C97"/>
    <w:rsid w:val="00292B7E"/>
    <w:rsid w:val="002A2D2E"/>
    <w:rsid w:val="002A4DEF"/>
    <w:rsid w:val="002A6BA5"/>
    <w:rsid w:val="002A7E7A"/>
    <w:rsid w:val="002C00E8"/>
    <w:rsid w:val="002D0919"/>
    <w:rsid w:val="002D59F2"/>
    <w:rsid w:val="002D6B54"/>
    <w:rsid w:val="002E6143"/>
    <w:rsid w:val="002F5D45"/>
    <w:rsid w:val="003078A2"/>
    <w:rsid w:val="00314CD9"/>
    <w:rsid w:val="00323AC5"/>
    <w:rsid w:val="003269AE"/>
    <w:rsid w:val="00327D22"/>
    <w:rsid w:val="00343749"/>
    <w:rsid w:val="00345ECE"/>
    <w:rsid w:val="00350257"/>
    <w:rsid w:val="0035319E"/>
    <w:rsid w:val="00362096"/>
    <w:rsid w:val="003654FB"/>
    <w:rsid w:val="003660ED"/>
    <w:rsid w:val="0036777F"/>
    <w:rsid w:val="00373B88"/>
    <w:rsid w:val="003810D2"/>
    <w:rsid w:val="0038294C"/>
    <w:rsid w:val="00383780"/>
    <w:rsid w:val="00383EFF"/>
    <w:rsid w:val="00385C85"/>
    <w:rsid w:val="00387882"/>
    <w:rsid w:val="00391155"/>
    <w:rsid w:val="00395994"/>
    <w:rsid w:val="003B0550"/>
    <w:rsid w:val="003B694F"/>
    <w:rsid w:val="003C4BDB"/>
    <w:rsid w:val="003D4818"/>
    <w:rsid w:val="003E6066"/>
    <w:rsid w:val="003F07EF"/>
    <w:rsid w:val="003F171C"/>
    <w:rsid w:val="003F78A5"/>
    <w:rsid w:val="003F7F50"/>
    <w:rsid w:val="004002C7"/>
    <w:rsid w:val="004028E9"/>
    <w:rsid w:val="00412FC5"/>
    <w:rsid w:val="00415EEE"/>
    <w:rsid w:val="00416139"/>
    <w:rsid w:val="00416FCF"/>
    <w:rsid w:val="00422276"/>
    <w:rsid w:val="004242F1"/>
    <w:rsid w:val="00427982"/>
    <w:rsid w:val="00430D03"/>
    <w:rsid w:val="00431EB1"/>
    <w:rsid w:val="004372ED"/>
    <w:rsid w:val="0044246E"/>
    <w:rsid w:val="00445A00"/>
    <w:rsid w:val="00451B0F"/>
    <w:rsid w:val="00452EEC"/>
    <w:rsid w:val="004550AF"/>
    <w:rsid w:val="0045523A"/>
    <w:rsid w:val="00462925"/>
    <w:rsid w:val="004962A3"/>
    <w:rsid w:val="004A723B"/>
    <w:rsid w:val="004B35CF"/>
    <w:rsid w:val="004C2316"/>
    <w:rsid w:val="004C2EE3"/>
    <w:rsid w:val="004C33D4"/>
    <w:rsid w:val="004D3FC6"/>
    <w:rsid w:val="004E4A22"/>
    <w:rsid w:val="004F0097"/>
    <w:rsid w:val="00500EBE"/>
    <w:rsid w:val="00511968"/>
    <w:rsid w:val="0051307C"/>
    <w:rsid w:val="00521020"/>
    <w:rsid w:val="00521571"/>
    <w:rsid w:val="00525B6E"/>
    <w:rsid w:val="005357B9"/>
    <w:rsid w:val="00547EB2"/>
    <w:rsid w:val="00550676"/>
    <w:rsid w:val="0055614C"/>
    <w:rsid w:val="00561549"/>
    <w:rsid w:val="00566D06"/>
    <w:rsid w:val="005710EF"/>
    <w:rsid w:val="005760B5"/>
    <w:rsid w:val="005836BD"/>
    <w:rsid w:val="0058471D"/>
    <w:rsid w:val="005856BD"/>
    <w:rsid w:val="00586B51"/>
    <w:rsid w:val="00587290"/>
    <w:rsid w:val="005B2FD4"/>
    <w:rsid w:val="005B3A15"/>
    <w:rsid w:val="005C27EC"/>
    <w:rsid w:val="005C441B"/>
    <w:rsid w:val="005D7BF0"/>
    <w:rsid w:val="005E14C2"/>
    <w:rsid w:val="005E2F4C"/>
    <w:rsid w:val="005F3F5C"/>
    <w:rsid w:val="005F61D5"/>
    <w:rsid w:val="00607BA5"/>
    <w:rsid w:val="00611619"/>
    <w:rsid w:val="0061180A"/>
    <w:rsid w:val="00614B60"/>
    <w:rsid w:val="00622AE6"/>
    <w:rsid w:val="006266B4"/>
    <w:rsid w:val="00626EB6"/>
    <w:rsid w:val="006363BC"/>
    <w:rsid w:val="00637515"/>
    <w:rsid w:val="0065215E"/>
    <w:rsid w:val="00655D03"/>
    <w:rsid w:val="00657B36"/>
    <w:rsid w:val="0067175B"/>
    <w:rsid w:val="00673F77"/>
    <w:rsid w:val="0068328E"/>
    <w:rsid w:val="00683388"/>
    <w:rsid w:val="00683F84"/>
    <w:rsid w:val="006850E9"/>
    <w:rsid w:val="006901C1"/>
    <w:rsid w:val="006905FE"/>
    <w:rsid w:val="006A12B0"/>
    <w:rsid w:val="006A56F7"/>
    <w:rsid w:val="006A6A81"/>
    <w:rsid w:val="006B0239"/>
    <w:rsid w:val="006B4180"/>
    <w:rsid w:val="006D2340"/>
    <w:rsid w:val="006D75B3"/>
    <w:rsid w:val="006E074C"/>
    <w:rsid w:val="006F7393"/>
    <w:rsid w:val="0070224F"/>
    <w:rsid w:val="007100CA"/>
    <w:rsid w:val="007115F7"/>
    <w:rsid w:val="00713E6F"/>
    <w:rsid w:val="00721C55"/>
    <w:rsid w:val="00722C34"/>
    <w:rsid w:val="00734079"/>
    <w:rsid w:val="00741985"/>
    <w:rsid w:val="00753306"/>
    <w:rsid w:val="00753BBF"/>
    <w:rsid w:val="00753F26"/>
    <w:rsid w:val="007770D8"/>
    <w:rsid w:val="00781F75"/>
    <w:rsid w:val="00785689"/>
    <w:rsid w:val="007866BF"/>
    <w:rsid w:val="00787F95"/>
    <w:rsid w:val="00794204"/>
    <w:rsid w:val="0079754B"/>
    <w:rsid w:val="007A1E6D"/>
    <w:rsid w:val="007B0EB2"/>
    <w:rsid w:val="007B4F45"/>
    <w:rsid w:val="007C258B"/>
    <w:rsid w:val="007C3D2B"/>
    <w:rsid w:val="007C4281"/>
    <w:rsid w:val="007C6367"/>
    <w:rsid w:val="007D4CED"/>
    <w:rsid w:val="007E1584"/>
    <w:rsid w:val="007F0B73"/>
    <w:rsid w:val="007F4D98"/>
    <w:rsid w:val="007F7008"/>
    <w:rsid w:val="00803641"/>
    <w:rsid w:val="008061DD"/>
    <w:rsid w:val="00810B6F"/>
    <w:rsid w:val="00812CD2"/>
    <w:rsid w:val="00822CE0"/>
    <w:rsid w:val="0082732D"/>
    <w:rsid w:val="0082746A"/>
    <w:rsid w:val="0082760E"/>
    <w:rsid w:val="00840392"/>
    <w:rsid w:val="00841AB1"/>
    <w:rsid w:val="00870B72"/>
    <w:rsid w:val="00880AD3"/>
    <w:rsid w:val="00892587"/>
    <w:rsid w:val="008926A2"/>
    <w:rsid w:val="008A0CDE"/>
    <w:rsid w:val="008A73F7"/>
    <w:rsid w:val="008B0B42"/>
    <w:rsid w:val="008B674C"/>
    <w:rsid w:val="008C012C"/>
    <w:rsid w:val="008C421D"/>
    <w:rsid w:val="008C68F1"/>
    <w:rsid w:val="008D25FB"/>
    <w:rsid w:val="008D2BD0"/>
    <w:rsid w:val="008F3371"/>
    <w:rsid w:val="008F6B61"/>
    <w:rsid w:val="00902A09"/>
    <w:rsid w:val="00921803"/>
    <w:rsid w:val="00926503"/>
    <w:rsid w:val="00927147"/>
    <w:rsid w:val="0093009E"/>
    <w:rsid w:val="009306DA"/>
    <w:rsid w:val="00934712"/>
    <w:rsid w:val="009434C8"/>
    <w:rsid w:val="009511C9"/>
    <w:rsid w:val="00956892"/>
    <w:rsid w:val="009640B7"/>
    <w:rsid w:val="009663CC"/>
    <w:rsid w:val="009726D8"/>
    <w:rsid w:val="009A28AD"/>
    <w:rsid w:val="009A6782"/>
    <w:rsid w:val="009D0C4A"/>
    <w:rsid w:val="009D3A8C"/>
    <w:rsid w:val="009D7308"/>
    <w:rsid w:val="009E1CBD"/>
    <w:rsid w:val="009E3607"/>
    <w:rsid w:val="009E6267"/>
    <w:rsid w:val="009F33D6"/>
    <w:rsid w:val="009F40F7"/>
    <w:rsid w:val="009F5A12"/>
    <w:rsid w:val="009F76DB"/>
    <w:rsid w:val="00A000C8"/>
    <w:rsid w:val="00A035BA"/>
    <w:rsid w:val="00A036E8"/>
    <w:rsid w:val="00A047D8"/>
    <w:rsid w:val="00A065C4"/>
    <w:rsid w:val="00A16BAA"/>
    <w:rsid w:val="00A274E6"/>
    <w:rsid w:val="00A32C3B"/>
    <w:rsid w:val="00A33752"/>
    <w:rsid w:val="00A45F4F"/>
    <w:rsid w:val="00A47175"/>
    <w:rsid w:val="00A56634"/>
    <w:rsid w:val="00A600A9"/>
    <w:rsid w:val="00A6225E"/>
    <w:rsid w:val="00A638EA"/>
    <w:rsid w:val="00A7347A"/>
    <w:rsid w:val="00A90A9F"/>
    <w:rsid w:val="00A921E9"/>
    <w:rsid w:val="00A93C18"/>
    <w:rsid w:val="00A9781C"/>
    <w:rsid w:val="00AA55B7"/>
    <w:rsid w:val="00AA5B9E"/>
    <w:rsid w:val="00AA7575"/>
    <w:rsid w:val="00AB0474"/>
    <w:rsid w:val="00AB2407"/>
    <w:rsid w:val="00AB53DF"/>
    <w:rsid w:val="00AB6496"/>
    <w:rsid w:val="00AC0F4E"/>
    <w:rsid w:val="00AC67CA"/>
    <w:rsid w:val="00AD0882"/>
    <w:rsid w:val="00AD1921"/>
    <w:rsid w:val="00AE0016"/>
    <w:rsid w:val="00AE1670"/>
    <w:rsid w:val="00AF3E81"/>
    <w:rsid w:val="00B07E5C"/>
    <w:rsid w:val="00B204EB"/>
    <w:rsid w:val="00B316A8"/>
    <w:rsid w:val="00B35C5D"/>
    <w:rsid w:val="00B41221"/>
    <w:rsid w:val="00B42D18"/>
    <w:rsid w:val="00B45BE3"/>
    <w:rsid w:val="00B47DB4"/>
    <w:rsid w:val="00B53683"/>
    <w:rsid w:val="00B57DB8"/>
    <w:rsid w:val="00B60DDF"/>
    <w:rsid w:val="00B62001"/>
    <w:rsid w:val="00B6646C"/>
    <w:rsid w:val="00B73859"/>
    <w:rsid w:val="00B80A80"/>
    <w:rsid w:val="00B811F7"/>
    <w:rsid w:val="00BA5DC6"/>
    <w:rsid w:val="00BA6196"/>
    <w:rsid w:val="00BB0D10"/>
    <w:rsid w:val="00BB444F"/>
    <w:rsid w:val="00BC174C"/>
    <w:rsid w:val="00BC6D8C"/>
    <w:rsid w:val="00BD485F"/>
    <w:rsid w:val="00BD4CCE"/>
    <w:rsid w:val="00BE1D9D"/>
    <w:rsid w:val="00BE24A1"/>
    <w:rsid w:val="00BF2D85"/>
    <w:rsid w:val="00C002AD"/>
    <w:rsid w:val="00C05FB1"/>
    <w:rsid w:val="00C10CB7"/>
    <w:rsid w:val="00C13855"/>
    <w:rsid w:val="00C278AD"/>
    <w:rsid w:val="00C30493"/>
    <w:rsid w:val="00C34006"/>
    <w:rsid w:val="00C34653"/>
    <w:rsid w:val="00C3584B"/>
    <w:rsid w:val="00C36B4C"/>
    <w:rsid w:val="00C426B1"/>
    <w:rsid w:val="00C52BC8"/>
    <w:rsid w:val="00C55F80"/>
    <w:rsid w:val="00C6190E"/>
    <w:rsid w:val="00C63691"/>
    <w:rsid w:val="00C66160"/>
    <w:rsid w:val="00C721AC"/>
    <w:rsid w:val="00C740E2"/>
    <w:rsid w:val="00C84FD1"/>
    <w:rsid w:val="00C90256"/>
    <w:rsid w:val="00C90D6A"/>
    <w:rsid w:val="00C95481"/>
    <w:rsid w:val="00C9603E"/>
    <w:rsid w:val="00C97CD2"/>
    <w:rsid w:val="00CA00E6"/>
    <w:rsid w:val="00CA247E"/>
    <w:rsid w:val="00CA46D9"/>
    <w:rsid w:val="00CA64CA"/>
    <w:rsid w:val="00CA6D21"/>
    <w:rsid w:val="00CB045B"/>
    <w:rsid w:val="00CC4F84"/>
    <w:rsid w:val="00CC72B6"/>
    <w:rsid w:val="00CC773B"/>
    <w:rsid w:val="00CD1F68"/>
    <w:rsid w:val="00CD20E7"/>
    <w:rsid w:val="00CE1583"/>
    <w:rsid w:val="00CE687D"/>
    <w:rsid w:val="00CE6AB8"/>
    <w:rsid w:val="00CE6DF9"/>
    <w:rsid w:val="00D0218D"/>
    <w:rsid w:val="00D22320"/>
    <w:rsid w:val="00D25FB5"/>
    <w:rsid w:val="00D30CDC"/>
    <w:rsid w:val="00D37099"/>
    <w:rsid w:val="00D44223"/>
    <w:rsid w:val="00D457CD"/>
    <w:rsid w:val="00D46A1A"/>
    <w:rsid w:val="00D5450C"/>
    <w:rsid w:val="00D66E2F"/>
    <w:rsid w:val="00D7127A"/>
    <w:rsid w:val="00D751CC"/>
    <w:rsid w:val="00D80B13"/>
    <w:rsid w:val="00D81153"/>
    <w:rsid w:val="00D82D10"/>
    <w:rsid w:val="00D835C6"/>
    <w:rsid w:val="00D878C0"/>
    <w:rsid w:val="00D910E3"/>
    <w:rsid w:val="00D91575"/>
    <w:rsid w:val="00D97153"/>
    <w:rsid w:val="00DA1620"/>
    <w:rsid w:val="00DA2529"/>
    <w:rsid w:val="00DA3E5A"/>
    <w:rsid w:val="00DA76E9"/>
    <w:rsid w:val="00DB130A"/>
    <w:rsid w:val="00DB21D7"/>
    <w:rsid w:val="00DB2EBB"/>
    <w:rsid w:val="00DC10A1"/>
    <w:rsid w:val="00DC655F"/>
    <w:rsid w:val="00DC6FE8"/>
    <w:rsid w:val="00DD0B59"/>
    <w:rsid w:val="00DD4364"/>
    <w:rsid w:val="00DD7EBD"/>
    <w:rsid w:val="00DE3E8D"/>
    <w:rsid w:val="00DE6F5F"/>
    <w:rsid w:val="00DE721B"/>
    <w:rsid w:val="00DF26DB"/>
    <w:rsid w:val="00DF62B6"/>
    <w:rsid w:val="00DF7E46"/>
    <w:rsid w:val="00E00214"/>
    <w:rsid w:val="00E07225"/>
    <w:rsid w:val="00E11F5A"/>
    <w:rsid w:val="00E1526C"/>
    <w:rsid w:val="00E152CD"/>
    <w:rsid w:val="00E263D2"/>
    <w:rsid w:val="00E26D72"/>
    <w:rsid w:val="00E339DA"/>
    <w:rsid w:val="00E45A64"/>
    <w:rsid w:val="00E4677C"/>
    <w:rsid w:val="00E4700D"/>
    <w:rsid w:val="00E50DD9"/>
    <w:rsid w:val="00E5409F"/>
    <w:rsid w:val="00E56A5F"/>
    <w:rsid w:val="00E60B6B"/>
    <w:rsid w:val="00E7014B"/>
    <w:rsid w:val="00E87020"/>
    <w:rsid w:val="00E95218"/>
    <w:rsid w:val="00EA425E"/>
    <w:rsid w:val="00EB36F9"/>
    <w:rsid w:val="00EB62A2"/>
    <w:rsid w:val="00EC16F2"/>
    <w:rsid w:val="00ED1FD2"/>
    <w:rsid w:val="00ED3734"/>
    <w:rsid w:val="00EE5C3C"/>
    <w:rsid w:val="00EE6488"/>
    <w:rsid w:val="00EF3A68"/>
    <w:rsid w:val="00EF5A45"/>
    <w:rsid w:val="00EF6460"/>
    <w:rsid w:val="00F021FA"/>
    <w:rsid w:val="00F05FE4"/>
    <w:rsid w:val="00F07FC9"/>
    <w:rsid w:val="00F25CE9"/>
    <w:rsid w:val="00F25DB9"/>
    <w:rsid w:val="00F31F5D"/>
    <w:rsid w:val="00F3505E"/>
    <w:rsid w:val="00F400F5"/>
    <w:rsid w:val="00F549D3"/>
    <w:rsid w:val="00F62E97"/>
    <w:rsid w:val="00F64209"/>
    <w:rsid w:val="00F70978"/>
    <w:rsid w:val="00F75776"/>
    <w:rsid w:val="00F7577E"/>
    <w:rsid w:val="00F86C22"/>
    <w:rsid w:val="00F93BF5"/>
    <w:rsid w:val="00FA4DC6"/>
    <w:rsid w:val="00FB1735"/>
    <w:rsid w:val="00FB2567"/>
    <w:rsid w:val="00FB4CC8"/>
    <w:rsid w:val="00FC136A"/>
    <w:rsid w:val="00FC1F9D"/>
    <w:rsid w:val="00FC4C99"/>
    <w:rsid w:val="00FD2C6B"/>
    <w:rsid w:val="00FD3B3B"/>
    <w:rsid w:val="00FD69E5"/>
    <w:rsid w:val="00FE09E4"/>
    <w:rsid w:val="00FE1E61"/>
    <w:rsid w:val="00FF7574"/>
    <w:rsid w:val="679761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74ED"/>
    <w:pPr>
      <w:widowControl w:val="0"/>
    </w:pPr>
    <w:rPr>
      <w:snapToGrid w:val="0"/>
      <w:kern w:val="28"/>
      <w:sz w:val="22"/>
    </w:rPr>
  </w:style>
  <w:style w:type="paragraph" w:styleId="Heading1">
    <w:name w:val="heading 1"/>
    <w:basedOn w:val="Normal"/>
    <w:next w:val="ParaNum"/>
    <w:qFormat/>
    <w:rsid w:val="000D74E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D74ED"/>
    <w:pPr>
      <w:keepNext/>
      <w:numPr>
        <w:ilvl w:val="1"/>
        <w:numId w:val="3"/>
      </w:numPr>
      <w:spacing w:after="120"/>
      <w:outlineLvl w:val="1"/>
    </w:pPr>
    <w:rPr>
      <w:b/>
    </w:rPr>
  </w:style>
  <w:style w:type="paragraph" w:styleId="Heading3">
    <w:name w:val="heading 3"/>
    <w:basedOn w:val="Normal"/>
    <w:next w:val="ParaNum"/>
    <w:qFormat/>
    <w:rsid w:val="000D74ED"/>
    <w:pPr>
      <w:keepNext/>
      <w:numPr>
        <w:ilvl w:val="2"/>
        <w:numId w:val="3"/>
      </w:numPr>
      <w:tabs>
        <w:tab w:val="left" w:pos="2160"/>
      </w:tabs>
      <w:spacing w:after="120"/>
      <w:outlineLvl w:val="2"/>
    </w:pPr>
    <w:rPr>
      <w:b/>
    </w:rPr>
  </w:style>
  <w:style w:type="paragraph" w:styleId="Heading4">
    <w:name w:val="heading 4"/>
    <w:basedOn w:val="Normal"/>
    <w:next w:val="ParaNum"/>
    <w:qFormat/>
    <w:rsid w:val="000D74ED"/>
    <w:pPr>
      <w:keepNext/>
      <w:numPr>
        <w:ilvl w:val="3"/>
        <w:numId w:val="3"/>
      </w:numPr>
      <w:tabs>
        <w:tab w:val="left" w:pos="2880"/>
      </w:tabs>
      <w:spacing w:after="120"/>
      <w:outlineLvl w:val="3"/>
    </w:pPr>
    <w:rPr>
      <w:b/>
    </w:rPr>
  </w:style>
  <w:style w:type="paragraph" w:styleId="Heading5">
    <w:name w:val="heading 5"/>
    <w:basedOn w:val="Normal"/>
    <w:next w:val="ParaNum"/>
    <w:qFormat/>
    <w:rsid w:val="000D74E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D74ED"/>
    <w:pPr>
      <w:numPr>
        <w:ilvl w:val="5"/>
        <w:numId w:val="3"/>
      </w:numPr>
      <w:tabs>
        <w:tab w:val="left" w:pos="4320"/>
      </w:tabs>
      <w:spacing w:after="120"/>
      <w:outlineLvl w:val="5"/>
    </w:pPr>
    <w:rPr>
      <w:b/>
    </w:rPr>
  </w:style>
  <w:style w:type="paragraph" w:styleId="Heading7">
    <w:name w:val="heading 7"/>
    <w:basedOn w:val="Normal"/>
    <w:next w:val="ParaNum"/>
    <w:qFormat/>
    <w:rsid w:val="000D74E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D74E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D74E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D74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74ED"/>
  </w:style>
  <w:style w:type="paragraph" w:customStyle="1" w:styleId="ParaNum">
    <w:name w:val="ParaNum"/>
    <w:basedOn w:val="Normal"/>
    <w:rsid w:val="000D74ED"/>
    <w:pPr>
      <w:numPr>
        <w:numId w:val="2"/>
      </w:numPr>
      <w:tabs>
        <w:tab w:val="clear" w:pos="1080"/>
        <w:tab w:val="num" w:pos="1440"/>
      </w:tabs>
      <w:spacing w:after="120"/>
    </w:pPr>
  </w:style>
  <w:style w:type="paragraph" w:styleId="EndnoteText">
    <w:name w:val="endnote text"/>
    <w:basedOn w:val="Normal"/>
    <w:semiHidden/>
    <w:rsid w:val="000D74ED"/>
    <w:rPr>
      <w:sz w:val="20"/>
    </w:rPr>
  </w:style>
  <w:style w:type="character" w:styleId="EndnoteReference">
    <w:name w:val="endnote reference"/>
    <w:semiHidden/>
    <w:rsid w:val="000D74ED"/>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0D74ED"/>
    <w:pPr>
      <w:spacing w:after="120"/>
    </w:pPr>
  </w:style>
  <w:style w:type="character" w:styleId="FootnoteReference">
    <w:name w:val="footnote reference"/>
    <w:rsid w:val="000D74ED"/>
    <w:rPr>
      <w:rFonts w:ascii="Times New Roman" w:hAnsi="Times New Roman"/>
      <w:dstrike w:val="0"/>
      <w:color w:val="auto"/>
      <w:sz w:val="20"/>
      <w:vertAlign w:val="superscript"/>
    </w:rPr>
  </w:style>
  <w:style w:type="paragraph" w:styleId="TOC1">
    <w:name w:val="toc 1"/>
    <w:basedOn w:val="Normal"/>
    <w:next w:val="Normal"/>
    <w:semiHidden/>
    <w:rsid w:val="000D74E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74ED"/>
    <w:pPr>
      <w:tabs>
        <w:tab w:val="left" w:pos="720"/>
        <w:tab w:val="right" w:leader="dot" w:pos="9360"/>
      </w:tabs>
      <w:suppressAutoHyphens/>
      <w:ind w:left="720" w:right="720" w:hanging="360"/>
    </w:pPr>
    <w:rPr>
      <w:noProof/>
    </w:rPr>
  </w:style>
  <w:style w:type="paragraph" w:styleId="TOC3">
    <w:name w:val="toc 3"/>
    <w:basedOn w:val="Normal"/>
    <w:next w:val="Normal"/>
    <w:semiHidden/>
    <w:rsid w:val="000D74E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74E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74E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74E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74E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74E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74E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74ED"/>
    <w:pPr>
      <w:tabs>
        <w:tab w:val="right" w:pos="9360"/>
      </w:tabs>
      <w:suppressAutoHyphens/>
    </w:pPr>
  </w:style>
  <w:style w:type="character" w:customStyle="1" w:styleId="EquationCaption">
    <w:name w:val="_Equation Caption"/>
    <w:rsid w:val="000D74ED"/>
  </w:style>
  <w:style w:type="paragraph" w:styleId="Header">
    <w:name w:val="header"/>
    <w:basedOn w:val="Normal"/>
    <w:autoRedefine/>
    <w:rsid w:val="000D74ED"/>
    <w:pPr>
      <w:tabs>
        <w:tab w:val="center" w:pos="4680"/>
        <w:tab w:val="right" w:pos="9360"/>
      </w:tabs>
    </w:pPr>
    <w:rPr>
      <w:b/>
    </w:rPr>
  </w:style>
  <w:style w:type="paragraph" w:styleId="Footer">
    <w:name w:val="footer"/>
    <w:basedOn w:val="Normal"/>
    <w:link w:val="FooterChar"/>
    <w:uiPriority w:val="99"/>
    <w:rsid w:val="000D74ED"/>
    <w:pPr>
      <w:tabs>
        <w:tab w:val="center" w:pos="4320"/>
        <w:tab w:val="right" w:pos="8640"/>
      </w:tabs>
    </w:pPr>
  </w:style>
  <w:style w:type="character" w:styleId="PageNumber">
    <w:name w:val="page number"/>
    <w:basedOn w:val="DefaultParagraphFont"/>
    <w:rsid w:val="000D74ED"/>
  </w:style>
  <w:style w:type="paragraph" w:styleId="BlockText">
    <w:name w:val="Block Text"/>
    <w:basedOn w:val="Normal"/>
    <w:rsid w:val="000D74ED"/>
    <w:pPr>
      <w:spacing w:after="240"/>
      <w:ind w:left="1440" w:right="1440"/>
    </w:pPr>
  </w:style>
  <w:style w:type="paragraph" w:customStyle="1" w:styleId="Paratitle">
    <w:name w:val="Para title"/>
    <w:basedOn w:val="Normal"/>
    <w:rsid w:val="000D74ED"/>
    <w:pPr>
      <w:tabs>
        <w:tab w:val="center" w:pos="9270"/>
      </w:tabs>
      <w:spacing w:after="240"/>
    </w:pPr>
    <w:rPr>
      <w:spacing w:val="-2"/>
    </w:rPr>
  </w:style>
  <w:style w:type="paragraph" w:customStyle="1" w:styleId="Bullet">
    <w:name w:val="Bullet"/>
    <w:basedOn w:val="Normal"/>
    <w:rsid w:val="000D74ED"/>
    <w:pPr>
      <w:tabs>
        <w:tab w:val="left" w:pos="2160"/>
      </w:tabs>
      <w:spacing w:after="220"/>
      <w:ind w:left="2160" w:hanging="720"/>
    </w:pPr>
  </w:style>
  <w:style w:type="paragraph" w:customStyle="1" w:styleId="TableFormat">
    <w:name w:val="TableFormat"/>
    <w:basedOn w:val="Bullet"/>
    <w:rsid w:val="000D74ED"/>
    <w:pPr>
      <w:tabs>
        <w:tab w:val="clear" w:pos="2160"/>
        <w:tab w:val="left" w:pos="5040"/>
      </w:tabs>
      <w:ind w:left="5040" w:hanging="3600"/>
    </w:pPr>
  </w:style>
  <w:style w:type="paragraph" w:customStyle="1" w:styleId="TOCTitle">
    <w:name w:val="TOC Title"/>
    <w:basedOn w:val="Normal"/>
    <w:rsid w:val="000D74E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74ED"/>
    <w:pPr>
      <w:jc w:val="center"/>
    </w:pPr>
    <w:rPr>
      <w:rFonts w:ascii="Times New Roman Bold" w:hAnsi="Times New Roman Bold"/>
      <w:b/>
      <w:bCs/>
      <w:caps/>
      <w:szCs w:val="22"/>
    </w:rPr>
  </w:style>
  <w:style w:type="character" w:styleId="Hyperlink">
    <w:name w:val="Hyperlink"/>
    <w:rsid w:val="000D74ED"/>
    <w:rPr>
      <w:color w:val="0000FF"/>
      <w:u w:val="single"/>
    </w:rPr>
  </w:style>
  <w:style w:type="character" w:customStyle="1" w:styleId="FooterChar">
    <w:name w:val="Footer Char"/>
    <w:link w:val="Footer"/>
    <w:uiPriority w:val="99"/>
    <w:rsid w:val="000D74ED"/>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 Id="rId3" Type="http://schemas.openxmlformats.org/officeDocument/2006/relationships/hyperlink" Target="https://fccprod.servicenowservices.com/rmd?id=rmd_form&amp;table=x_g_fmc_rmd_robocall_mitigation_database&amp;sys_id=bf9f0bfc1b0a7010dabd2f41f54bcb9c&amp;view=s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