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RPr="005F7CD1" w:rsidP="00905AAD" w14:paraId="5BD1E5AE" w14:textId="1F2FC3AE">
            <w:pPr>
              <w:pStyle w:val="TOAHeading"/>
            </w:pPr>
            <w:r>
              <w:rPr>
                <w:szCs w:val="22"/>
              </w:rPr>
              <w:t>Complaint No</w:t>
            </w:r>
            <w:r w:rsidRPr="00EF2C5A">
              <w:rPr>
                <w:szCs w:val="22"/>
              </w:rPr>
              <w:t>.</w:t>
            </w:r>
            <w:r w:rsidR="006F2F56">
              <w:rPr>
                <w:szCs w:val="22"/>
              </w:rPr>
              <w:t xml:space="preserve"> </w:t>
            </w:r>
            <w:r w:rsidR="00B6399A">
              <w:rPr>
                <w:szCs w:val="22"/>
              </w:rPr>
              <w:t>6</w:t>
            </w:r>
            <w:r w:rsidR="00905AAD">
              <w:rPr>
                <w:szCs w:val="22"/>
              </w:rPr>
              <w:t>696467</w:t>
            </w:r>
          </w:p>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509376D2">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197FE4">
        <w:rPr>
          <w:b/>
          <w:spacing w:val="-2"/>
        </w:rPr>
        <w:t>February 9</w:t>
      </w:r>
      <w:r w:rsidRPr="00142D97">
        <w:rPr>
          <w:b/>
          <w:spacing w:val="-2"/>
        </w:rPr>
        <w:t>, 20</w:t>
      </w:r>
      <w:r w:rsidR="006D6CC3">
        <w:rPr>
          <w:b/>
          <w:spacing w:val="-2"/>
        </w:rPr>
        <w:t>2</w:t>
      </w:r>
      <w:r w:rsidR="0042275B">
        <w:rPr>
          <w:b/>
          <w:spacing w:val="-2"/>
        </w:rPr>
        <w:t>4</w:t>
      </w:r>
      <w:r w:rsidRPr="00142D97">
        <w:rPr>
          <w:b/>
          <w:spacing w:val="-2"/>
        </w:rPr>
        <w:tab/>
        <w:t xml:space="preserve">Released: </w:t>
      </w:r>
      <w:r w:rsidR="00442324">
        <w:rPr>
          <w:b/>
          <w:spacing w:val="-2"/>
        </w:rPr>
        <w:t xml:space="preserve"> </w:t>
      </w:r>
      <w:r w:rsidR="00197FE4">
        <w:rPr>
          <w:b/>
          <w:spacing w:val="-2"/>
        </w:rPr>
        <w:t>February 9</w:t>
      </w:r>
      <w:r w:rsidRPr="00142D97">
        <w:rPr>
          <w:b/>
          <w:spacing w:val="-2"/>
        </w:rPr>
        <w:t>, 20</w:t>
      </w:r>
      <w:r w:rsidR="006D6CC3">
        <w:rPr>
          <w:b/>
          <w:spacing w:val="-2"/>
        </w:rPr>
        <w:t>2</w:t>
      </w:r>
      <w:r w:rsidR="0042275B">
        <w:rPr>
          <w:b/>
          <w:spacing w:val="-2"/>
        </w:rPr>
        <w:t>4</w:t>
      </w:r>
    </w:p>
    <w:p w:rsidR="00E87EC4" w:rsidRPr="00142D97" w:rsidP="00E87EC4" w14:paraId="11E45323" w14:textId="77777777"/>
    <w:p w:rsidR="00E87EC4" w:rsidRPr="00142D97" w:rsidP="00440166" w14:paraId="27E2BE03" w14:textId="707FAA18">
      <w:pPr>
        <w:spacing w:after="120"/>
      </w:pPr>
      <w:r w:rsidRPr="00142D97">
        <w:t xml:space="preserve">By the </w:t>
      </w:r>
      <w:r w:rsidR="00F12F03">
        <w:t xml:space="preserve">Associate Division </w:t>
      </w:r>
      <w:r w:rsidRPr="00142D97">
        <w:t xml:space="preserve">Chief, Consumer Policy Division, Consumer </w:t>
      </w:r>
      <w:r>
        <w:t>and</w:t>
      </w:r>
      <w:r w:rsidRPr="00142D97">
        <w:t xml:space="preserve"> Governmental Affairs Bureau:</w:t>
      </w:r>
    </w:p>
    <w:p w:rsidR="00E87EC4" w:rsidRPr="00142D97" w:rsidP="00440166" w14:paraId="40A053FA" w14:textId="3EC73E54">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671EBF5B">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sidR="00B82B45">
        <w:rPr>
          <w:szCs w:val="22"/>
        </w:rPr>
        <w:t>he Commission</w:t>
      </w:r>
      <w:r>
        <w:rPr>
          <w:szCs w:val="22"/>
        </w:rPr>
        <w:t>’s slamming rules</w:t>
      </w:r>
      <w:r w:rsidRPr="00B82B45" w:rsidR="00B82B45">
        <w:rPr>
          <w:szCs w:val="22"/>
        </w:rPr>
        <w:t xml:space="preserve"> prohibit misrepresentations on sales calls to further reduce the incidence of slamming.</w:t>
      </w:r>
      <w:r>
        <w:rPr>
          <w:rStyle w:val="FootnoteReference"/>
          <w:szCs w:val="22"/>
        </w:rPr>
        <w:footnoteReference w:id="8"/>
      </w:r>
      <w:r w:rsidRPr="00B82B45" w:rsidR="00B82B45">
        <w:rPr>
          <w:rStyle w:val="FootnoteReference"/>
          <w:szCs w:val="22"/>
        </w:rPr>
        <w:t xml:space="preserve"> </w:t>
      </w:r>
      <w:r w:rsidRPr="00B82B45" w:rsidR="00B82B45">
        <w:rPr>
          <w:szCs w:val="22"/>
        </w:rPr>
        <w:t xml:space="preserve"> Under the rule</w:t>
      </w:r>
      <w:r>
        <w:rPr>
          <w:szCs w:val="22"/>
        </w:rPr>
        <w:t>s</w:t>
      </w:r>
      <w:r w:rsidRPr="00B82B45" w:rsidR="00B82B45">
        <w:rPr>
          <w:szCs w:val="22"/>
        </w:rPr>
        <w:t>, upon a finding of material 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sid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sidR="00B82B45">
        <w:rPr>
          <w:szCs w:val="22"/>
        </w:rPr>
        <w:t>persuasive evidence to rebut the consumer’s claim that a misrepresentation was made on the sales call.</w:t>
      </w:r>
      <w:r>
        <w:rPr>
          <w:rStyle w:val="FootnoteReference"/>
          <w:szCs w:val="22"/>
        </w:rPr>
        <w:footnoteReference w:id="10"/>
      </w:r>
    </w:p>
    <w:p w:rsidR="00B00263" w:rsidRPr="003E4834" w:rsidP="00A23350" w14:paraId="1379FBE2" w14:textId="340FEBA3">
      <w:pPr>
        <w:pStyle w:val="ListParagraph"/>
        <w:widowControl/>
        <w:numPr>
          <w:ilvl w:val="0"/>
          <w:numId w:val="7"/>
        </w:numPr>
        <w:tabs>
          <w:tab w:val="clear" w:pos="1440"/>
        </w:tabs>
        <w:snapToGrid w:val="0"/>
        <w:spacing w:after="120"/>
        <w:ind w:left="0" w:firstLine="720"/>
        <w:contextualSpacing w:val="0"/>
        <w:rPr>
          <w:szCs w:val="22"/>
        </w:rPr>
      </w:pPr>
      <w:r w:rsidRPr="00B00263">
        <w:rPr>
          <w:szCs w:val="22"/>
        </w:rPr>
        <w:t>We received Complainant’</w:t>
      </w:r>
      <w:r w:rsidRPr="00B00263" w:rsidR="004B41C6">
        <w:rPr>
          <w:szCs w:val="22"/>
        </w:rPr>
        <w:t>s</w:t>
      </w:r>
      <w:r w:rsidRPr="00B00263">
        <w:rPr>
          <w:szCs w:val="22"/>
        </w:rPr>
        <w:t xml:space="preserve"> complaint alleging that Complainant’</w:t>
      </w:r>
      <w:r w:rsidRPr="00B00263" w:rsidR="004B41C6">
        <w:rPr>
          <w:szCs w:val="22"/>
        </w:rPr>
        <w:t>s</w:t>
      </w:r>
      <w:r w:rsidRPr="00B00263">
        <w:rPr>
          <w:szCs w:val="22"/>
        </w:rPr>
        <w:t xml:space="preserve"> telecommunications service provider had been changed </w:t>
      </w:r>
      <w:r w:rsidR="00031356">
        <w:rPr>
          <w:szCs w:val="22"/>
        </w:rPr>
        <w:t xml:space="preserve">to Clear Rate </w:t>
      </w:r>
      <w:r w:rsidRPr="00B00263">
        <w:rPr>
          <w:szCs w:val="22"/>
        </w:rPr>
        <w:t>without</w:t>
      </w:r>
      <w:r w:rsidRPr="00B00263" w:rsidR="00F74AF2">
        <w:rPr>
          <w:szCs w:val="22"/>
        </w:rPr>
        <w:t xml:space="preserve"> </w:t>
      </w:r>
      <w:r w:rsidRPr="00B00263" w:rsidR="006F62BA">
        <w:rPr>
          <w:szCs w:val="22"/>
        </w:rPr>
        <w:t>his</w:t>
      </w:r>
      <w:r w:rsidRPr="00B00263">
        <w:rPr>
          <w:szCs w:val="22"/>
        </w:rPr>
        <w:t xml:space="preserve"> authorization.</w:t>
      </w:r>
      <w:r>
        <w:rPr>
          <w:rStyle w:val="FootnoteReference"/>
          <w:sz w:val="22"/>
          <w:szCs w:val="22"/>
        </w:rPr>
        <w:footnoteReference w:id="11"/>
      </w:r>
      <w:r w:rsidRPr="00B00263">
        <w:rPr>
          <w:szCs w:val="22"/>
        </w:rPr>
        <w:t xml:space="preserve">  </w:t>
      </w:r>
      <w:r w:rsidRPr="00B00263" w:rsidR="005F3ED0">
        <w:rPr>
          <w:szCs w:val="22"/>
        </w:rPr>
        <w:t xml:space="preserve">In the complaint, Complainant </w:t>
      </w:r>
      <w:r w:rsidRPr="00B00263" w:rsidR="000D2670">
        <w:rPr>
          <w:szCs w:val="22"/>
        </w:rPr>
        <w:t>state</w:t>
      </w:r>
      <w:r w:rsidRPr="00B00263" w:rsidR="00F41465">
        <w:rPr>
          <w:szCs w:val="22"/>
        </w:rPr>
        <w:t>d</w:t>
      </w:r>
      <w:r w:rsidR="005F2EEE">
        <w:rPr>
          <w:szCs w:val="22"/>
        </w:rPr>
        <w:t xml:space="preserve"> that</w:t>
      </w:r>
      <w:r w:rsidR="00980663">
        <w:rPr>
          <w:szCs w:val="22"/>
        </w:rPr>
        <w:t xml:space="preserve"> </w:t>
      </w:r>
      <w:r w:rsidR="00031356">
        <w:rPr>
          <w:szCs w:val="22"/>
        </w:rPr>
        <w:t xml:space="preserve">when they called him </w:t>
      </w:r>
      <w:r w:rsidR="007D6584">
        <w:rPr>
          <w:szCs w:val="22"/>
        </w:rPr>
        <w:t xml:space="preserve">they </w:t>
      </w:r>
      <w:r w:rsidR="005F2EEE">
        <w:rPr>
          <w:szCs w:val="22"/>
        </w:rPr>
        <w:t>“</w:t>
      </w:r>
      <w:r w:rsidR="00905AAD">
        <w:rPr>
          <w:szCs w:val="22"/>
        </w:rPr>
        <w:t>explained they were associated with Verizon and wanted to lower my bill</w:t>
      </w:r>
      <w:r w:rsidR="005F2EEE">
        <w:rPr>
          <w:szCs w:val="22"/>
        </w:rPr>
        <w:t>.”</w:t>
      </w:r>
      <w:r>
        <w:rPr>
          <w:rStyle w:val="FootnoteReference"/>
          <w:szCs w:val="22"/>
        </w:rPr>
        <w:footnoteReference w:id="12"/>
      </w:r>
    </w:p>
    <w:p w:rsidR="000C39CD" w:rsidRPr="000C39CD" w:rsidP="00A23350" w14:paraId="10163473" w14:textId="3378A8F7">
      <w:pPr>
        <w:pStyle w:val="ListParagraph"/>
        <w:widowControl/>
        <w:numPr>
          <w:ilvl w:val="0"/>
          <w:numId w:val="7"/>
        </w:numPr>
        <w:tabs>
          <w:tab w:val="clear" w:pos="1440"/>
        </w:tabs>
        <w:snapToGrid w:val="0"/>
        <w:spacing w:after="120"/>
        <w:ind w:left="0" w:firstLine="720"/>
        <w:contextualSpacing w:val="0"/>
      </w:pPr>
      <w:r w:rsidRPr="009306F2">
        <w:t xml:space="preserve">Pursuant </w:t>
      </w:r>
      <w:r w:rsidRPr="00126D53">
        <w:t xml:space="preserve">to our rules, we notified </w:t>
      </w:r>
      <w:r w:rsidRPr="00126D53" w:rsidR="00104663">
        <w:t>Clear Rate</w:t>
      </w:r>
      <w:r w:rsidRPr="00126D53">
        <w:t xml:space="preserve"> of the complaint</w:t>
      </w:r>
      <w:r w:rsidR="00B00263">
        <w:t>, directing the company to address the allegation of misrepresentation and to provide evidence to rebut the claim.</w:t>
      </w:r>
      <w:r>
        <w:rPr>
          <w:rStyle w:val="FootnoteReference"/>
        </w:rPr>
        <w:footnoteReference w:id="13"/>
      </w:r>
      <w:r w:rsidRPr="00126D53">
        <w:t xml:space="preserve">  </w:t>
      </w:r>
      <w:r w:rsidR="00AC2250">
        <w:t>Clear Rate responded, stating that Complainant agreed to and authorized the carrier switch</w:t>
      </w:r>
      <w:r w:rsidR="00056089">
        <w:t>,</w:t>
      </w:r>
      <w:r w:rsidR="00F93F38">
        <w:t xml:space="preserve"> and that the terms and conditions of service were described in detail for Complainant</w:t>
      </w:r>
      <w:r w:rsidR="00056089">
        <w:t xml:space="preserve"> on the TPV call</w:t>
      </w:r>
      <w:r w:rsidR="00AC2250">
        <w:t>.</w:t>
      </w:r>
      <w:r>
        <w:rPr>
          <w:rStyle w:val="FootnoteReference"/>
        </w:rPr>
        <w:footnoteReference w:id="14"/>
      </w:r>
      <w:r w:rsidR="00AC2250">
        <w:t xml:space="preserve">  </w:t>
      </w:r>
      <w:r w:rsidR="00F93F38">
        <w:t>Clear Rate</w:t>
      </w:r>
      <w:r w:rsidR="00AC2250">
        <w:t xml:space="preserve"> also provided </w:t>
      </w:r>
      <w:r w:rsidR="0060779C">
        <w:t xml:space="preserve">an </w:t>
      </w:r>
      <w:r w:rsidR="00AC2250">
        <w:t>audio recording—</w:t>
      </w:r>
      <w:r w:rsidR="00056089">
        <w:t>the</w:t>
      </w:r>
      <w:r w:rsidR="00AC2250">
        <w:t xml:space="preserve"> </w:t>
      </w:r>
      <w:r w:rsidR="003A7686">
        <w:t>TPV</w:t>
      </w:r>
      <w:r w:rsidR="00AC2250">
        <w:t xml:space="preserve"> recording</w:t>
      </w:r>
      <w:r w:rsidR="0060779C">
        <w:t>.</w:t>
      </w:r>
      <w:r w:rsidR="00AC2250">
        <w:t xml:space="preserve">  Clear Rate did not </w:t>
      </w:r>
      <w:r w:rsidR="00B00263">
        <w:t xml:space="preserve">address </w:t>
      </w:r>
      <w:r w:rsidR="00524F87">
        <w:t>Complainant’s</w:t>
      </w:r>
      <w:r w:rsidR="00B00263">
        <w:t xml:space="preserve"> misrepresentation </w:t>
      </w:r>
      <w:r w:rsidR="00524F87">
        <w:t>claim</w:t>
      </w:r>
      <w:r w:rsidR="00B00263">
        <w:t xml:space="preserve"> and did not </w:t>
      </w:r>
      <w:r w:rsidR="00AC2250">
        <w:t>provide a recording of the sales call or any other evidence related to the sales call.</w:t>
      </w:r>
    </w:p>
    <w:p w:rsidR="00E87EC4" w:rsidP="00A23350" w14:paraId="7E5B2A35" w14:textId="1B9F2B7C">
      <w:pPr>
        <w:numPr>
          <w:ilvl w:val="0"/>
          <w:numId w:val="7"/>
        </w:numPr>
        <w:tabs>
          <w:tab w:val="clear" w:pos="1440"/>
        </w:tabs>
        <w:spacing w:after="120"/>
        <w:ind w:left="0" w:firstLine="720"/>
      </w:pPr>
      <w:r w:rsidRPr="00CB7D2F">
        <w:rPr>
          <w:szCs w:val="22"/>
        </w:rPr>
        <w:t xml:space="preserve">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5"/>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w:t>
      </w:r>
      <w:r w:rsidRPr="00CB7D2F">
        <w:rPr>
          <w:szCs w:val="22"/>
        </w:rPr>
        <w:t xml:space="preserve">provider, as defined by the rules, and we discuss </w:t>
      </w:r>
      <w:r w:rsidR="00104663">
        <w:rPr>
          <w:szCs w:val="22"/>
        </w:rPr>
        <w:t>Clear Rate</w:t>
      </w:r>
      <w:r w:rsidRPr="00CB7D2F">
        <w:rPr>
          <w:szCs w:val="22"/>
        </w:rPr>
        <w:t>’s liability below.</w:t>
      </w:r>
      <w:r>
        <w:rPr>
          <w:rStyle w:val="FootnoteReference"/>
          <w:szCs w:val="22"/>
        </w:rPr>
        <w:footnoteReference w:id="16"/>
      </w:r>
      <w:r w:rsidRPr="00A23350" w:rsidR="00FD5F16">
        <w:rPr>
          <w:szCs w:val="24"/>
        </w:rPr>
        <w:t xml:space="preserve">  </w:t>
      </w:r>
    </w:p>
    <w:p w:rsidR="00E87EC4" w:rsidP="004A1870" w14:paraId="0A6F2D17" w14:textId="2610BB7F">
      <w:pPr>
        <w:widowControl/>
        <w:numPr>
          <w:ilvl w:val="0"/>
          <w:numId w:val="7"/>
        </w:numPr>
        <w:tabs>
          <w:tab w:val="clear" w:pos="1440"/>
        </w:tabs>
        <w:spacing w:after="120"/>
        <w:ind w:left="0" w:firstLine="720"/>
      </w:pPr>
      <w:r>
        <w:t>Clear Rate</w:t>
      </w:r>
      <w:r>
        <w:t xml:space="preserve"> must remove all charges incurred for service provided to Complainant for the first </w:t>
      </w:r>
      <w:r w:rsidR="002301FA">
        <w:t>30</w:t>
      </w:r>
      <w:r>
        <w:t xml:space="preserve"> days after the alleged unauthorized change in accordance with the Commission’s liability rules.</w:t>
      </w:r>
      <w:r>
        <w:rPr>
          <w:rStyle w:val="FootnoteReference"/>
        </w:rPr>
        <w:footnoteReference w:id="17"/>
      </w:r>
      <w:r>
        <w:t xml:space="preserve">  We have determined that Complainant </w:t>
      </w:r>
      <w:r w:rsidR="004B41C6">
        <w:t>is</w:t>
      </w:r>
      <w:r>
        <w:t xml:space="preserve"> entitled to absolution for the charges incurred during the first </w:t>
      </w:r>
      <w:r w:rsidR="002301FA">
        <w:t>30</w:t>
      </w:r>
      <w:r>
        <w:t xml:space="preserve">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18"/>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9"/>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1CEBF67D">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w:t>
      </w:r>
      <w:r w:rsidR="002301FA">
        <w:rPr>
          <w:szCs w:val="22"/>
        </w:rPr>
        <w:t>30</w:t>
      </w:r>
      <w:r w:rsidRPr="00C525ED">
        <w:rPr>
          <w:szCs w:val="22"/>
        </w:rPr>
        <w:t xml:space="preserve">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1EE4379B">
      <w:pPr>
        <w:ind w:left="3600" w:right="270" w:firstLine="720"/>
        <w:outlineLvl w:val="0"/>
        <w:rPr>
          <w:szCs w:val="22"/>
        </w:rPr>
      </w:pPr>
      <w:r>
        <w:t>Dana Bowers</w:t>
      </w:r>
      <w:r w:rsidR="003D262D">
        <w:tab/>
      </w:r>
      <w:r w:rsidRPr="00EF2C5A">
        <w:rPr>
          <w:szCs w:val="22"/>
        </w:rPr>
        <w:t xml:space="preserve"> </w:t>
      </w:r>
    </w:p>
    <w:p w:rsidR="00E87EC4" w:rsidRPr="00142D97" w:rsidP="0037166F" w14:paraId="2CC72A68" w14:textId="3435F034">
      <w:pPr>
        <w:ind w:left="3600" w:right="270" w:firstLine="720"/>
      </w:pPr>
      <w:r>
        <w:t>Associate Division</w:t>
      </w:r>
      <w:r w:rsidR="003D262D">
        <w:t xml:space="preserve">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CA090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A0900" w14:paraId="0815F2A6" w14:textId="77777777">
      <w:r>
        <w:separator/>
      </w:r>
    </w:p>
  </w:footnote>
  <w:footnote w:type="continuationSeparator" w:id="1">
    <w:p w:rsidR="00CA0900" w:rsidP="00C721AC" w14:paraId="25FB59AB" w14:textId="77777777">
      <w:pPr>
        <w:spacing w:before="120"/>
        <w:rPr>
          <w:sz w:val="20"/>
        </w:rPr>
      </w:pPr>
      <w:r>
        <w:rPr>
          <w:sz w:val="20"/>
        </w:rPr>
        <w:t xml:space="preserve">(Continued from previous page)  </w:t>
      </w:r>
      <w:r>
        <w:rPr>
          <w:sz w:val="20"/>
        </w:rPr>
        <w:separator/>
      </w:r>
    </w:p>
  </w:footnote>
  <w:footnote w:type="continuationNotice" w:id="2">
    <w:p w:rsidR="00CA0900" w:rsidRPr="00B91DEB" w:rsidP="00B91DEB" w14:paraId="73E29691" w14:textId="77777777">
      <w:pPr>
        <w:pStyle w:val="Footer"/>
      </w:pPr>
    </w:p>
  </w:footnote>
  <w:footnote w:id="3">
    <w:p w:rsidR="004A7371" w:rsidRPr="006F2F56" w:rsidP="004A7371" w14:paraId="167A3D51" w14:textId="6AA26863">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197FB2">
        <w:t>6</w:t>
      </w:r>
      <w:r w:rsidR="00905AAD">
        <w:t>696467</w:t>
      </w:r>
      <w:r>
        <w:t xml:space="preserve"> (filed </w:t>
      </w:r>
      <w:r w:rsidR="0060779C">
        <w:t>Jan.</w:t>
      </w:r>
      <w:r w:rsidR="00905AAD">
        <w:t>13</w:t>
      </w:r>
      <w:r>
        <w:t>, 202</w:t>
      </w:r>
      <w:r w:rsidR="0060779C">
        <w:t>4</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BD3B1D" w14:paraId="4618C70C" w14:textId="2CCDF9C4">
      <w:pPr>
        <w:pStyle w:val="FootnoteText"/>
      </w:pPr>
      <w:r>
        <w:rPr>
          <w:rStyle w:val="FootnoteReference"/>
        </w:rPr>
        <w:footnoteRef/>
      </w:r>
      <w:r>
        <w:t xml:space="preserve"> </w:t>
      </w:r>
      <w:r w:rsidRPr="000C7E88">
        <w:rPr>
          <w:i/>
          <w:iCs/>
        </w:rPr>
        <w:t>See</w:t>
      </w:r>
      <w:r>
        <w:t xml:space="preserve"> Informal Complaint No. </w:t>
      </w:r>
      <w:r w:rsidR="007D6584">
        <w:t>6</w:t>
      </w:r>
      <w:r w:rsidR="00905AAD">
        <w:t>696467</w:t>
      </w:r>
      <w:r>
        <w:t>.</w:t>
      </w:r>
    </w:p>
  </w:footnote>
  <w:footnote w:id="12">
    <w:p w:rsidR="00BD3B1D" w14:paraId="35A98010" w14:textId="1BCBAB5F">
      <w:pPr>
        <w:pStyle w:val="FootnoteText"/>
      </w:pPr>
      <w:r>
        <w:rPr>
          <w:rStyle w:val="FootnoteReference"/>
        </w:rPr>
        <w:footnoteRef/>
      </w:r>
      <w:r>
        <w:t xml:space="preserve"> </w:t>
      </w:r>
      <w:r w:rsidRPr="00BD3B1D">
        <w:rPr>
          <w:i/>
          <w:iCs/>
        </w:rPr>
        <w:t>Id</w:t>
      </w:r>
      <w:r>
        <w:t>.</w:t>
      </w:r>
    </w:p>
  </w:footnote>
  <w:footnote w:id="13">
    <w:p w:rsidR="00E87EC4" w:rsidP="00E87EC4" w14:paraId="3B3D0754" w14:textId="71643AF2">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r w:rsidR="005734DB">
        <w:t xml:space="preserve">  In the notification, we directed Clear Rate to respond to the specific misrepresentation allegation and to provide any evidence to rebut it.   </w:t>
      </w:r>
    </w:p>
  </w:footnote>
  <w:footnote w:id="14">
    <w:p w:rsidR="00AC2250" w:rsidP="00AC2250" w14:paraId="14984A76" w14:textId="62CF61CD">
      <w:pPr>
        <w:pStyle w:val="FootnoteText"/>
      </w:pPr>
      <w:r>
        <w:rPr>
          <w:rStyle w:val="FootnoteReference"/>
        </w:rPr>
        <w:footnoteRef/>
      </w:r>
      <w:r>
        <w:rPr>
          <w:i/>
        </w:rPr>
        <w:t xml:space="preserve"> See </w:t>
      </w:r>
      <w:r>
        <w:t xml:space="preserve">Clear Rate Response to Informal Complaint No. </w:t>
      </w:r>
      <w:r w:rsidR="00197FB2">
        <w:t>6</w:t>
      </w:r>
      <w:r w:rsidR="00905AAD">
        <w:t>696467</w:t>
      </w:r>
      <w:r>
        <w:t xml:space="preserve"> (filed </w:t>
      </w:r>
      <w:r w:rsidR="0060779C">
        <w:t>Jan</w:t>
      </w:r>
      <w:r w:rsidR="00FF7692">
        <w:t xml:space="preserve">. </w:t>
      </w:r>
      <w:r w:rsidR="0060779C">
        <w:t>2</w:t>
      </w:r>
      <w:r w:rsidR="00905AAD">
        <w:t>2</w:t>
      </w:r>
      <w:r>
        <w:t>, 202</w:t>
      </w:r>
      <w:r w:rsidR="0060779C">
        <w:t>4</w:t>
      </w:r>
      <w:r>
        <w:t>)</w:t>
      </w:r>
      <w:r w:rsidR="00F31493">
        <w:t xml:space="preserve"> (</w:t>
      </w:r>
      <w:r w:rsidRPr="00F31493" w:rsidR="00F31493">
        <w:rPr>
          <w:i/>
          <w:iCs/>
        </w:rPr>
        <w:t>Clear Rate Response</w:t>
      </w:r>
      <w:r w:rsidR="00F31493">
        <w:t>)</w:t>
      </w:r>
      <w:r>
        <w:t xml:space="preserve">; </w:t>
      </w:r>
      <w:r w:rsidRPr="00504345">
        <w:rPr>
          <w:i/>
        </w:rPr>
        <w:t>see also</w:t>
      </w:r>
      <w:r>
        <w:t xml:space="preserve"> 47 CFR § 64.1160.</w:t>
      </w:r>
      <w:r w:rsidR="00692492">
        <w:t xml:space="preserve"> </w:t>
      </w:r>
    </w:p>
  </w:footnote>
  <w:footnote w:id="15">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6">
    <w:p w:rsidR="006D7D9E" w:rsidP="006D7D9E" w14:paraId="76F398F1" w14:textId="6618E0FB">
      <w:pPr>
        <w:pStyle w:val="FootnoteText"/>
      </w:pPr>
      <w:r>
        <w:rPr>
          <w:rStyle w:val="FootnoteReference"/>
        </w:rPr>
        <w:footnoteRef/>
      </w:r>
      <w:r>
        <w:t xml:space="preserve"> If Complainant is unsatisfied with the resolution of the complaint, Complainant may file a formal complaint with the Commission pursuant to </w:t>
      </w:r>
      <w:r w:rsidR="00B45AC0">
        <w:t>s</w:t>
      </w:r>
      <w:r>
        <w:t xml:space="preserve">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7">
    <w:p w:rsidR="00E87EC4" w:rsidP="00E87EC4" w14:paraId="4F3D9E70" w14:textId="60C57C37">
      <w:pPr>
        <w:pStyle w:val="FootnoteText"/>
      </w:pPr>
      <w:r>
        <w:rPr>
          <w:rStyle w:val="FootnoteReference"/>
        </w:rPr>
        <w:footnoteRef/>
      </w:r>
      <w:r>
        <w:t xml:space="preserve"> </w:t>
      </w:r>
      <w:r w:rsidRPr="003D1861">
        <w:rPr>
          <w:i/>
        </w:rPr>
        <w:t>See</w:t>
      </w:r>
      <w:r>
        <w:rPr>
          <w:i/>
        </w:rPr>
        <w:t xml:space="preserve"> id.</w:t>
      </w:r>
      <w:r>
        <w:t xml:space="preserve"> § 64.1160(b).</w:t>
      </w:r>
    </w:p>
  </w:footnote>
  <w:footnote w:id="18">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9">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22C44C94">
    <w:pPr>
      <w:pStyle w:val="Header"/>
      <w:rPr>
        <w:b w:val="0"/>
      </w:rPr>
    </w:pPr>
    <w:r>
      <w:tab/>
      <w:t>Federal Communications Commission</w:t>
    </w:r>
    <w:r>
      <w:tab/>
    </w:r>
    <w:r w:rsidR="00AE241C">
      <w:t xml:space="preserve">DA </w:t>
    </w:r>
    <w:r w:rsidR="003D262D">
      <w:t>2</w:t>
    </w:r>
    <w:r w:rsidR="0042275B">
      <w:t>4</w:t>
    </w:r>
    <w:r w:rsidR="003D262D">
      <w:t>-</w:t>
    </w:r>
    <w:r w:rsidR="00197FE4">
      <w:t>130</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7058AB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42275B">
      <w:rPr>
        <w:spacing w:val="-2"/>
      </w:rPr>
      <w:t>4</w:t>
    </w:r>
    <w:r w:rsidR="003D262D">
      <w:rPr>
        <w:spacing w:val="-2"/>
      </w:rPr>
      <w:t>-</w:t>
    </w:r>
    <w:r w:rsidR="00197FE4">
      <w:rPr>
        <w:spacing w:val="-2"/>
      </w:rPr>
      <w:t>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11AAC"/>
    <w:rsid w:val="000215E3"/>
    <w:rsid w:val="000237AB"/>
    <w:rsid w:val="000267DE"/>
    <w:rsid w:val="00031165"/>
    <w:rsid w:val="00031356"/>
    <w:rsid w:val="00036039"/>
    <w:rsid w:val="00037F90"/>
    <w:rsid w:val="000409FA"/>
    <w:rsid w:val="0004688D"/>
    <w:rsid w:val="00056089"/>
    <w:rsid w:val="00056F0B"/>
    <w:rsid w:val="000875BF"/>
    <w:rsid w:val="00096D8C"/>
    <w:rsid w:val="000A1D19"/>
    <w:rsid w:val="000C0B65"/>
    <w:rsid w:val="000C39CD"/>
    <w:rsid w:val="000C7E88"/>
    <w:rsid w:val="000D107D"/>
    <w:rsid w:val="000D2670"/>
    <w:rsid w:val="000E05FE"/>
    <w:rsid w:val="000E2BB7"/>
    <w:rsid w:val="000E3D42"/>
    <w:rsid w:val="001023DE"/>
    <w:rsid w:val="00104663"/>
    <w:rsid w:val="001211C2"/>
    <w:rsid w:val="00122BD5"/>
    <w:rsid w:val="00126D53"/>
    <w:rsid w:val="00133F79"/>
    <w:rsid w:val="00142D97"/>
    <w:rsid w:val="00185C9A"/>
    <w:rsid w:val="00194A66"/>
    <w:rsid w:val="00197FB2"/>
    <w:rsid w:val="00197FE4"/>
    <w:rsid w:val="001B0806"/>
    <w:rsid w:val="001B7B64"/>
    <w:rsid w:val="001C1F54"/>
    <w:rsid w:val="001D51E5"/>
    <w:rsid w:val="001D6BCF"/>
    <w:rsid w:val="001E01CA"/>
    <w:rsid w:val="001E09ED"/>
    <w:rsid w:val="001F3959"/>
    <w:rsid w:val="00210356"/>
    <w:rsid w:val="0022382B"/>
    <w:rsid w:val="002270D6"/>
    <w:rsid w:val="002301FA"/>
    <w:rsid w:val="00275CF5"/>
    <w:rsid w:val="0028301F"/>
    <w:rsid w:val="0028304E"/>
    <w:rsid w:val="00285017"/>
    <w:rsid w:val="002968C8"/>
    <w:rsid w:val="002A2D2E"/>
    <w:rsid w:val="002C00E8"/>
    <w:rsid w:val="002C43CB"/>
    <w:rsid w:val="002F09DF"/>
    <w:rsid w:val="002F77BE"/>
    <w:rsid w:val="00305DCB"/>
    <w:rsid w:val="00343749"/>
    <w:rsid w:val="003605AE"/>
    <w:rsid w:val="003660ED"/>
    <w:rsid w:val="0037166F"/>
    <w:rsid w:val="00384F89"/>
    <w:rsid w:val="003A7686"/>
    <w:rsid w:val="003B0550"/>
    <w:rsid w:val="003B341C"/>
    <w:rsid w:val="003B694F"/>
    <w:rsid w:val="003D1861"/>
    <w:rsid w:val="003D262D"/>
    <w:rsid w:val="003E4834"/>
    <w:rsid w:val="003F06AB"/>
    <w:rsid w:val="003F171C"/>
    <w:rsid w:val="00412FC5"/>
    <w:rsid w:val="00422276"/>
    <w:rsid w:val="0042275B"/>
    <w:rsid w:val="004242F1"/>
    <w:rsid w:val="00424582"/>
    <w:rsid w:val="00440166"/>
    <w:rsid w:val="00442324"/>
    <w:rsid w:val="0044528B"/>
    <w:rsid w:val="00445A00"/>
    <w:rsid w:val="00451B0F"/>
    <w:rsid w:val="00466997"/>
    <w:rsid w:val="00484334"/>
    <w:rsid w:val="004A1870"/>
    <w:rsid w:val="004A7371"/>
    <w:rsid w:val="004B41C6"/>
    <w:rsid w:val="004C2EE3"/>
    <w:rsid w:val="004E4A22"/>
    <w:rsid w:val="00504345"/>
    <w:rsid w:val="00511968"/>
    <w:rsid w:val="00524F87"/>
    <w:rsid w:val="0055614C"/>
    <w:rsid w:val="00566D06"/>
    <w:rsid w:val="005734DB"/>
    <w:rsid w:val="00585569"/>
    <w:rsid w:val="0059509C"/>
    <w:rsid w:val="005B3C00"/>
    <w:rsid w:val="005E14C2"/>
    <w:rsid w:val="005E17F7"/>
    <w:rsid w:val="005F2EEE"/>
    <w:rsid w:val="005F3ED0"/>
    <w:rsid w:val="005F7CD1"/>
    <w:rsid w:val="0060779C"/>
    <w:rsid w:val="00607BA5"/>
    <w:rsid w:val="0061180A"/>
    <w:rsid w:val="00626EB6"/>
    <w:rsid w:val="00653ADB"/>
    <w:rsid w:val="00655D03"/>
    <w:rsid w:val="0067269C"/>
    <w:rsid w:val="00683388"/>
    <w:rsid w:val="00683F84"/>
    <w:rsid w:val="00692492"/>
    <w:rsid w:val="006A6A81"/>
    <w:rsid w:val="006D6CC3"/>
    <w:rsid w:val="006D7D9E"/>
    <w:rsid w:val="006E1632"/>
    <w:rsid w:val="006F2F56"/>
    <w:rsid w:val="006F62BA"/>
    <w:rsid w:val="006F7393"/>
    <w:rsid w:val="0070224F"/>
    <w:rsid w:val="007023E5"/>
    <w:rsid w:val="007115F7"/>
    <w:rsid w:val="007257B8"/>
    <w:rsid w:val="00763B1E"/>
    <w:rsid w:val="00766B85"/>
    <w:rsid w:val="00785689"/>
    <w:rsid w:val="0079754B"/>
    <w:rsid w:val="007A1BC6"/>
    <w:rsid w:val="007A1E6D"/>
    <w:rsid w:val="007B0EB2"/>
    <w:rsid w:val="007D2222"/>
    <w:rsid w:val="007D5686"/>
    <w:rsid w:val="007D6584"/>
    <w:rsid w:val="008036CD"/>
    <w:rsid w:val="00803B99"/>
    <w:rsid w:val="00810B6F"/>
    <w:rsid w:val="00820AE3"/>
    <w:rsid w:val="00822CE0"/>
    <w:rsid w:val="00841AB1"/>
    <w:rsid w:val="00846B1A"/>
    <w:rsid w:val="00855334"/>
    <w:rsid w:val="00856985"/>
    <w:rsid w:val="00857752"/>
    <w:rsid w:val="008A178E"/>
    <w:rsid w:val="008A1A4F"/>
    <w:rsid w:val="008A32BF"/>
    <w:rsid w:val="008A4A8D"/>
    <w:rsid w:val="008B5281"/>
    <w:rsid w:val="008C68F1"/>
    <w:rsid w:val="008D56F0"/>
    <w:rsid w:val="009040A3"/>
    <w:rsid w:val="00905AAD"/>
    <w:rsid w:val="00910DFB"/>
    <w:rsid w:val="00921803"/>
    <w:rsid w:val="00923668"/>
    <w:rsid w:val="00925418"/>
    <w:rsid w:val="00926503"/>
    <w:rsid w:val="009306F2"/>
    <w:rsid w:val="00955FC0"/>
    <w:rsid w:val="009726D8"/>
    <w:rsid w:val="00980663"/>
    <w:rsid w:val="00990DB6"/>
    <w:rsid w:val="00996AA4"/>
    <w:rsid w:val="009D7308"/>
    <w:rsid w:val="009F0064"/>
    <w:rsid w:val="009F6F0E"/>
    <w:rsid w:val="009F76DB"/>
    <w:rsid w:val="00A15D6E"/>
    <w:rsid w:val="00A23350"/>
    <w:rsid w:val="00A32C3B"/>
    <w:rsid w:val="00A45F4F"/>
    <w:rsid w:val="00A600A9"/>
    <w:rsid w:val="00A61727"/>
    <w:rsid w:val="00A8283A"/>
    <w:rsid w:val="00A92978"/>
    <w:rsid w:val="00AA55B7"/>
    <w:rsid w:val="00AA5B9E"/>
    <w:rsid w:val="00AB2407"/>
    <w:rsid w:val="00AB53DF"/>
    <w:rsid w:val="00AC2250"/>
    <w:rsid w:val="00AD4917"/>
    <w:rsid w:val="00AE241C"/>
    <w:rsid w:val="00B00263"/>
    <w:rsid w:val="00B06C6D"/>
    <w:rsid w:val="00B07E5C"/>
    <w:rsid w:val="00B205BD"/>
    <w:rsid w:val="00B30D69"/>
    <w:rsid w:val="00B45AC0"/>
    <w:rsid w:val="00B469CE"/>
    <w:rsid w:val="00B61F70"/>
    <w:rsid w:val="00B6399A"/>
    <w:rsid w:val="00B64743"/>
    <w:rsid w:val="00B811F7"/>
    <w:rsid w:val="00B82B45"/>
    <w:rsid w:val="00B841CA"/>
    <w:rsid w:val="00B91DEB"/>
    <w:rsid w:val="00BA5DC6"/>
    <w:rsid w:val="00BA6196"/>
    <w:rsid w:val="00BC6D8C"/>
    <w:rsid w:val="00BD3B1D"/>
    <w:rsid w:val="00C021CE"/>
    <w:rsid w:val="00C3202F"/>
    <w:rsid w:val="00C34006"/>
    <w:rsid w:val="00C36B4C"/>
    <w:rsid w:val="00C426B1"/>
    <w:rsid w:val="00C525ED"/>
    <w:rsid w:val="00C652D1"/>
    <w:rsid w:val="00C66160"/>
    <w:rsid w:val="00C721AC"/>
    <w:rsid w:val="00C849DD"/>
    <w:rsid w:val="00C90D6A"/>
    <w:rsid w:val="00CA0900"/>
    <w:rsid w:val="00CA247E"/>
    <w:rsid w:val="00CA3F31"/>
    <w:rsid w:val="00CA6D21"/>
    <w:rsid w:val="00CB7D2F"/>
    <w:rsid w:val="00CC72B6"/>
    <w:rsid w:val="00CE1F45"/>
    <w:rsid w:val="00CE5BF4"/>
    <w:rsid w:val="00CF10D8"/>
    <w:rsid w:val="00D0218D"/>
    <w:rsid w:val="00D0591E"/>
    <w:rsid w:val="00D22481"/>
    <w:rsid w:val="00D24EA4"/>
    <w:rsid w:val="00D25FB5"/>
    <w:rsid w:val="00D26C2C"/>
    <w:rsid w:val="00D44223"/>
    <w:rsid w:val="00D60674"/>
    <w:rsid w:val="00D64893"/>
    <w:rsid w:val="00D7738A"/>
    <w:rsid w:val="00DA2529"/>
    <w:rsid w:val="00DA523B"/>
    <w:rsid w:val="00DB130A"/>
    <w:rsid w:val="00DB2EBB"/>
    <w:rsid w:val="00DC10A1"/>
    <w:rsid w:val="00DC655F"/>
    <w:rsid w:val="00DD0B59"/>
    <w:rsid w:val="00DD7EBD"/>
    <w:rsid w:val="00DF42CC"/>
    <w:rsid w:val="00DF62B6"/>
    <w:rsid w:val="00E07225"/>
    <w:rsid w:val="00E32F24"/>
    <w:rsid w:val="00E333F8"/>
    <w:rsid w:val="00E40707"/>
    <w:rsid w:val="00E5409F"/>
    <w:rsid w:val="00E82EC2"/>
    <w:rsid w:val="00E86D82"/>
    <w:rsid w:val="00E87EC4"/>
    <w:rsid w:val="00EB0A91"/>
    <w:rsid w:val="00EB0D42"/>
    <w:rsid w:val="00EB54CE"/>
    <w:rsid w:val="00EB7A32"/>
    <w:rsid w:val="00ED0DB7"/>
    <w:rsid w:val="00ED509D"/>
    <w:rsid w:val="00EE6488"/>
    <w:rsid w:val="00EF2C5A"/>
    <w:rsid w:val="00EF74F9"/>
    <w:rsid w:val="00EF7528"/>
    <w:rsid w:val="00F021FA"/>
    <w:rsid w:val="00F12F03"/>
    <w:rsid w:val="00F2035B"/>
    <w:rsid w:val="00F31493"/>
    <w:rsid w:val="00F41465"/>
    <w:rsid w:val="00F54F20"/>
    <w:rsid w:val="00F56086"/>
    <w:rsid w:val="00F62E97"/>
    <w:rsid w:val="00F64209"/>
    <w:rsid w:val="00F74AF2"/>
    <w:rsid w:val="00F86B2C"/>
    <w:rsid w:val="00F93BF5"/>
    <w:rsid w:val="00F93F38"/>
    <w:rsid w:val="00FA1C98"/>
    <w:rsid w:val="00FA75A5"/>
    <w:rsid w:val="00FB0DCD"/>
    <w:rsid w:val="00FC7284"/>
    <w:rsid w:val="00FD5F16"/>
    <w:rsid w:val="00FF76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 w:type="paragraph" w:styleId="Revision">
    <w:name w:val="Revision"/>
    <w:hidden/>
    <w:uiPriority w:val="99"/>
    <w:semiHidden/>
    <w:rsid w:val="00F12F0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