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7908" w14:paraId="57008313" w14:textId="77777777">
      <w:pPr>
        <w:jc w:val="right"/>
        <w:rPr>
          <w:sz w:val="24"/>
        </w:rPr>
      </w:pPr>
    </w:p>
    <w:p w:rsidR="003D7908" w14:paraId="35D63C9D" w14:textId="113C4B6C">
      <w:pPr>
        <w:jc w:val="right"/>
        <w:rPr>
          <w:b/>
          <w:sz w:val="24"/>
        </w:rPr>
      </w:pPr>
      <w:r>
        <w:rPr>
          <w:b/>
          <w:sz w:val="24"/>
        </w:rPr>
        <w:t xml:space="preserve">DA </w:t>
      </w:r>
      <w:r w:rsidR="009710AE">
        <w:rPr>
          <w:b/>
          <w:sz w:val="24"/>
        </w:rPr>
        <w:t>2</w:t>
      </w:r>
      <w:r w:rsidR="00067A27">
        <w:rPr>
          <w:b/>
          <w:sz w:val="24"/>
        </w:rPr>
        <w:t>4</w:t>
      </w:r>
      <w:r w:rsidR="009710AE">
        <w:rPr>
          <w:b/>
          <w:sz w:val="24"/>
        </w:rPr>
        <w:t>-</w:t>
      </w:r>
      <w:r w:rsidR="006F3B44">
        <w:rPr>
          <w:b/>
          <w:sz w:val="24"/>
        </w:rPr>
        <w:t>154</w:t>
      </w:r>
    </w:p>
    <w:p w:rsidR="003D7908" w14:paraId="76E01BDD" w14:textId="52EF4131">
      <w:pPr>
        <w:spacing w:before="60"/>
        <w:jc w:val="right"/>
        <w:rPr>
          <w:b/>
          <w:sz w:val="24"/>
        </w:rPr>
      </w:pPr>
      <w:r>
        <w:rPr>
          <w:b/>
          <w:sz w:val="24"/>
        </w:rPr>
        <w:t xml:space="preserve">Released:  </w:t>
      </w:r>
      <w:r w:rsidR="00067A27">
        <w:rPr>
          <w:b/>
          <w:sz w:val="24"/>
        </w:rPr>
        <w:t>February</w:t>
      </w:r>
      <w:r w:rsidR="009710AE">
        <w:rPr>
          <w:b/>
          <w:sz w:val="24"/>
        </w:rPr>
        <w:t xml:space="preserve"> </w:t>
      </w:r>
      <w:r w:rsidR="00245A1A">
        <w:rPr>
          <w:b/>
          <w:sz w:val="24"/>
        </w:rPr>
        <w:t>21</w:t>
      </w:r>
      <w:r w:rsidR="009710AE">
        <w:rPr>
          <w:b/>
          <w:sz w:val="24"/>
        </w:rPr>
        <w:t>, 2</w:t>
      </w:r>
      <w:r w:rsidR="0002405D">
        <w:rPr>
          <w:b/>
          <w:sz w:val="24"/>
        </w:rPr>
        <w:t>02</w:t>
      </w:r>
      <w:r w:rsidR="00067A27">
        <w:rPr>
          <w:b/>
          <w:sz w:val="24"/>
        </w:rPr>
        <w:t>4</w:t>
      </w:r>
    </w:p>
    <w:p w:rsidR="003D7908" w14:paraId="0E99DC68" w14:textId="77777777">
      <w:pPr>
        <w:jc w:val="right"/>
        <w:rPr>
          <w:sz w:val="24"/>
        </w:rPr>
      </w:pPr>
    </w:p>
    <w:p w:rsidR="003D7908" w14:paraId="3FA943A5" w14:textId="48CCAC4C">
      <w:pPr>
        <w:spacing w:after="240"/>
        <w:jc w:val="center"/>
        <w:rPr>
          <w:rFonts w:ascii="Times New Roman Bold" w:hAnsi="Times New Roman Bold"/>
          <w:b/>
          <w:caps/>
          <w:sz w:val="24"/>
        </w:rPr>
      </w:pPr>
      <w:r>
        <w:rPr>
          <w:rFonts w:ascii="Times New Roman Bold" w:hAnsi="Times New Roman Bold"/>
          <w:b/>
          <w:caps/>
          <w:sz w:val="24"/>
        </w:rPr>
        <w:t xml:space="preserve">media bureau </w:t>
      </w:r>
      <w:r w:rsidR="00880389">
        <w:rPr>
          <w:rFonts w:ascii="Times New Roman Bold" w:hAnsi="Times New Roman Bold"/>
          <w:b/>
          <w:caps/>
          <w:sz w:val="24"/>
        </w:rPr>
        <w:t xml:space="preserve">announces filing of </w:t>
      </w:r>
      <w:r w:rsidR="00EC7BF0">
        <w:rPr>
          <w:rFonts w:ascii="Times New Roman Bold" w:hAnsi="Times New Roman Bold"/>
          <w:b/>
          <w:caps/>
          <w:sz w:val="24"/>
        </w:rPr>
        <w:t xml:space="preserve">petition </w:t>
      </w:r>
      <w:r w:rsidR="00F73C38">
        <w:rPr>
          <w:rFonts w:ascii="Times New Roman Bold" w:hAnsi="Times New Roman Bold"/>
          <w:b/>
          <w:caps/>
          <w:sz w:val="24"/>
        </w:rPr>
        <w:t xml:space="preserve">for clarification </w:t>
      </w:r>
      <w:r w:rsidR="00F57CCF">
        <w:rPr>
          <w:rFonts w:ascii="Times New Roman Bold" w:hAnsi="Times New Roman Bold"/>
          <w:b/>
          <w:caps/>
          <w:sz w:val="24"/>
        </w:rPr>
        <w:t xml:space="preserve">concerning </w:t>
      </w:r>
      <w:r w:rsidR="008A4B75">
        <w:rPr>
          <w:rFonts w:ascii="Times New Roman Bold" w:hAnsi="Times New Roman Bold"/>
          <w:b/>
          <w:caps/>
          <w:sz w:val="24"/>
        </w:rPr>
        <w:t xml:space="preserve">fm </w:t>
      </w:r>
      <w:r w:rsidR="00A1245D">
        <w:rPr>
          <w:rFonts w:ascii="Times New Roman Bold" w:hAnsi="Times New Roman Bold"/>
          <w:b/>
          <w:caps/>
          <w:sz w:val="24"/>
        </w:rPr>
        <w:t>DIGITAL POWER NPRM</w:t>
      </w:r>
      <w:r w:rsidR="00F57CCF">
        <w:rPr>
          <w:rFonts w:ascii="Times New Roman Bold" w:hAnsi="Times New Roman Bold"/>
          <w:b/>
          <w:caps/>
          <w:sz w:val="24"/>
        </w:rPr>
        <w:t xml:space="preserve"> and opportunity for </w:t>
      </w:r>
      <w:r w:rsidR="00C87F10">
        <w:rPr>
          <w:rFonts w:ascii="Times New Roman Bold" w:hAnsi="Times New Roman Bold"/>
          <w:b/>
          <w:caps/>
          <w:sz w:val="24"/>
        </w:rPr>
        <w:t xml:space="preserve">supplemental </w:t>
      </w:r>
      <w:r w:rsidR="00F57CCF">
        <w:rPr>
          <w:rFonts w:ascii="Times New Roman Bold" w:hAnsi="Times New Roman Bold"/>
          <w:b/>
          <w:caps/>
          <w:sz w:val="24"/>
        </w:rPr>
        <w:t>comments</w:t>
      </w:r>
    </w:p>
    <w:p w:rsidR="00365C05" w:rsidP="00067A27" w14:paraId="5E109E3E" w14:textId="146B954B">
      <w:pPr>
        <w:jc w:val="center"/>
        <w:rPr>
          <w:b/>
          <w:sz w:val="24"/>
        </w:rPr>
      </w:pPr>
      <w:r>
        <w:rPr>
          <w:b/>
          <w:sz w:val="24"/>
        </w:rPr>
        <w:t xml:space="preserve">MB Docket No. </w:t>
      </w:r>
      <w:r w:rsidR="00067A27">
        <w:rPr>
          <w:b/>
          <w:sz w:val="24"/>
        </w:rPr>
        <w:t>22-405</w:t>
      </w:r>
    </w:p>
    <w:p w:rsidR="006E2D02" w14:paraId="326CEFF2" w14:textId="52D69372">
      <w:bookmarkStart w:id="0" w:name="TOChere"/>
    </w:p>
    <w:p w:rsidR="003D7908" w14:paraId="1FC7DE6E" w14:textId="55949B6C">
      <w:pPr>
        <w:rPr>
          <w:b/>
          <w:bCs/>
        </w:rPr>
      </w:pPr>
      <w:r>
        <w:rPr>
          <w:b/>
          <w:bCs/>
        </w:rPr>
        <w:t xml:space="preserve">Comment Date: </w:t>
      </w:r>
      <w:r w:rsidR="004E291F">
        <w:rPr>
          <w:b/>
          <w:bCs/>
        </w:rPr>
        <w:t xml:space="preserve"> </w:t>
      </w:r>
      <w:r w:rsidR="00372FC9">
        <w:rPr>
          <w:b/>
          <w:bCs/>
        </w:rPr>
        <w:t xml:space="preserve">[30 days </w:t>
      </w:r>
      <w:r w:rsidR="00E51485">
        <w:rPr>
          <w:b/>
          <w:bCs/>
        </w:rPr>
        <w:t>after date of publication in the Federal Register</w:t>
      </w:r>
      <w:r w:rsidR="00372FC9">
        <w:rPr>
          <w:b/>
          <w:bCs/>
        </w:rPr>
        <w:t>]</w:t>
      </w:r>
    </w:p>
    <w:p w:rsidR="004E291F" w:rsidRPr="00122740" w14:paraId="66BE8CE4" w14:textId="3B274819">
      <w:pPr>
        <w:rPr>
          <w:b/>
          <w:bCs/>
        </w:rPr>
      </w:pPr>
      <w:r>
        <w:rPr>
          <w:b/>
          <w:bCs/>
        </w:rPr>
        <w:t xml:space="preserve">Reply Comment Date:  </w:t>
      </w:r>
      <w:r w:rsidR="00372FC9">
        <w:rPr>
          <w:b/>
          <w:bCs/>
        </w:rPr>
        <w:t>[</w:t>
      </w:r>
      <w:r w:rsidR="002013B3">
        <w:rPr>
          <w:b/>
          <w:bCs/>
        </w:rPr>
        <w:t>45</w:t>
      </w:r>
      <w:r w:rsidR="00372FC9">
        <w:rPr>
          <w:b/>
          <w:bCs/>
        </w:rPr>
        <w:t xml:space="preserve"> days </w:t>
      </w:r>
      <w:r w:rsidR="00E51485">
        <w:rPr>
          <w:b/>
          <w:bCs/>
        </w:rPr>
        <w:t>after date of publication in the Federal Register</w:t>
      </w:r>
      <w:r w:rsidR="00372FC9">
        <w:rPr>
          <w:b/>
          <w:bCs/>
        </w:rPr>
        <w:t>]</w:t>
      </w:r>
    </w:p>
    <w:p w:rsidR="003D7908" w14:paraId="51ACE924" w14:textId="77777777"/>
    <w:bookmarkEnd w:id="0"/>
    <w:p w:rsidR="006E2D02" w14:paraId="34BD867E" w14:textId="77777777"/>
    <w:p w:rsidR="000710D7" w:rsidRPr="00BE5061" w14:paraId="7178F958" w14:textId="213AFB7C">
      <w:pPr>
        <w:rPr>
          <w:szCs w:val="22"/>
        </w:rPr>
      </w:pPr>
      <w:r w:rsidRPr="00BE5061">
        <w:rPr>
          <w:szCs w:val="22"/>
        </w:rPr>
        <w:tab/>
      </w:r>
      <w:r w:rsidRPr="00BE5061" w:rsidR="00843A18">
        <w:rPr>
          <w:szCs w:val="22"/>
        </w:rPr>
        <w:t>T</w:t>
      </w:r>
      <w:r w:rsidRPr="00BE5061" w:rsidR="00805BA2">
        <w:rPr>
          <w:szCs w:val="22"/>
        </w:rPr>
        <w:t xml:space="preserve">he Commission </w:t>
      </w:r>
      <w:r w:rsidRPr="00BE5061" w:rsidR="00843A18">
        <w:rPr>
          <w:szCs w:val="22"/>
        </w:rPr>
        <w:t xml:space="preserve">initiated this proceeding on </w:t>
      </w:r>
      <w:r w:rsidRPr="00BE5061" w:rsidR="00A1245D">
        <w:rPr>
          <w:szCs w:val="22"/>
        </w:rPr>
        <w:t>August</w:t>
      </w:r>
      <w:r w:rsidRPr="00BE5061" w:rsidR="00843A18">
        <w:rPr>
          <w:szCs w:val="22"/>
        </w:rPr>
        <w:t xml:space="preserve"> 1, 202</w:t>
      </w:r>
      <w:r w:rsidRPr="00BE5061" w:rsidR="00A1245D">
        <w:rPr>
          <w:szCs w:val="22"/>
        </w:rPr>
        <w:t>3</w:t>
      </w:r>
      <w:r w:rsidRPr="00BE5061" w:rsidR="00B94646">
        <w:rPr>
          <w:szCs w:val="22"/>
        </w:rPr>
        <w:t xml:space="preserve">, with the </w:t>
      </w:r>
      <w:r w:rsidRPr="00BE5061" w:rsidR="00805BA2">
        <w:rPr>
          <w:szCs w:val="22"/>
        </w:rPr>
        <w:t>release</w:t>
      </w:r>
      <w:r w:rsidRPr="00BE5061" w:rsidR="00B94646">
        <w:rPr>
          <w:szCs w:val="22"/>
        </w:rPr>
        <w:t xml:space="preserve"> of</w:t>
      </w:r>
      <w:r w:rsidRPr="00BE5061" w:rsidR="00805BA2">
        <w:rPr>
          <w:szCs w:val="22"/>
        </w:rPr>
        <w:t xml:space="preserve"> a</w:t>
      </w:r>
      <w:r w:rsidRPr="00BE5061" w:rsidR="00A1245D">
        <w:rPr>
          <w:szCs w:val="22"/>
        </w:rPr>
        <w:t>n Order and</w:t>
      </w:r>
      <w:r w:rsidRPr="00BE5061" w:rsidR="00805BA2">
        <w:rPr>
          <w:szCs w:val="22"/>
        </w:rPr>
        <w:t xml:space="preserve"> Notice of Proposed Rulemaking </w:t>
      </w:r>
      <w:r w:rsidRPr="00BE5061" w:rsidR="00D25D39">
        <w:rPr>
          <w:szCs w:val="22"/>
        </w:rPr>
        <w:t xml:space="preserve">seeking comment on </w:t>
      </w:r>
      <w:r w:rsidRPr="00BE5061" w:rsidR="00573C22">
        <w:rPr>
          <w:szCs w:val="22"/>
        </w:rPr>
        <w:t>a proposal</w:t>
      </w:r>
      <w:r w:rsidRPr="00BE5061" w:rsidR="00D25D39">
        <w:rPr>
          <w:szCs w:val="22"/>
        </w:rPr>
        <w:t xml:space="preserve"> to </w:t>
      </w:r>
      <w:r w:rsidRPr="00BE5061" w:rsidR="00E14326">
        <w:rPr>
          <w:szCs w:val="22"/>
        </w:rPr>
        <w:t xml:space="preserve">change the methodology </w:t>
      </w:r>
      <w:r w:rsidRPr="00BE5061" w:rsidR="000D52B5">
        <w:rPr>
          <w:szCs w:val="22"/>
        </w:rPr>
        <w:t xml:space="preserve">used by digital FM stations to determine whether they can increase FM digital power, and to </w:t>
      </w:r>
      <w:r w:rsidRPr="00BE5061" w:rsidR="003D126B">
        <w:rPr>
          <w:szCs w:val="22"/>
        </w:rPr>
        <w:t>allow asymmetric sideband operation</w:t>
      </w:r>
      <w:r w:rsidRPr="00BE5061" w:rsidR="00D949B5">
        <w:rPr>
          <w:szCs w:val="22"/>
        </w:rPr>
        <w:t>.</w:t>
      </w:r>
      <w:r>
        <w:rPr>
          <w:rStyle w:val="FootnoteReference"/>
          <w:szCs w:val="22"/>
        </w:rPr>
        <w:footnoteReference w:id="3"/>
      </w:r>
      <w:r w:rsidRPr="00BE5061" w:rsidR="00D949B5">
        <w:rPr>
          <w:szCs w:val="22"/>
        </w:rPr>
        <w:t xml:space="preserve">  </w:t>
      </w:r>
      <w:r w:rsidRPr="00BE5061" w:rsidR="005C4201">
        <w:rPr>
          <w:szCs w:val="22"/>
        </w:rPr>
        <w:t xml:space="preserve">The </w:t>
      </w:r>
      <w:r w:rsidRPr="00BE5061" w:rsidR="00313CEE">
        <w:rPr>
          <w:szCs w:val="22"/>
        </w:rPr>
        <w:t>time period</w:t>
      </w:r>
      <w:r w:rsidRPr="00BE5061" w:rsidR="005C4201">
        <w:rPr>
          <w:szCs w:val="22"/>
        </w:rPr>
        <w:t xml:space="preserve"> for </w:t>
      </w:r>
      <w:r w:rsidRPr="00BE5061" w:rsidR="00313CEE">
        <w:rPr>
          <w:szCs w:val="22"/>
        </w:rPr>
        <w:t xml:space="preserve">filing </w:t>
      </w:r>
      <w:r w:rsidRPr="00BE5061" w:rsidR="005C4201">
        <w:rPr>
          <w:szCs w:val="22"/>
        </w:rPr>
        <w:t xml:space="preserve">comments and reply comments on the </w:t>
      </w:r>
      <w:r w:rsidRPr="00BE5061" w:rsidR="005C4201">
        <w:rPr>
          <w:i/>
          <w:iCs/>
          <w:szCs w:val="22"/>
        </w:rPr>
        <w:t>NPRM</w:t>
      </w:r>
      <w:r w:rsidRPr="00BE5061" w:rsidR="005C4201">
        <w:rPr>
          <w:szCs w:val="22"/>
        </w:rPr>
        <w:t xml:space="preserve"> closed </w:t>
      </w:r>
      <w:r w:rsidRPr="00BE5061" w:rsidR="00423151">
        <w:rPr>
          <w:szCs w:val="22"/>
        </w:rPr>
        <w:t xml:space="preserve">on </w:t>
      </w:r>
      <w:r w:rsidRPr="00BE5061" w:rsidR="00A1245D">
        <w:rPr>
          <w:szCs w:val="22"/>
        </w:rPr>
        <w:t>October 6, 2023</w:t>
      </w:r>
      <w:r w:rsidRPr="00BE5061" w:rsidR="00A12CCF">
        <w:rPr>
          <w:szCs w:val="22"/>
        </w:rPr>
        <w:t>.</w:t>
      </w:r>
      <w:r>
        <w:rPr>
          <w:rStyle w:val="FootnoteReference"/>
          <w:szCs w:val="22"/>
        </w:rPr>
        <w:footnoteReference w:id="4"/>
      </w:r>
      <w:r w:rsidRPr="00BE5061" w:rsidR="00A12CCF">
        <w:rPr>
          <w:szCs w:val="22"/>
        </w:rPr>
        <w:t xml:space="preserve"> </w:t>
      </w:r>
    </w:p>
    <w:p w:rsidR="007C642A" w:rsidRPr="00BE5061" w14:paraId="32304118" w14:textId="003E12C9">
      <w:pPr>
        <w:rPr>
          <w:szCs w:val="22"/>
        </w:rPr>
      </w:pPr>
    </w:p>
    <w:p w:rsidR="00332AD5" w:rsidRPr="00BE5061" w14:paraId="401260C3" w14:textId="30130D59">
      <w:pPr>
        <w:rPr>
          <w:szCs w:val="22"/>
        </w:rPr>
      </w:pPr>
      <w:r w:rsidRPr="00BE5061">
        <w:rPr>
          <w:szCs w:val="22"/>
        </w:rPr>
        <w:tab/>
      </w:r>
      <w:r w:rsidRPr="00BE5061" w:rsidR="00A1245D">
        <w:rPr>
          <w:szCs w:val="22"/>
        </w:rPr>
        <w:t xml:space="preserve">On February 2, 2024, the National Association of Broadcasters (NAB) and </w:t>
      </w:r>
      <w:r w:rsidRPr="00BE5061" w:rsidR="00A1245D">
        <w:rPr>
          <w:szCs w:val="22"/>
        </w:rPr>
        <w:t>Xperi</w:t>
      </w:r>
      <w:r w:rsidRPr="00BE5061" w:rsidR="00A1245D">
        <w:rPr>
          <w:szCs w:val="22"/>
        </w:rPr>
        <w:t xml:space="preserve"> Inc. (</w:t>
      </w:r>
      <w:r w:rsidRPr="00BE5061" w:rsidR="00A1245D">
        <w:rPr>
          <w:szCs w:val="22"/>
        </w:rPr>
        <w:t>Xperi</w:t>
      </w:r>
      <w:r w:rsidRPr="00BE5061" w:rsidR="00A1245D">
        <w:rPr>
          <w:szCs w:val="22"/>
        </w:rPr>
        <w:t>)</w:t>
      </w:r>
      <w:r w:rsidRPr="00BE5061" w:rsidR="005A1A96">
        <w:rPr>
          <w:szCs w:val="22"/>
        </w:rPr>
        <w:t>,</w:t>
      </w:r>
      <w:r w:rsidRPr="00BE5061" w:rsidR="00A1245D">
        <w:rPr>
          <w:szCs w:val="22"/>
        </w:rPr>
        <w:t xml:space="preserve"> filed a </w:t>
      </w:r>
      <w:r w:rsidRPr="00BE5061" w:rsidR="00E82E69">
        <w:rPr>
          <w:szCs w:val="22"/>
        </w:rPr>
        <w:t>Petition for Rulemaking Addendum</w:t>
      </w:r>
      <w:r w:rsidRPr="00BE5061" w:rsidR="005A1A96">
        <w:rPr>
          <w:szCs w:val="22"/>
        </w:rPr>
        <w:t>—</w:t>
      </w:r>
      <w:r w:rsidRPr="00BE5061" w:rsidR="00E82E69">
        <w:rPr>
          <w:szCs w:val="22"/>
        </w:rPr>
        <w:t>Request for Clarification (Petition for Clarification)</w:t>
      </w:r>
      <w:r w:rsidRPr="00BE5061" w:rsidR="00BE5061">
        <w:rPr>
          <w:szCs w:val="22"/>
        </w:rPr>
        <w:t xml:space="preserve"> in MB Docket No. 22-405</w:t>
      </w:r>
      <w:r w:rsidRPr="00BE5061" w:rsidR="00E82E69">
        <w:rPr>
          <w:szCs w:val="22"/>
        </w:rPr>
        <w:t>.</w:t>
      </w:r>
      <w:r>
        <w:rPr>
          <w:rStyle w:val="FootnoteReference"/>
          <w:szCs w:val="22"/>
        </w:rPr>
        <w:footnoteReference w:id="5"/>
      </w:r>
      <w:r w:rsidRPr="00BE5061" w:rsidR="008D428E">
        <w:rPr>
          <w:szCs w:val="22"/>
        </w:rPr>
        <w:t xml:space="preserve">  In the Petition for Clarification, NAB and </w:t>
      </w:r>
      <w:r w:rsidRPr="00BE5061" w:rsidR="005A1A96">
        <w:rPr>
          <w:szCs w:val="22"/>
        </w:rPr>
        <w:t>X</w:t>
      </w:r>
      <w:r w:rsidRPr="00BE5061" w:rsidR="008D428E">
        <w:rPr>
          <w:szCs w:val="22"/>
        </w:rPr>
        <w:t>peri</w:t>
      </w:r>
      <w:r w:rsidRPr="00BE5061" w:rsidR="008D428E">
        <w:rPr>
          <w:szCs w:val="22"/>
        </w:rPr>
        <w:t xml:space="preserve"> state that they have “identified an important ambiguity that requires clarification regarding the maximum allowable operating power of a digital FM signal.”</w:t>
      </w:r>
      <w:r>
        <w:rPr>
          <w:rStyle w:val="FootnoteReference"/>
          <w:szCs w:val="22"/>
        </w:rPr>
        <w:footnoteReference w:id="6"/>
      </w:r>
      <w:r w:rsidRPr="00BE5061" w:rsidR="008D428E">
        <w:rPr>
          <w:szCs w:val="22"/>
        </w:rPr>
        <w:t xml:space="preserve">  </w:t>
      </w:r>
      <w:r w:rsidRPr="00BE5061" w:rsidR="003513ED">
        <w:rPr>
          <w:szCs w:val="22"/>
        </w:rPr>
        <w:t xml:space="preserve">The </w:t>
      </w:r>
      <w:r w:rsidRPr="00BE5061" w:rsidR="003513ED">
        <w:rPr>
          <w:i/>
          <w:iCs/>
          <w:szCs w:val="22"/>
        </w:rPr>
        <w:t>NPRM</w:t>
      </w:r>
      <w:r w:rsidRPr="00BE5061" w:rsidR="003513ED">
        <w:rPr>
          <w:szCs w:val="22"/>
        </w:rPr>
        <w:t xml:space="preserve"> and the Commission’s past discussions of digital power levels have considered only the power level for the</w:t>
      </w:r>
      <w:r w:rsidRPr="00BE5061" w:rsidR="008D428E">
        <w:rPr>
          <w:szCs w:val="22"/>
        </w:rPr>
        <w:t xml:space="preserve"> digital FM carriers </w:t>
      </w:r>
      <w:r w:rsidRPr="00BE5061" w:rsidR="00F40595">
        <w:rPr>
          <w:szCs w:val="22"/>
        </w:rPr>
        <w:t>of</w:t>
      </w:r>
      <w:r w:rsidRPr="00BE5061" w:rsidR="008D428E">
        <w:rPr>
          <w:szCs w:val="22"/>
        </w:rPr>
        <w:t xml:space="preserve"> the primary HD Radio MP1 hybrid service mode of operation.</w:t>
      </w:r>
      <w:r>
        <w:rPr>
          <w:rStyle w:val="FootnoteReference"/>
          <w:szCs w:val="22"/>
        </w:rPr>
        <w:footnoteReference w:id="7"/>
      </w:r>
      <w:r w:rsidRPr="00BE5061" w:rsidR="008D428E">
        <w:rPr>
          <w:szCs w:val="22"/>
        </w:rPr>
        <w:t xml:space="preserve">  </w:t>
      </w:r>
      <w:r w:rsidRPr="00BE5061" w:rsidR="00481CA3">
        <w:rPr>
          <w:szCs w:val="22"/>
        </w:rPr>
        <w:t xml:space="preserve">In particular, the Commission has considered the total integrated power level for all digital carriers used to transmit MP1 standard hybrid service.  </w:t>
      </w:r>
      <w:r w:rsidRPr="00BE5061" w:rsidR="00606005">
        <w:rPr>
          <w:szCs w:val="22"/>
        </w:rPr>
        <w:t xml:space="preserve">NAB and </w:t>
      </w:r>
      <w:r w:rsidRPr="00BE5061" w:rsidR="00606005">
        <w:rPr>
          <w:szCs w:val="22"/>
        </w:rPr>
        <w:t>Xperi</w:t>
      </w:r>
      <w:r w:rsidRPr="00BE5061" w:rsidR="008D428E">
        <w:rPr>
          <w:szCs w:val="22"/>
        </w:rPr>
        <w:t xml:space="preserve"> note, however, that the</w:t>
      </w:r>
      <w:r w:rsidRPr="00BE5061" w:rsidR="00606005">
        <w:rPr>
          <w:szCs w:val="22"/>
        </w:rPr>
        <w:t xml:space="preserve"> HD Radio system is not limited </w:t>
      </w:r>
      <w:r w:rsidRPr="00BE5061" w:rsidR="007967E6">
        <w:rPr>
          <w:szCs w:val="22"/>
        </w:rPr>
        <w:t>to the MP1 mode, and the</w:t>
      </w:r>
      <w:r w:rsidRPr="00BE5061" w:rsidR="008D428E">
        <w:rPr>
          <w:szCs w:val="22"/>
        </w:rPr>
        <w:t xml:space="preserve"> Commission has authorized extended hybrid modes of operation, which increase the number of digital subcarriers</w:t>
      </w:r>
      <w:r w:rsidRPr="00BE5061" w:rsidR="00A8118E">
        <w:rPr>
          <w:szCs w:val="22"/>
        </w:rPr>
        <w:t>.  Petitioners assert that the optimal operation of the extended hybrid modes requires an</w:t>
      </w:r>
      <w:r w:rsidRPr="00BE5061" w:rsidR="008D428E">
        <w:rPr>
          <w:szCs w:val="22"/>
        </w:rPr>
        <w:t xml:space="preserve"> increase</w:t>
      </w:r>
      <w:r w:rsidRPr="00BE5061" w:rsidR="00A8118E">
        <w:rPr>
          <w:szCs w:val="22"/>
        </w:rPr>
        <w:t xml:space="preserve"> in</w:t>
      </w:r>
      <w:r w:rsidRPr="00BE5061" w:rsidR="008D428E">
        <w:rPr>
          <w:szCs w:val="22"/>
        </w:rPr>
        <w:t xml:space="preserve"> the total integrated power above that of </w:t>
      </w:r>
      <w:r w:rsidRPr="00BE5061" w:rsidR="008D428E">
        <w:rPr>
          <w:szCs w:val="22"/>
        </w:rPr>
        <w:t>the MP1 mode</w:t>
      </w:r>
      <w:r w:rsidRPr="00BE5061" w:rsidR="007C7CD1">
        <w:rPr>
          <w:szCs w:val="22"/>
        </w:rPr>
        <w:t xml:space="preserve"> so that all the digital carriers individually operate at the intended power</w:t>
      </w:r>
      <w:r w:rsidRPr="00BE5061" w:rsidR="008D428E">
        <w:rPr>
          <w:szCs w:val="22"/>
        </w:rPr>
        <w:t>.</w:t>
      </w:r>
      <w:r>
        <w:rPr>
          <w:rStyle w:val="FootnoteReference"/>
          <w:szCs w:val="22"/>
        </w:rPr>
        <w:footnoteReference w:id="8"/>
      </w:r>
      <w:r w:rsidRPr="00BE5061" w:rsidR="008D428E">
        <w:rPr>
          <w:szCs w:val="22"/>
        </w:rPr>
        <w:t xml:space="preserve"> </w:t>
      </w:r>
      <w:r w:rsidRPr="00BE5061" w:rsidR="00147628">
        <w:rPr>
          <w:szCs w:val="22"/>
        </w:rPr>
        <w:t xml:space="preserve"> </w:t>
      </w:r>
      <w:r w:rsidRPr="00BE5061" w:rsidR="0048572C">
        <w:rPr>
          <w:szCs w:val="22"/>
        </w:rPr>
        <w:t xml:space="preserve">Otherwise, individual carriers would have to operate </w:t>
      </w:r>
      <w:r w:rsidRPr="00BE5061" w:rsidR="00657E3C">
        <w:rPr>
          <w:szCs w:val="22"/>
        </w:rPr>
        <w:t>with less than</w:t>
      </w:r>
      <w:r w:rsidRPr="00BE5061" w:rsidR="0048572C">
        <w:rPr>
          <w:szCs w:val="22"/>
        </w:rPr>
        <w:t xml:space="preserve"> the intended power level to keep the total integrated power at the intended level.  </w:t>
      </w:r>
      <w:r w:rsidRPr="00BE5061" w:rsidR="008D428E">
        <w:rPr>
          <w:szCs w:val="22"/>
        </w:rPr>
        <w:t xml:space="preserve">Petitioners therefore seek to clarify the maximum digital FM power levels permitted for hybrid and extended hybrid service modes, including adding clarifying text to the NPRM, and textual changes to the proposed new </w:t>
      </w:r>
      <w:r w:rsidRPr="00BE5061" w:rsidR="00EE3B28">
        <w:rPr>
          <w:szCs w:val="22"/>
        </w:rPr>
        <w:t>section 73.404(e) of the rules</w:t>
      </w:r>
      <w:r w:rsidRPr="00BE5061" w:rsidR="008D428E">
        <w:rPr>
          <w:szCs w:val="22"/>
        </w:rPr>
        <w:t>.</w:t>
      </w:r>
      <w:r>
        <w:rPr>
          <w:rStyle w:val="FootnoteReference"/>
          <w:szCs w:val="22"/>
        </w:rPr>
        <w:footnoteReference w:id="9"/>
      </w:r>
    </w:p>
    <w:p w:rsidR="00EE3B28" w:rsidRPr="00BE5061" w14:paraId="624AD77F" w14:textId="77777777">
      <w:pPr>
        <w:rPr>
          <w:szCs w:val="22"/>
        </w:rPr>
      </w:pPr>
    </w:p>
    <w:p w:rsidR="00EE3B28" w:rsidRPr="00BE5061" w14:paraId="09823F49" w14:textId="1593176B">
      <w:pPr>
        <w:rPr>
          <w:szCs w:val="22"/>
        </w:rPr>
      </w:pPr>
      <w:r w:rsidRPr="00BE5061">
        <w:rPr>
          <w:szCs w:val="22"/>
        </w:rPr>
        <w:tab/>
        <w:t>In light of th</w:t>
      </w:r>
      <w:r w:rsidR="00BE5061">
        <w:rPr>
          <w:szCs w:val="22"/>
        </w:rPr>
        <w:t>is</w:t>
      </w:r>
      <w:r w:rsidRPr="00BE5061">
        <w:rPr>
          <w:szCs w:val="22"/>
        </w:rPr>
        <w:t xml:space="preserve"> requested clarification, and to provide a complete record on this issue, the </w:t>
      </w:r>
      <w:r w:rsidR="00A901BA">
        <w:rPr>
          <w:szCs w:val="22"/>
        </w:rPr>
        <w:t xml:space="preserve">Media </w:t>
      </w:r>
      <w:r w:rsidRPr="00BE5061">
        <w:rPr>
          <w:szCs w:val="22"/>
        </w:rPr>
        <w:t xml:space="preserve">Bureau </w:t>
      </w:r>
      <w:r w:rsidR="00A901BA">
        <w:rPr>
          <w:szCs w:val="22"/>
        </w:rPr>
        <w:t xml:space="preserve">(Bureau) </w:t>
      </w:r>
      <w:r w:rsidR="004E699C">
        <w:rPr>
          <w:szCs w:val="22"/>
        </w:rPr>
        <w:t>encourages</w:t>
      </w:r>
      <w:r w:rsidRPr="00BE5061">
        <w:rPr>
          <w:szCs w:val="22"/>
        </w:rPr>
        <w:t xml:space="preserve"> public comment on </w:t>
      </w:r>
      <w:r w:rsidRPr="00BE5061" w:rsidR="006C390B">
        <w:rPr>
          <w:szCs w:val="22"/>
        </w:rPr>
        <w:t xml:space="preserve">NAB and </w:t>
      </w:r>
      <w:r w:rsidRPr="00BE5061" w:rsidR="006C390B">
        <w:rPr>
          <w:szCs w:val="22"/>
        </w:rPr>
        <w:t>Xperi’s</w:t>
      </w:r>
      <w:r w:rsidRPr="00BE5061" w:rsidR="006C390B">
        <w:rPr>
          <w:szCs w:val="22"/>
        </w:rPr>
        <w:t xml:space="preserve"> proposed clarifying language and changes to proposed section 73.404(e) of the rules.  </w:t>
      </w:r>
      <w:r w:rsidR="00BB765B">
        <w:rPr>
          <w:szCs w:val="22"/>
        </w:rPr>
        <w:t xml:space="preserve">In addition, the Bureau </w:t>
      </w:r>
      <w:r w:rsidR="00CD2C4E">
        <w:rPr>
          <w:szCs w:val="22"/>
        </w:rPr>
        <w:t>notes</w:t>
      </w:r>
      <w:r w:rsidR="00B34089">
        <w:rPr>
          <w:szCs w:val="22"/>
        </w:rPr>
        <w:t xml:space="preserve"> th</w:t>
      </w:r>
      <w:r w:rsidR="00461D4A">
        <w:rPr>
          <w:szCs w:val="22"/>
        </w:rPr>
        <w:t>at</w:t>
      </w:r>
      <w:r w:rsidR="00B34089">
        <w:rPr>
          <w:szCs w:val="22"/>
        </w:rPr>
        <w:t xml:space="preserve"> NAB and </w:t>
      </w:r>
      <w:r w:rsidR="00B34089">
        <w:rPr>
          <w:szCs w:val="22"/>
        </w:rPr>
        <w:t>Xperi</w:t>
      </w:r>
      <w:r w:rsidR="00B34089">
        <w:rPr>
          <w:szCs w:val="22"/>
        </w:rPr>
        <w:t xml:space="preserve"> </w:t>
      </w:r>
      <w:r w:rsidR="000B0F03">
        <w:rPr>
          <w:szCs w:val="22"/>
        </w:rPr>
        <w:t xml:space="preserve">ask the Commission to incorporate </w:t>
      </w:r>
      <w:r w:rsidRPr="00BE5061" w:rsidR="00E35F43">
        <w:rPr>
          <w:szCs w:val="22"/>
        </w:rPr>
        <w:t xml:space="preserve">a reference in </w:t>
      </w:r>
      <w:r w:rsidR="000B0F03">
        <w:rPr>
          <w:szCs w:val="22"/>
        </w:rPr>
        <w:t>the</w:t>
      </w:r>
      <w:r w:rsidRPr="00BE5061" w:rsidR="000B0F03">
        <w:rPr>
          <w:szCs w:val="22"/>
        </w:rPr>
        <w:t xml:space="preserve"> </w:t>
      </w:r>
      <w:r w:rsidRPr="00BE5061" w:rsidR="00E35F43">
        <w:rPr>
          <w:szCs w:val="22"/>
        </w:rPr>
        <w:t xml:space="preserve">rules to the NRSC-5 standard, which is subject to modification, </w:t>
      </w:r>
      <w:r w:rsidR="0036123A">
        <w:rPr>
          <w:szCs w:val="22"/>
        </w:rPr>
        <w:t xml:space="preserve">as </w:t>
      </w:r>
      <w:r w:rsidRPr="00BE5061" w:rsidR="00E35F43">
        <w:rPr>
          <w:szCs w:val="22"/>
        </w:rPr>
        <w:t>an appropriate means to implement the proposed change</w:t>
      </w:r>
      <w:r w:rsidR="00DF3BEF">
        <w:rPr>
          <w:szCs w:val="22"/>
        </w:rPr>
        <w:t xml:space="preserve">.  Because it is unusual for the Commission to incorporate outside standards into its rules, </w:t>
      </w:r>
      <w:r w:rsidR="0096113C">
        <w:rPr>
          <w:szCs w:val="22"/>
        </w:rPr>
        <w:t xml:space="preserve">commenters </w:t>
      </w:r>
      <w:r w:rsidR="002A54C2">
        <w:rPr>
          <w:szCs w:val="22"/>
        </w:rPr>
        <w:t xml:space="preserve">should offer </w:t>
      </w:r>
      <w:r w:rsidR="0096113C">
        <w:rPr>
          <w:szCs w:val="22"/>
        </w:rPr>
        <w:t>alternative</w:t>
      </w:r>
      <w:r w:rsidRPr="00BE5061" w:rsidR="00E35F43">
        <w:rPr>
          <w:szCs w:val="22"/>
        </w:rPr>
        <w:t xml:space="preserve"> means to incorporate the proposed clarification directly into the Commission’s rules.  </w:t>
      </w:r>
      <w:r w:rsidR="0036123A">
        <w:rPr>
          <w:szCs w:val="22"/>
        </w:rPr>
        <w:t>Commenters also should consider whether</w:t>
      </w:r>
      <w:r w:rsidRPr="00BE5061" w:rsidR="006C390B">
        <w:rPr>
          <w:szCs w:val="22"/>
        </w:rPr>
        <w:t xml:space="preserve"> the additional digital power necessitated by use of extended digital modes would increase potential interference to first adjacent channel analog FM stations, </w:t>
      </w:r>
      <w:r w:rsidRPr="00BE5061" w:rsidR="009341A3">
        <w:rPr>
          <w:szCs w:val="22"/>
        </w:rPr>
        <w:t xml:space="preserve">to the host analog station, </w:t>
      </w:r>
      <w:r w:rsidRPr="00BE5061" w:rsidR="006C390B">
        <w:rPr>
          <w:szCs w:val="22"/>
        </w:rPr>
        <w:t xml:space="preserve">or to other users of the FM broadcast spectrum or adjacent to that spectrum.  </w:t>
      </w:r>
      <w:r w:rsidRPr="00BE5061" w:rsidR="00CE060C">
        <w:rPr>
          <w:szCs w:val="22"/>
        </w:rPr>
        <w:t>We note</w:t>
      </w:r>
      <w:r w:rsidRPr="00BE5061" w:rsidR="00FC6F10">
        <w:rPr>
          <w:szCs w:val="22"/>
        </w:rPr>
        <w:t xml:space="preserve"> that</w:t>
      </w:r>
      <w:r w:rsidRPr="00BE5061" w:rsidR="00CE060C">
        <w:rPr>
          <w:szCs w:val="22"/>
        </w:rPr>
        <w:t xml:space="preserve"> the Petition for Clarification does not reference any technical studies of the impact of extended hybrid modes with a total integrated digital power level </w:t>
      </w:r>
      <w:r w:rsidRPr="00BE5061" w:rsidR="00F05152">
        <w:rPr>
          <w:szCs w:val="22"/>
        </w:rPr>
        <w:t>more than</w:t>
      </w:r>
      <w:r w:rsidRPr="00BE5061" w:rsidR="00CE060C">
        <w:rPr>
          <w:szCs w:val="22"/>
        </w:rPr>
        <w:t xml:space="preserve"> -10 </w:t>
      </w:r>
      <w:r w:rsidRPr="00BE5061" w:rsidR="00CE060C">
        <w:rPr>
          <w:szCs w:val="22"/>
        </w:rPr>
        <w:t>dBc</w:t>
      </w:r>
      <w:r w:rsidRPr="00BE5061" w:rsidR="00CE060C">
        <w:rPr>
          <w:szCs w:val="22"/>
        </w:rPr>
        <w:t>.  Are</w:t>
      </w:r>
      <w:r w:rsidRPr="00BE5061" w:rsidR="0012320D">
        <w:rPr>
          <w:szCs w:val="22"/>
        </w:rPr>
        <w:t xml:space="preserve"> such</w:t>
      </w:r>
      <w:r w:rsidRPr="00BE5061" w:rsidR="00CE060C">
        <w:rPr>
          <w:szCs w:val="22"/>
        </w:rPr>
        <w:t xml:space="preserve"> studies needed to determine whether or not to adopt this proposal?  </w:t>
      </w:r>
      <w:r w:rsidR="00AE1F44">
        <w:rPr>
          <w:szCs w:val="22"/>
        </w:rPr>
        <w:t>Commenters should also consider if the Commission</w:t>
      </w:r>
      <w:r w:rsidRPr="00BE5061" w:rsidR="00673E39">
        <w:rPr>
          <w:szCs w:val="22"/>
        </w:rPr>
        <w:t xml:space="preserve"> adopt</w:t>
      </w:r>
      <w:r w:rsidR="00AE1F44">
        <w:rPr>
          <w:szCs w:val="22"/>
        </w:rPr>
        <w:t>s</w:t>
      </w:r>
      <w:r w:rsidRPr="00BE5061" w:rsidR="00673E39">
        <w:rPr>
          <w:szCs w:val="22"/>
        </w:rPr>
        <w:t xml:space="preserve"> this proposed change for stations operating </w:t>
      </w:r>
      <w:r w:rsidRPr="00BE5061" w:rsidR="007304A7">
        <w:rPr>
          <w:szCs w:val="22"/>
        </w:rPr>
        <w:t>with less than</w:t>
      </w:r>
      <w:r w:rsidRPr="00BE5061" w:rsidR="00673E39">
        <w:rPr>
          <w:szCs w:val="22"/>
        </w:rPr>
        <w:t xml:space="preserve"> -10 </w:t>
      </w:r>
      <w:r w:rsidRPr="00BE5061" w:rsidR="00673E39">
        <w:rPr>
          <w:szCs w:val="22"/>
        </w:rPr>
        <w:t>dBc</w:t>
      </w:r>
      <w:r w:rsidRPr="00BE5061" w:rsidR="002F61FC">
        <w:rPr>
          <w:szCs w:val="22"/>
        </w:rPr>
        <w:t xml:space="preserve">, should </w:t>
      </w:r>
      <w:r w:rsidR="00AE1F44">
        <w:rPr>
          <w:szCs w:val="22"/>
        </w:rPr>
        <w:t>the Commission</w:t>
      </w:r>
      <w:r w:rsidRPr="00BE5061" w:rsidR="002F61FC">
        <w:rPr>
          <w:szCs w:val="22"/>
        </w:rPr>
        <w:t xml:space="preserve"> limit the total overall digital power for any station operating in extended hybrid mode to a maximum of -10 </w:t>
      </w:r>
      <w:r w:rsidRPr="00BE5061" w:rsidR="002F61FC">
        <w:rPr>
          <w:szCs w:val="22"/>
        </w:rPr>
        <w:t>dBc</w:t>
      </w:r>
      <w:r w:rsidRPr="00BE5061" w:rsidR="002F61FC">
        <w:rPr>
          <w:szCs w:val="22"/>
        </w:rPr>
        <w:t>?  We note that doing so would require stations that convert from MP1 to an extended hybrid mode to reduce the power of the individual subcarriers in the primary digital sidebands</w:t>
      </w:r>
      <w:r w:rsidRPr="00BE5061" w:rsidR="009E44CF">
        <w:rPr>
          <w:szCs w:val="22"/>
        </w:rPr>
        <w:t>,</w:t>
      </w:r>
      <w:r w:rsidRPr="00BE5061" w:rsidR="002F61FC">
        <w:rPr>
          <w:szCs w:val="22"/>
        </w:rPr>
        <w:t xml:space="preserve"> in order to accommodate the power added by the extended digital sideband partitions.  </w:t>
      </w:r>
      <w:r w:rsidR="00B34D03">
        <w:rPr>
          <w:szCs w:val="22"/>
        </w:rPr>
        <w:t xml:space="preserve">Commenters have an opportunity </w:t>
      </w:r>
      <w:r w:rsidRPr="00BE5061" w:rsidR="006C390B">
        <w:rPr>
          <w:szCs w:val="22"/>
        </w:rPr>
        <w:t>to suggest modifications to petitioners’ clarifying suggestions, as appropriate</w:t>
      </w:r>
      <w:r w:rsidR="002A54C2">
        <w:rPr>
          <w:szCs w:val="22"/>
        </w:rPr>
        <w:t xml:space="preserve">.  </w:t>
      </w:r>
      <w:r w:rsidR="009E027C">
        <w:rPr>
          <w:szCs w:val="22"/>
        </w:rPr>
        <w:t>Commenters are encouraged</w:t>
      </w:r>
      <w:r w:rsidR="00B34D03">
        <w:rPr>
          <w:szCs w:val="22"/>
        </w:rPr>
        <w:t xml:space="preserve"> to provide input </w:t>
      </w:r>
      <w:r w:rsidRPr="00BE5061" w:rsidR="00446790">
        <w:rPr>
          <w:szCs w:val="22"/>
        </w:rPr>
        <w:t>regarding</w:t>
      </w:r>
      <w:r w:rsidRPr="00BE5061" w:rsidR="001A27AA">
        <w:rPr>
          <w:szCs w:val="22"/>
        </w:rPr>
        <w:t xml:space="preserve"> the number of stations operating in the various extended hybrid modes, including whether those stations operate at a power level </w:t>
      </w:r>
      <w:r w:rsidRPr="00BE5061" w:rsidR="00534925">
        <w:rPr>
          <w:szCs w:val="22"/>
        </w:rPr>
        <w:t>with more than</w:t>
      </w:r>
      <w:r w:rsidRPr="00BE5061" w:rsidR="001A27AA">
        <w:rPr>
          <w:szCs w:val="22"/>
        </w:rPr>
        <w:t xml:space="preserve"> -14 </w:t>
      </w:r>
      <w:r w:rsidRPr="00BE5061" w:rsidR="001A27AA">
        <w:rPr>
          <w:szCs w:val="22"/>
        </w:rPr>
        <w:t>dBc</w:t>
      </w:r>
      <w:r w:rsidRPr="00BE5061" w:rsidR="001A27AA">
        <w:rPr>
          <w:szCs w:val="22"/>
        </w:rPr>
        <w:t>, in order to determine the scope of this issue</w:t>
      </w:r>
      <w:r w:rsidR="002B15E3">
        <w:rPr>
          <w:szCs w:val="22"/>
        </w:rPr>
        <w:t>,</w:t>
      </w:r>
      <w:r w:rsidR="00B34D03">
        <w:rPr>
          <w:szCs w:val="22"/>
        </w:rPr>
        <w:t xml:space="preserve"> and </w:t>
      </w:r>
      <w:r w:rsidRPr="00BE5061">
        <w:rPr>
          <w:szCs w:val="22"/>
        </w:rPr>
        <w:t>to supplement or amend their previous comments in light of more recent additions to the record.</w:t>
      </w:r>
    </w:p>
    <w:p w:rsidR="001E67B6" w:rsidRPr="00BE5061" w:rsidP="001E67B6" w14:paraId="626D9A11" w14:textId="529462F9">
      <w:pPr>
        <w:rPr>
          <w:bCs/>
          <w:i/>
          <w:iCs/>
          <w:szCs w:val="22"/>
        </w:rPr>
      </w:pPr>
    </w:p>
    <w:p w:rsidR="001E67B6" w:rsidP="001E67B6" w14:paraId="21BC57B8" w14:textId="0D5CF451">
      <w:pPr>
        <w:rPr>
          <w:szCs w:val="22"/>
        </w:rPr>
      </w:pPr>
      <w:r w:rsidRPr="00BE5061">
        <w:rPr>
          <w:bCs/>
          <w:i/>
          <w:iCs/>
          <w:szCs w:val="22"/>
        </w:rPr>
        <w:tab/>
        <w:t xml:space="preserve">Filing Comments and Replies.  </w:t>
      </w:r>
      <w:r w:rsidRPr="00BE5061">
        <w:rPr>
          <w:b/>
          <w:szCs w:val="22"/>
        </w:rPr>
        <w:t xml:space="preserve">All filings must be submitted in MB Docket No. </w:t>
      </w:r>
      <w:r w:rsidRPr="00BE5061" w:rsidR="006C390B">
        <w:rPr>
          <w:b/>
          <w:szCs w:val="22"/>
        </w:rPr>
        <w:t>22-405</w:t>
      </w:r>
      <w:r w:rsidRPr="00BE5061">
        <w:rPr>
          <w:szCs w:val="22"/>
        </w:rPr>
        <w:t>.  Pursuant to sections 1.415 and 1.419 of the Commission’s rules, 47 CFR §§ 1.415, 1.419, interested parties may file comments and reply comments on or before the dates indicated on the first page of this docu</w:t>
      </w:r>
      <w:r>
        <w:rPr>
          <w:szCs w:val="22"/>
        </w:rPr>
        <w:t>ment.  Comments may be filed using the Commission’s Electronic Comment Filing System (ECFS).</w:t>
      </w:r>
      <w:r>
        <w:rPr>
          <w:rStyle w:val="FootnoteReference"/>
          <w:szCs w:val="22"/>
        </w:rPr>
        <w:footnoteReference w:id="10"/>
      </w:r>
      <w:r>
        <w:rPr>
          <w:szCs w:val="22"/>
        </w:rPr>
        <w:t xml:space="preserve">  </w:t>
      </w:r>
    </w:p>
    <w:p w:rsidR="001E67B6" w:rsidP="001E67B6" w14:paraId="517DFAA5" w14:textId="77777777">
      <w:pPr>
        <w:rPr>
          <w:szCs w:val="22"/>
        </w:rPr>
      </w:pPr>
    </w:p>
    <w:p w:rsidR="001E67B6" w:rsidP="001E67B6" w14:paraId="69056CBF" w14:textId="38592D29">
      <w:pPr>
        <w:numPr>
          <w:ilvl w:val="0"/>
          <w:numId w:val="7"/>
        </w:numPr>
        <w:snapToGrid w:val="0"/>
        <w:rPr>
          <w:szCs w:val="22"/>
        </w:rPr>
      </w:pPr>
      <w:r>
        <w:rPr>
          <w:szCs w:val="22"/>
        </w:rPr>
        <w:t xml:space="preserve">Electronic Filers:  Comments may be filed electronically using the Internet by accessing the ECFS:  </w:t>
      </w:r>
      <w:hyperlink r:id="rId5" w:history="1">
        <w:r w:rsidRPr="00695A64" w:rsidR="00C165B7">
          <w:rPr>
            <w:rStyle w:val="Hyperlink"/>
            <w:szCs w:val="22"/>
          </w:rPr>
          <w:t>http://apps.fcc.gov/ecfs/</w:t>
        </w:r>
      </w:hyperlink>
      <w:r>
        <w:rPr>
          <w:szCs w:val="22"/>
        </w:rPr>
        <w:t xml:space="preserve">.  </w:t>
      </w:r>
    </w:p>
    <w:p w:rsidR="001E67B6" w:rsidP="001E67B6" w14:paraId="1029CF4E" w14:textId="77777777">
      <w:pPr>
        <w:numPr>
          <w:ilvl w:val="0"/>
          <w:numId w:val="7"/>
        </w:numPr>
        <w:snapToGrid w:val="0"/>
        <w:rPr>
          <w:szCs w:val="22"/>
        </w:rPr>
      </w:pPr>
      <w:r>
        <w:rPr>
          <w:szCs w:val="22"/>
        </w:rPr>
        <w:t>Paper Filers:  Parties who choose to file by paper must file an original and one copy of each filing.</w:t>
      </w:r>
    </w:p>
    <w:p w:rsidR="001E67B6" w:rsidP="001E67B6" w14:paraId="2F0296BD" w14:textId="77777777">
      <w:pPr>
        <w:numPr>
          <w:ilvl w:val="0"/>
          <w:numId w:val="7"/>
        </w:numPr>
        <w:snapToGrid w:val="0"/>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1E67B6" w:rsidP="001E67B6" w14:paraId="115D9B5E" w14:textId="14D9BB1A">
      <w:pPr>
        <w:numPr>
          <w:ilvl w:val="0"/>
          <w:numId w:val="7"/>
        </w:numPr>
        <w:snapToGrid w:val="0"/>
        <w:rPr>
          <w:szCs w:val="22"/>
        </w:rPr>
      </w:pPr>
      <w:r>
        <w:rPr>
          <w:szCs w:val="22"/>
        </w:rPr>
        <w:t xml:space="preserve">Commercial overnight mail (other than U.S. Postal Service Express Mail and Priority Mail) must be sent to 9050 Junction Drive, Annapolis Junction, MD 20701.  U.S. Postal Service first-class, </w:t>
      </w:r>
      <w:r>
        <w:rPr>
          <w:szCs w:val="22"/>
        </w:rPr>
        <w:t>Express, and Priority mail must be addressed to 45 L Street NE</w:t>
      </w:r>
      <w:r w:rsidR="009E0E02">
        <w:rPr>
          <w:szCs w:val="22"/>
        </w:rPr>
        <w:t>,</w:t>
      </w:r>
      <w:r>
        <w:rPr>
          <w:szCs w:val="22"/>
        </w:rPr>
        <w:t xml:space="preserve"> Washington, DC 20554.</w:t>
      </w:r>
    </w:p>
    <w:p w:rsidR="001E67B6" w:rsidRPr="00A87806" w:rsidP="001E67B6" w14:paraId="51305D76" w14:textId="1411C512">
      <w:pPr>
        <w:numPr>
          <w:ilvl w:val="0"/>
          <w:numId w:val="7"/>
        </w:numPr>
        <w:snapToGrid w:val="0"/>
        <w:rPr>
          <w:szCs w:val="22"/>
        </w:rPr>
      </w:pPr>
      <w:r w:rsidRPr="00A87806">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1"/>
      </w:r>
      <w:r w:rsidRPr="00A87806">
        <w:rPr>
          <w:szCs w:val="22"/>
        </w:rPr>
        <w:t xml:space="preserve">  </w:t>
      </w:r>
    </w:p>
    <w:p w:rsidR="00A87806" w:rsidP="00A87806" w14:paraId="0B524025" w14:textId="6D737AA5">
      <w:pPr>
        <w:ind w:left="720"/>
        <w:rPr>
          <w:bCs/>
          <w:i/>
          <w:iCs/>
          <w:szCs w:val="22"/>
        </w:rPr>
      </w:pPr>
    </w:p>
    <w:p w:rsidR="00685D0B" w:rsidRPr="00134440" w:rsidP="00134440" w14:paraId="7C940E7E" w14:textId="07A4527A">
      <w:pPr>
        <w:ind w:firstLine="720"/>
        <w:rPr>
          <w:bCs/>
          <w:i/>
          <w:iCs/>
          <w:szCs w:val="22"/>
        </w:rPr>
      </w:pPr>
      <w:r>
        <w:rPr>
          <w:bCs/>
          <w:i/>
          <w:iCs/>
          <w:szCs w:val="22"/>
        </w:rPr>
        <w:t xml:space="preserve">People with Disabilities.  </w:t>
      </w:r>
      <w:r>
        <w:rPr>
          <w:szCs w:val="22"/>
        </w:rPr>
        <w:t xml:space="preserve">To request materials in accessible formats for people with disabilities (braille, large print, electronic files, audio format), send an e-mail to </w:t>
      </w:r>
      <w:hyperlink r:id="rId6" w:history="1">
        <w:r>
          <w:rPr>
            <w:rStyle w:val="Hyperlink"/>
            <w:szCs w:val="22"/>
          </w:rPr>
          <w:t>fcc504@fcc.gov</w:t>
        </w:r>
      </w:hyperlink>
      <w:r>
        <w:rPr>
          <w:szCs w:val="22"/>
        </w:rPr>
        <w:t xml:space="preserve"> or call the Consumer &amp; Governmental Affairs Bureau at 202-418-0530 (voice), 202-418-0432 (TTY).</w:t>
      </w:r>
    </w:p>
    <w:p w:rsidR="00746821" w14:paraId="324A4566" w14:textId="77777777"/>
    <w:p w:rsidR="00685D0B" w14:paraId="4157A86D" w14:textId="49CC1E4E">
      <w:r>
        <w:tab/>
        <w:t xml:space="preserve">For additional information, contact </w:t>
      </w:r>
      <w:r w:rsidR="006C390B">
        <w:t>Thomas.Nessinger@fcc.gov</w:t>
      </w:r>
      <w:r w:rsidR="00D417C2">
        <w:t xml:space="preserve"> or James.Bradshaw@fcc.gov</w:t>
      </w:r>
      <w:r w:rsidR="00F22BCF">
        <w:t xml:space="preserve"> of the Media Bureau, Audio Division, (202) 418-2700.  </w:t>
      </w:r>
      <w:r w:rsidR="00F7355F">
        <w:t xml:space="preserve">Press inquiries should be directed to </w:t>
      </w:r>
      <w:r w:rsidR="005A1A96">
        <w:t>Nancy Murphy</w:t>
      </w:r>
      <w:r w:rsidR="00F7355F">
        <w:t xml:space="preserve">, (202) </w:t>
      </w:r>
      <w:r w:rsidR="0041551E">
        <w:t>418-</w:t>
      </w:r>
      <w:r w:rsidR="005A1A96">
        <w:t>1043</w:t>
      </w:r>
      <w:r w:rsidR="0041551E">
        <w:t>.</w:t>
      </w:r>
    </w:p>
    <w:p w:rsidR="0041551E" w14:paraId="5BA4F6E3" w14:textId="62A057F3"/>
    <w:p w:rsidR="0041551E" w14:paraId="3C5AFE49" w14:textId="59608C2B"/>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908" w14:paraId="7A750C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7908" w14:paraId="7765A9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908" w14:paraId="6BE9D8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908" w14:paraId="6A9B82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A28" w14:paraId="27C79584" w14:textId="77777777">
      <w:r>
        <w:separator/>
      </w:r>
    </w:p>
  </w:footnote>
  <w:footnote w:type="continuationSeparator" w:id="1">
    <w:p w:rsidR="007E1A28" w14:paraId="083FD55E" w14:textId="77777777">
      <w:pPr>
        <w:rPr>
          <w:sz w:val="20"/>
        </w:rPr>
      </w:pPr>
      <w:r>
        <w:rPr>
          <w:sz w:val="20"/>
        </w:rPr>
        <w:t xml:space="preserve">(Continued from previous page)  </w:t>
      </w:r>
      <w:r>
        <w:rPr>
          <w:sz w:val="20"/>
        </w:rPr>
        <w:separator/>
      </w:r>
    </w:p>
  </w:footnote>
  <w:footnote w:type="continuationNotice" w:id="2">
    <w:p w:rsidR="007E1A28" w14:paraId="75A19070" w14:textId="77777777">
      <w:pPr>
        <w:jc w:val="right"/>
        <w:rPr>
          <w:sz w:val="20"/>
        </w:rPr>
      </w:pPr>
      <w:r>
        <w:rPr>
          <w:sz w:val="20"/>
        </w:rPr>
        <w:t>(continued….)</w:t>
      </w:r>
    </w:p>
  </w:footnote>
  <w:footnote w:id="3">
    <w:p w:rsidR="00747A52" w:rsidRPr="000C3785" w14:paraId="460E685D" w14:textId="0C3B78FD">
      <w:pPr>
        <w:pStyle w:val="FootnoteText"/>
      </w:pPr>
      <w:r>
        <w:rPr>
          <w:rStyle w:val="FootnoteReference"/>
        </w:rPr>
        <w:footnoteRef/>
      </w:r>
      <w:r>
        <w:t xml:space="preserve"> </w:t>
      </w:r>
      <w:r w:rsidR="00A1245D">
        <w:rPr>
          <w:i/>
          <w:iCs/>
          <w:spacing w:val="-2"/>
        </w:rPr>
        <w:t>Modifying Rules for FM Terrestrial Digital Audio Broadcasting Systems</w:t>
      </w:r>
      <w:r w:rsidR="00A1245D">
        <w:rPr>
          <w:spacing w:val="-2"/>
        </w:rPr>
        <w:t xml:space="preserve">, </w:t>
      </w:r>
      <w:r w:rsidRPr="00160F06" w:rsidR="00A1245D">
        <w:t xml:space="preserve">MB Docket No. </w:t>
      </w:r>
      <w:r w:rsidR="00A1245D">
        <w:t>22-405</w:t>
      </w:r>
      <w:r w:rsidRPr="00160F06" w:rsidR="00A1245D">
        <w:t xml:space="preserve">, </w:t>
      </w:r>
      <w:r w:rsidR="00A1245D">
        <w:t>Order and Notice of Proposed Rulem</w:t>
      </w:r>
      <w:r w:rsidRPr="00160F06" w:rsidR="00A1245D">
        <w:t xml:space="preserve">aking, FCC </w:t>
      </w:r>
      <w:r w:rsidR="00A1245D">
        <w:t>23-61</w:t>
      </w:r>
      <w:r w:rsidRPr="00160F06" w:rsidR="00A1245D">
        <w:t xml:space="preserve"> (</w:t>
      </w:r>
      <w:r w:rsidR="00A1245D">
        <w:t>rel. Aug. 1, 2023</w:t>
      </w:r>
      <w:r w:rsidRPr="00160F06" w:rsidR="00A1245D">
        <w:t>) (</w:t>
      </w:r>
      <w:r w:rsidR="00A1245D">
        <w:rPr>
          <w:i/>
        </w:rPr>
        <w:t>NPRM</w:t>
      </w:r>
      <w:r w:rsidRPr="00160F06" w:rsidR="00A1245D">
        <w:t>).</w:t>
      </w:r>
      <w:r w:rsidR="00313CEE">
        <w:t xml:space="preserve">  </w:t>
      </w:r>
    </w:p>
  </w:footnote>
  <w:footnote w:id="4">
    <w:p w:rsidR="00400C70" w:rsidRPr="00BC6472" w14:paraId="18925C0D" w14:textId="7F60B514">
      <w:pPr>
        <w:pStyle w:val="FootnoteText"/>
      </w:pPr>
      <w:r>
        <w:rPr>
          <w:rStyle w:val="FootnoteReference"/>
        </w:rPr>
        <w:footnoteRef/>
      </w:r>
      <w:r>
        <w:t xml:space="preserve"> </w:t>
      </w:r>
      <w:r>
        <w:rPr>
          <w:i/>
          <w:iCs/>
        </w:rPr>
        <w:t xml:space="preserve">Comment and Reply </w:t>
      </w:r>
      <w:r w:rsidR="00BC6472">
        <w:rPr>
          <w:i/>
          <w:iCs/>
        </w:rPr>
        <w:t xml:space="preserve">Comment Dates Set For FM </w:t>
      </w:r>
      <w:r w:rsidR="00A1245D">
        <w:rPr>
          <w:i/>
          <w:iCs/>
        </w:rPr>
        <w:t>Digital Power</w:t>
      </w:r>
      <w:r w:rsidR="00BC6472">
        <w:rPr>
          <w:i/>
          <w:iCs/>
        </w:rPr>
        <w:t xml:space="preserve"> NPRM</w:t>
      </w:r>
      <w:r w:rsidR="00BC6472">
        <w:t xml:space="preserve">, </w:t>
      </w:r>
      <w:r w:rsidR="00B30F2A">
        <w:t xml:space="preserve">Public Notice, </w:t>
      </w:r>
      <w:r w:rsidR="00A1245D">
        <w:t>DA 23-741 (MB rel. Aug. 22, 2023)</w:t>
      </w:r>
      <w:r w:rsidR="00697B55">
        <w:t>.</w:t>
      </w:r>
      <w:r w:rsidR="00313CEE">
        <w:t xml:space="preserve">  Comments and reply comments were filed in the Commission’s Electronic Comment Filing System (ECFS) under Media Bureau Docket No. </w:t>
      </w:r>
      <w:r w:rsidR="00A1245D">
        <w:t>22-405</w:t>
      </w:r>
      <w:r w:rsidR="00313CEE">
        <w:t>.</w:t>
      </w:r>
    </w:p>
  </w:footnote>
  <w:footnote w:id="5">
    <w:p w:rsidR="00E82E69" w14:paraId="56C87533" w14:textId="6F7B0F51">
      <w:pPr>
        <w:pStyle w:val="FootnoteText"/>
      </w:pPr>
      <w:r>
        <w:rPr>
          <w:rStyle w:val="FootnoteReference"/>
        </w:rPr>
        <w:footnoteRef/>
      </w:r>
      <w:r>
        <w:t xml:space="preserve"> </w:t>
      </w:r>
      <w:r w:rsidR="00D279FF">
        <w:t xml:space="preserve">NAB and </w:t>
      </w:r>
      <w:r w:rsidR="00D279FF">
        <w:t>Xperi</w:t>
      </w:r>
      <w:r w:rsidR="00D279FF">
        <w:t xml:space="preserve"> are two of the parties that filed Petitions for Rulemaking that led to the release of the </w:t>
      </w:r>
      <w:r w:rsidR="00D279FF">
        <w:rPr>
          <w:i/>
          <w:iCs/>
        </w:rPr>
        <w:t>NPRM</w:t>
      </w:r>
      <w:r w:rsidR="00D279FF">
        <w:t xml:space="preserve">.  </w:t>
      </w:r>
      <w:r>
        <w:t xml:space="preserve">The Petition for Clarification </w:t>
      </w:r>
      <w:r w:rsidR="00D279FF">
        <w:t>is available in ECFS</w:t>
      </w:r>
      <w:r>
        <w:t xml:space="preserve"> at </w:t>
      </w:r>
      <w:hyperlink r:id="rId1" w:history="1">
        <w:r w:rsidRPr="00695A64">
          <w:rPr>
            <w:rStyle w:val="Hyperlink"/>
          </w:rPr>
          <w:t>https://www.fcc.gov/ecfs/document/10202290960928/1</w:t>
        </w:r>
      </w:hyperlink>
      <w:r>
        <w:t xml:space="preserve">. </w:t>
      </w:r>
    </w:p>
  </w:footnote>
  <w:footnote w:id="6">
    <w:p w:rsidR="005A1A96" w14:paraId="224E5371" w14:textId="7F415455">
      <w:pPr>
        <w:pStyle w:val="FootnoteText"/>
      </w:pPr>
      <w:r>
        <w:rPr>
          <w:rStyle w:val="FootnoteReference"/>
        </w:rPr>
        <w:footnoteRef/>
      </w:r>
      <w:r>
        <w:t xml:space="preserve"> Petition for Clarification at 2.</w:t>
      </w:r>
    </w:p>
  </w:footnote>
  <w:footnote w:id="7">
    <w:p w:rsidR="005A1A96" w14:paraId="6E384B8F" w14:textId="5B9E17C0">
      <w:pPr>
        <w:pStyle w:val="FootnoteText"/>
      </w:pPr>
      <w:r>
        <w:rPr>
          <w:rStyle w:val="FootnoteReference"/>
        </w:rPr>
        <w:footnoteRef/>
      </w:r>
      <w:r>
        <w:t xml:space="preserve"> </w:t>
      </w:r>
      <w:r w:rsidRPr="005A1A96">
        <w:rPr>
          <w:i/>
          <w:iCs/>
        </w:rPr>
        <w:t>Id</w:t>
      </w:r>
      <w:r>
        <w:t xml:space="preserve">. </w:t>
      </w:r>
    </w:p>
  </w:footnote>
  <w:footnote w:id="8">
    <w:p w:rsidR="005A1A96" w14:paraId="77AF10BD" w14:textId="11C340FB">
      <w:pPr>
        <w:pStyle w:val="FootnoteText"/>
      </w:pPr>
      <w:r>
        <w:rPr>
          <w:rStyle w:val="FootnoteReference"/>
        </w:rPr>
        <w:footnoteRef/>
      </w:r>
      <w:r>
        <w:t xml:space="preserve"> </w:t>
      </w:r>
      <w:r w:rsidRPr="005A1A96">
        <w:rPr>
          <w:i/>
          <w:iCs/>
        </w:rPr>
        <w:t>Id</w:t>
      </w:r>
      <w:r>
        <w:t xml:space="preserve">. at 2-5.  The MP1 mode consists of 10 digital partitions, each </w:t>
      </w:r>
      <w:r w:rsidR="00147628">
        <w:t>with</w:t>
      </w:r>
      <w:r>
        <w:t xml:space="preserve"> 19 subcarriers.  Extended </w:t>
      </w:r>
      <w:r w:rsidR="003F15A3">
        <w:t xml:space="preserve">hybrid </w:t>
      </w:r>
      <w:r>
        <w:t xml:space="preserve">modes add partitions between the MP1 </w:t>
      </w:r>
      <w:r w:rsidR="00147628">
        <w:t>partitions</w:t>
      </w:r>
      <w:r>
        <w:t xml:space="preserve"> and the analog signal:  for example, the MP2 mode adds one partition to the MP1 partitions; the MP3 mode adds two partitions; and various other modes, such as MP11, MP5, MP6, MP1X, DSB1, MP1XOV, MP6OV, and DSB1OV, add four partitions.</w:t>
      </w:r>
      <w:r w:rsidR="00E70269">
        <w:t xml:space="preserve">  These additional partitions increase the total digital power by 10, 20 and 40</w:t>
      </w:r>
      <w:r w:rsidR="00746821">
        <w:t>%</w:t>
      </w:r>
      <w:r w:rsidR="00E70269">
        <w:t>, respectively.</w:t>
      </w:r>
      <w:r>
        <w:t xml:space="preserve">  </w:t>
      </w:r>
      <w:r w:rsidRPr="005A1A96">
        <w:rPr>
          <w:i/>
          <w:iCs/>
        </w:rPr>
        <w:t>Id</w:t>
      </w:r>
      <w:r>
        <w:t>. at 4</w:t>
      </w:r>
      <w:r w:rsidR="00E70269">
        <w:t>-5</w:t>
      </w:r>
      <w:r>
        <w:t>.</w:t>
      </w:r>
    </w:p>
  </w:footnote>
  <w:footnote w:id="9">
    <w:p w:rsidR="00147628" w14:paraId="6BB23BD4" w14:textId="77956428">
      <w:pPr>
        <w:pStyle w:val="FootnoteText"/>
      </w:pPr>
      <w:r>
        <w:rPr>
          <w:rStyle w:val="FootnoteReference"/>
        </w:rPr>
        <w:footnoteRef/>
      </w:r>
      <w:r>
        <w:t xml:space="preserve"> </w:t>
      </w:r>
      <w:r w:rsidRPr="00147628">
        <w:rPr>
          <w:i/>
          <w:iCs/>
        </w:rPr>
        <w:t>Id</w:t>
      </w:r>
      <w:r>
        <w:t>. at 6-7.</w:t>
      </w:r>
    </w:p>
  </w:footnote>
  <w:footnote w:id="10">
    <w:p w:rsidR="00A87806" w:rsidP="00B80E65" w14:paraId="10B09268" w14:textId="77AC4CC8">
      <w:pPr>
        <w:pStyle w:val="FootnoteText"/>
      </w:pPr>
      <w:r w:rsidRPr="004F552C">
        <w:rPr>
          <w:rStyle w:val="FootnoteReference"/>
          <w:sz w:val="20"/>
        </w:rPr>
        <w:footnoteRef/>
      </w:r>
      <w:r w:rsidRPr="004F552C">
        <w:t xml:space="preserve"> </w:t>
      </w:r>
      <w:r w:rsidRPr="004F552C">
        <w:rPr>
          <w:i/>
        </w:rPr>
        <w:t>See Electronic Filing of Documents in Rulemaking Proceedings</w:t>
      </w:r>
      <w:r w:rsidRPr="004F552C">
        <w:t>, 63 FR 24121 (1998).</w:t>
      </w:r>
    </w:p>
  </w:footnote>
  <w:footnote w:id="11">
    <w:p w:rsidR="00A87806" w:rsidRPr="00A87806" w:rsidP="00A87806" w14:paraId="63624A6A" w14:textId="77777777">
      <w:pPr>
        <w:snapToGrid w:val="0"/>
        <w:rPr>
          <w:sz w:val="20"/>
        </w:rPr>
      </w:pPr>
      <w:r w:rsidRPr="00A87806">
        <w:rPr>
          <w:rStyle w:val="FootnoteReference"/>
          <w:sz w:val="20"/>
        </w:rPr>
        <w:footnoteRef/>
      </w:r>
      <w:r w:rsidRPr="00A87806">
        <w:rPr>
          <w:sz w:val="20"/>
        </w:rPr>
        <w:t xml:space="preserve"> </w:t>
      </w:r>
      <w:r w:rsidRPr="00A87806">
        <w:rPr>
          <w:i/>
          <w:iCs/>
          <w:sz w:val="20"/>
        </w:rPr>
        <w:t>See FCC Announces Closure of FCC Headquarters Open Window and Change in Hand-Delivery Policy</w:t>
      </w:r>
      <w:r w:rsidRPr="00A87806">
        <w:rPr>
          <w:sz w:val="20"/>
        </w:rPr>
        <w:t xml:space="preserve">, Public Notice, DA 20-304 (March 19, 2020).  </w:t>
      </w:r>
      <w:hyperlink r:id="rId2" w:history="1">
        <w:r w:rsidRPr="00A87806">
          <w:rPr>
            <w:rStyle w:val="Hyperlink"/>
            <w:sz w:val="20"/>
          </w:rPr>
          <w:t>https://www.fcc.gov/document/fcc-closes-headquarters-open-window-and-changes-hand-delivery-policy</w:t>
        </w:r>
      </w:hyperlink>
    </w:p>
    <w:p w:rsidR="00A87806" w:rsidRPr="00A87806" w14:paraId="57CA5D09" w14:textId="4CCDB4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908" w14:paraId="0CBB154F" w14:textId="2897CA28">
    <w:pPr>
      <w:tabs>
        <w:tab w:val="center" w:pos="4680"/>
        <w:tab w:val="right" w:pos="9360"/>
      </w:tabs>
    </w:pPr>
    <w:r>
      <w:rPr>
        <w:b/>
      </w:rPr>
      <w:tab/>
      <w:t>Federal Communications Commission</w:t>
    </w:r>
    <w:r>
      <w:rPr>
        <w:b/>
      </w:rPr>
      <w:tab/>
    </w:r>
    <w:r w:rsidR="006F3B44">
      <w:rPr>
        <w:b/>
      </w:rPr>
      <w:t>DA 24-154</w:t>
    </w:r>
  </w:p>
  <w:p w:rsidR="003D7908" w14:paraId="002D2C14" w14:textId="4BBFDAB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D7908" w14:paraId="6000AD7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908" w14:paraId="7F259193" w14:textId="368F5944">
    <w:pPr>
      <w:pStyle w:val="Header"/>
    </w:pPr>
    <w:r>
      <w:rPr>
        <w:noProof/>
        <w:snapToGrid/>
      </w:rPr>
      <w:drawing>
        <wp:inline distT="0" distB="0" distL="0" distR="0">
          <wp:extent cx="5949950" cy="1428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1C6885"/>
    <w:multiLevelType w:val="hybridMultilevel"/>
    <w:tmpl w:val="1ED8C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D7"/>
    <w:rsid w:val="0002405D"/>
    <w:rsid w:val="00043604"/>
    <w:rsid w:val="00051F79"/>
    <w:rsid w:val="0005485B"/>
    <w:rsid w:val="00067A27"/>
    <w:rsid w:val="000710D7"/>
    <w:rsid w:val="00081D6E"/>
    <w:rsid w:val="000915E1"/>
    <w:rsid w:val="000B0F03"/>
    <w:rsid w:val="000C3785"/>
    <w:rsid w:val="000D3625"/>
    <w:rsid w:val="000D52B5"/>
    <w:rsid w:val="001112CF"/>
    <w:rsid w:val="001162D6"/>
    <w:rsid w:val="00117E31"/>
    <w:rsid w:val="00122740"/>
    <w:rsid w:val="0012320D"/>
    <w:rsid w:val="00134440"/>
    <w:rsid w:val="00147628"/>
    <w:rsid w:val="001577F7"/>
    <w:rsid w:val="00160F06"/>
    <w:rsid w:val="00171272"/>
    <w:rsid w:val="001764B9"/>
    <w:rsid w:val="001919E4"/>
    <w:rsid w:val="00197495"/>
    <w:rsid w:val="001A27AA"/>
    <w:rsid w:val="001D2ECD"/>
    <w:rsid w:val="001E67B6"/>
    <w:rsid w:val="002013B3"/>
    <w:rsid w:val="002376C1"/>
    <w:rsid w:val="00245A1A"/>
    <w:rsid w:val="002565FF"/>
    <w:rsid w:val="00257DE7"/>
    <w:rsid w:val="002A54C2"/>
    <w:rsid w:val="002B15E3"/>
    <w:rsid w:val="002B6496"/>
    <w:rsid w:val="002D769E"/>
    <w:rsid w:val="002F266A"/>
    <w:rsid w:val="002F61FC"/>
    <w:rsid w:val="00311405"/>
    <w:rsid w:val="00313CEE"/>
    <w:rsid w:val="0031535B"/>
    <w:rsid w:val="00332AD5"/>
    <w:rsid w:val="00334969"/>
    <w:rsid w:val="00341963"/>
    <w:rsid w:val="00345FF9"/>
    <w:rsid w:val="003513ED"/>
    <w:rsid w:val="00353D9F"/>
    <w:rsid w:val="0036123A"/>
    <w:rsid w:val="00365C05"/>
    <w:rsid w:val="00372FC9"/>
    <w:rsid w:val="00376C2A"/>
    <w:rsid w:val="003D09C9"/>
    <w:rsid w:val="003D126B"/>
    <w:rsid w:val="003D7908"/>
    <w:rsid w:val="003E2728"/>
    <w:rsid w:val="003F15A3"/>
    <w:rsid w:val="003F30D1"/>
    <w:rsid w:val="00400C70"/>
    <w:rsid w:val="00400D3A"/>
    <w:rsid w:val="0041551E"/>
    <w:rsid w:val="00423151"/>
    <w:rsid w:val="00431883"/>
    <w:rsid w:val="00437D01"/>
    <w:rsid w:val="00446790"/>
    <w:rsid w:val="00460E0F"/>
    <w:rsid w:val="00461D4A"/>
    <w:rsid w:val="00471480"/>
    <w:rsid w:val="00481CA3"/>
    <w:rsid w:val="0048572C"/>
    <w:rsid w:val="004A4C03"/>
    <w:rsid w:val="004C66FA"/>
    <w:rsid w:val="004E291F"/>
    <w:rsid w:val="004E699C"/>
    <w:rsid w:val="004F552C"/>
    <w:rsid w:val="00516783"/>
    <w:rsid w:val="005254C7"/>
    <w:rsid w:val="0052792C"/>
    <w:rsid w:val="00534925"/>
    <w:rsid w:val="00541D23"/>
    <w:rsid w:val="0056235D"/>
    <w:rsid w:val="00571325"/>
    <w:rsid w:val="00573C22"/>
    <w:rsid w:val="00581E08"/>
    <w:rsid w:val="005835EC"/>
    <w:rsid w:val="00593385"/>
    <w:rsid w:val="005A1A96"/>
    <w:rsid w:val="005C4201"/>
    <w:rsid w:val="005C4476"/>
    <w:rsid w:val="005D322C"/>
    <w:rsid w:val="00606005"/>
    <w:rsid w:val="00613857"/>
    <w:rsid w:val="00620DD9"/>
    <w:rsid w:val="006348A7"/>
    <w:rsid w:val="006556B9"/>
    <w:rsid w:val="00657E3C"/>
    <w:rsid w:val="00673E39"/>
    <w:rsid w:val="0068517D"/>
    <w:rsid w:val="00685D0B"/>
    <w:rsid w:val="006921AB"/>
    <w:rsid w:val="0069371B"/>
    <w:rsid w:val="0069571A"/>
    <w:rsid w:val="00695A64"/>
    <w:rsid w:val="00697B55"/>
    <w:rsid w:val="006C390B"/>
    <w:rsid w:val="006E1904"/>
    <w:rsid w:val="006E2D02"/>
    <w:rsid w:val="006E4747"/>
    <w:rsid w:val="006F3B44"/>
    <w:rsid w:val="00703B1B"/>
    <w:rsid w:val="007042DE"/>
    <w:rsid w:val="007077FE"/>
    <w:rsid w:val="0071165E"/>
    <w:rsid w:val="00725961"/>
    <w:rsid w:val="007304A7"/>
    <w:rsid w:val="00746821"/>
    <w:rsid w:val="00747A52"/>
    <w:rsid w:val="00747BC7"/>
    <w:rsid w:val="00760ABD"/>
    <w:rsid w:val="00763C44"/>
    <w:rsid w:val="00772358"/>
    <w:rsid w:val="00780C89"/>
    <w:rsid w:val="007864A4"/>
    <w:rsid w:val="007911A3"/>
    <w:rsid w:val="007933FC"/>
    <w:rsid w:val="007967E6"/>
    <w:rsid w:val="007A57E9"/>
    <w:rsid w:val="007C642A"/>
    <w:rsid w:val="007C7CD1"/>
    <w:rsid w:val="007E1A28"/>
    <w:rsid w:val="007F6FAE"/>
    <w:rsid w:val="00801059"/>
    <w:rsid w:val="00805BA2"/>
    <w:rsid w:val="008069A8"/>
    <w:rsid w:val="00843A18"/>
    <w:rsid w:val="00852914"/>
    <w:rsid w:val="00880389"/>
    <w:rsid w:val="00880C51"/>
    <w:rsid w:val="008A4B75"/>
    <w:rsid w:val="008D428E"/>
    <w:rsid w:val="008F1280"/>
    <w:rsid w:val="009164C8"/>
    <w:rsid w:val="009341A3"/>
    <w:rsid w:val="00937705"/>
    <w:rsid w:val="0096113C"/>
    <w:rsid w:val="009710AE"/>
    <w:rsid w:val="00975681"/>
    <w:rsid w:val="00976D5F"/>
    <w:rsid w:val="009802F9"/>
    <w:rsid w:val="00986A88"/>
    <w:rsid w:val="009E027C"/>
    <w:rsid w:val="009E0E02"/>
    <w:rsid w:val="009E44CF"/>
    <w:rsid w:val="009F1CA0"/>
    <w:rsid w:val="009F648D"/>
    <w:rsid w:val="00A1245D"/>
    <w:rsid w:val="00A12CCF"/>
    <w:rsid w:val="00A36819"/>
    <w:rsid w:val="00A42E21"/>
    <w:rsid w:val="00A8118E"/>
    <w:rsid w:val="00A87806"/>
    <w:rsid w:val="00A901BA"/>
    <w:rsid w:val="00A96508"/>
    <w:rsid w:val="00AC683E"/>
    <w:rsid w:val="00AD4FA4"/>
    <w:rsid w:val="00AD6EA9"/>
    <w:rsid w:val="00AE1F44"/>
    <w:rsid w:val="00AE2E63"/>
    <w:rsid w:val="00B30F2A"/>
    <w:rsid w:val="00B34089"/>
    <w:rsid w:val="00B34D03"/>
    <w:rsid w:val="00B745C3"/>
    <w:rsid w:val="00B80E65"/>
    <w:rsid w:val="00B925ED"/>
    <w:rsid w:val="00B94646"/>
    <w:rsid w:val="00BB765B"/>
    <w:rsid w:val="00BC6472"/>
    <w:rsid w:val="00BE0CAE"/>
    <w:rsid w:val="00BE5061"/>
    <w:rsid w:val="00C165B7"/>
    <w:rsid w:val="00C33201"/>
    <w:rsid w:val="00C3717B"/>
    <w:rsid w:val="00C4587E"/>
    <w:rsid w:val="00C86BD9"/>
    <w:rsid w:val="00C87F10"/>
    <w:rsid w:val="00CB16D0"/>
    <w:rsid w:val="00CB25D0"/>
    <w:rsid w:val="00CC1DF9"/>
    <w:rsid w:val="00CD2C4E"/>
    <w:rsid w:val="00CE060C"/>
    <w:rsid w:val="00CF3C60"/>
    <w:rsid w:val="00D25D39"/>
    <w:rsid w:val="00D279FF"/>
    <w:rsid w:val="00D3358B"/>
    <w:rsid w:val="00D417C2"/>
    <w:rsid w:val="00D60FCC"/>
    <w:rsid w:val="00D92201"/>
    <w:rsid w:val="00D949B5"/>
    <w:rsid w:val="00DB3EA5"/>
    <w:rsid w:val="00DC7290"/>
    <w:rsid w:val="00DF0ED2"/>
    <w:rsid w:val="00DF3BEF"/>
    <w:rsid w:val="00E14326"/>
    <w:rsid w:val="00E35F43"/>
    <w:rsid w:val="00E41346"/>
    <w:rsid w:val="00E47E41"/>
    <w:rsid w:val="00E51485"/>
    <w:rsid w:val="00E610C9"/>
    <w:rsid w:val="00E64751"/>
    <w:rsid w:val="00E70269"/>
    <w:rsid w:val="00E82E69"/>
    <w:rsid w:val="00E90CB1"/>
    <w:rsid w:val="00E94597"/>
    <w:rsid w:val="00EC7BF0"/>
    <w:rsid w:val="00ED1AFA"/>
    <w:rsid w:val="00EE3B28"/>
    <w:rsid w:val="00EE4FFC"/>
    <w:rsid w:val="00EE682D"/>
    <w:rsid w:val="00F01F73"/>
    <w:rsid w:val="00F05152"/>
    <w:rsid w:val="00F14216"/>
    <w:rsid w:val="00F156A1"/>
    <w:rsid w:val="00F17375"/>
    <w:rsid w:val="00F22BCF"/>
    <w:rsid w:val="00F257F0"/>
    <w:rsid w:val="00F40595"/>
    <w:rsid w:val="00F47812"/>
    <w:rsid w:val="00F57CCF"/>
    <w:rsid w:val="00F727DB"/>
    <w:rsid w:val="00F7355F"/>
    <w:rsid w:val="00F73C38"/>
    <w:rsid w:val="00F85676"/>
    <w:rsid w:val="00F905EF"/>
    <w:rsid w:val="00FA3F3D"/>
    <w:rsid w:val="00FB04D8"/>
    <w:rsid w:val="00FB2312"/>
    <w:rsid w:val="00FC6F10"/>
    <w:rsid w:val="00FE57C0"/>
    <w:rsid w:val="00FF0C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ABA09B"/>
  <w15:chartTrackingRefBased/>
  <w15:docId w15:val="{DFBC4B35-CA84-415E-91AD-4F2B3CA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7077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about:blan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02290960928/1" TargetMode="External" /><Relationship Id="rId2" Type="http://schemas.openxmlformats.org/officeDocument/2006/relationships/hyperlink" Target="about:blank"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