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43E6" w14:paraId="327C5C9A" w14:textId="77777777">
      <w:pPr>
        <w:jc w:val="right"/>
        <w:rPr>
          <w:sz w:val="24"/>
        </w:rPr>
      </w:pPr>
    </w:p>
    <w:p w:rsidR="006D43E6" w:rsidRPr="00153C8C" w14:paraId="67F959A2" w14:textId="5323FE78">
      <w:pPr>
        <w:jc w:val="right"/>
        <w:rPr>
          <w:b/>
          <w:sz w:val="24"/>
        </w:rPr>
      </w:pPr>
      <w:r w:rsidRPr="00153C8C">
        <w:rPr>
          <w:b/>
          <w:sz w:val="24"/>
        </w:rPr>
        <w:t>DA 2</w:t>
      </w:r>
      <w:r w:rsidR="00C247C6">
        <w:rPr>
          <w:b/>
          <w:sz w:val="24"/>
        </w:rPr>
        <w:t>4-</w:t>
      </w:r>
      <w:r w:rsidR="00EC145A">
        <w:rPr>
          <w:b/>
          <w:sz w:val="24"/>
        </w:rPr>
        <w:t>166</w:t>
      </w:r>
    </w:p>
    <w:p w:rsidR="006D43E6" w14:paraId="63F085F3" w14:textId="46BA5431">
      <w:pPr>
        <w:spacing w:before="60"/>
        <w:jc w:val="right"/>
        <w:rPr>
          <w:b/>
          <w:sz w:val="24"/>
        </w:rPr>
      </w:pPr>
      <w:r w:rsidRPr="00153C8C">
        <w:rPr>
          <w:b/>
          <w:sz w:val="24"/>
        </w:rPr>
        <w:t xml:space="preserve">Released:  </w:t>
      </w:r>
      <w:r w:rsidR="00C247C6">
        <w:rPr>
          <w:b/>
          <w:sz w:val="24"/>
        </w:rPr>
        <w:t>February</w:t>
      </w:r>
      <w:r w:rsidRPr="00153C8C" w:rsidR="00EC3BF8">
        <w:rPr>
          <w:b/>
          <w:sz w:val="24"/>
        </w:rPr>
        <w:t xml:space="preserve"> </w:t>
      </w:r>
      <w:r w:rsidR="00615754">
        <w:rPr>
          <w:b/>
          <w:sz w:val="24"/>
        </w:rPr>
        <w:t>23</w:t>
      </w:r>
      <w:r w:rsidRPr="00153C8C" w:rsidR="00091E08">
        <w:rPr>
          <w:b/>
          <w:sz w:val="24"/>
        </w:rPr>
        <w:t>, 202</w:t>
      </w:r>
      <w:r w:rsidR="00C247C6">
        <w:rPr>
          <w:b/>
          <w:sz w:val="24"/>
        </w:rPr>
        <w:t>4</w:t>
      </w:r>
    </w:p>
    <w:p w:rsidR="006D43E6" w14:paraId="1D4F9CE9" w14:textId="77777777">
      <w:pPr>
        <w:jc w:val="right"/>
        <w:rPr>
          <w:sz w:val="24"/>
        </w:rPr>
      </w:pPr>
    </w:p>
    <w:p w:rsidR="00AE76BE" w:rsidP="00AE76BE" w14:paraId="0F5BFA9E" w14:textId="6F394D27">
      <w:pPr>
        <w:jc w:val="center"/>
        <w:rPr>
          <w:rFonts w:ascii="Times New Roman Bold" w:hAnsi="Times New Roman Bold"/>
          <w:b/>
          <w:caps/>
          <w:sz w:val="24"/>
        </w:rPr>
      </w:pPr>
      <w:r>
        <w:rPr>
          <w:rFonts w:ascii="Times New Roman Bold" w:hAnsi="Times New Roman Bold"/>
          <w:b/>
          <w:caps/>
          <w:sz w:val="24"/>
        </w:rPr>
        <w:t xml:space="preserve">OET Announces </w:t>
      </w:r>
      <w:r w:rsidR="00C247C6">
        <w:rPr>
          <w:rFonts w:ascii="Times New Roman Bold" w:hAnsi="Times New Roman Bold"/>
          <w:b/>
          <w:caps/>
          <w:sz w:val="24"/>
        </w:rPr>
        <w:t>approval of</w:t>
      </w:r>
      <w:r w:rsidR="00647214">
        <w:rPr>
          <w:rFonts w:ascii="Times New Roman Bold" w:hAnsi="Times New Roman Bold"/>
          <w:b/>
          <w:caps/>
          <w:sz w:val="24"/>
        </w:rPr>
        <w:t xml:space="preserve"> </w:t>
      </w:r>
      <w:r w:rsidR="00106C93">
        <w:rPr>
          <w:rFonts w:ascii="Times New Roman Bold" w:hAnsi="Times New Roman Bold"/>
          <w:b/>
          <w:caps/>
          <w:sz w:val="24"/>
        </w:rPr>
        <w:t xml:space="preserve">seven </w:t>
      </w:r>
      <w:r w:rsidR="005F64D8">
        <w:rPr>
          <w:rFonts w:ascii="Times New Roman Bold" w:hAnsi="Times New Roman Bold"/>
          <w:b/>
          <w:caps/>
          <w:sz w:val="24"/>
        </w:rPr>
        <w:t>6 GHz band</w:t>
      </w:r>
      <w:r w:rsidR="00647214">
        <w:rPr>
          <w:rFonts w:ascii="Times New Roman Bold" w:hAnsi="Times New Roman Bold"/>
          <w:b/>
          <w:caps/>
          <w:sz w:val="24"/>
        </w:rPr>
        <w:t xml:space="preserve"> </w:t>
      </w:r>
      <w:r w:rsidR="00062B17">
        <w:rPr>
          <w:rFonts w:ascii="Times New Roman Bold" w:hAnsi="Times New Roman Bold"/>
          <w:b/>
          <w:caps/>
          <w:sz w:val="24"/>
        </w:rPr>
        <w:t xml:space="preserve">automated </w:t>
      </w:r>
      <w:r w:rsidR="005F64D8">
        <w:rPr>
          <w:rFonts w:ascii="Times New Roman Bold" w:hAnsi="Times New Roman Bold"/>
          <w:b/>
          <w:caps/>
          <w:sz w:val="24"/>
        </w:rPr>
        <w:t>frequency coordination systems</w:t>
      </w:r>
      <w:r w:rsidR="00C247C6">
        <w:rPr>
          <w:rFonts w:ascii="Times New Roman Bold" w:hAnsi="Times New Roman Bold"/>
          <w:b/>
          <w:caps/>
          <w:sz w:val="24"/>
        </w:rPr>
        <w:t xml:space="preserve"> for commercial operation</w:t>
      </w:r>
    </w:p>
    <w:p w:rsidR="00AE76BE" w:rsidP="00AE76BE" w14:paraId="56AA3E7D" w14:textId="77777777">
      <w:pPr>
        <w:jc w:val="center"/>
        <w:rPr>
          <w:rFonts w:ascii="Times New Roman Bold" w:hAnsi="Times New Roman Bold"/>
          <w:b/>
          <w:caps/>
          <w:sz w:val="24"/>
        </w:rPr>
      </w:pPr>
      <w:r>
        <w:rPr>
          <w:rFonts w:ascii="Times New Roman Bold" w:hAnsi="Times New Roman Bold"/>
          <w:b/>
          <w:caps/>
          <w:sz w:val="24"/>
        </w:rPr>
        <w:t>And</w:t>
      </w:r>
    </w:p>
    <w:p w:rsidR="002259B1" w:rsidP="00EC145A" w14:paraId="0944695D" w14:textId="4EDBACEC">
      <w:pPr>
        <w:spacing w:after="240"/>
        <w:jc w:val="center"/>
        <w:rPr>
          <w:rFonts w:ascii="Times New Roman Bold" w:hAnsi="Times New Roman Bold"/>
          <w:b/>
          <w:caps/>
          <w:sz w:val="24"/>
        </w:rPr>
      </w:pPr>
      <w:r>
        <w:rPr>
          <w:rFonts w:ascii="Times New Roman Bold" w:hAnsi="Times New Roman Bold"/>
          <w:b/>
          <w:caps/>
          <w:sz w:val="24"/>
        </w:rPr>
        <w:t>Seeks Comment on C3 Spectra’s Proposed AFC system</w:t>
      </w:r>
    </w:p>
    <w:p w:rsidR="006D43E6" w14:paraId="3E64CC0F" w14:textId="77777777">
      <w:pPr>
        <w:spacing w:after="240"/>
        <w:jc w:val="center"/>
        <w:rPr>
          <w:b/>
          <w:sz w:val="24"/>
        </w:rPr>
      </w:pPr>
      <w:r>
        <w:rPr>
          <w:b/>
          <w:sz w:val="24"/>
        </w:rPr>
        <w:t>ET Docket No. 21-352</w:t>
      </w:r>
    </w:p>
    <w:p w:rsidR="009D10D1" w:rsidRPr="005436B7" w:rsidP="009D10D1" w14:paraId="28B05B76" w14:textId="55F71B21">
      <w:pPr>
        <w:widowControl/>
        <w:suppressAutoHyphens/>
        <w:spacing w:after="160" w:line="259" w:lineRule="auto"/>
        <w:rPr>
          <w:rFonts w:eastAsiaTheme="minorHAnsi"/>
          <w:b/>
          <w:snapToGrid/>
          <w:kern w:val="2"/>
          <w:szCs w:val="22"/>
          <w14:ligatures w14:val="standardContextual"/>
        </w:rPr>
      </w:pPr>
      <w:bookmarkStart w:id="0" w:name="TOChere"/>
      <w:r w:rsidRPr="005436B7">
        <w:rPr>
          <w:rFonts w:eastAsiaTheme="minorHAnsi"/>
          <w:b/>
          <w:snapToGrid/>
          <w:kern w:val="2"/>
          <w:szCs w:val="22"/>
          <w14:ligatures w14:val="standardContextual"/>
        </w:rPr>
        <w:t xml:space="preserve">Comments on C3Sprectra’s AFC Proposal Due By: </w:t>
      </w:r>
      <w:r w:rsidR="00615754">
        <w:rPr>
          <w:rFonts w:eastAsiaTheme="minorHAnsi"/>
          <w:b/>
          <w:snapToGrid/>
          <w:kern w:val="2"/>
          <w:szCs w:val="22"/>
          <w14:ligatures w14:val="standardContextual"/>
        </w:rPr>
        <w:t>March 15, 2024</w:t>
      </w:r>
    </w:p>
    <w:p w:rsidR="009D10D1" w14:paraId="18F92295" w14:textId="77777777"/>
    <w:p w:rsidR="006D43E6" w14:paraId="3BF52A46" w14:textId="3C32FBF0">
      <w:r>
        <w:t xml:space="preserve">By </w:t>
      </w:r>
      <w:r w:rsidRPr="00B959FC" w:rsidR="007B6312">
        <w:t xml:space="preserve">the </w:t>
      </w:r>
      <w:r w:rsidRPr="0006162A">
        <w:t>Chi</w:t>
      </w:r>
      <w:r w:rsidRPr="00B959FC">
        <w:t>ef,</w:t>
      </w:r>
      <w:r>
        <w:t xml:space="preserve"> Office of Engineering and Technology</w:t>
      </w:r>
      <w:r w:rsidR="007B6312">
        <w:t>:</w:t>
      </w:r>
    </w:p>
    <w:p w:rsidR="00461CD7" w14:paraId="47639C91" w14:textId="77777777"/>
    <w:p w:rsidR="006D43E6" w:rsidP="00BC3BF9" w14:paraId="537A380C" w14:textId="77777777">
      <w:pPr>
        <w:pStyle w:val="Heading1"/>
      </w:pPr>
      <w:r>
        <w:t>introduction</w:t>
      </w:r>
    </w:p>
    <w:p w:rsidR="00BC3BF9" w:rsidRPr="00BC3BF9" w:rsidP="00BC3BF9" w14:paraId="12C5083E" w14:textId="48DB9449">
      <w:pPr>
        <w:pStyle w:val="ParaNum"/>
      </w:pPr>
      <w:r>
        <w:t xml:space="preserve">The Office of Engineering and Technology </w:t>
      </w:r>
      <w:r w:rsidR="00031527">
        <w:t xml:space="preserve">(OET) </w:t>
      </w:r>
      <w:r w:rsidR="006B2D77">
        <w:t xml:space="preserve">hereby </w:t>
      </w:r>
      <w:r w:rsidR="007937A7">
        <w:t>approves</w:t>
      </w:r>
      <w:r w:rsidR="006B2D77">
        <w:t xml:space="preserve"> the </w:t>
      </w:r>
      <w:r w:rsidR="007A78A0">
        <w:t>applications</w:t>
      </w:r>
      <w:r w:rsidR="006B2D77">
        <w:t xml:space="preserve"> to operate</w:t>
      </w:r>
      <w:r w:rsidR="00647214">
        <w:t xml:space="preserve"> </w:t>
      </w:r>
      <w:r w:rsidR="00A70611">
        <w:t>automated frequency coordination (</w:t>
      </w:r>
      <w:r w:rsidR="00D73B83">
        <w:t>AFC</w:t>
      </w:r>
      <w:r w:rsidR="00A70611">
        <w:t>)</w:t>
      </w:r>
      <w:r w:rsidR="00D73B83">
        <w:t xml:space="preserve"> systems </w:t>
      </w:r>
      <w:r w:rsidR="00E46539">
        <w:t>submitted</w:t>
      </w:r>
      <w:r w:rsidR="00D73B83">
        <w:t xml:space="preserve"> by Qualcomm</w:t>
      </w:r>
      <w:r w:rsidR="009A1388">
        <w:t xml:space="preserve"> Incorporated</w:t>
      </w:r>
      <w:r w:rsidR="00B712C9">
        <w:t xml:space="preserve"> (Qualcomm)</w:t>
      </w:r>
      <w:r w:rsidR="00D73B83">
        <w:t>, Federated Wireless</w:t>
      </w:r>
      <w:r w:rsidR="00DB7E54">
        <w:t>,</w:t>
      </w:r>
      <w:r w:rsidR="00154934">
        <w:t xml:space="preserve"> Inc.</w:t>
      </w:r>
      <w:r w:rsidR="00B712C9">
        <w:t xml:space="preserve"> (Federated</w:t>
      </w:r>
      <w:r w:rsidR="00997022">
        <w:t xml:space="preserve"> Wireless</w:t>
      </w:r>
      <w:r w:rsidR="00B712C9">
        <w:t>)</w:t>
      </w:r>
      <w:r w:rsidR="00D73B83">
        <w:t>, Sony</w:t>
      </w:r>
      <w:r w:rsidR="00ED46F9">
        <w:t xml:space="preserve"> Group Corporation</w:t>
      </w:r>
      <w:r w:rsidR="00E8045A">
        <w:t xml:space="preserve"> (Sony)</w:t>
      </w:r>
      <w:r w:rsidR="00D73B83">
        <w:t xml:space="preserve">, </w:t>
      </w:r>
      <w:r w:rsidR="00DE602F">
        <w:t>Comsearch</w:t>
      </w:r>
      <w:r w:rsidR="00167A4A">
        <w:t>, a CommScope Company (</w:t>
      </w:r>
      <w:r w:rsidR="00167A4A">
        <w:t>Comsearch</w:t>
      </w:r>
      <w:r w:rsidR="00167A4A">
        <w:t>)</w:t>
      </w:r>
      <w:r w:rsidR="00DE602F">
        <w:t xml:space="preserve">, </w:t>
      </w:r>
      <w:r w:rsidR="00D73B83">
        <w:t>the Wi-Fi Alliance</w:t>
      </w:r>
      <w:r w:rsidR="00F961A6">
        <w:t xml:space="preserve"> Service</w:t>
      </w:r>
      <w:r w:rsidR="00CE0B3D">
        <w:t>s Corporation</w:t>
      </w:r>
      <w:r w:rsidR="00DA06C5">
        <w:t xml:space="preserve"> (Wi-Fi Alliance)</w:t>
      </w:r>
      <w:r w:rsidR="00D73B83">
        <w:t>,</w:t>
      </w:r>
      <w:r>
        <w:rPr>
          <w:rStyle w:val="FootnoteReference"/>
        </w:rPr>
        <w:footnoteReference w:id="3"/>
      </w:r>
      <w:r w:rsidR="00D73B83">
        <w:t xml:space="preserve"> the Wireless Broadband Alliance</w:t>
      </w:r>
      <w:r w:rsidR="003D3C9E">
        <w:t>,</w:t>
      </w:r>
      <w:r w:rsidR="0090761D">
        <w:t xml:space="preserve"> Inc.</w:t>
      </w:r>
      <w:r w:rsidR="004611A3">
        <w:t xml:space="preserve"> (Wireless Broadband Alliance)</w:t>
      </w:r>
      <w:r w:rsidR="00D73B83">
        <w:t>, and Broadcom</w:t>
      </w:r>
      <w:r w:rsidR="0090761D">
        <w:t xml:space="preserve"> Inc</w:t>
      </w:r>
      <w:r w:rsidR="004611A3">
        <w:t xml:space="preserve"> (Broadcom)</w:t>
      </w:r>
      <w:r w:rsidR="0062532E">
        <w:t>, subject to the conditions set forth herein</w:t>
      </w:r>
      <w:r w:rsidR="0090761D">
        <w:t>.</w:t>
      </w:r>
      <w:r w:rsidR="00D73B83">
        <w:t xml:space="preserve">  These s</w:t>
      </w:r>
      <w:r w:rsidR="00DE602F">
        <w:t>even</w:t>
      </w:r>
      <w:r w:rsidR="00D73B83">
        <w:t xml:space="preserve"> AFC systems have undergone a rigorous testing program</w:t>
      </w:r>
      <w:r w:rsidR="004222E6">
        <w:t>,</w:t>
      </w:r>
      <w:r w:rsidR="00D73B83">
        <w:t xml:space="preserve"> as directed by OET</w:t>
      </w:r>
      <w:r w:rsidR="004222E6">
        <w:t>,</w:t>
      </w:r>
      <w:r w:rsidR="00D73B83">
        <w:t xml:space="preserve"> which </w:t>
      </w:r>
      <w:r w:rsidR="004222E6">
        <w:t xml:space="preserve">included </w:t>
      </w:r>
      <w:r w:rsidR="00D73B83">
        <w:t>both lab testing and a public trial.  Th</w:t>
      </w:r>
      <w:r w:rsidR="00BB6B30">
        <w:t xml:space="preserve">e results from this </w:t>
      </w:r>
      <w:r w:rsidR="00D73B83">
        <w:t>testing indicate that these s</w:t>
      </w:r>
      <w:r w:rsidR="00DE602F">
        <w:t>even</w:t>
      </w:r>
      <w:r w:rsidR="00D73B83">
        <w:t xml:space="preserve"> AFC systems operate in conformance with the Commission’s 6 GHz band </w:t>
      </w:r>
      <w:r w:rsidR="00106C93">
        <w:t xml:space="preserve">(5.925-7.125 GHz) </w:t>
      </w:r>
      <w:r w:rsidR="00D73B83">
        <w:t>unlicensed rules</w:t>
      </w:r>
      <w:r w:rsidR="00BB6B30">
        <w:t>,</w:t>
      </w:r>
      <w:r w:rsidR="00D73B83">
        <w:t xml:space="preserve"> which are designed to prevent harmful interference from standard power access devices </w:t>
      </w:r>
      <w:r w:rsidR="00106C93">
        <w:t xml:space="preserve">and fixed client devices </w:t>
      </w:r>
      <w:r w:rsidR="00D73B83">
        <w:t>to licensed microwave receivers</w:t>
      </w:r>
      <w:r w:rsidR="00A70611">
        <w:t xml:space="preserve"> </w:t>
      </w:r>
      <w:r w:rsidR="0007407D">
        <w:t xml:space="preserve">and certain radio astronomy observatories </w:t>
      </w:r>
      <w:r w:rsidR="00A70611">
        <w:t>in the 6 GHz band</w:t>
      </w:r>
      <w:r w:rsidR="00F95116">
        <w:t>.  These s</w:t>
      </w:r>
      <w:r w:rsidR="00DE602F">
        <w:t xml:space="preserve">even </w:t>
      </w:r>
      <w:r w:rsidR="00F95116">
        <w:t>AFC systems are now permitted to manage access to spectrum in the U-NII-5 (5.925-6.425 GHz) and U-NII-7 (6.525-6.875 GHz)</w:t>
      </w:r>
      <w:r w:rsidR="00D73B83">
        <w:t xml:space="preserve"> </w:t>
      </w:r>
      <w:r w:rsidR="00F95116">
        <w:t xml:space="preserve">portions of the 6 GHz band </w:t>
      </w:r>
      <w:r w:rsidR="00887419">
        <w:t xml:space="preserve">for </w:t>
      </w:r>
      <w:r w:rsidR="00BB6B30">
        <w:t xml:space="preserve">standard power access points and fixed client devices </w:t>
      </w:r>
      <w:r w:rsidR="00106C93">
        <w:t>in accordance with</w:t>
      </w:r>
      <w:r w:rsidR="00F95116">
        <w:t xml:space="preserve"> the Commission’s rules.  </w:t>
      </w:r>
      <w:r w:rsidR="00AA4D54">
        <w:t xml:space="preserve">This action will permit standard power and fixed client </w:t>
      </w:r>
      <w:r w:rsidR="009001CD">
        <w:t xml:space="preserve">devices </w:t>
      </w:r>
      <w:r w:rsidR="00AA4D54">
        <w:t xml:space="preserve">to deploy and further expand spectrum access to provide new applications and services to American consumers and businesses. </w:t>
      </w:r>
      <w:r w:rsidR="00EB6A15">
        <w:t xml:space="preserve"> </w:t>
      </w:r>
      <w:r w:rsidR="0094564B">
        <w:t>We also seek comment on C3Spectra’s proposal, filed subsequent to the initial wave of AFC proposals received by the Commission, to become an approved AFC system operator.</w:t>
      </w:r>
      <w:r>
        <w:rPr>
          <w:rStyle w:val="FootnoteReference"/>
        </w:rPr>
        <w:footnoteReference w:id="4"/>
      </w:r>
    </w:p>
    <w:p w:rsidR="006D43E6" w:rsidP="00BC3BF9" w14:paraId="2BD9EADF" w14:textId="77777777">
      <w:pPr>
        <w:pStyle w:val="Heading1"/>
      </w:pPr>
      <w:r>
        <w:t>background</w:t>
      </w:r>
    </w:p>
    <w:p w:rsidR="00F90877" w:rsidP="00861126" w14:paraId="62143744" w14:textId="62D56EAA">
      <w:pPr>
        <w:pStyle w:val="ParaNum"/>
        <w:widowControl/>
      </w:pPr>
      <w:r>
        <w:t>On</w:t>
      </w:r>
      <w:r w:rsidR="00A026AA">
        <w:t xml:space="preserve"> April 23, 2020</w:t>
      </w:r>
      <w:r w:rsidR="00F11827">
        <w:t>,</w:t>
      </w:r>
      <w:r w:rsidR="00A026AA">
        <w:t xml:space="preserve"> the Commission adopted a Report and Order and Further Notice of Proposed Rulemaking (</w:t>
      </w:r>
      <w:r w:rsidRPr="001D07E7" w:rsidR="00A026AA">
        <w:rPr>
          <w:i/>
          <w:iCs/>
        </w:rPr>
        <w:t>6 GHz R</w:t>
      </w:r>
      <w:r w:rsidRPr="001D07E7" w:rsidR="001D07E7">
        <w:rPr>
          <w:i/>
          <w:iCs/>
        </w:rPr>
        <w:t>eport and Order</w:t>
      </w:r>
      <w:r w:rsidR="00A026AA">
        <w:t xml:space="preserve">) that </w:t>
      </w:r>
      <w:r w:rsidR="001D07E7">
        <w:t xml:space="preserve">made broad swaths of the 6 GHz band available for </w:t>
      </w:r>
      <w:r w:rsidR="006542F7">
        <w:t xml:space="preserve">expanded </w:t>
      </w:r>
      <w:r w:rsidR="001D07E7">
        <w:t>unlicensed operations.</w:t>
      </w:r>
      <w:r>
        <w:rPr>
          <w:rStyle w:val="FootnoteReference"/>
        </w:rPr>
        <w:footnoteReference w:id="5"/>
      </w:r>
      <w:r w:rsidR="001D07E7">
        <w:t xml:space="preserve"> </w:t>
      </w:r>
      <w:r>
        <w:t xml:space="preserve"> </w:t>
      </w:r>
      <w:r w:rsidR="00614DA5">
        <w:t xml:space="preserve">The </w:t>
      </w:r>
      <w:r w:rsidRPr="00EA5FB4" w:rsidR="00614DA5">
        <w:rPr>
          <w:i/>
          <w:iCs/>
        </w:rPr>
        <w:t>6 GHz Report and Order</w:t>
      </w:r>
      <w:r w:rsidR="00614DA5">
        <w:t xml:space="preserve"> adopted rules for two different types of unlicensed operations—standard-power </w:t>
      </w:r>
      <w:r w:rsidR="00F11827">
        <w:t xml:space="preserve">operations </w:t>
      </w:r>
      <w:r w:rsidR="00614DA5">
        <w:t xml:space="preserve">and low-power </w:t>
      </w:r>
      <w:r w:rsidR="00CA5ABA">
        <w:t xml:space="preserve">indoor </w:t>
      </w:r>
      <w:r w:rsidR="00614DA5">
        <w:t>operations.</w:t>
      </w:r>
      <w:r>
        <w:rPr>
          <w:rStyle w:val="FootnoteReference"/>
        </w:rPr>
        <w:footnoteReference w:id="6"/>
      </w:r>
      <w:r w:rsidR="00614DA5">
        <w:t xml:space="preserve">  </w:t>
      </w:r>
      <w:r w:rsidR="00554BB9">
        <w:t>S</w:t>
      </w:r>
      <w:r w:rsidR="0077040D">
        <w:t xml:space="preserve">tandard-power access points and </w:t>
      </w:r>
      <w:r w:rsidR="00576C7F">
        <w:t xml:space="preserve">fixed client devices </w:t>
      </w:r>
      <w:r w:rsidR="00554BB9">
        <w:t xml:space="preserve">are required to </w:t>
      </w:r>
      <w:r w:rsidR="00614DA5">
        <w:t>operate under the control of AFC system</w:t>
      </w:r>
      <w:r w:rsidR="000306A7">
        <w:t>s</w:t>
      </w:r>
      <w:r w:rsidR="00614DA5">
        <w:t xml:space="preserve"> in two portions of the 6 GHz band—</w:t>
      </w:r>
      <w:bookmarkStart w:id="1" w:name="_Hlk156998744"/>
      <w:r w:rsidR="00614DA5">
        <w:t xml:space="preserve">the U-NII-5 band </w:t>
      </w:r>
      <w:r w:rsidR="00576C7F">
        <w:t xml:space="preserve">(5.925-6.425 GHz) </w:t>
      </w:r>
      <w:r w:rsidR="00614DA5">
        <w:t>and the U-NII-7 band</w:t>
      </w:r>
      <w:r w:rsidR="00576C7F">
        <w:t xml:space="preserve"> (6.525-6.875 GHz)</w:t>
      </w:r>
      <w:bookmarkEnd w:id="1"/>
      <w:r w:rsidR="00614DA5">
        <w:t>.</w:t>
      </w:r>
      <w:r>
        <w:rPr>
          <w:rStyle w:val="FootnoteReference"/>
        </w:rPr>
        <w:footnoteReference w:id="7"/>
      </w:r>
      <w:r w:rsidR="00614DA5">
        <w:t xml:space="preserve"> </w:t>
      </w:r>
      <w:r w:rsidR="00341CDF">
        <w:t xml:space="preserve"> </w:t>
      </w:r>
      <w:r w:rsidR="00EA5FB4">
        <w:t xml:space="preserve">The </w:t>
      </w:r>
      <w:r w:rsidR="00600DD0">
        <w:t>U-NII-5</w:t>
      </w:r>
      <w:r w:rsidR="00576C7F">
        <w:t xml:space="preserve"> </w:t>
      </w:r>
      <w:r w:rsidR="00600DD0">
        <w:t>and U-NII-7 band</w:t>
      </w:r>
      <w:r w:rsidR="00576C7F">
        <w:t>s</w:t>
      </w:r>
      <w:r w:rsidR="00600DD0">
        <w:t xml:space="preserve"> are </w:t>
      </w:r>
      <w:r w:rsidR="006540D4">
        <w:t xml:space="preserve">also </w:t>
      </w:r>
      <w:r w:rsidR="00600DD0">
        <w:t xml:space="preserve">used by </w:t>
      </w:r>
      <w:r w:rsidR="00576C7F">
        <w:t>licensed</w:t>
      </w:r>
      <w:r w:rsidR="00600DD0">
        <w:t xml:space="preserve"> </w:t>
      </w:r>
      <w:r w:rsidR="006540D4">
        <w:t xml:space="preserve">fixed and temporary-fixed </w:t>
      </w:r>
      <w:r w:rsidR="00600DD0">
        <w:t>point-to-point microwave systems</w:t>
      </w:r>
      <w:r w:rsidR="00576C7F">
        <w:t>.</w:t>
      </w:r>
      <w:r>
        <w:rPr>
          <w:rStyle w:val="FootnoteReference"/>
        </w:rPr>
        <w:footnoteReference w:id="8"/>
      </w:r>
      <w:r w:rsidR="00576C7F">
        <w:t xml:space="preserve">  In addition, the 6.65-6.</w:t>
      </w:r>
      <w:r w:rsidR="00937B94">
        <w:t>6</w:t>
      </w:r>
      <w:r w:rsidR="00576C7F">
        <w:t>752 GHz portion of the U-NII-7 band is used for radio astronomy observations at a limited number of observatories.</w:t>
      </w:r>
      <w:r>
        <w:rPr>
          <w:rStyle w:val="FootnoteReference"/>
        </w:rPr>
        <w:footnoteReference w:id="9"/>
      </w:r>
      <w:r w:rsidR="00600DD0">
        <w:t xml:space="preserve">  The AFC systems will manage </w:t>
      </w:r>
      <w:r w:rsidR="00FC7F66">
        <w:t>spectr</w:t>
      </w:r>
      <w:r w:rsidR="00271BD8">
        <w:t xml:space="preserve">um </w:t>
      </w:r>
      <w:r w:rsidR="00AB5D17">
        <w:t xml:space="preserve">access for </w:t>
      </w:r>
      <w:r w:rsidR="00600DD0">
        <w:t xml:space="preserve">standard-power </w:t>
      </w:r>
      <w:r w:rsidR="00576C7F">
        <w:t>access points and fixed client devices</w:t>
      </w:r>
      <w:r w:rsidR="00600DD0">
        <w:t xml:space="preserve"> to prevent </w:t>
      </w:r>
      <w:r w:rsidR="00576C7F">
        <w:t xml:space="preserve">harmful </w:t>
      </w:r>
      <w:r w:rsidR="00600DD0">
        <w:t xml:space="preserve">interference from occurring to </w:t>
      </w:r>
      <w:r w:rsidR="008D282F">
        <w:t xml:space="preserve">fixed </w:t>
      </w:r>
      <w:r w:rsidR="00576C7F">
        <w:t xml:space="preserve">microwave systems </w:t>
      </w:r>
      <w:r w:rsidRPr="00B959FC" w:rsidR="00576C7F">
        <w:t xml:space="preserve">and </w:t>
      </w:r>
      <w:r w:rsidR="008D282F">
        <w:t xml:space="preserve">certain </w:t>
      </w:r>
      <w:r w:rsidRPr="0006162A" w:rsidR="00576C7F">
        <w:t>radio</w:t>
      </w:r>
      <w:r w:rsidRPr="00B959FC" w:rsidR="00B14625">
        <w:t xml:space="preserve"> astronomy</w:t>
      </w:r>
      <w:r w:rsidRPr="00B959FC" w:rsidR="00576C7F">
        <w:t xml:space="preserve"> </w:t>
      </w:r>
      <w:r w:rsidRPr="0006162A" w:rsidR="00576C7F">
        <w:t>observatories</w:t>
      </w:r>
      <w:r w:rsidRPr="00B959FC" w:rsidR="00576C7F">
        <w:t>.</w:t>
      </w:r>
      <w:r>
        <w:rPr>
          <w:rStyle w:val="FootnoteReference"/>
        </w:rPr>
        <w:footnoteReference w:id="10"/>
      </w:r>
      <w:r w:rsidR="00600DD0">
        <w:t xml:space="preserve"> </w:t>
      </w:r>
    </w:p>
    <w:p w:rsidR="00A70611" w:rsidRPr="00E808B9" w:rsidP="00A70611" w14:paraId="09748987" w14:textId="71AD920E">
      <w:pPr>
        <w:pStyle w:val="ParaNum"/>
      </w:pPr>
      <w:r>
        <w:t>On September 28, 2021, the Commission issued a Public Notice requesting proposals from prospective AFC system operators.</w:t>
      </w:r>
      <w:r>
        <w:rPr>
          <w:rStyle w:val="FootnoteReference"/>
          <w:szCs w:val="22"/>
        </w:rPr>
        <w:footnoteReference w:id="11"/>
      </w:r>
      <w:r>
        <w:t xml:space="preserve">  In response to the Public Notice, the Commission received fourteen applications to operate AFC systems</w:t>
      </w:r>
      <w:r w:rsidR="006614B7">
        <w:t>,</w:t>
      </w:r>
      <w:r>
        <w:t xml:space="preserve"> as well as eight comments regarding the applications.</w:t>
      </w:r>
      <w:r>
        <w:rPr>
          <w:rStyle w:val="FootnoteReference"/>
          <w:szCs w:val="22"/>
        </w:rPr>
        <w:footnoteReference w:id="12"/>
      </w:r>
      <w:r>
        <w:t xml:space="preserve">  One applicant, Amdocs, later withdrew </w:t>
      </w:r>
      <w:r w:rsidR="0047038E">
        <w:t xml:space="preserve">its </w:t>
      </w:r>
      <w:r>
        <w:t>application.</w:t>
      </w:r>
      <w:r>
        <w:rPr>
          <w:rStyle w:val="FootnoteReference"/>
          <w:szCs w:val="22"/>
        </w:rPr>
        <w:footnoteReference w:id="13"/>
      </w:r>
      <w:r>
        <w:t xml:space="preserve">  </w:t>
      </w:r>
      <w:r>
        <w:rPr>
          <w:szCs w:val="22"/>
        </w:rPr>
        <w:t>On November 2, 2022, OET issued a Public Notice (</w:t>
      </w:r>
      <w:r w:rsidRPr="00106C93">
        <w:rPr>
          <w:i/>
          <w:iCs/>
          <w:szCs w:val="22"/>
        </w:rPr>
        <w:t>2022 Public Notice</w:t>
      </w:r>
      <w:r>
        <w:rPr>
          <w:szCs w:val="22"/>
        </w:rPr>
        <w:t xml:space="preserve">) conditionally approving the thirteen remaining applicants to operate AFC systems:  </w:t>
      </w:r>
      <w:r>
        <w:t xml:space="preserve">Broadcom, Google, </w:t>
      </w:r>
      <w:r>
        <w:t>Comsearch</w:t>
      </w:r>
      <w:r>
        <w:t>, Sony, Kyrio, Key Bridge Wireless, Nokia Innovations, Federated Wireless, Wireless Broadband Alliance, Wi-Fi Alliance, Qualcomm, Plume Design, and RED Technologies.</w:t>
      </w:r>
      <w:r>
        <w:rPr>
          <w:rStyle w:val="FootnoteReference"/>
        </w:rPr>
        <w:footnoteReference w:id="14"/>
      </w:r>
      <w:r>
        <w:t xml:space="preserve">  OET indicated in the </w:t>
      </w:r>
      <w:r w:rsidRPr="00106C93" w:rsidR="00106C93">
        <w:rPr>
          <w:i/>
          <w:iCs/>
        </w:rPr>
        <w:t xml:space="preserve">2022 </w:t>
      </w:r>
      <w:r w:rsidRPr="00106C93">
        <w:rPr>
          <w:i/>
          <w:iCs/>
        </w:rPr>
        <w:t>Public Notice</w:t>
      </w:r>
      <w:r>
        <w:t xml:space="preserve"> that these conditionally approved AFC systems will not be available for commercial operations until they receive final approval from OET.</w:t>
      </w:r>
      <w:r>
        <w:rPr>
          <w:rStyle w:val="FootnoteReference"/>
        </w:rPr>
        <w:footnoteReference w:id="15"/>
      </w:r>
      <w:r>
        <w:t xml:space="preserve">  </w:t>
      </w:r>
    </w:p>
    <w:p w:rsidR="00AF0D17" w:rsidP="00EC145A" w14:paraId="4BF4A904" w14:textId="5C0ABEF5">
      <w:pPr>
        <w:pStyle w:val="ParaNum"/>
        <w:widowControl/>
      </w:pPr>
      <w:r>
        <w:t xml:space="preserve">On </w:t>
      </w:r>
      <w:r w:rsidR="007042A5">
        <w:t>August 24, 2023</w:t>
      </w:r>
      <w:r w:rsidR="0062553A">
        <w:t>,</w:t>
      </w:r>
      <w:r w:rsidR="007042A5">
        <w:t xml:space="preserve"> OET issued a Public Notice </w:t>
      </w:r>
      <w:r w:rsidR="00E22A94">
        <w:t>(</w:t>
      </w:r>
      <w:bookmarkStart w:id="2" w:name="_Hlk157587969"/>
      <w:r w:rsidRPr="00E22A94" w:rsidR="00E22A94">
        <w:rPr>
          <w:i/>
          <w:iCs/>
        </w:rPr>
        <w:t>2023 Public Notice</w:t>
      </w:r>
      <w:bookmarkEnd w:id="2"/>
      <w:r w:rsidR="00E22A94">
        <w:t xml:space="preserve">) </w:t>
      </w:r>
      <w:r w:rsidR="007042A5">
        <w:t xml:space="preserve">announcing </w:t>
      </w:r>
      <w:r w:rsidR="00996793">
        <w:t xml:space="preserve">that the </w:t>
      </w:r>
      <w:r w:rsidR="007042A5">
        <w:t xml:space="preserve">conditionally approved AFC systems </w:t>
      </w:r>
      <w:r w:rsidR="00996793">
        <w:t xml:space="preserve">could commence testing </w:t>
      </w:r>
      <w:r w:rsidR="007042A5">
        <w:t>and outlining the testing process.</w:t>
      </w:r>
      <w:r>
        <w:rPr>
          <w:rStyle w:val="FootnoteReference"/>
        </w:rPr>
        <w:footnoteReference w:id="16"/>
      </w:r>
      <w:r w:rsidR="007042A5">
        <w:t xml:space="preserve">  This AFC system testing process consists of two parts</w:t>
      </w:r>
      <w:r>
        <w:t>,</w:t>
      </w:r>
      <w:r w:rsidR="007042A5">
        <w:t xml:space="preserve"> lab testing and a public trial</w:t>
      </w:r>
      <w:r>
        <w:t>, which the AFC systems must successfully complete before OET will approve them for commercial operation</w:t>
      </w:r>
      <w:r w:rsidR="007042A5">
        <w:t>.</w:t>
      </w:r>
      <w:r>
        <w:rPr>
          <w:rStyle w:val="FootnoteReference"/>
        </w:rPr>
        <w:footnoteReference w:id="17"/>
      </w:r>
      <w:r w:rsidR="007042A5">
        <w:t xml:space="preserve">  </w:t>
      </w:r>
      <w:r>
        <w:t xml:space="preserve">OET permits the lab test to be conducted either </w:t>
      </w:r>
      <w:r w:rsidR="006B0E7C">
        <w:t xml:space="preserve">by </w:t>
      </w:r>
      <w:r>
        <w:t>an FCC-recognized accredited testing laborator</w:t>
      </w:r>
      <w:r w:rsidR="00BB6B30">
        <w:t>y</w:t>
      </w:r>
      <w:r>
        <w:t xml:space="preserve"> that ha</w:t>
      </w:r>
      <w:r w:rsidR="00BB6B30">
        <w:t>s</w:t>
      </w:r>
      <w:r>
        <w:t xml:space="preserve"> also been approved through </w:t>
      </w:r>
      <w:r w:rsidR="00E52082">
        <w:t>the Wireless Innovation Forum’s (</w:t>
      </w:r>
      <w:r>
        <w:t>W</w:t>
      </w:r>
      <w:r w:rsidR="00E52082">
        <w:t>I</w:t>
      </w:r>
      <w:r>
        <w:t>nnForum</w:t>
      </w:r>
      <w:r w:rsidR="00E52082">
        <w:t>)</w:t>
      </w:r>
      <w:r>
        <w:t xml:space="preserve"> </w:t>
      </w:r>
      <w:r w:rsidRPr="00C941CD">
        <w:t xml:space="preserve">Citizens Broadband Radio Service Device </w:t>
      </w:r>
      <w:r>
        <w:t xml:space="preserve">(CBSD) testing and certification program or by </w:t>
      </w:r>
      <w:r w:rsidR="00BB6B30">
        <w:t xml:space="preserve">a </w:t>
      </w:r>
      <w:r>
        <w:t xml:space="preserve">test lab that has been accredited by </w:t>
      </w:r>
      <w:r>
        <w:t>W</w:t>
      </w:r>
      <w:r w:rsidR="00E52082">
        <w:t>I</w:t>
      </w:r>
      <w:r>
        <w:t>nnForum</w:t>
      </w:r>
      <w:r>
        <w:t xml:space="preserve"> to conduct AFC system lab testing.</w:t>
      </w:r>
      <w:r>
        <w:rPr>
          <w:rStyle w:val="FootnoteReference"/>
        </w:rPr>
        <w:footnoteReference w:id="18"/>
      </w:r>
      <w:r>
        <w:t xml:space="preserve">  </w:t>
      </w:r>
      <w:r w:rsidR="007042A5">
        <w:t xml:space="preserve">The </w:t>
      </w:r>
      <w:r>
        <w:t xml:space="preserve">test </w:t>
      </w:r>
      <w:r w:rsidR="007042A5">
        <w:t xml:space="preserve">lab </w:t>
      </w:r>
      <w:r>
        <w:t>must conduct the test</w:t>
      </w:r>
      <w:r w:rsidR="00F4485A">
        <w:t>s</w:t>
      </w:r>
      <w:r>
        <w:t xml:space="preserve"> specified in the AFC system</w:t>
      </w:r>
      <w:r w:rsidR="007042A5">
        <w:t xml:space="preserve"> test </w:t>
      </w:r>
      <w:r w:rsidR="005E30BF">
        <w:t>plan developed by the Wi-Fi Alliance.</w:t>
      </w:r>
      <w:r>
        <w:rPr>
          <w:rStyle w:val="FootnoteReference"/>
        </w:rPr>
        <w:footnoteReference w:id="19"/>
      </w:r>
      <w:r w:rsidR="005E30BF">
        <w:t xml:space="preserve">  </w:t>
      </w:r>
      <w:r>
        <w:t>In conducting these test</w:t>
      </w:r>
      <w:r w:rsidR="00BB42AE">
        <w:t>s</w:t>
      </w:r>
      <w:r>
        <w:t xml:space="preserve">, the test lab </w:t>
      </w:r>
      <w:r w:rsidR="0071300F">
        <w:t xml:space="preserve">is </w:t>
      </w:r>
      <w:r w:rsidR="00F34ECE">
        <w:t xml:space="preserve">required to </w:t>
      </w:r>
      <w:r w:rsidR="00A50D4F">
        <w:t>use</w:t>
      </w:r>
      <w:r w:rsidR="005E30BF">
        <w:t xml:space="preserve"> a set of test vector inputs and corresponding test vector outputs</w:t>
      </w:r>
      <w:r w:rsidR="007042A5">
        <w:t xml:space="preserve"> </w:t>
      </w:r>
      <w:r w:rsidR="005E30BF">
        <w:t xml:space="preserve">jointly developed by the Wi-Fi Alliance and the </w:t>
      </w:r>
      <w:r w:rsidR="005E30BF">
        <w:t>W</w:t>
      </w:r>
      <w:r w:rsidR="00E52082">
        <w:t>I</w:t>
      </w:r>
      <w:r w:rsidR="005E30BF">
        <w:t>nnForum</w:t>
      </w:r>
      <w:r w:rsidR="005E30BF">
        <w:t>.</w:t>
      </w:r>
      <w:r>
        <w:rPr>
          <w:rStyle w:val="FootnoteReference"/>
        </w:rPr>
        <w:footnoteReference w:id="20"/>
      </w:r>
      <w:r w:rsidR="00A064E0">
        <w:t xml:space="preserve">  The </w:t>
      </w:r>
      <w:r w:rsidR="00312C8B">
        <w:t xml:space="preserve">AFC applicant is required to submit </w:t>
      </w:r>
      <w:r w:rsidR="00BB6B30">
        <w:t xml:space="preserve">a </w:t>
      </w:r>
      <w:r w:rsidR="00312C8B">
        <w:t>test report created by the test lab describing the results of each test performed.</w:t>
      </w:r>
      <w:r>
        <w:rPr>
          <w:rStyle w:val="FootnoteReference"/>
        </w:rPr>
        <w:footnoteReference w:id="21"/>
      </w:r>
      <w:r w:rsidR="005E30BF">
        <w:t xml:space="preserve">   </w:t>
      </w:r>
    </w:p>
    <w:p w:rsidR="00E808B9" w:rsidRPr="00E808B9" w:rsidP="00BC3BF9" w14:paraId="68A9B5A6" w14:textId="2591F4C1">
      <w:pPr>
        <w:pStyle w:val="ParaNum"/>
      </w:pPr>
      <w:r>
        <w:t xml:space="preserve">For the public trial, </w:t>
      </w:r>
      <w:r w:rsidR="00BF0775">
        <w:t xml:space="preserve">the AFC system applicant is required to make </w:t>
      </w:r>
      <w:r w:rsidR="00B537E2">
        <w:t>its</w:t>
      </w:r>
      <w:r w:rsidR="00BF0775">
        <w:t xml:space="preserve"> AFC system available on the Internet to provide any interested member of the public an opportunity to test the AFC system functionality.</w:t>
      </w:r>
      <w:r>
        <w:rPr>
          <w:rStyle w:val="FootnoteReference"/>
        </w:rPr>
        <w:footnoteReference w:id="22"/>
      </w:r>
      <w:r w:rsidR="00BF0775">
        <w:t xml:space="preserve">  The Internet-based test portal must permit the user to specify test locations anywhere within the United States and return </w:t>
      </w:r>
      <w:bookmarkStart w:id="4" w:name="_Hlk157427386"/>
      <w:r w:rsidR="00BF0775">
        <w:t>a list of the frequency ranges on which a standard-power device at that location would be able to transmit and the corresponding maximum power level for each frequency range.</w:t>
      </w:r>
      <w:bookmarkEnd w:id="4"/>
      <w:r>
        <w:rPr>
          <w:rStyle w:val="FootnoteReference"/>
        </w:rPr>
        <w:footnoteReference w:id="23"/>
      </w:r>
      <w:r w:rsidR="00BF0775">
        <w:t xml:space="preserve">  The test portal must also provide a means for users to submit challenges to the AFC system applicant if the user believes that the available frequency ranges and power levels are not in compliance with the Commission’s rules.</w:t>
      </w:r>
      <w:r>
        <w:rPr>
          <w:rStyle w:val="FootnoteReference"/>
        </w:rPr>
        <w:footnoteReference w:id="24"/>
      </w:r>
      <w:r w:rsidR="00BF0775">
        <w:t xml:space="preserve">  The Internet-based test portal must be available for a minimum of forty-five days with challenges accepted for fifteen days after the forty-five day period</w:t>
      </w:r>
      <w:r w:rsidR="00931782">
        <w:t xml:space="preserve"> concludes</w:t>
      </w:r>
      <w:r w:rsidR="00BF0775">
        <w:t>.</w:t>
      </w:r>
      <w:r>
        <w:rPr>
          <w:rStyle w:val="FootnoteReference"/>
        </w:rPr>
        <w:footnoteReference w:id="25"/>
      </w:r>
      <w:r w:rsidR="00BF0775">
        <w:t xml:space="preserve">  After the public trial is complete, the AFC applicant is required to submit a </w:t>
      </w:r>
      <w:r w:rsidR="002439DE">
        <w:t>public trial</w:t>
      </w:r>
      <w:r w:rsidR="00BF0775">
        <w:t xml:space="preserve"> report describing the public trial</w:t>
      </w:r>
      <w:r w:rsidR="0009084C">
        <w:t>,</w:t>
      </w:r>
      <w:r w:rsidR="00BF0775">
        <w:t xml:space="preserve"> including statistics on the </w:t>
      </w:r>
      <w:r w:rsidR="000B5C2C">
        <w:t xml:space="preserve">number of public </w:t>
      </w:r>
      <w:r w:rsidR="00BF0775">
        <w:t>test</w:t>
      </w:r>
      <w:r w:rsidR="000762D7">
        <w:t>s</w:t>
      </w:r>
      <w:r w:rsidR="00BF0775">
        <w:t xml:space="preserve"> conducted</w:t>
      </w:r>
      <w:r w:rsidR="00BB6B30">
        <w:t>,</w:t>
      </w:r>
      <w:r w:rsidR="00BF0775">
        <w:t xml:space="preserve"> a summary of </w:t>
      </w:r>
      <w:r w:rsidR="000B5C2C">
        <w:t xml:space="preserve">each </w:t>
      </w:r>
      <w:r w:rsidR="00BF0775">
        <w:t>challenge received</w:t>
      </w:r>
      <w:r w:rsidR="00BB6B30">
        <w:t>,</w:t>
      </w:r>
      <w:r w:rsidR="00BF0775">
        <w:t xml:space="preserve"> and an explanation </w:t>
      </w:r>
      <w:r w:rsidR="00B520A6">
        <w:t xml:space="preserve">detailing </w:t>
      </w:r>
      <w:r w:rsidR="00BF0775">
        <w:t xml:space="preserve">why </w:t>
      </w:r>
      <w:r w:rsidR="000B5C2C">
        <w:t xml:space="preserve">each </w:t>
      </w:r>
      <w:r w:rsidR="00BF0775">
        <w:t>challenge did or did not raise a valid concern</w:t>
      </w:r>
      <w:r w:rsidR="000B5C2C">
        <w:t xml:space="preserve"> with the functionality of the AFC system,</w:t>
      </w:r>
      <w:r w:rsidR="00B520A6">
        <w:t xml:space="preserve"> along with a description of any actions it took in response to any challenges</w:t>
      </w:r>
      <w:r w:rsidR="00BF0775">
        <w:t>.</w:t>
      </w:r>
      <w:r>
        <w:rPr>
          <w:rStyle w:val="FootnoteReference"/>
        </w:rPr>
        <w:footnoteReference w:id="26"/>
      </w:r>
      <w:r w:rsidR="00BF0775">
        <w:t xml:space="preserve">   </w:t>
      </w:r>
      <w:r w:rsidR="007D6015">
        <w:t xml:space="preserve">  </w:t>
      </w:r>
    </w:p>
    <w:p w:rsidR="009E2E71" w:rsidP="00BC3BF9" w14:paraId="7123F165" w14:textId="419B91A0">
      <w:pPr>
        <w:pStyle w:val="Heading1"/>
      </w:pPr>
      <w:r>
        <w:t>Lab Testing</w:t>
      </w:r>
    </w:p>
    <w:p w:rsidR="009E2E71" w:rsidRPr="009E2E71" w:rsidP="009E2E71" w14:paraId="7A419EF8" w14:textId="0355DAB0">
      <w:pPr>
        <w:pStyle w:val="ParaNum"/>
      </w:pPr>
      <w:r>
        <w:t xml:space="preserve">Qualcomm, Federated Wireless, Sony, </w:t>
      </w:r>
      <w:r>
        <w:t>Comsearch</w:t>
      </w:r>
      <w:r>
        <w:t xml:space="preserve">, the Wi-Fi Alliance, the Wireless Broadband Alliance, and Broadcom </w:t>
      </w:r>
      <w:r w:rsidR="001A4C34">
        <w:t xml:space="preserve">submitted </w:t>
      </w:r>
      <w:r w:rsidR="002439DE">
        <w:t xml:space="preserve">test </w:t>
      </w:r>
      <w:r w:rsidR="001A4C34">
        <w:t>reports summarizing their lab test</w:t>
      </w:r>
      <w:r w:rsidR="00410832">
        <w:t xml:space="preserve"> results</w:t>
      </w:r>
      <w:r w:rsidR="001A4C34">
        <w:t>.</w:t>
      </w:r>
      <w:r>
        <w:rPr>
          <w:rStyle w:val="FootnoteReference"/>
        </w:rPr>
        <w:footnoteReference w:id="27"/>
      </w:r>
      <w:r w:rsidR="00E22A94">
        <w:t xml:space="preserve">  As required by the </w:t>
      </w:r>
      <w:r w:rsidRPr="00E22A94" w:rsidR="00E22A94">
        <w:rPr>
          <w:i/>
          <w:iCs/>
        </w:rPr>
        <w:t>2023 Public Notice</w:t>
      </w:r>
      <w:r w:rsidR="00E22A94">
        <w:t>, all of the lab test</w:t>
      </w:r>
      <w:r w:rsidR="00206B79">
        <w:t>s</w:t>
      </w:r>
      <w:r w:rsidR="00E22A94">
        <w:t xml:space="preserve"> were conducted by FCC-recognized accredited testing laboratories that have also been approved by </w:t>
      </w:r>
      <w:r w:rsidR="00E22A94">
        <w:t>W</w:t>
      </w:r>
      <w:r w:rsidR="00E52082">
        <w:t>I</w:t>
      </w:r>
      <w:r w:rsidR="00E22A94">
        <w:t>nnForum’s</w:t>
      </w:r>
      <w:r w:rsidR="00E22A94">
        <w:t xml:space="preserve"> </w:t>
      </w:r>
      <w:r w:rsidR="00BF7758">
        <w:t>CBSD</w:t>
      </w:r>
      <w:r w:rsidR="00E22A94">
        <w:t xml:space="preserve"> testing and certification program.</w:t>
      </w:r>
      <w:r>
        <w:rPr>
          <w:rStyle w:val="FootnoteReference"/>
        </w:rPr>
        <w:footnoteReference w:id="28"/>
      </w:r>
      <w:r w:rsidR="00DB2A92">
        <w:t xml:space="preserve">  The test reports indicate that the testing laboratories conducted </w:t>
      </w:r>
      <w:r w:rsidR="00937BE1">
        <w:t xml:space="preserve">all </w:t>
      </w:r>
      <w:r w:rsidR="00275C6C">
        <w:t xml:space="preserve">the </w:t>
      </w:r>
      <w:r w:rsidR="00DB2A92">
        <w:t>test</w:t>
      </w:r>
      <w:r w:rsidR="00937BE1">
        <w:t>s</w:t>
      </w:r>
      <w:r w:rsidR="00DB2A92">
        <w:t xml:space="preserve"> specified in the AFC system test plan developed by the Wi-Fi Alliance using the test vector inputs jointly developed by the Wi-Fi Alliance and </w:t>
      </w:r>
      <w:r w:rsidR="00DB2A92">
        <w:t>W</w:t>
      </w:r>
      <w:r w:rsidR="00E52082">
        <w:t>I</w:t>
      </w:r>
      <w:r w:rsidR="00DB2A92">
        <w:t>nnForum</w:t>
      </w:r>
      <w:r w:rsidR="00DB2A92">
        <w:t>.  All seven AFC systems returned expected outputs for the test vector inputs.  Based on the submitted test reports</w:t>
      </w:r>
      <w:r w:rsidR="0001370C">
        <w:t>,</w:t>
      </w:r>
      <w:r w:rsidR="00DB2A92">
        <w:t xml:space="preserve"> we conclude that </w:t>
      </w:r>
      <w:r w:rsidR="00C03A1E">
        <w:t>those</w:t>
      </w:r>
      <w:r w:rsidR="00DB2A92">
        <w:t xml:space="preserve"> seven AFC systems satisfactorily completed the </w:t>
      </w:r>
      <w:r w:rsidR="00C03A1E">
        <w:t xml:space="preserve">required </w:t>
      </w:r>
      <w:r w:rsidR="00DB2A92">
        <w:t>lab test</w:t>
      </w:r>
      <w:r w:rsidR="00C03A1E">
        <w:t>ing</w:t>
      </w:r>
      <w:r w:rsidR="00DB2A92">
        <w:t xml:space="preserve">.  This testing provides strong evidence that these </w:t>
      </w:r>
      <w:r w:rsidR="000653C1">
        <w:t>seven</w:t>
      </w:r>
      <w:r w:rsidR="00DB2A92">
        <w:t xml:space="preserve"> AFC systems function as required by the Commission’s rules.  </w:t>
      </w:r>
      <w:r w:rsidR="00E22A94">
        <w:t xml:space="preserve"> </w:t>
      </w:r>
      <w:r w:rsidR="001A4C34">
        <w:t xml:space="preserve">  </w:t>
      </w:r>
    </w:p>
    <w:p w:rsidR="009E2E71" w:rsidP="00BC3BF9" w14:paraId="70C28611" w14:textId="77777777">
      <w:pPr>
        <w:pStyle w:val="Heading1"/>
      </w:pPr>
      <w:r>
        <w:t>Public trials</w:t>
      </w:r>
    </w:p>
    <w:p w:rsidR="00210C03" w:rsidP="009E2E71" w14:paraId="61E581CC" w14:textId="2FDCBF88">
      <w:pPr>
        <w:pStyle w:val="ParaNum"/>
      </w:pPr>
      <w:r>
        <w:t xml:space="preserve">Qualcomm, Federated Wireless, Sony, </w:t>
      </w:r>
      <w:r>
        <w:t>Comsearch</w:t>
      </w:r>
      <w:r>
        <w:t xml:space="preserve">, the Wi-Fi Alliance, the Wireless Broadband Alliance, and Broadcom </w:t>
      </w:r>
      <w:r>
        <w:t xml:space="preserve">submitted </w:t>
      </w:r>
      <w:r w:rsidR="002439DE">
        <w:t xml:space="preserve">public trial </w:t>
      </w:r>
      <w:r>
        <w:t>reports summarizing their public trials.</w:t>
      </w:r>
      <w:r>
        <w:rPr>
          <w:rStyle w:val="FootnoteReference"/>
        </w:rPr>
        <w:footnoteReference w:id="29"/>
      </w:r>
      <w:r>
        <w:t xml:space="preserve">  The table below summarizes the start and end dates that each AFC system was made available for the public trial, the number of inquiries each AFC applicant received during the public trial, and the number of challenges </w:t>
      </w:r>
      <w:r w:rsidR="00E228F5">
        <w:t xml:space="preserve">received </w:t>
      </w:r>
      <w:r>
        <w:t xml:space="preserve">by each AFC applicant.  </w:t>
      </w:r>
    </w:p>
    <w:p w:rsidR="000B19EB" w:rsidP="00170CB7" w14:paraId="1C7CBF6B" w14:textId="77777777">
      <w:pPr>
        <w:pStyle w:val="ParaNum"/>
        <w:numPr>
          <w:ilvl w:val="0"/>
          <w:numId w:val="0"/>
        </w:numPr>
        <w:ind w:left="720"/>
        <w:jc w:val="center"/>
        <w:rPr>
          <w:b/>
          <w:bCs/>
        </w:rPr>
      </w:pPr>
    </w:p>
    <w:p w:rsidR="000B19EB" w:rsidP="00170CB7" w14:paraId="34DF7788" w14:textId="77777777">
      <w:pPr>
        <w:pStyle w:val="ParaNum"/>
        <w:numPr>
          <w:ilvl w:val="0"/>
          <w:numId w:val="0"/>
        </w:numPr>
        <w:ind w:left="720"/>
        <w:jc w:val="center"/>
        <w:rPr>
          <w:b/>
          <w:bCs/>
        </w:rPr>
      </w:pPr>
    </w:p>
    <w:p w:rsidR="000B19EB" w:rsidP="00170CB7" w14:paraId="2D93110A" w14:textId="77777777">
      <w:pPr>
        <w:pStyle w:val="ParaNum"/>
        <w:numPr>
          <w:ilvl w:val="0"/>
          <w:numId w:val="0"/>
        </w:numPr>
        <w:ind w:left="720"/>
        <w:jc w:val="center"/>
        <w:rPr>
          <w:b/>
          <w:bCs/>
        </w:rPr>
      </w:pPr>
    </w:p>
    <w:p w:rsidR="000B19EB" w:rsidP="00170CB7" w14:paraId="1C261AE8" w14:textId="77777777">
      <w:pPr>
        <w:pStyle w:val="ParaNum"/>
        <w:numPr>
          <w:ilvl w:val="0"/>
          <w:numId w:val="0"/>
        </w:numPr>
        <w:ind w:left="720"/>
        <w:jc w:val="center"/>
        <w:rPr>
          <w:b/>
          <w:bCs/>
        </w:rPr>
      </w:pPr>
    </w:p>
    <w:p w:rsidR="000B19EB" w:rsidP="00170CB7" w14:paraId="2A846E40" w14:textId="77777777">
      <w:pPr>
        <w:pStyle w:val="ParaNum"/>
        <w:numPr>
          <w:ilvl w:val="0"/>
          <w:numId w:val="0"/>
        </w:numPr>
        <w:ind w:left="720"/>
        <w:jc w:val="center"/>
        <w:rPr>
          <w:b/>
          <w:bCs/>
        </w:rPr>
      </w:pPr>
    </w:p>
    <w:p w:rsidR="000B19EB" w:rsidP="00170CB7" w14:paraId="7E28464D" w14:textId="77777777">
      <w:pPr>
        <w:pStyle w:val="ParaNum"/>
        <w:numPr>
          <w:ilvl w:val="0"/>
          <w:numId w:val="0"/>
        </w:numPr>
        <w:ind w:left="720"/>
        <w:jc w:val="center"/>
        <w:rPr>
          <w:b/>
          <w:bCs/>
        </w:rPr>
      </w:pPr>
    </w:p>
    <w:p w:rsidR="000B19EB" w:rsidP="00170CB7" w14:paraId="1CA3D2A1" w14:textId="77777777">
      <w:pPr>
        <w:pStyle w:val="ParaNum"/>
        <w:numPr>
          <w:ilvl w:val="0"/>
          <w:numId w:val="0"/>
        </w:numPr>
        <w:ind w:left="720"/>
        <w:jc w:val="center"/>
        <w:rPr>
          <w:b/>
          <w:bCs/>
        </w:rPr>
      </w:pPr>
    </w:p>
    <w:p w:rsidR="000B19EB" w:rsidP="00170CB7" w14:paraId="0D7FA808" w14:textId="77777777">
      <w:pPr>
        <w:pStyle w:val="ParaNum"/>
        <w:numPr>
          <w:ilvl w:val="0"/>
          <w:numId w:val="0"/>
        </w:numPr>
        <w:ind w:left="720"/>
        <w:jc w:val="center"/>
        <w:rPr>
          <w:b/>
          <w:bCs/>
        </w:rPr>
      </w:pPr>
    </w:p>
    <w:p w:rsidR="000B19EB" w:rsidP="00170CB7" w14:paraId="31E1FC81" w14:textId="77777777">
      <w:pPr>
        <w:pStyle w:val="ParaNum"/>
        <w:numPr>
          <w:ilvl w:val="0"/>
          <w:numId w:val="0"/>
        </w:numPr>
        <w:ind w:left="720"/>
        <w:jc w:val="center"/>
        <w:rPr>
          <w:b/>
          <w:bCs/>
        </w:rPr>
      </w:pPr>
    </w:p>
    <w:p w:rsidR="000B19EB" w:rsidP="00170CB7" w14:paraId="40BD2D5C" w14:textId="77777777">
      <w:pPr>
        <w:pStyle w:val="ParaNum"/>
        <w:numPr>
          <w:ilvl w:val="0"/>
          <w:numId w:val="0"/>
        </w:numPr>
        <w:ind w:left="720"/>
        <w:jc w:val="center"/>
        <w:rPr>
          <w:b/>
          <w:bCs/>
        </w:rPr>
      </w:pPr>
    </w:p>
    <w:p w:rsidR="00170CB7" w:rsidRPr="00170CB7" w:rsidP="00170CB7" w14:paraId="0461E5CF" w14:textId="45A0B143">
      <w:pPr>
        <w:pStyle w:val="ParaNum"/>
        <w:numPr>
          <w:ilvl w:val="0"/>
          <w:numId w:val="0"/>
        </w:numPr>
        <w:ind w:left="720"/>
        <w:jc w:val="center"/>
        <w:rPr>
          <w:b/>
          <w:bCs/>
        </w:rPr>
      </w:pPr>
      <w:r w:rsidRPr="00170CB7">
        <w:rPr>
          <w:b/>
          <w:bCs/>
        </w:rPr>
        <w:t>AFC System Public Trials</w:t>
      </w:r>
    </w:p>
    <w:tbl>
      <w:tblPr>
        <w:tblStyle w:val="TableGrid"/>
        <w:tblW w:w="0" w:type="auto"/>
        <w:tblInd w:w="720" w:type="dxa"/>
        <w:tblLook w:val="04A0"/>
      </w:tblPr>
      <w:tblGrid>
        <w:gridCol w:w="1741"/>
        <w:gridCol w:w="1700"/>
        <w:gridCol w:w="1700"/>
        <w:gridCol w:w="1751"/>
        <w:gridCol w:w="1738"/>
      </w:tblGrid>
      <w:tr w14:paraId="44EDCDA9" w14:textId="77777777" w:rsidTr="00CB462D">
        <w:tblPrEx>
          <w:tblW w:w="0" w:type="auto"/>
          <w:tblInd w:w="720" w:type="dxa"/>
          <w:tblLook w:val="04A0"/>
        </w:tblPrEx>
        <w:trPr>
          <w:tblHeader/>
        </w:trPr>
        <w:tc>
          <w:tcPr>
            <w:tcW w:w="1870" w:type="dxa"/>
            <w:tcBorders>
              <w:bottom w:val="double" w:sz="4" w:space="0" w:color="auto"/>
              <w:right w:val="double" w:sz="4" w:space="0" w:color="auto"/>
            </w:tcBorders>
          </w:tcPr>
          <w:p w:rsidR="00DE602F" w:rsidP="00DE602F" w14:paraId="0EC4D043" w14:textId="228C3372">
            <w:pPr>
              <w:pStyle w:val="ParaNum"/>
              <w:numPr>
                <w:ilvl w:val="0"/>
                <w:numId w:val="0"/>
              </w:numPr>
              <w:jc w:val="center"/>
            </w:pPr>
            <w:r>
              <w:t>Applicant</w:t>
            </w:r>
          </w:p>
        </w:tc>
        <w:tc>
          <w:tcPr>
            <w:tcW w:w="1870" w:type="dxa"/>
            <w:tcBorders>
              <w:left w:val="double" w:sz="4" w:space="0" w:color="auto"/>
              <w:bottom w:val="double" w:sz="4" w:space="0" w:color="auto"/>
            </w:tcBorders>
          </w:tcPr>
          <w:p w:rsidR="00DE602F" w:rsidP="00DE602F" w14:paraId="2F765DED" w14:textId="039DF0CA">
            <w:pPr>
              <w:pStyle w:val="ParaNum"/>
              <w:numPr>
                <w:ilvl w:val="0"/>
                <w:numId w:val="0"/>
              </w:numPr>
              <w:jc w:val="center"/>
            </w:pPr>
            <w:r>
              <w:t>Start Date</w:t>
            </w:r>
          </w:p>
        </w:tc>
        <w:tc>
          <w:tcPr>
            <w:tcW w:w="1870" w:type="dxa"/>
            <w:tcBorders>
              <w:bottom w:val="double" w:sz="4" w:space="0" w:color="auto"/>
            </w:tcBorders>
          </w:tcPr>
          <w:p w:rsidR="00DE602F" w:rsidP="00DE602F" w14:paraId="6AFE20CA" w14:textId="2A4AA374">
            <w:pPr>
              <w:pStyle w:val="ParaNum"/>
              <w:numPr>
                <w:ilvl w:val="0"/>
                <w:numId w:val="0"/>
              </w:numPr>
              <w:jc w:val="center"/>
            </w:pPr>
            <w:r>
              <w:t>End Date</w:t>
            </w:r>
          </w:p>
        </w:tc>
        <w:tc>
          <w:tcPr>
            <w:tcW w:w="1870" w:type="dxa"/>
            <w:tcBorders>
              <w:bottom w:val="double" w:sz="4" w:space="0" w:color="auto"/>
            </w:tcBorders>
          </w:tcPr>
          <w:p w:rsidR="00DE602F" w:rsidP="00DE602F" w14:paraId="323CE177" w14:textId="6D608F52">
            <w:pPr>
              <w:pStyle w:val="ParaNum"/>
              <w:numPr>
                <w:ilvl w:val="0"/>
                <w:numId w:val="0"/>
              </w:numPr>
              <w:jc w:val="center"/>
            </w:pPr>
            <w:r>
              <w:t xml:space="preserve">Test </w:t>
            </w:r>
            <w:r w:rsidR="00893428">
              <w:t>Locations Submitted</w:t>
            </w:r>
            <w:r>
              <w:rPr>
                <w:rStyle w:val="FootnoteReference"/>
              </w:rPr>
              <w:footnoteReference w:id="30"/>
            </w:r>
          </w:p>
        </w:tc>
        <w:tc>
          <w:tcPr>
            <w:tcW w:w="1870" w:type="dxa"/>
            <w:tcBorders>
              <w:bottom w:val="double" w:sz="4" w:space="0" w:color="auto"/>
            </w:tcBorders>
          </w:tcPr>
          <w:p w:rsidR="00DE602F" w:rsidP="00DE602F" w14:paraId="64A26446" w14:textId="42921D59">
            <w:pPr>
              <w:pStyle w:val="ParaNum"/>
              <w:numPr>
                <w:ilvl w:val="0"/>
                <w:numId w:val="0"/>
              </w:numPr>
              <w:jc w:val="center"/>
            </w:pPr>
            <w:r>
              <w:t>Challenges Received</w:t>
            </w:r>
            <w:r>
              <w:rPr>
                <w:rStyle w:val="FootnoteReference"/>
              </w:rPr>
              <w:footnoteReference w:id="31"/>
            </w:r>
          </w:p>
        </w:tc>
      </w:tr>
      <w:tr w14:paraId="273E58F5" w14:textId="77777777" w:rsidTr="00170CB7">
        <w:tblPrEx>
          <w:tblW w:w="0" w:type="auto"/>
          <w:tblInd w:w="720" w:type="dxa"/>
          <w:tblLook w:val="04A0"/>
        </w:tblPrEx>
        <w:tc>
          <w:tcPr>
            <w:tcW w:w="1870" w:type="dxa"/>
            <w:tcBorders>
              <w:top w:val="double" w:sz="4" w:space="0" w:color="auto"/>
              <w:right w:val="double" w:sz="4" w:space="0" w:color="auto"/>
            </w:tcBorders>
          </w:tcPr>
          <w:p w:rsidR="00DE602F" w:rsidP="00DE602F" w14:paraId="71F7AC60" w14:textId="432BCD52">
            <w:pPr>
              <w:pStyle w:val="ParaNum"/>
              <w:numPr>
                <w:ilvl w:val="0"/>
                <w:numId w:val="0"/>
              </w:numPr>
            </w:pPr>
            <w:r>
              <w:t>Qualcomm</w:t>
            </w:r>
          </w:p>
        </w:tc>
        <w:tc>
          <w:tcPr>
            <w:tcW w:w="1870" w:type="dxa"/>
            <w:tcBorders>
              <w:top w:val="double" w:sz="4" w:space="0" w:color="auto"/>
              <w:left w:val="double" w:sz="4" w:space="0" w:color="auto"/>
            </w:tcBorders>
          </w:tcPr>
          <w:p w:rsidR="00DE602F" w:rsidP="004E6957" w14:paraId="459CD2DD" w14:textId="2F9F8B2C">
            <w:pPr>
              <w:pStyle w:val="ParaNum"/>
              <w:numPr>
                <w:ilvl w:val="0"/>
                <w:numId w:val="0"/>
              </w:numPr>
              <w:jc w:val="center"/>
            </w:pPr>
            <w:r>
              <w:t>9/6/23</w:t>
            </w:r>
          </w:p>
        </w:tc>
        <w:tc>
          <w:tcPr>
            <w:tcW w:w="1870" w:type="dxa"/>
            <w:tcBorders>
              <w:top w:val="double" w:sz="4" w:space="0" w:color="auto"/>
            </w:tcBorders>
          </w:tcPr>
          <w:p w:rsidR="00DE602F" w:rsidP="004E6957" w14:paraId="2C524905" w14:textId="63184173">
            <w:pPr>
              <w:pStyle w:val="ParaNum"/>
              <w:numPr>
                <w:ilvl w:val="0"/>
                <w:numId w:val="0"/>
              </w:numPr>
              <w:jc w:val="center"/>
            </w:pPr>
            <w:r>
              <w:t>10/20/23</w:t>
            </w:r>
          </w:p>
        </w:tc>
        <w:tc>
          <w:tcPr>
            <w:tcW w:w="1870" w:type="dxa"/>
            <w:tcBorders>
              <w:top w:val="double" w:sz="4" w:space="0" w:color="auto"/>
            </w:tcBorders>
          </w:tcPr>
          <w:p w:rsidR="00DE602F" w:rsidP="004E6957" w14:paraId="6BC80B66" w14:textId="2326A93E">
            <w:pPr>
              <w:pStyle w:val="ParaNum"/>
              <w:numPr>
                <w:ilvl w:val="0"/>
                <w:numId w:val="0"/>
              </w:numPr>
              <w:jc w:val="center"/>
            </w:pPr>
            <w:r>
              <w:t>510</w:t>
            </w:r>
          </w:p>
        </w:tc>
        <w:tc>
          <w:tcPr>
            <w:tcW w:w="1870" w:type="dxa"/>
            <w:tcBorders>
              <w:top w:val="double" w:sz="4" w:space="0" w:color="auto"/>
            </w:tcBorders>
          </w:tcPr>
          <w:p w:rsidR="00DE602F" w:rsidP="004E6957" w14:paraId="746A25F0" w14:textId="75A091D6">
            <w:pPr>
              <w:pStyle w:val="ParaNum"/>
              <w:numPr>
                <w:ilvl w:val="0"/>
                <w:numId w:val="0"/>
              </w:numPr>
              <w:jc w:val="center"/>
            </w:pPr>
            <w:r>
              <w:t>90</w:t>
            </w:r>
          </w:p>
        </w:tc>
      </w:tr>
      <w:tr w14:paraId="5F641D19" w14:textId="77777777" w:rsidTr="00170CB7">
        <w:tblPrEx>
          <w:tblW w:w="0" w:type="auto"/>
          <w:tblInd w:w="720" w:type="dxa"/>
          <w:tblLook w:val="04A0"/>
        </w:tblPrEx>
        <w:tc>
          <w:tcPr>
            <w:tcW w:w="1870" w:type="dxa"/>
            <w:tcBorders>
              <w:right w:val="double" w:sz="4" w:space="0" w:color="auto"/>
            </w:tcBorders>
          </w:tcPr>
          <w:p w:rsidR="00DE602F" w:rsidP="00DE602F" w14:paraId="1DE770B8" w14:textId="16029107">
            <w:pPr>
              <w:pStyle w:val="ParaNum"/>
              <w:numPr>
                <w:ilvl w:val="0"/>
                <w:numId w:val="0"/>
              </w:numPr>
            </w:pPr>
            <w:r>
              <w:t>Broadcom</w:t>
            </w:r>
          </w:p>
        </w:tc>
        <w:tc>
          <w:tcPr>
            <w:tcW w:w="1870" w:type="dxa"/>
            <w:tcBorders>
              <w:left w:val="double" w:sz="4" w:space="0" w:color="auto"/>
            </w:tcBorders>
          </w:tcPr>
          <w:p w:rsidR="00DE602F" w:rsidP="004E6957" w14:paraId="52DC01C8" w14:textId="7F2DE41E">
            <w:pPr>
              <w:pStyle w:val="ParaNum"/>
              <w:numPr>
                <w:ilvl w:val="0"/>
                <w:numId w:val="0"/>
              </w:numPr>
              <w:jc w:val="center"/>
            </w:pPr>
            <w:r>
              <w:t>9/5/23</w:t>
            </w:r>
          </w:p>
        </w:tc>
        <w:tc>
          <w:tcPr>
            <w:tcW w:w="1870" w:type="dxa"/>
          </w:tcPr>
          <w:p w:rsidR="00DE602F" w:rsidP="004E6957" w14:paraId="5D3D45AC" w14:textId="78616374">
            <w:pPr>
              <w:pStyle w:val="ParaNum"/>
              <w:numPr>
                <w:ilvl w:val="0"/>
                <w:numId w:val="0"/>
              </w:numPr>
              <w:jc w:val="center"/>
            </w:pPr>
            <w:r>
              <w:t>10/19/23</w:t>
            </w:r>
          </w:p>
        </w:tc>
        <w:tc>
          <w:tcPr>
            <w:tcW w:w="1870" w:type="dxa"/>
          </w:tcPr>
          <w:p w:rsidR="00DE602F" w:rsidP="004E6957" w14:paraId="12A6C688" w14:textId="5EEDBB0F">
            <w:pPr>
              <w:pStyle w:val="ParaNum"/>
              <w:numPr>
                <w:ilvl w:val="0"/>
                <w:numId w:val="0"/>
              </w:numPr>
              <w:jc w:val="center"/>
            </w:pPr>
            <w:r>
              <w:t>686</w:t>
            </w:r>
          </w:p>
        </w:tc>
        <w:tc>
          <w:tcPr>
            <w:tcW w:w="1870" w:type="dxa"/>
          </w:tcPr>
          <w:p w:rsidR="00DE602F" w:rsidP="004E6957" w14:paraId="231B0A3A" w14:textId="2C6736A0">
            <w:pPr>
              <w:pStyle w:val="ParaNum"/>
              <w:numPr>
                <w:ilvl w:val="0"/>
                <w:numId w:val="0"/>
              </w:numPr>
              <w:jc w:val="center"/>
            </w:pPr>
            <w:r>
              <w:t>9</w:t>
            </w:r>
            <w:r w:rsidR="009F562C">
              <w:t>3</w:t>
            </w:r>
          </w:p>
        </w:tc>
      </w:tr>
      <w:tr w14:paraId="700B5A68" w14:textId="77777777" w:rsidTr="00170CB7">
        <w:tblPrEx>
          <w:tblW w:w="0" w:type="auto"/>
          <w:tblInd w:w="720" w:type="dxa"/>
          <w:tblLook w:val="04A0"/>
        </w:tblPrEx>
        <w:tc>
          <w:tcPr>
            <w:tcW w:w="1870" w:type="dxa"/>
            <w:tcBorders>
              <w:right w:val="double" w:sz="4" w:space="0" w:color="auto"/>
            </w:tcBorders>
          </w:tcPr>
          <w:p w:rsidR="00DE602F" w:rsidP="00DE602F" w14:paraId="1EBD339B" w14:textId="3E179561">
            <w:pPr>
              <w:pStyle w:val="ParaNum"/>
              <w:numPr>
                <w:ilvl w:val="0"/>
                <w:numId w:val="0"/>
              </w:numPr>
            </w:pPr>
            <w:r>
              <w:t>Wi-Fi Alliance</w:t>
            </w:r>
          </w:p>
        </w:tc>
        <w:tc>
          <w:tcPr>
            <w:tcW w:w="1870" w:type="dxa"/>
            <w:tcBorders>
              <w:left w:val="double" w:sz="4" w:space="0" w:color="auto"/>
            </w:tcBorders>
          </w:tcPr>
          <w:p w:rsidR="00DE602F" w:rsidP="004E6957" w14:paraId="5B718DE2" w14:textId="579BEF74">
            <w:pPr>
              <w:pStyle w:val="ParaNum"/>
              <w:numPr>
                <w:ilvl w:val="0"/>
                <w:numId w:val="0"/>
              </w:numPr>
              <w:jc w:val="center"/>
            </w:pPr>
            <w:r>
              <w:t>9/6/23</w:t>
            </w:r>
          </w:p>
        </w:tc>
        <w:tc>
          <w:tcPr>
            <w:tcW w:w="1870" w:type="dxa"/>
          </w:tcPr>
          <w:p w:rsidR="00DE602F" w:rsidP="004E6957" w14:paraId="2E5D095E" w14:textId="2900313D">
            <w:pPr>
              <w:pStyle w:val="ParaNum"/>
              <w:numPr>
                <w:ilvl w:val="0"/>
                <w:numId w:val="0"/>
              </w:numPr>
              <w:jc w:val="center"/>
            </w:pPr>
            <w:r>
              <w:t>10/21/23</w:t>
            </w:r>
          </w:p>
        </w:tc>
        <w:tc>
          <w:tcPr>
            <w:tcW w:w="1870" w:type="dxa"/>
          </w:tcPr>
          <w:p w:rsidR="00DE602F" w:rsidP="004E6957" w14:paraId="423D3510" w14:textId="1DE90869">
            <w:pPr>
              <w:pStyle w:val="ParaNum"/>
              <w:numPr>
                <w:ilvl w:val="0"/>
                <w:numId w:val="0"/>
              </w:numPr>
              <w:jc w:val="center"/>
            </w:pPr>
            <w:r>
              <w:t>686</w:t>
            </w:r>
          </w:p>
        </w:tc>
        <w:tc>
          <w:tcPr>
            <w:tcW w:w="1870" w:type="dxa"/>
          </w:tcPr>
          <w:p w:rsidR="00DE602F" w:rsidP="004E6957" w14:paraId="41297F74" w14:textId="55B13966">
            <w:pPr>
              <w:pStyle w:val="ParaNum"/>
              <w:numPr>
                <w:ilvl w:val="0"/>
                <w:numId w:val="0"/>
              </w:numPr>
              <w:jc w:val="center"/>
            </w:pPr>
            <w:r>
              <w:t>156</w:t>
            </w:r>
          </w:p>
        </w:tc>
      </w:tr>
      <w:tr w14:paraId="6C7D9CFB" w14:textId="77777777" w:rsidTr="00170CB7">
        <w:tblPrEx>
          <w:tblW w:w="0" w:type="auto"/>
          <w:tblInd w:w="720" w:type="dxa"/>
          <w:tblLook w:val="04A0"/>
        </w:tblPrEx>
        <w:tc>
          <w:tcPr>
            <w:tcW w:w="1870" w:type="dxa"/>
            <w:tcBorders>
              <w:right w:val="double" w:sz="4" w:space="0" w:color="auto"/>
            </w:tcBorders>
          </w:tcPr>
          <w:p w:rsidR="00DE602F" w:rsidP="00DE602F" w14:paraId="7E983CBE" w14:textId="3C8B9C28">
            <w:pPr>
              <w:pStyle w:val="ParaNum"/>
              <w:numPr>
                <w:ilvl w:val="0"/>
                <w:numId w:val="0"/>
              </w:numPr>
            </w:pPr>
            <w:r>
              <w:t>Wireless Broadband Alliance</w:t>
            </w:r>
          </w:p>
        </w:tc>
        <w:tc>
          <w:tcPr>
            <w:tcW w:w="1870" w:type="dxa"/>
            <w:tcBorders>
              <w:left w:val="double" w:sz="4" w:space="0" w:color="auto"/>
            </w:tcBorders>
          </w:tcPr>
          <w:p w:rsidR="00DE602F" w:rsidP="004E6957" w14:paraId="315F33B2" w14:textId="314A2B47">
            <w:pPr>
              <w:pStyle w:val="ParaNum"/>
              <w:numPr>
                <w:ilvl w:val="0"/>
                <w:numId w:val="0"/>
              </w:numPr>
              <w:jc w:val="center"/>
            </w:pPr>
            <w:r>
              <w:t>10/10/23</w:t>
            </w:r>
          </w:p>
        </w:tc>
        <w:tc>
          <w:tcPr>
            <w:tcW w:w="1870" w:type="dxa"/>
          </w:tcPr>
          <w:p w:rsidR="00DE602F" w:rsidP="004E6957" w14:paraId="2C4EF215" w14:textId="2207376A">
            <w:pPr>
              <w:pStyle w:val="ParaNum"/>
              <w:numPr>
                <w:ilvl w:val="0"/>
                <w:numId w:val="0"/>
              </w:numPr>
              <w:jc w:val="center"/>
            </w:pPr>
            <w:r>
              <w:t>11/24/23</w:t>
            </w:r>
          </w:p>
        </w:tc>
        <w:tc>
          <w:tcPr>
            <w:tcW w:w="1870" w:type="dxa"/>
          </w:tcPr>
          <w:p w:rsidR="00DE602F" w:rsidP="004E6957" w14:paraId="6BA9CEDE" w14:textId="3A841D24">
            <w:pPr>
              <w:pStyle w:val="ParaNum"/>
              <w:numPr>
                <w:ilvl w:val="0"/>
                <w:numId w:val="0"/>
              </w:numPr>
              <w:jc w:val="center"/>
            </w:pPr>
            <w:r>
              <w:t>751</w:t>
            </w:r>
          </w:p>
        </w:tc>
        <w:tc>
          <w:tcPr>
            <w:tcW w:w="1870" w:type="dxa"/>
          </w:tcPr>
          <w:p w:rsidR="00DE602F" w:rsidP="004E6957" w14:paraId="6C72002D" w14:textId="0EA75917">
            <w:pPr>
              <w:pStyle w:val="ParaNum"/>
              <w:numPr>
                <w:ilvl w:val="0"/>
                <w:numId w:val="0"/>
              </w:numPr>
              <w:jc w:val="center"/>
            </w:pPr>
            <w:r>
              <w:t>11</w:t>
            </w:r>
            <w:r w:rsidR="009F562C">
              <w:t>2</w:t>
            </w:r>
          </w:p>
        </w:tc>
      </w:tr>
      <w:tr w14:paraId="34E50918" w14:textId="77777777" w:rsidTr="00170CB7">
        <w:tblPrEx>
          <w:tblW w:w="0" w:type="auto"/>
          <w:tblInd w:w="720" w:type="dxa"/>
          <w:tblLook w:val="04A0"/>
        </w:tblPrEx>
        <w:tc>
          <w:tcPr>
            <w:tcW w:w="1870" w:type="dxa"/>
            <w:tcBorders>
              <w:right w:val="double" w:sz="4" w:space="0" w:color="auto"/>
            </w:tcBorders>
          </w:tcPr>
          <w:p w:rsidR="00DE602F" w:rsidP="00DE602F" w14:paraId="29FC32E9" w14:textId="7C0CB1EE">
            <w:pPr>
              <w:pStyle w:val="ParaNum"/>
              <w:numPr>
                <w:ilvl w:val="0"/>
                <w:numId w:val="0"/>
              </w:numPr>
            </w:pPr>
            <w:r>
              <w:t>Sony</w:t>
            </w:r>
          </w:p>
        </w:tc>
        <w:tc>
          <w:tcPr>
            <w:tcW w:w="1870" w:type="dxa"/>
            <w:tcBorders>
              <w:left w:val="double" w:sz="4" w:space="0" w:color="auto"/>
            </w:tcBorders>
          </w:tcPr>
          <w:p w:rsidR="00DE602F" w:rsidP="004E6957" w14:paraId="4B39D382" w14:textId="09CC9192">
            <w:pPr>
              <w:pStyle w:val="ParaNum"/>
              <w:numPr>
                <w:ilvl w:val="0"/>
                <w:numId w:val="0"/>
              </w:numPr>
              <w:jc w:val="center"/>
            </w:pPr>
            <w:r>
              <w:t>9/11/23</w:t>
            </w:r>
          </w:p>
        </w:tc>
        <w:tc>
          <w:tcPr>
            <w:tcW w:w="1870" w:type="dxa"/>
          </w:tcPr>
          <w:p w:rsidR="00DE602F" w:rsidP="004E6957" w14:paraId="04740B48" w14:textId="6E9C88FF">
            <w:pPr>
              <w:pStyle w:val="ParaNum"/>
              <w:numPr>
                <w:ilvl w:val="0"/>
                <w:numId w:val="0"/>
              </w:numPr>
              <w:jc w:val="center"/>
            </w:pPr>
            <w:r>
              <w:t>10/26/23</w:t>
            </w:r>
          </w:p>
        </w:tc>
        <w:tc>
          <w:tcPr>
            <w:tcW w:w="1870" w:type="dxa"/>
          </w:tcPr>
          <w:p w:rsidR="00DE602F" w:rsidP="004E6957" w14:paraId="72E16F97" w14:textId="78403BAC">
            <w:pPr>
              <w:pStyle w:val="ParaNum"/>
              <w:numPr>
                <w:ilvl w:val="0"/>
                <w:numId w:val="0"/>
              </w:numPr>
              <w:jc w:val="center"/>
            </w:pPr>
            <w:r>
              <w:t>691</w:t>
            </w:r>
          </w:p>
        </w:tc>
        <w:tc>
          <w:tcPr>
            <w:tcW w:w="1870" w:type="dxa"/>
          </w:tcPr>
          <w:p w:rsidR="00DE602F" w:rsidP="004E6957" w14:paraId="4D82FB07" w14:textId="351E5F37">
            <w:pPr>
              <w:pStyle w:val="ParaNum"/>
              <w:numPr>
                <w:ilvl w:val="0"/>
                <w:numId w:val="0"/>
              </w:numPr>
              <w:jc w:val="center"/>
            </w:pPr>
            <w:r>
              <w:t>120</w:t>
            </w:r>
          </w:p>
        </w:tc>
      </w:tr>
      <w:tr w14:paraId="5233855B" w14:textId="77777777" w:rsidTr="00170CB7">
        <w:tblPrEx>
          <w:tblW w:w="0" w:type="auto"/>
          <w:tblInd w:w="720" w:type="dxa"/>
          <w:tblLook w:val="04A0"/>
        </w:tblPrEx>
        <w:tc>
          <w:tcPr>
            <w:tcW w:w="1870" w:type="dxa"/>
            <w:tcBorders>
              <w:right w:val="double" w:sz="4" w:space="0" w:color="auto"/>
            </w:tcBorders>
          </w:tcPr>
          <w:p w:rsidR="00DE602F" w:rsidP="00DE602F" w14:paraId="519AB77B" w14:textId="0F7353F7">
            <w:pPr>
              <w:pStyle w:val="ParaNum"/>
              <w:numPr>
                <w:ilvl w:val="0"/>
                <w:numId w:val="0"/>
              </w:numPr>
            </w:pPr>
            <w:r>
              <w:t>Federated</w:t>
            </w:r>
            <w:r w:rsidR="00997022">
              <w:t xml:space="preserve"> Wireless</w:t>
            </w:r>
          </w:p>
        </w:tc>
        <w:tc>
          <w:tcPr>
            <w:tcW w:w="1870" w:type="dxa"/>
            <w:tcBorders>
              <w:left w:val="double" w:sz="4" w:space="0" w:color="auto"/>
            </w:tcBorders>
          </w:tcPr>
          <w:p w:rsidR="00DE602F" w:rsidP="004E6957" w14:paraId="377DDAC0" w14:textId="2C7C73DB">
            <w:pPr>
              <w:pStyle w:val="ParaNum"/>
              <w:numPr>
                <w:ilvl w:val="0"/>
                <w:numId w:val="0"/>
              </w:numPr>
              <w:jc w:val="center"/>
            </w:pPr>
            <w:r>
              <w:t>9/7/23</w:t>
            </w:r>
          </w:p>
        </w:tc>
        <w:tc>
          <w:tcPr>
            <w:tcW w:w="1870" w:type="dxa"/>
          </w:tcPr>
          <w:p w:rsidR="00DE602F" w:rsidP="004E6957" w14:paraId="723DD542" w14:textId="3A521261">
            <w:pPr>
              <w:pStyle w:val="ParaNum"/>
              <w:numPr>
                <w:ilvl w:val="0"/>
                <w:numId w:val="0"/>
              </w:numPr>
              <w:jc w:val="center"/>
            </w:pPr>
            <w:r>
              <w:t>10/22/23</w:t>
            </w:r>
          </w:p>
        </w:tc>
        <w:tc>
          <w:tcPr>
            <w:tcW w:w="1870" w:type="dxa"/>
          </w:tcPr>
          <w:p w:rsidR="00DE602F" w:rsidP="004E6957" w14:paraId="492B3931" w14:textId="584067D7">
            <w:pPr>
              <w:pStyle w:val="ParaNum"/>
              <w:numPr>
                <w:ilvl w:val="0"/>
                <w:numId w:val="0"/>
              </w:numPr>
              <w:jc w:val="center"/>
            </w:pPr>
            <w:r>
              <w:t>730</w:t>
            </w:r>
          </w:p>
        </w:tc>
        <w:tc>
          <w:tcPr>
            <w:tcW w:w="1870" w:type="dxa"/>
          </w:tcPr>
          <w:p w:rsidR="00DE602F" w:rsidP="004E6957" w14:paraId="1A3DDC27" w14:textId="5AC640AE">
            <w:pPr>
              <w:pStyle w:val="ParaNum"/>
              <w:numPr>
                <w:ilvl w:val="0"/>
                <w:numId w:val="0"/>
              </w:numPr>
              <w:jc w:val="center"/>
            </w:pPr>
            <w:r>
              <w:t>96</w:t>
            </w:r>
          </w:p>
        </w:tc>
      </w:tr>
      <w:tr w14:paraId="70048A07" w14:textId="77777777" w:rsidTr="00170CB7">
        <w:tblPrEx>
          <w:tblW w:w="0" w:type="auto"/>
          <w:tblInd w:w="720" w:type="dxa"/>
          <w:tblLook w:val="04A0"/>
        </w:tblPrEx>
        <w:tc>
          <w:tcPr>
            <w:tcW w:w="1870" w:type="dxa"/>
            <w:tcBorders>
              <w:right w:val="double" w:sz="4" w:space="0" w:color="auto"/>
            </w:tcBorders>
          </w:tcPr>
          <w:p w:rsidR="00170CB7" w:rsidP="00DE602F" w14:paraId="3F3B1EDF" w14:textId="0DBDB930">
            <w:pPr>
              <w:pStyle w:val="ParaNum"/>
              <w:numPr>
                <w:ilvl w:val="0"/>
                <w:numId w:val="0"/>
              </w:numPr>
            </w:pPr>
            <w:r>
              <w:t>Coms</w:t>
            </w:r>
            <w:r w:rsidR="00EB244D">
              <w:t>earch</w:t>
            </w:r>
          </w:p>
        </w:tc>
        <w:tc>
          <w:tcPr>
            <w:tcW w:w="1870" w:type="dxa"/>
            <w:tcBorders>
              <w:left w:val="double" w:sz="4" w:space="0" w:color="auto"/>
            </w:tcBorders>
          </w:tcPr>
          <w:p w:rsidR="00170CB7" w:rsidP="004E6957" w14:paraId="5A1C1B7D" w14:textId="20FB354F">
            <w:pPr>
              <w:pStyle w:val="ParaNum"/>
              <w:numPr>
                <w:ilvl w:val="0"/>
                <w:numId w:val="0"/>
              </w:numPr>
              <w:jc w:val="center"/>
            </w:pPr>
            <w:r>
              <w:t>9/8/23</w:t>
            </w:r>
          </w:p>
        </w:tc>
        <w:tc>
          <w:tcPr>
            <w:tcW w:w="1870" w:type="dxa"/>
          </w:tcPr>
          <w:p w:rsidR="00170CB7" w:rsidP="004E6957" w14:paraId="03577962" w14:textId="65BFF959">
            <w:pPr>
              <w:pStyle w:val="ParaNum"/>
              <w:numPr>
                <w:ilvl w:val="0"/>
                <w:numId w:val="0"/>
              </w:numPr>
              <w:jc w:val="center"/>
            </w:pPr>
            <w:r>
              <w:t>10/23/23</w:t>
            </w:r>
          </w:p>
        </w:tc>
        <w:tc>
          <w:tcPr>
            <w:tcW w:w="1870" w:type="dxa"/>
          </w:tcPr>
          <w:p w:rsidR="00170CB7" w:rsidP="004E6957" w14:paraId="4DD85874" w14:textId="7DBA5D19">
            <w:pPr>
              <w:pStyle w:val="ParaNum"/>
              <w:numPr>
                <w:ilvl w:val="0"/>
                <w:numId w:val="0"/>
              </w:numPr>
              <w:jc w:val="center"/>
            </w:pPr>
            <w:r>
              <w:t>686</w:t>
            </w:r>
          </w:p>
        </w:tc>
        <w:tc>
          <w:tcPr>
            <w:tcW w:w="1870" w:type="dxa"/>
          </w:tcPr>
          <w:p w:rsidR="00170CB7" w:rsidP="004E6957" w14:paraId="7FC6284A" w14:textId="45118D57">
            <w:pPr>
              <w:pStyle w:val="ParaNum"/>
              <w:numPr>
                <w:ilvl w:val="0"/>
                <w:numId w:val="0"/>
              </w:numPr>
              <w:jc w:val="center"/>
            </w:pPr>
            <w:r>
              <w:t>11</w:t>
            </w:r>
            <w:r w:rsidR="009F562C">
              <w:t>7</w:t>
            </w:r>
          </w:p>
        </w:tc>
      </w:tr>
    </w:tbl>
    <w:p w:rsidR="00210C03" w:rsidP="00DE602F" w14:paraId="38C7F416" w14:textId="77777777">
      <w:pPr>
        <w:pStyle w:val="ParaNum"/>
        <w:numPr>
          <w:ilvl w:val="0"/>
          <w:numId w:val="0"/>
        </w:numPr>
        <w:ind w:left="720"/>
      </w:pPr>
    </w:p>
    <w:p w:rsidR="00453FED" w:rsidP="009E2E71" w14:paraId="53388E11" w14:textId="5CE6D3E2">
      <w:pPr>
        <w:pStyle w:val="ParaNum"/>
      </w:pPr>
      <w:r>
        <w:t xml:space="preserve">Over 500 test locations were submitted to each </w:t>
      </w:r>
      <w:r w:rsidR="000E16AE">
        <w:t>AFC public portal</w:t>
      </w:r>
      <w:r w:rsidR="00341CA4">
        <w:t>,</w:t>
      </w:r>
      <w:r w:rsidR="000E16AE">
        <w:t xml:space="preserve"> which </w:t>
      </w:r>
      <w:r w:rsidR="00535F5A">
        <w:t>illustrates</w:t>
      </w:r>
      <w:r w:rsidR="000E16AE">
        <w:t xml:space="preserve"> that the public rigorous</w:t>
      </w:r>
      <w:r w:rsidR="00145A7F">
        <w:t>ly</w:t>
      </w:r>
      <w:r w:rsidR="000E16AE">
        <w:t xml:space="preserve"> </w:t>
      </w:r>
      <w:r w:rsidR="00145A7F">
        <w:t>vetted each</w:t>
      </w:r>
      <w:r w:rsidR="000E16AE">
        <w:t xml:space="preserve"> AFC system</w:t>
      </w:r>
      <w:r w:rsidR="00145A7F">
        <w:t>’</w:t>
      </w:r>
      <w:r w:rsidR="000E16AE">
        <w:t>s</w:t>
      </w:r>
      <w:r w:rsidR="00145A7F">
        <w:t xml:space="preserve"> capabilities</w:t>
      </w:r>
      <w:r w:rsidR="000E16AE">
        <w:t>.</w:t>
      </w:r>
      <w:r w:rsidR="00535F5A">
        <w:t xml:space="preserve">  The </w:t>
      </w:r>
      <w:r w:rsidR="00C54A8B">
        <w:t xml:space="preserve">vast majority of these inquiries </w:t>
      </w:r>
      <w:r w:rsidR="00535F5A">
        <w:t xml:space="preserve">did not result in a challenge being submitted to the AFC applicant.  </w:t>
      </w:r>
      <w:r w:rsidR="00A50D4F">
        <w:t>All seven AFC applicants received challenges from AT&amp;T and the Electric Power Research Institute (EPRI).  In addition, several AFC applicants also received challenges from FirstEnergy</w:t>
      </w:r>
      <w:r w:rsidR="00DE3F24">
        <w:t xml:space="preserve"> Corp</w:t>
      </w:r>
      <w:r w:rsidR="00A50D4F">
        <w:t xml:space="preserve">.  </w:t>
      </w:r>
      <w:r w:rsidR="00E43B9C">
        <w:t xml:space="preserve">In their </w:t>
      </w:r>
      <w:r w:rsidR="002439DE">
        <w:t>public trial</w:t>
      </w:r>
      <w:r w:rsidR="00E43B9C">
        <w:t xml:space="preserve"> reports</w:t>
      </w:r>
      <w:r>
        <w:t xml:space="preserve">, </w:t>
      </w:r>
      <w:r>
        <w:t>t</w:t>
      </w:r>
      <w:r>
        <w:t xml:space="preserve">he AFC applicants </w:t>
      </w:r>
      <w:r w:rsidR="00341CA4">
        <w:t xml:space="preserve">described that there </w:t>
      </w:r>
      <w:r>
        <w:t xml:space="preserve">were reasonable explanations for the challenged results, </w:t>
      </w:r>
      <w:r w:rsidR="00117BF9">
        <w:t xml:space="preserve">that </w:t>
      </w:r>
      <w:r>
        <w:t xml:space="preserve">the challenges would require modification of the Commission’s rules governing AFC systems, or, in a small number of cases, that minor adjustments were needed to the AFC systems.  As described in more detail below, </w:t>
      </w:r>
      <w:r w:rsidR="006B21E0">
        <w:t>we find that</w:t>
      </w:r>
      <w:r>
        <w:t xml:space="preserve"> the public trial reports provided adequate explanations regarding the challenges received</w:t>
      </w:r>
      <w:r w:rsidR="002064EA">
        <w:t xml:space="preserve"> and satisfactory actions were taken, where appropriate, to modify the AFC systems</w:t>
      </w:r>
      <w:r>
        <w:t>.  Therefore, we conclude that the</w:t>
      </w:r>
      <w:r w:rsidR="00A50D4F">
        <w:t xml:space="preserve"> seven AFC applicants satisfactorily completed the public trial process.  The</w:t>
      </w:r>
      <w:r>
        <w:t xml:space="preserve"> public trial</w:t>
      </w:r>
      <w:r w:rsidR="00341CA4">
        <w:t>s</w:t>
      </w:r>
      <w:r>
        <w:t xml:space="preserve"> provide strong evidence that these seven AFC systems function as specified in the Commission’s rules.  </w:t>
      </w:r>
    </w:p>
    <w:p w:rsidR="00D84A15" w:rsidP="00AD0A8B" w14:paraId="71237949" w14:textId="6F52BBDE">
      <w:pPr>
        <w:pStyle w:val="Heading2"/>
      </w:pPr>
      <w:r>
        <w:t>AT&amp;T Challenges</w:t>
      </w:r>
    </w:p>
    <w:p w:rsidR="00CD29AD" w:rsidRPr="00D54F23" w:rsidP="00D9697B" w14:paraId="670316AE" w14:textId="5B54D249">
      <w:pPr>
        <w:pStyle w:val="ParaNum"/>
        <w:rPr>
          <w:szCs w:val="22"/>
        </w:rPr>
      </w:pPr>
      <w:r>
        <w:t>AT&amp;T</w:t>
      </w:r>
      <w:r w:rsidR="00D84A15">
        <w:t xml:space="preserve"> submitted challenges to each of the seven AFC applicants</w:t>
      </w:r>
      <w:r w:rsidR="00BD5D47">
        <w:t xml:space="preserve"> during the public trials</w:t>
      </w:r>
      <w:r w:rsidR="00D84A15">
        <w:t xml:space="preserve">.  AT&amp;T indicates that </w:t>
      </w:r>
      <w:r w:rsidR="00E748E0">
        <w:t>it</w:t>
      </w:r>
      <w:r w:rsidR="00D84A15">
        <w:t xml:space="preserve"> spent a significant amount of time working with the AFC applicants to identify the </w:t>
      </w:r>
      <w:r w:rsidR="00F51916">
        <w:t xml:space="preserve">precise </w:t>
      </w:r>
      <w:r w:rsidR="00D84A15">
        <w:t>cause</w:t>
      </w:r>
      <w:r w:rsidR="00F51916">
        <w:t>s</w:t>
      </w:r>
      <w:r w:rsidR="00D84A15">
        <w:t xml:space="preserve"> of the differences between the </w:t>
      </w:r>
      <w:r w:rsidR="00F51916">
        <w:t xml:space="preserve">results calculated by the </w:t>
      </w:r>
      <w:r w:rsidR="00D84A15">
        <w:t>AFC system</w:t>
      </w:r>
      <w:r w:rsidR="00F51916">
        <w:t xml:space="preserve">s </w:t>
      </w:r>
      <w:r w:rsidR="00D84A15">
        <w:t xml:space="preserve">and </w:t>
      </w:r>
      <w:r w:rsidR="00F51916">
        <w:t xml:space="preserve">the results </w:t>
      </w:r>
      <w:r w:rsidR="00F51916">
        <w:t xml:space="preserve">calculated by </w:t>
      </w:r>
      <w:r w:rsidR="00D84A15">
        <w:t>AT&amp;T.</w:t>
      </w:r>
      <w:r>
        <w:rPr>
          <w:rStyle w:val="FootnoteReference"/>
        </w:rPr>
        <w:footnoteReference w:id="32"/>
      </w:r>
      <w:r>
        <w:t xml:space="preserve">  According to AT&amp;T, these efforts</w:t>
      </w:r>
      <w:r w:rsidR="00A97A5C">
        <w:t>,</w:t>
      </w:r>
      <w:r>
        <w:t xml:space="preserve"> in some cases</w:t>
      </w:r>
      <w:r w:rsidR="00A97A5C">
        <w:t>,</w:t>
      </w:r>
      <w:r>
        <w:t xml:space="preserve"> </w:t>
      </w:r>
      <w:r w:rsidRPr="00D54F23">
        <w:rPr>
          <w:szCs w:val="22"/>
        </w:rPr>
        <w:t xml:space="preserve">resulted in changes to AT&amp;T’s own calculations or </w:t>
      </w:r>
      <w:r w:rsidR="00630BFF">
        <w:rPr>
          <w:szCs w:val="22"/>
        </w:rPr>
        <w:t xml:space="preserve">in </w:t>
      </w:r>
      <w:r w:rsidRPr="00D54F23">
        <w:rPr>
          <w:szCs w:val="22"/>
        </w:rPr>
        <w:t>modifications to some of the AFC systems.</w:t>
      </w:r>
      <w:r>
        <w:rPr>
          <w:rStyle w:val="FootnoteReference"/>
          <w:szCs w:val="22"/>
        </w:rPr>
        <w:footnoteReference w:id="33"/>
      </w:r>
      <w:r w:rsidRPr="00D54F23">
        <w:rPr>
          <w:szCs w:val="22"/>
        </w:rPr>
        <w:t xml:space="preserve">  AT&amp;T </w:t>
      </w:r>
      <w:r w:rsidR="008D72A7">
        <w:rPr>
          <w:szCs w:val="22"/>
        </w:rPr>
        <w:t xml:space="preserve">observed </w:t>
      </w:r>
      <w:r w:rsidRPr="00D54F23">
        <w:rPr>
          <w:szCs w:val="22"/>
        </w:rPr>
        <w:t xml:space="preserve">that </w:t>
      </w:r>
      <w:r w:rsidR="00173E18">
        <w:rPr>
          <w:szCs w:val="22"/>
        </w:rPr>
        <w:t xml:space="preserve">this process </w:t>
      </w:r>
      <w:r w:rsidRPr="00D54F23">
        <w:rPr>
          <w:szCs w:val="22"/>
        </w:rPr>
        <w:t>illustrated that reasonable engineers can differ with respect to how propagation calculations are implemented.</w:t>
      </w:r>
      <w:r>
        <w:rPr>
          <w:rStyle w:val="FootnoteReference"/>
          <w:szCs w:val="22"/>
        </w:rPr>
        <w:footnoteReference w:id="34"/>
      </w:r>
      <w:r w:rsidRPr="00D54F23" w:rsidR="00D9697B">
        <w:rPr>
          <w:szCs w:val="22"/>
        </w:rPr>
        <w:t xml:space="preserve">  While AT&amp;T </w:t>
      </w:r>
      <w:r w:rsidRPr="00D54F23" w:rsidR="00DC61D2">
        <w:rPr>
          <w:szCs w:val="22"/>
        </w:rPr>
        <w:t xml:space="preserve">indicates that </w:t>
      </w:r>
      <w:r w:rsidR="006C3AC4">
        <w:rPr>
          <w:szCs w:val="22"/>
        </w:rPr>
        <w:t>it does</w:t>
      </w:r>
      <w:r w:rsidRPr="00D54F23" w:rsidR="00D9697B">
        <w:rPr>
          <w:szCs w:val="22"/>
        </w:rPr>
        <w:t xml:space="preserve"> not believe that the public trial </w:t>
      </w:r>
      <w:r w:rsidRPr="00D54F23" w:rsidR="006C3AC4">
        <w:rPr>
          <w:szCs w:val="22"/>
        </w:rPr>
        <w:t xml:space="preserve">results </w:t>
      </w:r>
      <w:r w:rsidRPr="00D54F23" w:rsidR="00D9697B">
        <w:rPr>
          <w:szCs w:val="22"/>
        </w:rPr>
        <w:t xml:space="preserve">warrant deferring action on the AFC applications, </w:t>
      </w:r>
      <w:r w:rsidR="006C3AC4">
        <w:rPr>
          <w:szCs w:val="22"/>
        </w:rPr>
        <w:t xml:space="preserve">it does </w:t>
      </w:r>
      <w:r w:rsidRPr="00D54F23" w:rsidR="00D9697B">
        <w:rPr>
          <w:szCs w:val="22"/>
        </w:rPr>
        <w:t xml:space="preserve">request that </w:t>
      </w:r>
      <w:r w:rsidR="006C3AC4">
        <w:rPr>
          <w:szCs w:val="22"/>
        </w:rPr>
        <w:t>AFC system</w:t>
      </w:r>
      <w:r w:rsidRPr="00D54F23" w:rsidR="00D9697B">
        <w:rPr>
          <w:szCs w:val="22"/>
        </w:rPr>
        <w:t xml:space="preserve"> approval be conditioned </w:t>
      </w:r>
      <w:r w:rsidRPr="00D54F23" w:rsidR="00D9697B">
        <w:rPr>
          <w:snapToGrid/>
          <w:kern w:val="0"/>
          <w:szCs w:val="22"/>
        </w:rPr>
        <w:t>to ensure continued compliance with inter-industry agreements and o</w:t>
      </w:r>
      <w:r w:rsidR="002A63D7">
        <w:rPr>
          <w:snapToGrid/>
          <w:kern w:val="0"/>
          <w:szCs w:val="22"/>
        </w:rPr>
        <w:t>n good faith efforts by the AFC system operators</w:t>
      </w:r>
      <w:r w:rsidRPr="00D54F23" w:rsidR="00D9697B">
        <w:rPr>
          <w:snapToGrid/>
          <w:kern w:val="0"/>
          <w:szCs w:val="22"/>
        </w:rPr>
        <w:t xml:space="preserve"> </w:t>
      </w:r>
      <w:r w:rsidR="002A63D7">
        <w:rPr>
          <w:snapToGrid/>
          <w:kern w:val="0"/>
          <w:szCs w:val="22"/>
        </w:rPr>
        <w:t xml:space="preserve">to work within inter-industry organizations, such as </w:t>
      </w:r>
      <w:r w:rsidR="002A63D7">
        <w:rPr>
          <w:snapToGrid/>
          <w:kern w:val="0"/>
          <w:szCs w:val="22"/>
        </w:rPr>
        <w:t>WInnForum</w:t>
      </w:r>
      <w:r w:rsidR="002A63D7">
        <w:rPr>
          <w:snapToGrid/>
          <w:kern w:val="0"/>
          <w:szCs w:val="22"/>
        </w:rPr>
        <w:t xml:space="preserve"> that include both radio local area network (RLAN) and Fixed Service (FS) interest groups, to collaborate on issues affecting AFC system calculations</w:t>
      </w:r>
      <w:r w:rsidRPr="00D54F23" w:rsidR="00D9697B">
        <w:rPr>
          <w:snapToGrid/>
          <w:kern w:val="0"/>
          <w:szCs w:val="22"/>
        </w:rPr>
        <w:t>.</w:t>
      </w:r>
      <w:r>
        <w:rPr>
          <w:rStyle w:val="FootnoteReference"/>
          <w:snapToGrid/>
          <w:kern w:val="0"/>
          <w:szCs w:val="22"/>
        </w:rPr>
        <w:footnoteReference w:id="35"/>
      </w:r>
      <w:r w:rsidRPr="00D54F23" w:rsidR="00C06D62">
        <w:rPr>
          <w:snapToGrid/>
          <w:kern w:val="0"/>
          <w:szCs w:val="22"/>
        </w:rPr>
        <w:t xml:space="preserve">  </w:t>
      </w:r>
      <w:r w:rsidR="00037DE1">
        <w:rPr>
          <w:snapToGrid/>
          <w:kern w:val="0"/>
          <w:szCs w:val="22"/>
        </w:rPr>
        <w:t>AT&amp;T also requests that the Commission condition AFC system approvals on a requirement to seek prior approval for any future modifications to AFC system calculations that are not subject to inter-industry agreement</w:t>
      </w:r>
      <w:r w:rsidR="00B33CB5">
        <w:rPr>
          <w:snapToGrid/>
          <w:kern w:val="0"/>
          <w:szCs w:val="22"/>
        </w:rPr>
        <w:t xml:space="preserve"> through an organization like </w:t>
      </w:r>
      <w:r w:rsidR="00B33CB5">
        <w:rPr>
          <w:snapToGrid/>
          <w:kern w:val="0"/>
          <w:szCs w:val="22"/>
        </w:rPr>
        <w:t>W</w:t>
      </w:r>
      <w:r w:rsidR="00E52082">
        <w:rPr>
          <w:snapToGrid/>
          <w:kern w:val="0"/>
          <w:szCs w:val="22"/>
        </w:rPr>
        <w:t>I</w:t>
      </w:r>
      <w:r w:rsidR="00B33CB5">
        <w:rPr>
          <w:snapToGrid/>
          <w:kern w:val="0"/>
          <w:szCs w:val="22"/>
        </w:rPr>
        <w:t>nnForum</w:t>
      </w:r>
      <w:r w:rsidR="00B33CB5">
        <w:rPr>
          <w:snapToGrid/>
          <w:kern w:val="0"/>
          <w:szCs w:val="22"/>
        </w:rPr>
        <w:t>.</w:t>
      </w:r>
      <w:r>
        <w:rPr>
          <w:rStyle w:val="FootnoteReference"/>
          <w:szCs w:val="22"/>
        </w:rPr>
        <w:footnoteReference w:id="36"/>
      </w:r>
      <w:r w:rsidR="00B33CB5">
        <w:rPr>
          <w:snapToGrid/>
          <w:kern w:val="0"/>
          <w:szCs w:val="22"/>
        </w:rPr>
        <w:t xml:space="preserve">  </w:t>
      </w:r>
      <w:r w:rsidRPr="00D54F23" w:rsidR="006F65DF">
        <w:rPr>
          <w:snapToGrid/>
          <w:kern w:val="0"/>
          <w:szCs w:val="22"/>
        </w:rPr>
        <w:t>AT&amp;T request</w:t>
      </w:r>
      <w:r w:rsidR="001428E1">
        <w:rPr>
          <w:snapToGrid/>
          <w:kern w:val="0"/>
          <w:szCs w:val="22"/>
        </w:rPr>
        <w:t>s</w:t>
      </w:r>
      <w:r w:rsidRPr="00D54F23" w:rsidR="006F65DF">
        <w:rPr>
          <w:snapToGrid/>
          <w:kern w:val="0"/>
          <w:szCs w:val="22"/>
        </w:rPr>
        <w:t xml:space="preserve"> that the AFC system operators be required to </w:t>
      </w:r>
      <w:r w:rsidRPr="00D54F23" w:rsidR="00B64B72">
        <w:rPr>
          <w:snapToGrid/>
          <w:kern w:val="0"/>
          <w:szCs w:val="22"/>
        </w:rPr>
        <w:t xml:space="preserve">provide notice in this docket of any future </w:t>
      </w:r>
      <w:r w:rsidR="002733E3">
        <w:rPr>
          <w:snapToGrid/>
          <w:kern w:val="0"/>
          <w:szCs w:val="22"/>
        </w:rPr>
        <w:t>changes</w:t>
      </w:r>
      <w:r w:rsidRPr="00D54F23" w:rsidR="002733E3">
        <w:rPr>
          <w:snapToGrid/>
          <w:kern w:val="0"/>
          <w:szCs w:val="22"/>
        </w:rPr>
        <w:t xml:space="preserve"> </w:t>
      </w:r>
      <w:r w:rsidRPr="00D54F23" w:rsidR="00B64B72">
        <w:rPr>
          <w:snapToGrid/>
          <w:kern w:val="0"/>
          <w:szCs w:val="22"/>
        </w:rPr>
        <w:t>to their AFC systems that are not subject to cross-industry consensus and that the changes should be subject to Commission review, including potentially requiring a new public trial period</w:t>
      </w:r>
      <w:r w:rsidRPr="00D54F23" w:rsidR="006F65DF">
        <w:rPr>
          <w:snapToGrid/>
          <w:kern w:val="0"/>
          <w:szCs w:val="22"/>
        </w:rPr>
        <w:t>.</w:t>
      </w:r>
      <w:r>
        <w:rPr>
          <w:rStyle w:val="FootnoteReference"/>
          <w:snapToGrid/>
          <w:kern w:val="0"/>
          <w:szCs w:val="22"/>
        </w:rPr>
        <w:footnoteReference w:id="37"/>
      </w:r>
      <w:r w:rsidRPr="00D54F23" w:rsidR="006F65DF">
        <w:rPr>
          <w:snapToGrid/>
          <w:kern w:val="0"/>
          <w:szCs w:val="22"/>
        </w:rPr>
        <w:t xml:space="preserve">     </w:t>
      </w:r>
      <w:r w:rsidRPr="00D54F23" w:rsidR="00D9697B">
        <w:rPr>
          <w:snapToGrid/>
          <w:kern w:val="0"/>
          <w:szCs w:val="22"/>
        </w:rPr>
        <w:t xml:space="preserve">  </w:t>
      </w:r>
    </w:p>
    <w:p w:rsidR="00C06D62" w:rsidP="009E2E71" w14:paraId="7E6581E1" w14:textId="15285F0D">
      <w:pPr>
        <w:pStyle w:val="ParaNum"/>
      </w:pPr>
      <w:r w:rsidRPr="00D54F23">
        <w:rPr>
          <w:szCs w:val="22"/>
        </w:rPr>
        <w:t xml:space="preserve">We </w:t>
      </w:r>
      <w:r w:rsidRPr="00D54F23" w:rsidR="00043276">
        <w:rPr>
          <w:szCs w:val="22"/>
        </w:rPr>
        <w:t>appreciate</w:t>
      </w:r>
      <w:r w:rsidRPr="00D54F23">
        <w:rPr>
          <w:szCs w:val="22"/>
        </w:rPr>
        <w:t xml:space="preserve"> the significant effort </w:t>
      </w:r>
      <w:r w:rsidRPr="00D54F23" w:rsidR="00043276">
        <w:rPr>
          <w:szCs w:val="22"/>
        </w:rPr>
        <w:t>AT&amp;T</w:t>
      </w:r>
      <w:r w:rsidRPr="00D54F23">
        <w:rPr>
          <w:szCs w:val="22"/>
        </w:rPr>
        <w:t xml:space="preserve"> made in working with the AFC applicants to understand the public trial results.  The </w:t>
      </w:r>
      <w:r w:rsidR="002439DE">
        <w:rPr>
          <w:szCs w:val="22"/>
        </w:rPr>
        <w:t>public trial</w:t>
      </w:r>
      <w:r w:rsidRPr="00D54F23">
        <w:rPr>
          <w:szCs w:val="22"/>
        </w:rPr>
        <w:t xml:space="preserve"> reports indicate that </w:t>
      </w:r>
      <w:r w:rsidRPr="00D54F23" w:rsidR="00D9697B">
        <w:rPr>
          <w:szCs w:val="22"/>
        </w:rPr>
        <w:t xml:space="preserve">AT&amp;T and </w:t>
      </w:r>
      <w:r w:rsidRPr="00D54F23" w:rsidR="00CD6D9F">
        <w:rPr>
          <w:szCs w:val="22"/>
        </w:rPr>
        <w:t xml:space="preserve">the AFC applicants </w:t>
      </w:r>
      <w:r w:rsidR="007D23C1">
        <w:rPr>
          <w:szCs w:val="22"/>
        </w:rPr>
        <w:t xml:space="preserve">satisfactorily resolved </w:t>
      </w:r>
      <w:r w:rsidRPr="00D54F23" w:rsidR="00CD6D9F">
        <w:rPr>
          <w:szCs w:val="22"/>
        </w:rPr>
        <w:t>all of AT&amp;T’s</w:t>
      </w:r>
      <w:r w:rsidRPr="00D54F23">
        <w:rPr>
          <w:szCs w:val="22"/>
        </w:rPr>
        <w:t xml:space="preserve"> challenges</w:t>
      </w:r>
      <w:r w:rsidRPr="00D54F23" w:rsidR="00CD6D9F">
        <w:rPr>
          <w:szCs w:val="22"/>
        </w:rPr>
        <w:t>.</w:t>
      </w:r>
      <w:r w:rsidR="00141673">
        <w:rPr>
          <w:rStyle w:val="FootnoteReference"/>
          <w:szCs w:val="22"/>
        </w:rPr>
        <w:t xml:space="preserve"> </w:t>
      </w:r>
      <w:r w:rsidRPr="00D54F23" w:rsidR="00BD5D47">
        <w:rPr>
          <w:szCs w:val="22"/>
        </w:rPr>
        <w:t xml:space="preserve"> </w:t>
      </w:r>
      <w:r w:rsidRPr="00D54F23">
        <w:rPr>
          <w:szCs w:val="22"/>
        </w:rPr>
        <w:t xml:space="preserve"> </w:t>
      </w:r>
      <w:r w:rsidRPr="00D54F23" w:rsidR="00BD5D47">
        <w:rPr>
          <w:szCs w:val="22"/>
        </w:rPr>
        <w:t xml:space="preserve">As the public trial reports indicate, some of these challenges resulted in AFC applicants </w:t>
      </w:r>
      <w:r w:rsidR="00D979A0">
        <w:rPr>
          <w:szCs w:val="22"/>
        </w:rPr>
        <w:t xml:space="preserve">modifying </w:t>
      </w:r>
      <w:r w:rsidRPr="00D54F23" w:rsidR="00BD5D47">
        <w:rPr>
          <w:szCs w:val="22"/>
        </w:rPr>
        <w:t>their AFC systems.  These modifications appear to be straightforward</w:t>
      </w:r>
      <w:r w:rsidR="0029606A">
        <w:rPr>
          <w:szCs w:val="22"/>
        </w:rPr>
        <w:t>,</w:t>
      </w:r>
      <w:r w:rsidRPr="00D54F23" w:rsidR="00BD5D47">
        <w:rPr>
          <w:szCs w:val="22"/>
        </w:rPr>
        <w:t xml:space="preserve"> such as not</w:t>
      </w:r>
      <w:r w:rsidR="00BD5D47">
        <w:t xml:space="preserve"> permitting </w:t>
      </w:r>
      <w:r w:rsidRPr="003A06C2" w:rsidR="00BD5D47">
        <w:t>standard power devices to operate in off-shore locations</w:t>
      </w:r>
      <w:r>
        <w:rPr>
          <w:rStyle w:val="FootnoteReference"/>
        </w:rPr>
        <w:footnoteReference w:id="38"/>
      </w:r>
      <w:r w:rsidRPr="003A06C2" w:rsidR="00BD5D47">
        <w:t xml:space="preserve"> or outside the boundaries of the United States</w:t>
      </w:r>
      <w:r>
        <w:rPr>
          <w:rStyle w:val="FootnoteReference"/>
        </w:rPr>
        <w:footnoteReference w:id="39"/>
      </w:r>
      <w:r w:rsidRPr="003A06C2" w:rsidR="00883CC1">
        <w:t xml:space="preserve"> or </w:t>
      </w:r>
      <w:r w:rsidRPr="003A06C2" w:rsidR="00F53EC5">
        <w:t xml:space="preserve">adjusting the </w:t>
      </w:r>
      <w:r w:rsidRPr="003A06C2" w:rsidR="00883CC1">
        <w:t xml:space="preserve">methodology </w:t>
      </w:r>
      <w:r w:rsidRPr="003A06C2" w:rsidR="00F53EC5">
        <w:t>used to determine</w:t>
      </w:r>
      <w:r w:rsidRPr="003A06C2" w:rsidR="00883CC1">
        <w:t xml:space="preserve"> the height to use in calculations involving passive microwave reflectors.</w:t>
      </w:r>
      <w:r>
        <w:rPr>
          <w:rStyle w:val="FootnoteReference"/>
        </w:rPr>
        <w:footnoteReference w:id="40"/>
      </w:r>
      <w:r w:rsidRPr="003A06C2" w:rsidR="00BD5D47">
        <w:t xml:space="preserve"> </w:t>
      </w:r>
      <w:r w:rsidRPr="003A06C2" w:rsidR="009C01C8">
        <w:t xml:space="preserve"> </w:t>
      </w:r>
      <w:r w:rsidRPr="003A06C2" w:rsidR="00BD5D47">
        <w:t xml:space="preserve">Given the nature of these </w:t>
      </w:r>
      <w:r w:rsidRPr="003A06C2" w:rsidR="00F14618">
        <w:t xml:space="preserve">AFC system </w:t>
      </w:r>
      <w:r w:rsidRPr="003A06C2" w:rsidR="00382121">
        <w:t xml:space="preserve">modifications </w:t>
      </w:r>
      <w:r w:rsidRPr="003A06C2" w:rsidR="00F638F5">
        <w:t xml:space="preserve">and the assertions </w:t>
      </w:r>
      <w:r w:rsidRPr="003A06C2" w:rsidR="00BD5D47">
        <w:t>that the</w:t>
      </w:r>
      <w:r w:rsidRPr="003A06C2" w:rsidR="00E5140C">
        <w:t xml:space="preserve"> AFC applicants</w:t>
      </w:r>
      <w:r w:rsidRPr="003A06C2" w:rsidR="00BD5D47">
        <w:t xml:space="preserve"> correct</w:t>
      </w:r>
      <w:r w:rsidRPr="003A06C2">
        <w:t>ed</w:t>
      </w:r>
      <w:r w:rsidRPr="003A06C2" w:rsidR="00E5140C">
        <w:t xml:space="preserve"> these</w:t>
      </w:r>
      <w:r w:rsidRPr="003A06C2" w:rsidR="009E0729">
        <w:t xml:space="preserve"> underlying</w:t>
      </w:r>
      <w:r w:rsidRPr="003A06C2" w:rsidR="00E5140C">
        <w:t xml:space="preserve"> issues</w:t>
      </w:r>
      <w:r w:rsidRPr="003A06C2" w:rsidR="0092000F">
        <w:t>, we</w:t>
      </w:r>
      <w:r w:rsidRPr="003A06C2" w:rsidR="00BD5D47">
        <w:t xml:space="preserve"> </w:t>
      </w:r>
      <w:r w:rsidRPr="003A06C2" w:rsidR="00524970">
        <w:t xml:space="preserve">find that </w:t>
      </w:r>
      <w:r w:rsidRPr="003A06C2" w:rsidR="00BD5D47">
        <w:t xml:space="preserve">additional testing is </w:t>
      </w:r>
      <w:r w:rsidRPr="003A06C2" w:rsidR="00524970">
        <w:t xml:space="preserve">not </w:t>
      </w:r>
      <w:r w:rsidRPr="003A06C2" w:rsidR="00BD5D47">
        <w:t>needed</w:t>
      </w:r>
      <w:r w:rsidRPr="003A06C2" w:rsidR="00E5140C">
        <w:t xml:space="preserve"> </w:t>
      </w:r>
      <w:r w:rsidRPr="003A06C2" w:rsidR="00D96A09">
        <w:t>regarding these</w:t>
      </w:r>
      <w:r w:rsidR="00D96A09">
        <w:t xml:space="preserve"> </w:t>
      </w:r>
      <w:r w:rsidR="009E0729">
        <w:t>issues</w:t>
      </w:r>
      <w:r w:rsidR="00BD5D47">
        <w:t>.</w:t>
      </w:r>
      <w:r w:rsidR="0050436A">
        <w:t xml:space="preserve">  </w:t>
      </w:r>
    </w:p>
    <w:p w:rsidR="007F5BFE" w:rsidP="009E2E71" w14:paraId="17B3CF64" w14:textId="6C1EEA50">
      <w:pPr>
        <w:pStyle w:val="ParaNum"/>
      </w:pPr>
      <w:r>
        <w:t>For other challenges, as AT&amp;T notes, the</w:t>
      </w:r>
      <w:r w:rsidR="00E5140C">
        <w:t xml:space="preserve"> explanations</w:t>
      </w:r>
      <w:r>
        <w:t xml:space="preserve"> illustrate that reasonable engineers can reach different conclusions on </w:t>
      </w:r>
      <w:r w:rsidR="00B46191">
        <w:t xml:space="preserve">many </w:t>
      </w:r>
      <w:r>
        <w:t xml:space="preserve">details of </w:t>
      </w:r>
      <w:r>
        <w:t xml:space="preserve">how the propagation models </w:t>
      </w:r>
      <w:r w:rsidR="00B46191">
        <w:t>are</w:t>
      </w:r>
      <w:r>
        <w:t xml:space="preserve"> implemented.  </w:t>
      </w:r>
      <w:r w:rsidR="00D12CB9">
        <w:t xml:space="preserve">For example, the AFC applicants used a National Land Clutter Database (NLCD) </w:t>
      </w:r>
      <w:r w:rsidR="00485854">
        <w:t xml:space="preserve">that </w:t>
      </w:r>
      <w:r w:rsidR="00D12CB9">
        <w:t xml:space="preserve">has been reformatted to match the </w:t>
      </w:r>
      <w:r w:rsidR="00D96A09">
        <w:t>latitude</w:t>
      </w:r>
      <w:r w:rsidR="00D12CB9">
        <w:t>/longitude grid spacing us</w:t>
      </w:r>
      <w:r w:rsidR="00FE6318">
        <w:t>ed</w:t>
      </w:r>
      <w:r w:rsidR="00D12CB9">
        <w:t xml:space="preserve"> by the</w:t>
      </w:r>
      <w:r w:rsidR="00FE6318">
        <w:t>ir</w:t>
      </w:r>
      <w:r w:rsidR="00D12CB9">
        <w:t xml:space="preserve"> AFC systems</w:t>
      </w:r>
      <w:r w:rsidR="000708C7">
        <w:t>,</w:t>
      </w:r>
      <w:r w:rsidR="00D12CB9">
        <w:t xml:space="preserve"> while AT&amp;T used the </w:t>
      </w:r>
      <w:r w:rsidR="00D96A09">
        <w:t>un</w:t>
      </w:r>
      <w:r w:rsidR="00FE6318">
        <w:t>modified</w:t>
      </w:r>
      <w:r w:rsidR="00D12CB9">
        <w:t xml:space="preserve"> NLCD</w:t>
      </w:r>
      <w:r w:rsidR="00FE6318">
        <w:t xml:space="preserve"> data</w:t>
      </w:r>
      <w:r w:rsidR="00D12CB9">
        <w:t>.</w:t>
      </w:r>
      <w:r>
        <w:rPr>
          <w:rStyle w:val="FootnoteReference"/>
        </w:rPr>
        <w:footnoteReference w:id="41"/>
      </w:r>
      <w:r w:rsidR="00D12CB9">
        <w:t xml:space="preserve">  This can result in a different land clutter category (urban, suburban, rural, barren) being used in the propagation models if the reformatting </w:t>
      </w:r>
      <w:r w:rsidR="00D96A09">
        <w:t>causes</w:t>
      </w:r>
      <w:r w:rsidR="00D12CB9">
        <w:t xml:space="preserve"> the test location </w:t>
      </w:r>
      <w:r w:rsidR="00D96A09">
        <w:t xml:space="preserve">to </w:t>
      </w:r>
      <w:r w:rsidR="00D12CB9">
        <w:t xml:space="preserve">be classified in a different clutter category.  Other differences were caused by </w:t>
      </w:r>
      <w:r w:rsidR="00454D11">
        <w:t xml:space="preserve">using a different set of evaluation points for the </w:t>
      </w:r>
      <w:r w:rsidR="00BA729D">
        <w:t>Irregular Terrain Model (</w:t>
      </w:r>
      <w:r w:rsidR="00454D11">
        <w:t>ITM</w:t>
      </w:r>
      <w:r w:rsidR="00BA729D">
        <w:t>)</w:t>
      </w:r>
      <w:r w:rsidR="00454D11">
        <w:t xml:space="preserve"> propagation model</w:t>
      </w:r>
      <w:r w:rsidR="00B46191">
        <w:t>,</w:t>
      </w:r>
      <w:r>
        <w:rPr>
          <w:rStyle w:val="FootnoteReference"/>
        </w:rPr>
        <w:footnoteReference w:id="42"/>
      </w:r>
      <w:r w:rsidR="00454D11">
        <w:t xml:space="preserve"> using a different set of evaluation points for the uncertainty region around the test points</w:t>
      </w:r>
      <w:r w:rsidR="00B46191">
        <w:t>,</w:t>
      </w:r>
      <w:r>
        <w:rPr>
          <w:rStyle w:val="FootnoteReference"/>
        </w:rPr>
        <w:footnoteReference w:id="43"/>
      </w:r>
      <w:r w:rsidR="00B46191">
        <w:t xml:space="preserve"> ignoring all microwave receivers more than 200 kilometers away from the test point,</w:t>
      </w:r>
      <w:r>
        <w:rPr>
          <w:rStyle w:val="FootnoteReference"/>
        </w:rPr>
        <w:footnoteReference w:id="44"/>
      </w:r>
      <w:r w:rsidR="00B46191">
        <w:t xml:space="preserve"> and replacing microwave receiver heights that are negative in the ULS data</w:t>
      </w:r>
      <w:r w:rsidR="0020483F">
        <w:t>base</w:t>
      </w:r>
      <w:r w:rsidR="00B46191">
        <w:t xml:space="preserve"> with </w:t>
      </w:r>
      <w:r w:rsidR="00D54F23">
        <w:t xml:space="preserve">a height of </w:t>
      </w:r>
      <w:r w:rsidR="00B46191">
        <w:t>1.5 meters</w:t>
      </w:r>
      <w:r w:rsidR="00454D11">
        <w:t>.</w:t>
      </w:r>
      <w:r>
        <w:rPr>
          <w:rStyle w:val="FootnoteReference"/>
        </w:rPr>
        <w:footnoteReference w:id="45"/>
      </w:r>
      <w:r w:rsidR="00454D11">
        <w:t xml:space="preserve">  The assumptions made by both AT&amp;T and AFC applicants for </w:t>
      </w:r>
      <w:r>
        <w:t xml:space="preserve">all </w:t>
      </w:r>
      <w:r w:rsidR="00454D11">
        <w:t>these cases appear to be reasonable.</w:t>
      </w:r>
      <w:r w:rsidR="00D96A09">
        <w:t xml:space="preserve">  For this reason</w:t>
      </w:r>
      <w:r w:rsidR="003E1143">
        <w:t>,</w:t>
      </w:r>
      <w:r w:rsidR="00D96A09">
        <w:t xml:space="preserve"> we agree with AT&amp;T that these implementation differences do not provide grounds for delaying approval of the AFC systems.  </w:t>
      </w:r>
      <w:r w:rsidR="0041438B">
        <w:t>In addition, we find that calculating availab</w:t>
      </w:r>
      <w:r w:rsidR="00E72E41">
        <w:t xml:space="preserve">le spectrum and permissible maximum power levels based on these differences does not result in any appreciable difference in the potential for unlicensed devices to cause harmful interference to incumbent systems.  </w:t>
      </w:r>
      <w:r w:rsidR="00D96A09">
        <w:t xml:space="preserve">  </w:t>
      </w:r>
    </w:p>
    <w:p w:rsidR="007F5BFE" w:rsidP="009E2E71" w14:paraId="476D48E1" w14:textId="06FEB610">
      <w:pPr>
        <w:pStyle w:val="ParaNum"/>
      </w:pPr>
      <w:r>
        <w:t xml:space="preserve">We </w:t>
      </w:r>
      <w:r>
        <w:t xml:space="preserve">agree with AT&amp;T that it would be useful for inter-industry organizations to develop standardized implementations </w:t>
      </w:r>
      <w:r w:rsidR="006A4525">
        <w:t xml:space="preserve">for </w:t>
      </w:r>
      <w:r>
        <w:t xml:space="preserve">the propagation models to </w:t>
      </w:r>
      <w:r w:rsidR="006E6431">
        <w:t>enable t</w:t>
      </w:r>
      <w:r w:rsidR="009D64BE">
        <w:t>he</w:t>
      </w:r>
      <w:r w:rsidR="006E6431">
        <w:t xml:space="preserve"> AFC systems to </w:t>
      </w:r>
      <w:r w:rsidR="0042541E">
        <w:t xml:space="preserve">provide </w:t>
      </w:r>
      <w:r w:rsidR="00196675">
        <w:t xml:space="preserve">more </w:t>
      </w:r>
      <w:r w:rsidR="006E6431">
        <w:t xml:space="preserve">consistent results in </w:t>
      </w:r>
      <w:r w:rsidR="00BD0D19">
        <w:t xml:space="preserve">all </w:t>
      </w:r>
      <w:r w:rsidR="006E6431">
        <w:t>cases</w:t>
      </w:r>
      <w:r>
        <w:t xml:space="preserve">.  We encourage inter-industry organizations that contain representatives </w:t>
      </w:r>
      <w:r w:rsidR="00DB49BE">
        <w:t xml:space="preserve">from </w:t>
      </w:r>
      <w:r>
        <w:t xml:space="preserve">both the AFC system </w:t>
      </w:r>
      <w:r w:rsidR="008B3380">
        <w:t xml:space="preserve">operators </w:t>
      </w:r>
      <w:r>
        <w:t xml:space="preserve">and microwave licensees, such as the </w:t>
      </w:r>
      <w:r>
        <w:t>W</w:t>
      </w:r>
      <w:r w:rsidR="00E52082">
        <w:t>I</w:t>
      </w:r>
      <w:r>
        <w:t>nnForum</w:t>
      </w:r>
      <w:r>
        <w:t xml:space="preserve">, to further study these implementation issues and </w:t>
      </w:r>
      <w:r w:rsidR="00CE4FA6">
        <w:t xml:space="preserve">any other issues that may be identified in the future to </w:t>
      </w:r>
      <w:r w:rsidR="0042541E">
        <w:t>develop</w:t>
      </w:r>
      <w:r>
        <w:t xml:space="preserve"> recommendations that can be used by the AFC systems in the future.  </w:t>
      </w:r>
      <w:r w:rsidR="00F931A8">
        <w:t>AT&amp;T suggest</w:t>
      </w:r>
      <w:r w:rsidR="007323C9">
        <w:t xml:space="preserve">s that as a </w:t>
      </w:r>
      <w:r w:rsidR="00F931A8">
        <w:t xml:space="preserve">condition </w:t>
      </w:r>
      <w:r w:rsidR="007323C9">
        <w:t xml:space="preserve">of AFC system </w:t>
      </w:r>
      <w:r w:rsidR="00F931A8">
        <w:t>approval</w:t>
      </w:r>
      <w:r w:rsidR="007323C9">
        <w:t xml:space="preserve">, we </w:t>
      </w:r>
      <w:r w:rsidR="00F931A8">
        <w:t xml:space="preserve"> </w:t>
      </w:r>
      <w:r w:rsidR="007323C9">
        <w:t xml:space="preserve">require </w:t>
      </w:r>
      <w:r w:rsidR="00F931A8">
        <w:t xml:space="preserve">AFC system operators </w:t>
      </w:r>
      <w:r w:rsidR="007323C9">
        <w:t xml:space="preserve">to </w:t>
      </w:r>
      <w:r w:rsidR="00F931A8">
        <w:t>continu</w:t>
      </w:r>
      <w:r w:rsidR="007323C9">
        <w:t>e</w:t>
      </w:r>
      <w:r w:rsidR="00F931A8">
        <w:t xml:space="preserve"> to work within inter-industry group</w:t>
      </w:r>
      <w:r w:rsidR="00CE4FA6">
        <w:t>(</w:t>
      </w:r>
      <w:r w:rsidR="00F931A8">
        <w:t>s</w:t>
      </w:r>
      <w:r w:rsidR="00CE4FA6">
        <w:t>)</w:t>
      </w:r>
      <w:r w:rsidR="00F931A8">
        <w:t xml:space="preserve"> on AFC system implementation issues that </w:t>
      </w:r>
      <w:r w:rsidR="00CE4FA6">
        <w:t xml:space="preserve">affect the AFC system calculations.  </w:t>
      </w:r>
      <w:r w:rsidR="007323C9">
        <w:t xml:space="preserve">While we do not go as far as AT&amp;T requests, we will continue to monitor developments </w:t>
      </w:r>
      <w:r w:rsidR="00CA05C0">
        <w:t>in the band that could affect system calculations and could require system changes if warranted.</w:t>
      </w:r>
      <w:r>
        <w:rPr>
          <w:rStyle w:val="FootnoteReference"/>
        </w:rPr>
        <w:footnoteReference w:id="46"/>
      </w:r>
      <w:r w:rsidR="00F931A8">
        <w:t xml:space="preserve"> </w:t>
      </w:r>
    </w:p>
    <w:p w:rsidR="009D64BE" w:rsidP="00EC145A" w14:paraId="4CF22C6A" w14:textId="742727C5">
      <w:pPr>
        <w:pStyle w:val="ParaNum"/>
        <w:widowControl/>
      </w:pPr>
      <w:r>
        <w:t xml:space="preserve">We also </w:t>
      </w:r>
      <w:r>
        <w:t>appreciate</w:t>
      </w:r>
      <w:r>
        <w:t xml:space="preserve"> the concern of AT&amp;T that </w:t>
      </w:r>
      <w:r w:rsidR="00380D6E">
        <w:t xml:space="preserve">any future changes to </w:t>
      </w:r>
      <w:r w:rsidR="00A73E2E">
        <w:t xml:space="preserve">any </w:t>
      </w:r>
      <w:r>
        <w:t xml:space="preserve">AFC system </w:t>
      </w:r>
      <w:r w:rsidR="00380D6E">
        <w:t>be subject to Commission review</w:t>
      </w:r>
      <w:r w:rsidR="009A4E9E">
        <w:t xml:space="preserve"> to the extent they are not subject to </w:t>
      </w:r>
      <w:r w:rsidR="00A50A38">
        <w:t>inter-industry agreement</w:t>
      </w:r>
      <w:r w:rsidR="000502B1">
        <w:t xml:space="preserve"> </w:t>
      </w:r>
      <w:r w:rsidR="000502B1">
        <w:rPr>
          <w:snapToGrid/>
          <w:kern w:val="0"/>
          <w:szCs w:val="22"/>
        </w:rPr>
        <w:t xml:space="preserve">through an organization like </w:t>
      </w:r>
      <w:r w:rsidR="000502B1">
        <w:rPr>
          <w:snapToGrid/>
          <w:kern w:val="0"/>
          <w:szCs w:val="22"/>
        </w:rPr>
        <w:t>W</w:t>
      </w:r>
      <w:r w:rsidR="00E52082">
        <w:rPr>
          <w:snapToGrid/>
          <w:kern w:val="0"/>
          <w:szCs w:val="22"/>
        </w:rPr>
        <w:t>I</w:t>
      </w:r>
      <w:r w:rsidR="000502B1">
        <w:rPr>
          <w:snapToGrid/>
          <w:kern w:val="0"/>
          <w:szCs w:val="22"/>
        </w:rPr>
        <w:t>nnForum</w:t>
      </w:r>
      <w:r w:rsidR="00380D6E">
        <w:t>.</w:t>
      </w:r>
      <w:r w:rsidR="00802199">
        <w:t xml:space="preserve"> </w:t>
      </w:r>
      <w:r w:rsidR="007C7B4C">
        <w:t xml:space="preserve"> </w:t>
      </w:r>
      <w:r w:rsidR="00380D6E">
        <w:t xml:space="preserve">While the </w:t>
      </w:r>
      <w:r w:rsidR="006D2A87">
        <w:t xml:space="preserve">lab </w:t>
      </w:r>
      <w:r w:rsidR="00380D6E">
        <w:t xml:space="preserve">testing </w:t>
      </w:r>
      <w:r w:rsidR="006D2A87">
        <w:t>and public trials</w:t>
      </w:r>
      <w:r w:rsidR="00380D6E">
        <w:t xml:space="preserve"> give us confidence that the seven AFC systems are operating in conformance with the Commission’s rules, if the AFC system software is modified this may no longer be the case.  Therefore, </w:t>
      </w:r>
      <w:r w:rsidR="004731E1">
        <w:t xml:space="preserve">as a condition of </w:t>
      </w:r>
      <w:r w:rsidR="00C638CB">
        <w:t xml:space="preserve">AFC system approval, </w:t>
      </w:r>
      <w:r w:rsidR="00380D6E">
        <w:t xml:space="preserve">we will require </w:t>
      </w:r>
      <w:r w:rsidR="00DB6693">
        <w:t xml:space="preserve">each </w:t>
      </w:r>
      <w:r w:rsidR="00380D6E">
        <w:t xml:space="preserve">AFC operator to </w:t>
      </w:r>
      <w:r w:rsidR="00554F3A">
        <w:t xml:space="preserve">(1) </w:t>
      </w:r>
      <w:r w:rsidR="00096FF6">
        <w:t>file</w:t>
      </w:r>
      <w:r w:rsidR="00380D6E">
        <w:t xml:space="preserve"> a notice in ET </w:t>
      </w:r>
      <w:r w:rsidR="00C638CB">
        <w:t xml:space="preserve">Docket No. </w:t>
      </w:r>
      <w:r w:rsidR="00380D6E">
        <w:t xml:space="preserve">21-352 </w:t>
      </w:r>
      <w:r w:rsidR="00096FF6">
        <w:t>informing OET and the public of</w:t>
      </w:r>
      <w:r w:rsidR="00380D6E">
        <w:t xml:space="preserve"> any </w:t>
      </w:r>
      <w:r w:rsidR="00741A4B">
        <w:t>modification</w:t>
      </w:r>
      <w:r w:rsidR="00380D6E">
        <w:t xml:space="preserve"> to </w:t>
      </w:r>
      <w:r w:rsidR="00BE26E1">
        <w:t xml:space="preserve">its </w:t>
      </w:r>
      <w:r w:rsidR="00380D6E">
        <w:t>AFC system that can change the available frequency ranges and maximum power levels</w:t>
      </w:r>
      <w:r>
        <w:t xml:space="preserve"> determined by </w:t>
      </w:r>
      <w:r w:rsidR="00FA4E8E">
        <w:t xml:space="preserve">its </w:t>
      </w:r>
      <w:r w:rsidR="00380D6E">
        <w:t>AFC system</w:t>
      </w:r>
      <w:r w:rsidR="00741A4B">
        <w:t>; and (2)</w:t>
      </w:r>
      <w:r w:rsidR="00A74D43">
        <w:t xml:space="preserve"> receive OET approval prior </w:t>
      </w:r>
      <w:r>
        <w:t>to implement</w:t>
      </w:r>
      <w:r w:rsidR="00A74D43">
        <w:t>ing</w:t>
      </w:r>
      <w:r>
        <w:t xml:space="preserve"> </w:t>
      </w:r>
      <w:r w:rsidR="00112DFC">
        <w:t xml:space="preserve">any </w:t>
      </w:r>
      <w:r>
        <w:t xml:space="preserve">proposed </w:t>
      </w:r>
      <w:r w:rsidR="00A74D43">
        <w:t>modification</w:t>
      </w:r>
      <w:r>
        <w:t xml:space="preserve">.  Depending on the significance </w:t>
      </w:r>
      <w:r w:rsidR="00D54F23">
        <w:t xml:space="preserve">and complexity </w:t>
      </w:r>
      <w:r>
        <w:t xml:space="preserve">of the </w:t>
      </w:r>
      <w:r w:rsidR="000D3641">
        <w:t>modification</w:t>
      </w:r>
      <w:r>
        <w:t>, OET may require some form of testing or verification.</w:t>
      </w:r>
      <w:r w:rsidR="003A4AD5">
        <w:t xml:space="preserve">  </w:t>
      </w:r>
      <w:r w:rsidR="002B668D">
        <w:t xml:space="preserve">We do not exempt </w:t>
      </w:r>
      <w:r w:rsidR="000974FA">
        <w:t xml:space="preserve">AFC system </w:t>
      </w:r>
      <w:r w:rsidR="000225F9">
        <w:t xml:space="preserve">modifications </w:t>
      </w:r>
      <w:r w:rsidR="002B668D">
        <w:t xml:space="preserve">that </w:t>
      </w:r>
      <w:r w:rsidR="000974FA">
        <w:t xml:space="preserve">may result from </w:t>
      </w:r>
      <w:r w:rsidR="002B668D">
        <w:t>inter-industry agreements from this notification and approval requirement as AT&amp;T suggests.  As we previously noted, OET has the responsibility to administer the AFC systems and ensure that their operations are consistent with the Commission’s rules to prevent harmful interference from occurring to licensees.</w:t>
      </w:r>
      <w:r>
        <w:rPr>
          <w:rStyle w:val="FootnoteReference"/>
        </w:rPr>
        <w:footnoteReference w:id="47"/>
      </w:r>
      <w:r w:rsidR="002B668D">
        <w:t xml:space="preserve">  </w:t>
      </w:r>
      <w:r w:rsidR="006E266A">
        <w:t>T</w:t>
      </w:r>
      <w:r w:rsidR="002B668D">
        <w:t>his</w:t>
      </w:r>
      <w:r w:rsidR="000225F9">
        <w:t xml:space="preserve"> responsibility </w:t>
      </w:r>
      <w:r w:rsidR="006E266A">
        <w:t xml:space="preserve">cannot be delegated </w:t>
      </w:r>
      <w:r w:rsidR="000225F9">
        <w:t>to inter-industry organizations.</w:t>
      </w:r>
      <w:r>
        <w:rPr>
          <w:rStyle w:val="FootnoteReference"/>
        </w:rPr>
        <w:footnoteReference w:id="48"/>
      </w:r>
      <w:r w:rsidR="000225F9">
        <w:t xml:space="preserve">  Imposing this </w:t>
      </w:r>
      <w:r w:rsidR="000225F9">
        <w:t>notification and approval</w:t>
      </w:r>
      <w:r w:rsidR="003A4AD5">
        <w:t xml:space="preserve"> requirement </w:t>
      </w:r>
      <w:r w:rsidR="00401AFC">
        <w:t xml:space="preserve">on the AFC operators </w:t>
      </w:r>
      <w:r w:rsidR="003A4AD5">
        <w:t>is consistent with the Commission’s delegation of authority to OET to administer the AFC systems and AFC system operator functions.</w:t>
      </w:r>
      <w:r>
        <w:rPr>
          <w:rStyle w:val="FootnoteReference"/>
        </w:rPr>
        <w:footnoteReference w:id="49"/>
      </w:r>
      <w:r w:rsidR="00CE4FA6">
        <w:t xml:space="preserve">  </w:t>
      </w:r>
    </w:p>
    <w:p w:rsidR="009D64BE" w:rsidP="00AD0A8B" w14:paraId="10407808" w14:textId="77777777">
      <w:pPr>
        <w:pStyle w:val="Heading2"/>
      </w:pPr>
      <w:r>
        <w:t>EPRI</w:t>
      </w:r>
      <w:r w:rsidR="00380D6E">
        <w:t xml:space="preserve"> </w:t>
      </w:r>
    </w:p>
    <w:p w:rsidR="009D64BE" w:rsidP="009D64BE" w14:paraId="10755F16" w14:textId="109B5DED">
      <w:pPr>
        <w:pStyle w:val="ParaNum"/>
      </w:pPr>
      <w:r>
        <w:t xml:space="preserve">EPRI submitted test points to each of the AFC public portals that were located </w:t>
      </w:r>
      <w:r w:rsidR="00F75582">
        <w:t xml:space="preserve">directly </w:t>
      </w:r>
      <w:r>
        <w:t xml:space="preserve">along the centerline of the main beam of </w:t>
      </w:r>
      <w:r w:rsidR="00F75582">
        <w:t xml:space="preserve">a </w:t>
      </w:r>
      <w:r>
        <w:t xml:space="preserve">microwave antenna </w:t>
      </w:r>
      <w:r w:rsidR="00006F26">
        <w:t xml:space="preserve">and </w:t>
      </w:r>
      <w:r>
        <w:t xml:space="preserve">that </w:t>
      </w:r>
      <w:r w:rsidR="00F75582">
        <w:t xml:space="preserve">also </w:t>
      </w:r>
      <w:r>
        <w:t>have line of sight to the microwave antenna.</w:t>
      </w:r>
      <w:r>
        <w:rPr>
          <w:rStyle w:val="FootnoteReference"/>
        </w:rPr>
        <w:footnoteReference w:id="50"/>
      </w:r>
      <w:r>
        <w:t xml:space="preserve">  EPRI then compared the response</w:t>
      </w:r>
      <w:r w:rsidR="00744751">
        <w:t>s</w:t>
      </w:r>
      <w:r>
        <w:t xml:space="preserve"> from the AFC systems with </w:t>
      </w:r>
      <w:r w:rsidR="00006F26">
        <w:t>a</w:t>
      </w:r>
      <w:r>
        <w:t xml:space="preserve"> free space path loss calculation.</w:t>
      </w:r>
      <w:r>
        <w:rPr>
          <w:rStyle w:val="FootnoteReference"/>
        </w:rPr>
        <w:footnoteReference w:id="51"/>
      </w:r>
      <w:r>
        <w:t xml:space="preserve">  While EPRI acknowledges that the Commission’s rules specify the use of a different path loss model for distances greater than 30 meters, EPRI claims that </w:t>
      </w:r>
      <w:r w:rsidR="00CE5820">
        <w:t xml:space="preserve">using </w:t>
      </w:r>
      <w:r>
        <w:t>a propagation model other than free space will result in under</w:t>
      </w:r>
      <w:r w:rsidR="00452B44">
        <w:t>-</w:t>
      </w:r>
      <w:r>
        <w:t>protection of microwave receiver</w:t>
      </w:r>
      <w:r w:rsidR="00006F26">
        <w:t>s</w:t>
      </w:r>
      <w:r>
        <w:t xml:space="preserve"> because, according to EPRI, there is an unobstructed line-of-sight between the test location and microwave receiver.</w:t>
      </w:r>
      <w:r>
        <w:rPr>
          <w:rStyle w:val="FootnoteReference"/>
        </w:rPr>
        <w:footnoteReference w:id="52"/>
      </w:r>
      <w:r>
        <w:t xml:space="preserve">  EPRI also points out that additive interference from multiple standard power devices </w:t>
      </w:r>
      <w:r w:rsidR="00B75792">
        <w:t xml:space="preserve">can </w:t>
      </w:r>
      <w:r>
        <w:t>combine to create harmful interference in excess of the -6 dB I/N interference protection criteria used by the AFC systems based on experimental results obtained from real-world test</w:t>
      </w:r>
      <w:r w:rsidR="0044233A">
        <w:t>ing</w:t>
      </w:r>
      <w:r>
        <w:t xml:space="preserve"> performed by FirstEnergy.</w:t>
      </w:r>
      <w:r>
        <w:rPr>
          <w:rStyle w:val="FootnoteReference"/>
        </w:rPr>
        <w:footnoteReference w:id="53"/>
      </w:r>
      <w:r>
        <w:t xml:space="preserve">  EPRI also points out that there is a step discontinuity of approximately 20 dB in the AFC operator responses at a 1 kilometer distance</w:t>
      </w:r>
      <w:r w:rsidR="009F25C2">
        <w:t>,</w:t>
      </w:r>
      <w:r w:rsidR="00D955DF">
        <w:t xml:space="preserve"> which implies that the ITM propagation model </w:t>
      </w:r>
      <w:r w:rsidR="00F75582">
        <w:t xml:space="preserve">used at distances beyond 1 kilometer </w:t>
      </w:r>
      <w:r w:rsidR="00D955DF">
        <w:t>severely under-protects microwave receivers.</w:t>
      </w:r>
      <w:r>
        <w:rPr>
          <w:rStyle w:val="FootnoteReference"/>
        </w:rPr>
        <w:footnoteReference w:id="54"/>
      </w:r>
      <w:r w:rsidR="00D955DF">
        <w:t xml:space="preserve">  </w:t>
      </w:r>
      <w:r w:rsidR="00356BD3">
        <w:t>To resolve the step discontinuity and mitigate the challenges for line-of-sight cases and additive interference, EPRI suggest</w:t>
      </w:r>
      <w:r w:rsidR="00EC3CA0">
        <w:t>s</w:t>
      </w:r>
      <w:r w:rsidR="00356BD3">
        <w:t xml:space="preserve"> </w:t>
      </w:r>
      <w:r w:rsidR="005E3FE5">
        <w:t>that</w:t>
      </w:r>
      <w:r w:rsidR="00356BD3">
        <w:t xml:space="preserve"> the AFC systems use free space path loss in a 30 meter radius around the microwave receiver extending in a keyhole shape of size defined by the microwave antenna 3 dB beamwidth out to a distance of ten kilometers.</w:t>
      </w:r>
      <w:r>
        <w:rPr>
          <w:rStyle w:val="FootnoteReference"/>
        </w:rPr>
        <w:footnoteReference w:id="55"/>
      </w:r>
      <w:r w:rsidR="00356BD3">
        <w:t xml:space="preserve">  EPRI indicates </w:t>
      </w:r>
      <w:r w:rsidR="009F25C2">
        <w:t xml:space="preserve">that </w:t>
      </w:r>
      <w:r w:rsidR="005547C4">
        <w:t xml:space="preserve">it </w:t>
      </w:r>
      <w:r w:rsidR="00356BD3">
        <w:t>intend</w:t>
      </w:r>
      <w:r w:rsidR="005547C4">
        <w:t>s</w:t>
      </w:r>
      <w:r w:rsidR="00356BD3">
        <w:t xml:space="preserve"> to perform field test</w:t>
      </w:r>
      <w:r w:rsidR="005547C4">
        <w:t>s</w:t>
      </w:r>
      <w:r w:rsidR="00356BD3">
        <w:t xml:space="preserve"> to confirm the accuracy of </w:t>
      </w:r>
      <w:r w:rsidR="00411F28">
        <w:t>its</w:t>
      </w:r>
      <w:r w:rsidR="00356BD3">
        <w:t xml:space="preserve"> analysis of the public trial results and </w:t>
      </w:r>
      <w:r w:rsidR="009F25C2">
        <w:t xml:space="preserve">that </w:t>
      </w:r>
      <w:r w:rsidR="00090890">
        <w:t xml:space="preserve">it </w:t>
      </w:r>
      <w:r w:rsidR="00356BD3">
        <w:t>intend</w:t>
      </w:r>
      <w:r w:rsidR="00090890">
        <w:t>s</w:t>
      </w:r>
      <w:r w:rsidR="00356BD3">
        <w:t xml:space="preserve"> to engage with </w:t>
      </w:r>
      <w:r w:rsidR="00F75582">
        <w:t>t</w:t>
      </w:r>
      <w:r w:rsidR="00356BD3">
        <w:t xml:space="preserve">he </w:t>
      </w:r>
      <w:r w:rsidR="00356BD3">
        <w:t>W</w:t>
      </w:r>
      <w:r w:rsidR="00E52082">
        <w:t>I</w:t>
      </w:r>
      <w:r w:rsidR="00356BD3">
        <w:t>nnForum</w:t>
      </w:r>
      <w:r w:rsidR="00356BD3">
        <w:t xml:space="preserve"> 6 GHz </w:t>
      </w:r>
      <w:r w:rsidR="00EA4A41">
        <w:t xml:space="preserve">Committee </w:t>
      </w:r>
      <w:r w:rsidR="00356BD3">
        <w:t>to explore modification</w:t>
      </w:r>
      <w:r w:rsidR="00612E67">
        <w:t>s</w:t>
      </w:r>
      <w:r w:rsidR="00356BD3">
        <w:t xml:space="preserve"> </w:t>
      </w:r>
      <w:r w:rsidR="00612E67">
        <w:t>to</w:t>
      </w:r>
      <w:r w:rsidR="00356BD3">
        <w:t xml:space="preserve"> the AFC path loss models to reduce the possibility of harmful interference occurring.</w:t>
      </w:r>
      <w:r>
        <w:rPr>
          <w:rStyle w:val="FootnoteReference"/>
        </w:rPr>
        <w:footnoteReference w:id="56"/>
      </w:r>
      <w:r w:rsidR="00356BD3">
        <w:t xml:space="preserve"> </w:t>
      </w:r>
      <w:r w:rsidR="00BF553A">
        <w:t xml:space="preserve"> </w:t>
      </w:r>
      <w:r w:rsidR="00BD315E">
        <w:t xml:space="preserve">The AFC applicants </w:t>
      </w:r>
      <w:r w:rsidR="00513E59">
        <w:t xml:space="preserve">assert </w:t>
      </w:r>
      <w:r w:rsidR="00BD315E">
        <w:t xml:space="preserve">that their systems are using the propagation models </w:t>
      </w:r>
      <w:r w:rsidR="00414B5D">
        <w:t xml:space="preserve">specified </w:t>
      </w:r>
      <w:r w:rsidR="00BD315E">
        <w:t xml:space="preserve">by the Commission’s rules and that aggregate interference </w:t>
      </w:r>
      <w:r w:rsidR="00F6305C">
        <w:t xml:space="preserve">calculations </w:t>
      </w:r>
      <w:r w:rsidR="00BD315E">
        <w:t>from multiple standard power access</w:t>
      </w:r>
      <w:r w:rsidR="005B6561">
        <w:t xml:space="preserve"> points</w:t>
      </w:r>
      <w:r w:rsidR="00356BD3">
        <w:t xml:space="preserve"> </w:t>
      </w:r>
      <w:r w:rsidR="00BD315E">
        <w:t>is not required by the rules.</w:t>
      </w:r>
      <w:r>
        <w:rPr>
          <w:rStyle w:val="FootnoteReference"/>
        </w:rPr>
        <w:footnoteReference w:id="57"/>
      </w:r>
      <w:r w:rsidR="00BD315E">
        <w:t xml:space="preserve">  </w:t>
      </w:r>
    </w:p>
    <w:p w:rsidR="00356BD3" w:rsidRPr="009D64BE" w:rsidP="009D64BE" w14:paraId="114918A2" w14:textId="188F9090">
      <w:pPr>
        <w:pStyle w:val="ParaNum"/>
      </w:pPr>
      <w:r>
        <w:t xml:space="preserve">The propagation models that AFC systems </w:t>
      </w:r>
      <w:r w:rsidR="00BB55BC">
        <w:t xml:space="preserve">are required </w:t>
      </w:r>
      <w:r w:rsidR="00F51433">
        <w:t xml:space="preserve">to </w:t>
      </w:r>
      <w:r>
        <w:t xml:space="preserve">use to model </w:t>
      </w:r>
      <w:r w:rsidR="000D4624">
        <w:t xml:space="preserve">the potential for </w:t>
      </w:r>
      <w:r>
        <w:t>standard power access point</w:t>
      </w:r>
      <w:r w:rsidR="000D4624">
        <w:t>s</w:t>
      </w:r>
      <w:r w:rsidR="00F173C6">
        <w:t xml:space="preserve"> </w:t>
      </w:r>
      <w:r>
        <w:t>and fixed client device</w:t>
      </w:r>
      <w:r w:rsidR="000D4624">
        <w:t>s to cause</w:t>
      </w:r>
      <w:r w:rsidR="00B4544E">
        <w:t xml:space="preserve"> harmful interference </w:t>
      </w:r>
      <w:r w:rsidR="000D4624">
        <w:t xml:space="preserve">to fixed microwave </w:t>
      </w:r>
      <w:r w:rsidR="00D10972">
        <w:t xml:space="preserve">services </w:t>
      </w:r>
      <w:r>
        <w:t xml:space="preserve">are specified in the Commission’s rules.  These rules specify that </w:t>
      </w:r>
      <w:r w:rsidR="00D10972">
        <w:t xml:space="preserve">the </w:t>
      </w:r>
      <w:r>
        <w:t>free space path</w:t>
      </w:r>
      <w:r w:rsidR="00D10972">
        <w:t>-</w:t>
      </w:r>
      <w:r>
        <w:t xml:space="preserve">loss </w:t>
      </w:r>
      <w:r w:rsidR="00D10972">
        <w:t xml:space="preserve">model </w:t>
      </w:r>
      <w:r>
        <w:t xml:space="preserve">be used at distances </w:t>
      </w:r>
      <w:r w:rsidR="00D10972">
        <w:t>up to</w:t>
      </w:r>
      <w:r>
        <w:t xml:space="preserve"> 30 meters, the </w:t>
      </w:r>
      <w:r w:rsidRPr="00E06549" w:rsidR="00E06549">
        <w:t>Wireless World Initiative New Radio phase II (</w:t>
      </w:r>
      <w:r>
        <w:t>WINNER II</w:t>
      </w:r>
      <w:r w:rsidR="00E06549">
        <w:t>)</w:t>
      </w:r>
      <w:r>
        <w:t xml:space="preserve"> model be used for distances </w:t>
      </w:r>
      <w:r w:rsidR="00D222BE">
        <w:t xml:space="preserve">more than </w:t>
      </w:r>
      <w:r>
        <w:t xml:space="preserve">30 meters and </w:t>
      </w:r>
      <w:r w:rsidR="00D222BE">
        <w:t xml:space="preserve">up to and including </w:t>
      </w:r>
      <w:r>
        <w:t xml:space="preserve">1 kilometer, and the ITM model with additional clutter loss be used at distances greater than </w:t>
      </w:r>
      <w:r w:rsidR="002B422E">
        <w:t>1 </w:t>
      </w:r>
      <w:r>
        <w:t>kilometer.</w:t>
      </w:r>
      <w:r>
        <w:rPr>
          <w:rStyle w:val="FootnoteReference"/>
        </w:rPr>
        <w:footnoteReference w:id="58"/>
      </w:r>
      <w:r>
        <w:t xml:space="preserve">  </w:t>
      </w:r>
      <w:r w:rsidR="00687E96">
        <w:t xml:space="preserve">EPRI appears to be advocating </w:t>
      </w:r>
      <w:r w:rsidR="00003E48">
        <w:t>that AFC systems modify their propagation models</w:t>
      </w:r>
      <w:r w:rsidR="005712CD">
        <w:t xml:space="preserve"> such that they would no longer comply with </w:t>
      </w:r>
      <w:r w:rsidR="00687E96">
        <w:t xml:space="preserve">the Commission’s rules rather than examining whether the AFC systems are operating properly within the Commission’s rules.  In adopting the rules governing AFC systems the Commission rejected </w:t>
      </w:r>
      <w:r w:rsidR="00382777">
        <w:t xml:space="preserve">applying the </w:t>
      </w:r>
      <w:r w:rsidR="00382777">
        <w:t xml:space="preserve">free space model </w:t>
      </w:r>
      <w:r w:rsidR="00B26952">
        <w:t>more broadly</w:t>
      </w:r>
      <w:r w:rsidR="0049591D">
        <w:t>,</w:t>
      </w:r>
      <w:r w:rsidR="00B26952">
        <w:t xml:space="preserve"> </w:t>
      </w:r>
      <w:r w:rsidR="00382777">
        <w:t xml:space="preserve">noting that “it </w:t>
      </w:r>
      <w:r w:rsidRPr="00CE2F6C" w:rsidR="00382777">
        <w:rPr>
          <w:szCs w:val="22"/>
        </w:rPr>
        <w:t>drastically underpredicts path loss for longer distances because, as a practical matter, there is almost always interaction with the environment that reduces the s</w:t>
      </w:r>
      <w:r w:rsidRPr="000F6B31" w:rsidR="00382777">
        <w:rPr>
          <w:szCs w:val="22"/>
        </w:rPr>
        <w:t>ignal level below the free space level</w:t>
      </w:r>
      <w:r w:rsidR="00382777">
        <w:rPr>
          <w:szCs w:val="22"/>
        </w:rPr>
        <w:t>.”</w:t>
      </w:r>
      <w:r>
        <w:rPr>
          <w:rStyle w:val="FootnoteReference"/>
          <w:szCs w:val="22"/>
        </w:rPr>
        <w:footnoteReference w:id="59"/>
      </w:r>
      <w:r w:rsidR="00382777">
        <w:rPr>
          <w:szCs w:val="22"/>
        </w:rPr>
        <w:t xml:space="preserve">  The Commission also explicitly rejected requiring the AFC systems to take into account aggregate interference from multiple standard power access points when making calculations.</w:t>
      </w:r>
      <w:r>
        <w:rPr>
          <w:rStyle w:val="FootnoteReference"/>
          <w:szCs w:val="22"/>
        </w:rPr>
        <w:footnoteReference w:id="60"/>
      </w:r>
      <w:r w:rsidR="00382777">
        <w:rPr>
          <w:szCs w:val="22"/>
        </w:rPr>
        <w:t xml:space="preserve">  </w:t>
      </w:r>
      <w:r w:rsidR="001648D0">
        <w:rPr>
          <w:szCs w:val="22"/>
        </w:rPr>
        <w:t xml:space="preserve">EPRI is essentially arguing that </w:t>
      </w:r>
      <w:r w:rsidR="00382777">
        <w:rPr>
          <w:szCs w:val="22"/>
        </w:rPr>
        <w:t xml:space="preserve">the rules </w:t>
      </w:r>
      <w:r w:rsidR="001648D0">
        <w:rPr>
          <w:szCs w:val="22"/>
        </w:rPr>
        <w:t>be modified.  However, any such changes must be done through Commission action in a rulemaking proceeding</w:t>
      </w:r>
      <w:r w:rsidR="00382777">
        <w:rPr>
          <w:szCs w:val="22"/>
        </w:rPr>
        <w:t xml:space="preserve"> and is </w:t>
      </w:r>
      <w:r w:rsidR="001648D0">
        <w:rPr>
          <w:szCs w:val="22"/>
        </w:rPr>
        <w:t xml:space="preserve">thus </w:t>
      </w:r>
      <w:r w:rsidR="00382777">
        <w:rPr>
          <w:szCs w:val="22"/>
        </w:rPr>
        <w:t xml:space="preserve">beyond the scope of the AFC system test </w:t>
      </w:r>
      <w:r w:rsidR="00EE5A6A">
        <w:rPr>
          <w:szCs w:val="22"/>
        </w:rPr>
        <w:t>process</w:t>
      </w:r>
      <w:r w:rsidR="00382777">
        <w:rPr>
          <w:szCs w:val="22"/>
        </w:rPr>
        <w:t xml:space="preserve">.  </w:t>
      </w:r>
      <w:r w:rsidR="005B6561">
        <w:rPr>
          <w:szCs w:val="22"/>
        </w:rPr>
        <w:t xml:space="preserve">Therefore, </w:t>
      </w:r>
      <w:r w:rsidR="00382777">
        <w:rPr>
          <w:szCs w:val="22"/>
        </w:rPr>
        <w:t xml:space="preserve">EPRI’s challenges provide no basis for concluding that these seven AFC systems </w:t>
      </w:r>
      <w:r w:rsidR="002A522B">
        <w:rPr>
          <w:szCs w:val="22"/>
        </w:rPr>
        <w:t xml:space="preserve">do </w:t>
      </w:r>
      <w:r w:rsidR="00BD315E">
        <w:rPr>
          <w:szCs w:val="22"/>
        </w:rPr>
        <w:t>not comply with the Commission’s AFC rules.</w:t>
      </w:r>
      <w:r w:rsidR="00A7149C">
        <w:rPr>
          <w:szCs w:val="22"/>
        </w:rPr>
        <w:t xml:space="preserve">  </w:t>
      </w:r>
    </w:p>
    <w:p w:rsidR="005B6561" w:rsidP="00AD0A8B" w14:paraId="573135B4" w14:textId="77777777">
      <w:pPr>
        <w:pStyle w:val="Heading2"/>
      </w:pPr>
      <w:r>
        <w:t>First Energy</w:t>
      </w:r>
      <w:r w:rsidR="00380D6E">
        <w:t xml:space="preserve">  </w:t>
      </w:r>
    </w:p>
    <w:p w:rsidR="00560CD4" w:rsidP="00AC70C6" w14:paraId="3D70E8AE" w14:textId="68A7E9C0">
      <w:pPr>
        <w:pStyle w:val="ParaNum"/>
      </w:pPr>
      <w:r>
        <w:t>FirstEnergy submitted challenges to s</w:t>
      </w:r>
      <w:r w:rsidR="00F75582">
        <w:t>ix</w:t>
      </w:r>
      <w:r>
        <w:t xml:space="preserve"> AFC </w:t>
      </w:r>
      <w:r w:rsidR="00D13859">
        <w:t xml:space="preserve">systems </w:t>
      </w:r>
      <w:r w:rsidR="00C35874">
        <w:t>undergoing public trials</w:t>
      </w:r>
      <w:r w:rsidR="00F75582">
        <w:t xml:space="preserve">—all </w:t>
      </w:r>
      <w:r>
        <w:t>except for Qualcomm</w:t>
      </w:r>
      <w:r w:rsidR="00F75582">
        <w:t xml:space="preserve">—for three test </w:t>
      </w:r>
      <w:r>
        <w:t>points.</w:t>
      </w:r>
      <w:r>
        <w:rPr>
          <w:rStyle w:val="FootnoteReference"/>
        </w:rPr>
        <w:footnoteReference w:id="61"/>
      </w:r>
      <w:r>
        <w:t xml:space="preserve">  </w:t>
      </w:r>
      <w:r w:rsidR="009F562C">
        <w:t>FirstEnergy later withdrew their challenge to Federated Wireless’s results after discussion with Federated Wireless.</w:t>
      </w:r>
      <w:r>
        <w:rPr>
          <w:rStyle w:val="FootnoteReference"/>
        </w:rPr>
        <w:footnoteReference w:id="62"/>
      </w:r>
      <w:r w:rsidR="009F562C">
        <w:t xml:space="preserve">  </w:t>
      </w:r>
      <w:r w:rsidR="00C35874">
        <w:t xml:space="preserve">According to the </w:t>
      </w:r>
      <w:r w:rsidR="009F562C">
        <w:t xml:space="preserve">other </w:t>
      </w:r>
      <w:r w:rsidR="00C35874">
        <w:t>AFC applicants, for these three points</w:t>
      </w:r>
      <w:r w:rsidR="00CE71DC">
        <w:t>,</w:t>
      </w:r>
      <w:r w:rsidR="00C35874">
        <w:t xml:space="preserve"> FirstEnergy used “pathloss 6 software” which used the free space propagation model with an additional diffraction</w:t>
      </w:r>
      <w:r w:rsidR="009F562C">
        <w:t xml:space="preserve"> loss instead of the propagation model required by the Commission’s rules.</w:t>
      </w:r>
      <w:r>
        <w:rPr>
          <w:rStyle w:val="FootnoteReference"/>
        </w:rPr>
        <w:footnoteReference w:id="63"/>
      </w:r>
      <w:r w:rsidR="00035597">
        <w:t xml:space="preserve">  </w:t>
      </w:r>
      <w:r w:rsidR="009F562C">
        <w:t xml:space="preserve">Several of the AFC applicants reported that FirstEnergy’s calculations also departed from the technical specification developed by </w:t>
      </w:r>
      <w:r w:rsidR="009F562C">
        <w:t>WInnForum</w:t>
      </w:r>
      <w:r w:rsidR="009F562C">
        <w:t xml:space="preserve"> for the AFC system by using a different noise figure, antenna gain, and feeder loss for the microwave receiver.</w:t>
      </w:r>
      <w:r>
        <w:rPr>
          <w:rStyle w:val="FootnoteReference"/>
        </w:rPr>
        <w:footnoteReference w:id="64"/>
      </w:r>
      <w:r w:rsidR="00B971A7">
        <w:t xml:space="preserve"> </w:t>
      </w:r>
      <w:r w:rsidR="009F562C">
        <w:t xml:space="preserve"> As the public trial reports indicate that FirstEnergy used a propagation model that was not in agreement with Commission’s rules, we conclude that </w:t>
      </w:r>
      <w:r w:rsidR="00B971A7">
        <w:t xml:space="preserve">FirstEnergy’s challenges do not </w:t>
      </w:r>
      <w:r w:rsidR="009F562C">
        <w:t>provide grounds to conclude</w:t>
      </w:r>
      <w:r w:rsidR="00B971A7">
        <w:t xml:space="preserve"> that the AFC systems are operating incorrectly.</w:t>
      </w:r>
      <w:r w:rsidR="00556446">
        <w:t xml:space="preserve">  </w:t>
      </w:r>
    </w:p>
    <w:p w:rsidR="00560CD4" w:rsidP="00AD0A8B" w14:paraId="7823B4CC" w14:textId="29DBF162">
      <w:pPr>
        <w:pStyle w:val="Heading2"/>
      </w:pPr>
      <w:r>
        <w:t xml:space="preserve">Other </w:t>
      </w:r>
      <w:r>
        <w:t>Modification</w:t>
      </w:r>
      <w:r>
        <w:t>s</w:t>
      </w:r>
      <w:r>
        <w:t xml:space="preserve"> to AFC Sy</w:t>
      </w:r>
      <w:r>
        <w:t>s</w:t>
      </w:r>
      <w:r>
        <w:t>tems</w:t>
      </w:r>
    </w:p>
    <w:p w:rsidR="009E2E71" w:rsidRPr="009E2E71" w:rsidP="00560CD4" w14:paraId="5C720129" w14:textId="584FA494">
      <w:pPr>
        <w:pStyle w:val="ParaNum"/>
      </w:pPr>
      <w:r w:rsidRPr="000B19EB">
        <w:t>Several AFC applicants report making modifications to their AFC systems on their own initiative or at the suggestion of OET staff.  These changes include using a more current set of ULS data, correcting the areas used for protecting radio astronomy observatories, and correcting a misconfiguration issue that resulted in incorrect clutter data being used in some propagation models.</w:t>
      </w:r>
      <w:r>
        <w:rPr>
          <w:rStyle w:val="FootnoteReference"/>
        </w:rPr>
        <w:footnoteReference w:id="65"/>
      </w:r>
      <w:r w:rsidRPr="000B19EB">
        <w:t xml:space="preserve">  These </w:t>
      </w:r>
      <w:r w:rsidR="006E266A">
        <w:t xml:space="preserve">are </w:t>
      </w:r>
      <w:r w:rsidRPr="000B19EB">
        <w:t>minor issues that the AFC applicants have corrected</w:t>
      </w:r>
      <w:r w:rsidR="006E266A">
        <w:t xml:space="preserve"> and we </w:t>
      </w:r>
      <w:r>
        <w:t xml:space="preserve">find that additional testing is not needed regarding these issues.  </w:t>
      </w:r>
      <w:r w:rsidRPr="001C7439">
        <w:rPr>
          <w:highlight w:val="yellow"/>
        </w:rPr>
        <w:t xml:space="preserve">  </w:t>
      </w:r>
      <w:r w:rsidR="00556446">
        <w:t xml:space="preserve">  </w:t>
      </w:r>
      <w:r w:rsidR="00B971A7">
        <w:t xml:space="preserve"> </w:t>
      </w:r>
      <w:r w:rsidR="00035597">
        <w:t xml:space="preserve">  </w:t>
      </w:r>
      <w:r w:rsidR="00C35874">
        <w:t xml:space="preserve">   </w:t>
      </w:r>
      <w:r w:rsidR="0050436A">
        <w:t xml:space="preserve">  </w:t>
      </w:r>
      <w:r w:rsidR="00BD5D47">
        <w:t xml:space="preserve">     </w:t>
      </w:r>
      <w:r w:rsidR="00043276">
        <w:t xml:space="preserve">  </w:t>
      </w:r>
      <w:r w:rsidR="00CD6D9F">
        <w:t xml:space="preserve">  </w:t>
      </w:r>
      <w:r w:rsidR="00CD29AD">
        <w:t xml:space="preserve">    </w:t>
      </w:r>
      <w:r w:rsidR="00D84A15">
        <w:t xml:space="preserve">   </w:t>
      </w:r>
      <w:r w:rsidR="00535F5A">
        <w:t xml:space="preserve"> </w:t>
      </w:r>
      <w:r w:rsidR="000E16AE">
        <w:t xml:space="preserve">  </w:t>
      </w:r>
      <w:r w:rsidR="004C1A6B">
        <w:t xml:space="preserve"> </w:t>
      </w:r>
      <w:r w:rsidR="00210C03">
        <w:t xml:space="preserve">  </w:t>
      </w:r>
    </w:p>
    <w:p w:rsidR="0082360A" w:rsidP="00BC3BF9" w14:paraId="7778B623" w14:textId="411B1177">
      <w:pPr>
        <w:pStyle w:val="Heading1"/>
      </w:pPr>
      <w:r>
        <w:t>Reporting of potential interference</w:t>
      </w:r>
    </w:p>
    <w:p w:rsidR="002B033D" w:rsidRPr="002B033D" w:rsidP="002B033D" w14:paraId="702F0C50" w14:textId="64B358FD">
      <w:pPr>
        <w:pStyle w:val="ParaNum"/>
      </w:pPr>
      <w:r>
        <w:t xml:space="preserve">In the </w:t>
      </w:r>
      <w:r w:rsidRPr="00E22A94">
        <w:rPr>
          <w:i/>
          <w:iCs/>
        </w:rPr>
        <w:t>2023 Public Notice</w:t>
      </w:r>
      <w:r>
        <w:rPr>
          <w:i/>
          <w:iCs/>
        </w:rPr>
        <w:t xml:space="preserve">, </w:t>
      </w:r>
      <w:r>
        <w:t xml:space="preserve">OET noted that the AFC system applicants indicated </w:t>
      </w:r>
      <w:r w:rsidR="00693BF8">
        <w:t xml:space="preserve">their </w:t>
      </w:r>
      <w:r>
        <w:t>intent to collaborate with industry groups to formulate procedures for acting on reports of potential harmful interference.</w:t>
      </w:r>
      <w:r>
        <w:rPr>
          <w:rStyle w:val="FootnoteReference"/>
        </w:rPr>
        <w:footnoteReference w:id="66"/>
      </w:r>
      <w:r>
        <w:t xml:space="preserve">  OET strongly encouraged the AFC system operators to develop a process for addressing </w:t>
      </w:r>
      <w:r>
        <w:t>such reports.</w:t>
      </w:r>
      <w:r>
        <w:rPr>
          <w:rStyle w:val="FootnoteReference"/>
        </w:rPr>
        <w:footnoteReference w:id="67"/>
      </w:r>
      <w:r>
        <w:t xml:space="preserve">  Qualcomm, Federated Wireless, Sony, </w:t>
      </w:r>
      <w:r>
        <w:t>Comsearch</w:t>
      </w:r>
      <w:r>
        <w:t>, the Wi-Fi Alliance, the Wireless Broadband Alliance, and Broadcom recently expressed their commitment “to establishing a centralized means to receive and address complaints regarding purported harmful interference from AFC-authorized unlicensed operations.”</w:t>
      </w:r>
      <w:r>
        <w:rPr>
          <w:rStyle w:val="FootnoteReference"/>
        </w:rPr>
        <w:footnoteReference w:id="68"/>
      </w:r>
      <w:r>
        <w:t xml:space="preserve">  These AFC</w:t>
      </w:r>
      <w:r w:rsidR="00562318">
        <w:t xml:space="preserve"> system applicants</w:t>
      </w:r>
      <w:r>
        <w:t xml:space="preserve"> indicate that they are working together “to create an efficient process that will ensure that complaints are handled in a timely and efficient manner”</w:t>
      </w:r>
      <w:r w:rsidR="00562318">
        <w:t xml:space="preserve"> and that this process </w:t>
      </w:r>
      <w:r w:rsidR="000C5E3E">
        <w:t xml:space="preserve">will </w:t>
      </w:r>
      <w:r w:rsidR="00562318">
        <w:t>be implemented within a reasonable time following final approval of their AFC systems.</w:t>
      </w:r>
      <w:r>
        <w:rPr>
          <w:rStyle w:val="FootnoteReference"/>
        </w:rPr>
        <w:footnoteReference w:id="69"/>
      </w:r>
      <w:r w:rsidR="00562318">
        <w:t xml:space="preserve">  OET appreciates that these AFC operators are willing to collaborate to create a process for receiving and addressing complaints of potential interference.  We believe that it is important that such a process be developed </w:t>
      </w:r>
      <w:r w:rsidR="006F37FB">
        <w:t>and implemented</w:t>
      </w:r>
      <w:r w:rsidR="001C037E">
        <w:t>,</w:t>
      </w:r>
      <w:r w:rsidR="00562318">
        <w:t xml:space="preserve"> given the obligation </w:t>
      </w:r>
      <w:r w:rsidR="006F37FB">
        <w:t xml:space="preserve">that </w:t>
      </w:r>
      <w:r w:rsidR="00562318">
        <w:t>unlicensed devices not cause harmful interference to licensed operations.</w:t>
      </w:r>
      <w:r>
        <w:rPr>
          <w:rStyle w:val="FootnoteReference"/>
        </w:rPr>
        <w:footnoteReference w:id="70"/>
      </w:r>
      <w:r w:rsidR="00562318">
        <w:t xml:space="preserve">  </w:t>
      </w:r>
      <w:r w:rsidR="000138D1">
        <w:t>To ensure that such a system is put in place, we</w:t>
      </w:r>
      <w:r w:rsidR="00562318">
        <w:t xml:space="preserve"> condition the approval </w:t>
      </w:r>
      <w:r w:rsidR="00CC14AE">
        <w:t xml:space="preserve">provided herein for </w:t>
      </w:r>
      <w:r w:rsidR="00562318">
        <w:t xml:space="preserve">these AFC systems </w:t>
      </w:r>
      <w:r w:rsidR="00CC14AE">
        <w:t xml:space="preserve">to </w:t>
      </w:r>
      <w:r w:rsidR="007E3F27">
        <w:t xml:space="preserve">provide </w:t>
      </w:r>
      <w:r w:rsidR="00562318">
        <w:t xml:space="preserve">commercial operations on </w:t>
      </w:r>
      <w:r w:rsidR="00322696">
        <w:t xml:space="preserve">them </w:t>
      </w:r>
      <w:r w:rsidR="00562318">
        <w:t xml:space="preserve">putting in place such a process </w:t>
      </w:r>
      <w:r w:rsidR="003763D0">
        <w:t xml:space="preserve">by </w:t>
      </w:r>
      <w:r w:rsidR="00615754">
        <w:t>April 23, 2024</w:t>
      </w:r>
      <w:r w:rsidR="00562318">
        <w:t xml:space="preserve">.  </w:t>
      </w:r>
      <w:r w:rsidR="00322696">
        <w:t xml:space="preserve">These AFC operators will provide details of this reporting process by notifying the Commission and the public through a filing in </w:t>
      </w:r>
      <w:r w:rsidR="00BF06C0">
        <w:t>ET Docket No. 21-352</w:t>
      </w:r>
      <w:r w:rsidR="00322696">
        <w:t xml:space="preserve">.  These seven entities may commence commercial AFC operations at this time, but must cease such operations if this reporting mechanism is not noticed to the Commission and </w:t>
      </w:r>
      <w:r w:rsidR="0040608F">
        <w:t xml:space="preserve">the </w:t>
      </w:r>
      <w:r w:rsidR="00322696">
        <w:t xml:space="preserve">public </w:t>
      </w:r>
      <w:r w:rsidR="003763D0">
        <w:t xml:space="preserve">by </w:t>
      </w:r>
      <w:r w:rsidR="00615754">
        <w:t>April 23, 2024</w:t>
      </w:r>
      <w:r w:rsidR="00322696">
        <w:t>.</w:t>
      </w:r>
      <w:r w:rsidR="00562318">
        <w:t xml:space="preserve">  </w:t>
      </w:r>
      <w:r>
        <w:t xml:space="preserve">   </w:t>
      </w:r>
    </w:p>
    <w:p w:rsidR="009E2E71" w:rsidP="00BC3BF9" w14:paraId="58755FD9" w14:textId="517B04EC">
      <w:pPr>
        <w:pStyle w:val="Heading1"/>
      </w:pPr>
      <w:r>
        <w:t>approval of afc systems</w:t>
      </w:r>
    </w:p>
    <w:p w:rsidR="002544C7" w:rsidRPr="001E4816" w:rsidP="00153C8C" w14:paraId="3CB3754E" w14:textId="54480F82">
      <w:pPr>
        <w:pStyle w:val="ParaNum"/>
        <w:widowControl/>
      </w:pPr>
      <w:r>
        <w:t xml:space="preserve">As OET indicated in the </w:t>
      </w:r>
      <w:r w:rsidRPr="00437EBD">
        <w:rPr>
          <w:i/>
          <w:iCs/>
        </w:rPr>
        <w:t>2023 Public Notice</w:t>
      </w:r>
      <w:r>
        <w:t>, conditionally approved AFC systems are required to successfully complete both lab testing and a public trial to be approved for commercial operations.</w:t>
      </w:r>
      <w:r>
        <w:rPr>
          <w:rStyle w:val="FootnoteReference"/>
        </w:rPr>
        <w:footnoteReference w:id="71"/>
      </w:r>
      <w:r>
        <w:t xml:space="preserve">  This testing process was designed to verify that the AFC systems comply with the Commission’s rules.  In the </w:t>
      </w:r>
      <w:r w:rsidRPr="00BB73D7">
        <w:rPr>
          <w:i/>
          <w:iCs/>
        </w:rPr>
        <w:t>6 GHz Report and Order</w:t>
      </w:r>
      <w:r>
        <w:t xml:space="preserve">, the Commission concluded that the rules that require standard power </w:t>
      </w:r>
      <w:r w:rsidR="00713DA0">
        <w:t xml:space="preserve">and fixed client </w:t>
      </w:r>
      <w:r>
        <w:t>devices to operate under the control of an AFC system will prevent harmful interference from occurring to incumbent fixed microwave links as well as radio astronomy sites.</w:t>
      </w:r>
      <w:r>
        <w:rPr>
          <w:rStyle w:val="FootnoteReference"/>
        </w:rPr>
        <w:footnoteReference w:id="72"/>
      </w:r>
      <w:r>
        <w:t xml:space="preserve">  The test reports </w:t>
      </w:r>
      <w:r w:rsidR="002439DE">
        <w:t xml:space="preserve">and public trial reports </w:t>
      </w:r>
      <w:r>
        <w:t xml:space="preserve">submitted by Qualcomm, Federated Wireless, Sony, </w:t>
      </w:r>
      <w:r>
        <w:t>Comsearch</w:t>
      </w:r>
      <w:r>
        <w:t>, the Wi-Fi Alliance, the Wireless Broadband Alliance, and Broadcom indicate that their AFC systems are operating in compliance with the Commission’s rules.  We therefore approve these seven AFC systems for commercial operations</w:t>
      </w:r>
      <w:r w:rsidR="001B02B9">
        <w:t>, subject to the conditions set forth herein</w:t>
      </w:r>
      <w:r>
        <w:t xml:space="preserve">.   </w:t>
      </w:r>
      <w:r w:rsidR="004A2672">
        <w:t xml:space="preserve">  </w:t>
      </w:r>
    </w:p>
    <w:p w:rsidR="0082360A" w:rsidP="0082360A" w14:paraId="4E3B5658" w14:textId="2CAD7C0D">
      <w:pPr>
        <w:pStyle w:val="Heading1"/>
      </w:pPr>
      <w:r>
        <w:t>Additional AFc syst</w:t>
      </w:r>
      <w:r w:rsidR="00E7665A">
        <w:t>e</w:t>
      </w:r>
      <w:r>
        <w:t>m application</w:t>
      </w:r>
    </w:p>
    <w:p w:rsidR="0082360A" w:rsidRPr="0082360A" w:rsidP="0082360A" w14:paraId="3EC660E7" w14:textId="5D05B168">
      <w:pPr>
        <w:pStyle w:val="ParaNum"/>
      </w:pPr>
      <w:r>
        <w:t xml:space="preserve">The Commission </w:t>
      </w:r>
      <w:r w:rsidR="005B6F20">
        <w:t xml:space="preserve">subsequent to the initial set of applications for AFC system operators </w:t>
      </w:r>
      <w:r>
        <w:t>received a proposal from C3Spectra to operate an AFC system.</w:t>
      </w:r>
      <w:r>
        <w:rPr>
          <w:rStyle w:val="FootnoteReference"/>
        </w:rPr>
        <w:footnoteReference w:id="73"/>
      </w:r>
      <w:r w:rsidR="00025C06">
        <w:t xml:space="preserve">  </w:t>
      </w:r>
      <w:r w:rsidR="00926B0E">
        <w:t xml:space="preserve">Consistent with </w:t>
      </w:r>
      <w:r w:rsidR="005E667B">
        <w:t xml:space="preserve">the </w:t>
      </w:r>
      <w:r w:rsidR="00926B0E">
        <w:t>process</w:t>
      </w:r>
      <w:r w:rsidR="00025C06">
        <w:t xml:space="preserve"> specified in the </w:t>
      </w:r>
      <w:r w:rsidRPr="001D07E7" w:rsidR="00025C06">
        <w:rPr>
          <w:i/>
          <w:iCs/>
        </w:rPr>
        <w:t>6 GHz Report and Order</w:t>
      </w:r>
      <w:r w:rsidR="00025C06">
        <w:t xml:space="preserve">, the public will have an opportunity to </w:t>
      </w:r>
      <w:r w:rsidR="00C9421F">
        <w:t xml:space="preserve">review and </w:t>
      </w:r>
      <w:r w:rsidR="00025C06">
        <w:t xml:space="preserve">comment on C3Spectra’s </w:t>
      </w:r>
      <w:r w:rsidR="00B74ED9">
        <w:t xml:space="preserve">AFC </w:t>
      </w:r>
      <w:r w:rsidR="00025C06">
        <w:t>proposal.</w:t>
      </w:r>
      <w:r>
        <w:rPr>
          <w:rStyle w:val="FootnoteReference"/>
        </w:rPr>
        <w:footnoteReference w:id="74"/>
      </w:r>
      <w:r w:rsidR="00025C06">
        <w:t xml:space="preserve">  </w:t>
      </w:r>
      <w:r w:rsidR="00B74ED9">
        <w:t>OET</w:t>
      </w:r>
      <w:r w:rsidR="00025C06">
        <w:t xml:space="preserve"> request</w:t>
      </w:r>
      <w:r w:rsidR="00B74ED9">
        <w:t>s</w:t>
      </w:r>
      <w:r w:rsidR="00025C06">
        <w:t xml:space="preserve"> that any comments </w:t>
      </w:r>
      <w:r w:rsidR="00B74ED9">
        <w:t>regarding</w:t>
      </w:r>
      <w:r w:rsidR="00025C06">
        <w:t xml:space="preserve"> C3Spectra’s </w:t>
      </w:r>
      <w:r w:rsidR="00B74ED9">
        <w:t xml:space="preserve">AFC </w:t>
      </w:r>
      <w:r w:rsidR="00025C06">
        <w:t xml:space="preserve">proposal be submitted in ET Docket No. 21-352 by </w:t>
      </w:r>
      <w:r w:rsidR="00615754">
        <w:t>March 15, 2024</w:t>
      </w:r>
      <w:r w:rsidR="00025C06">
        <w:t xml:space="preserve">.  OET will examine C3Spectra’s proposal along with any comments received and conditionally approve the proposal if it </w:t>
      </w:r>
      <w:r w:rsidR="001613C5">
        <w:t xml:space="preserve">demonstrates that the proposed system </w:t>
      </w:r>
      <w:r w:rsidR="001613C5">
        <w:t>would comply with all</w:t>
      </w:r>
      <w:r w:rsidR="00BF2662">
        <w:t xml:space="preserve"> </w:t>
      </w:r>
      <w:r w:rsidR="00025C06">
        <w:t>AFC requirements.</w:t>
      </w:r>
      <w:r>
        <w:rPr>
          <w:rStyle w:val="FootnoteReference"/>
        </w:rPr>
        <w:footnoteReference w:id="75"/>
      </w:r>
      <w:r w:rsidR="00025C06">
        <w:t xml:space="preserve">  If C3Spectra’s proposal is conditionally approved, </w:t>
      </w:r>
      <w:r w:rsidR="00A90153">
        <w:t>it</w:t>
      </w:r>
      <w:r w:rsidR="00025C06">
        <w:t xml:space="preserve"> may then begin the testing process that OET specified in the </w:t>
      </w:r>
      <w:r w:rsidRPr="00E22A94" w:rsidR="00025C06">
        <w:rPr>
          <w:i/>
          <w:iCs/>
        </w:rPr>
        <w:t>2023 Public Notice</w:t>
      </w:r>
      <w:r w:rsidR="00025C06">
        <w:t>.</w:t>
      </w:r>
      <w:r>
        <w:rPr>
          <w:rStyle w:val="FootnoteReference"/>
        </w:rPr>
        <w:footnoteReference w:id="76"/>
      </w:r>
      <w:r w:rsidR="00025C06">
        <w:t xml:space="preserve">  </w:t>
      </w:r>
      <w:r w:rsidR="00B74ED9">
        <w:t xml:space="preserve">Once testing is complete, </w:t>
      </w:r>
      <w:r w:rsidR="00025C06">
        <w:t xml:space="preserve">OET will examine the </w:t>
      </w:r>
      <w:r w:rsidR="0070637B">
        <w:t xml:space="preserve">C3Spectra’s </w:t>
      </w:r>
      <w:r w:rsidR="00025C06">
        <w:t>test report</w:t>
      </w:r>
      <w:r w:rsidR="002439DE">
        <w:t xml:space="preserve"> and public trial report</w:t>
      </w:r>
      <w:r w:rsidR="00025C06">
        <w:t xml:space="preserve"> to determine if </w:t>
      </w:r>
      <w:r w:rsidR="00503BD3">
        <w:t xml:space="preserve">its </w:t>
      </w:r>
      <w:r w:rsidR="00025C06">
        <w:t xml:space="preserve">AFC system can be approved for commercial operations.   </w:t>
      </w:r>
    </w:p>
    <w:p w:rsidR="007F379C" w:rsidP="004B0541" w14:paraId="4BA80B79" w14:textId="4679EB0E">
      <w:pPr>
        <w:pStyle w:val="ParaNum"/>
      </w:pPr>
      <w:r w:rsidRPr="00C073CA">
        <w:rPr>
          <w:i/>
          <w:iCs/>
        </w:rPr>
        <w:t>Further Information</w:t>
      </w:r>
      <w:r>
        <w:t xml:space="preserve">. Questions regarding this Public Notice may be directed to Nicholas Oros, Office of Engineering and Technology, at (202) 418-0636 or </w:t>
      </w:r>
      <w:hyperlink r:id="rId5" w:history="1">
        <w:r w:rsidRPr="00187B4D">
          <w:rPr>
            <w:rStyle w:val="Hyperlink"/>
          </w:rPr>
          <w:t>Nicholas.Oros@fcc.gov</w:t>
        </w:r>
      </w:hyperlink>
      <w:r>
        <w:t>.</w:t>
      </w:r>
      <w:bookmarkEnd w:id="0"/>
    </w:p>
    <w:p w:rsidR="008E7F25" w:rsidP="008E7F25" w14:paraId="08CD0E82" w14:textId="77777777">
      <w:pPr>
        <w:pStyle w:val="ParaNum"/>
        <w:numPr>
          <w:ilvl w:val="0"/>
          <w:numId w:val="0"/>
        </w:numPr>
        <w:ind w:left="720"/>
      </w:pPr>
    </w:p>
    <w:p w:rsidR="0020410E" w:rsidP="008E7F25" w14:paraId="3DB233C5" w14:textId="77777777">
      <w:pPr>
        <w:pStyle w:val="ParaNum"/>
        <w:numPr>
          <w:ilvl w:val="0"/>
          <w:numId w:val="0"/>
        </w:numPr>
        <w:ind w:left="720"/>
      </w:pPr>
    </w:p>
    <w:p w:rsidR="008E7F25" w:rsidRPr="006F63CA" w:rsidP="006F63CA" w14:paraId="7878DC49" w14:textId="77777777">
      <w:pPr>
        <w:pStyle w:val="ParaNum"/>
        <w:numPr>
          <w:ilvl w:val="0"/>
          <w:numId w:val="0"/>
        </w:numPr>
        <w:ind w:left="3600" w:firstLine="720"/>
        <w:rPr>
          <w:b/>
          <w:bCs/>
        </w:rPr>
      </w:pPr>
      <w:r w:rsidRPr="007A32A9">
        <w:rPr>
          <w:b/>
          <w:bCs/>
        </w:rPr>
        <w:t>-FCC-</w:t>
      </w:r>
    </w:p>
    <w:sectPr>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56983CD7"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D43E6" w14:paraId="2962D8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78B0A0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1A91F2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2F4C" w14:paraId="31A0D16E" w14:textId="77777777">
      <w:r>
        <w:separator/>
      </w:r>
    </w:p>
  </w:footnote>
  <w:footnote w:type="continuationSeparator" w:id="1">
    <w:p w:rsidR="00382F4C" w14:paraId="6FD48636" w14:textId="77777777">
      <w:pPr>
        <w:rPr>
          <w:sz w:val="20"/>
        </w:rPr>
      </w:pPr>
      <w:r>
        <w:rPr>
          <w:sz w:val="20"/>
        </w:rPr>
        <w:t xml:space="preserve">(Continued from previous page)  </w:t>
      </w:r>
      <w:r>
        <w:rPr>
          <w:sz w:val="20"/>
        </w:rPr>
        <w:separator/>
      </w:r>
    </w:p>
  </w:footnote>
  <w:footnote w:type="continuationNotice" w:id="2">
    <w:p w:rsidR="00382F4C" w14:paraId="405BB9F9" w14:textId="77777777">
      <w:pPr>
        <w:jc w:val="right"/>
        <w:rPr>
          <w:sz w:val="20"/>
        </w:rPr>
      </w:pPr>
      <w:r>
        <w:rPr>
          <w:sz w:val="20"/>
        </w:rPr>
        <w:t>(continued….)</w:t>
      </w:r>
    </w:p>
  </w:footnote>
  <w:footnote w:id="3">
    <w:p w:rsidR="00CE0B3D" w:rsidP="007D4044" w14:paraId="3EFC0270" w14:textId="1F5B242E">
      <w:pPr>
        <w:pStyle w:val="FootnoteText"/>
      </w:pPr>
      <w:r>
        <w:rPr>
          <w:rStyle w:val="FootnoteReference"/>
        </w:rPr>
        <w:footnoteRef/>
      </w:r>
      <w:r>
        <w:t xml:space="preserve"> </w:t>
      </w:r>
      <w:r w:rsidR="00B23CEA">
        <w:t xml:space="preserve">Subsequent to submitting its proposal to become an AFC system operator, the Wi-Fi Alliance created a wholly owned subsidiary </w:t>
      </w:r>
      <w:r w:rsidR="009B02B1">
        <w:t xml:space="preserve">–Wi-Fi Alliance Services Corporation </w:t>
      </w:r>
      <w:r w:rsidR="00A667B4">
        <w:t>–</w:t>
      </w:r>
      <w:r w:rsidR="009B02B1">
        <w:t xml:space="preserve"> </w:t>
      </w:r>
      <w:r w:rsidR="00A667B4">
        <w:t xml:space="preserve">to </w:t>
      </w:r>
      <w:r w:rsidR="00722E96">
        <w:t>act as the</w:t>
      </w:r>
      <w:r w:rsidR="00A667B4">
        <w:t xml:space="preserve"> AFC </w:t>
      </w:r>
      <w:r w:rsidR="00722E96">
        <w:t xml:space="preserve">system </w:t>
      </w:r>
      <w:r w:rsidR="00A667B4">
        <w:t xml:space="preserve">operator.  </w:t>
      </w:r>
      <w:r w:rsidR="00375023">
        <w:rPr>
          <w:i/>
          <w:iCs/>
        </w:rPr>
        <w:t xml:space="preserve">See </w:t>
      </w:r>
      <w:r w:rsidR="00375023">
        <w:t>Letter from Alex Roytblat, Vice President, Worldwide Regulatory Affairs, Wi-Fi Alliance, to Marlene H. Dortch, Secretary, FCC, ET Docket No. 21-352, at 1 (filed Dec. 11, 2023).</w:t>
      </w:r>
      <w:r w:rsidR="001C7A3E">
        <w:t xml:space="preserve">  </w:t>
      </w:r>
      <w:r w:rsidR="007D4044">
        <w:t>Control of t</w:t>
      </w:r>
      <w:r w:rsidR="00A667B4">
        <w:t xml:space="preserve">he </w:t>
      </w:r>
      <w:r w:rsidR="007D4044">
        <w:t xml:space="preserve">Wi-Fi Alliance Services Corporation remains with Wi-Fi Alliance.  </w:t>
      </w:r>
      <w:r w:rsidR="001C7A3E">
        <w:rPr>
          <w:i/>
          <w:iCs/>
        </w:rPr>
        <w:t>Id.</w:t>
      </w:r>
      <w:r w:rsidR="00DD7C4E">
        <w:t xml:space="preserve"> </w:t>
      </w:r>
    </w:p>
  </w:footnote>
  <w:footnote w:id="4">
    <w:p w:rsidR="00992C33" w:rsidP="00992C33" w14:paraId="3031C5C2" w14:textId="0048A5A8">
      <w:pPr>
        <w:pStyle w:val="FootnoteText"/>
      </w:pPr>
      <w:r>
        <w:rPr>
          <w:rStyle w:val="FootnoteReference"/>
        </w:rPr>
        <w:footnoteRef/>
      </w:r>
      <w:r>
        <w:t xml:space="preserve"> Proposal by C3Spectra Inc. for Approval of 6 GHz Automated Frequency Coordination Service Operator, ET Docket No. 21-352 (filed Dec. 3, 2023), </w:t>
      </w:r>
      <w:hyperlink r:id="rId1" w:history="1">
        <w:r w:rsidRPr="00BD7150">
          <w:rPr>
            <w:rStyle w:val="Hyperlink"/>
          </w:rPr>
          <w:t>https://www.fcc.gov/ecfs/document/120222669592/1</w:t>
        </w:r>
      </w:hyperlink>
      <w:r>
        <w:t>.</w:t>
      </w:r>
    </w:p>
  </w:footnote>
  <w:footnote w:id="5">
    <w:p w:rsidR="001D07E7" w14:paraId="3230C9AC" w14:textId="77777777">
      <w:pPr>
        <w:pStyle w:val="FootnoteText"/>
      </w:pPr>
      <w:r>
        <w:rPr>
          <w:rStyle w:val="FootnoteReference"/>
        </w:rPr>
        <w:footnoteRef/>
      </w:r>
      <w:r>
        <w:t xml:space="preserve"> </w:t>
      </w:r>
      <w:r w:rsidRPr="00D0545A">
        <w:rPr>
          <w:i/>
          <w:spacing w:val="-2"/>
        </w:rPr>
        <w:t>Unlicensed Use of the 6 GHz Band</w:t>
      </w:r>
      <w:r w:rsidRPr="00D0545A">
        <w:rPr>
          <w:spacing w:val="-2"/>
        </w:rPr>
        <w:t xml:space="preserve">, </w:t>
      </w:r>
      <w:r>
        <w:rPr>
          <w:spacing w:val="-2"/>
        </w:rPr>
        <w:t xml:space="preserve">ET Docket No. 18-295, </w:t>
      </w:r>
      <w:r w:rsidRPr="00D0545A">
        <w:rPr>
          <w:spacing w:val="-2"/>
        </w:rPr>
        <w:t xml:space="preserve">Report and Order and Further Notice of Proposed Rulemaking, 35 FCC </w:t>
      </w:r>
      <w:r w:rsidRPr="00D0545A">
        <w:rPr>
          <w:spacing w:val="-2"/>
        </w:rPr>
        <w:t>Rcd</w:t>
      </w:r>
      <w:r w:rsidRPr="00D0545A">
        <w:rPr>
          <w:spacing w:val="-2"/>
        </w:rPr>
        <w:t xml:space="preserve"> 3852 (2020) (</w:t>
      </w:r>
      <w:r w:rsidRPr="00D0545A">
        <w:rPr>
          <w:i/>
          <w:iCs/>
          <w:spacing w:val="-2"/>
        </w:rPr>
        <w:t>6 GHz R</w:t>
      </w:r>
      <w:r>
        <w:rPr>
          <w:i/>
          <w:iCs/>
          <w:spacing w:val="-2"/>
        </w:rPr>
        <w:t>eport and Order</w:t>
      </w:r>
      <w:r w:rsidRPr="00D0545A">
        <w:rPr>
          <w:spacing w:val="-2"/>
        </w:rPr>
        <w:t>)</w:t>
      </w:r>
      <w:r>
        <w:rPr>
          <w:spacing w:val="-2"/>
        </w:rPr>
        <w:t>.</w:t>
      </w:r>
    </w:p>
  </w:footnote>
  <w:footnote w:id="6">
    <w:p w:rsidR="00F11827" w:rsidP="00F11827" w14:paraId="14B5869B" w14:textId="77777777">
      <w:pPr>
        <w:pStyle w:val="FootnoteText"/>
      </w:pPr>
      <w:r>
        <w:rPr>
          <w:rStyle w:val="FootnoteReference"/>
        </w:rPr>
        <w:footnoteRef/>
      </w:r>
      <w:r>
        <w:t xml:space="preserve"> </w:t>
      </w:r>
      <w:r w:rsidRPr="00A71E55">
        <w:rPr>
          <w:i/>
          <w:iCs/>
        </w:rPr>
        <w:t>Id</w:t>
      </w:r>
      <w:r>
        <w:t>. at 3860, paras. 17-18.</w:t>
      </w:r>
    </w:p>
  </w:footnote>
  <w:footnote w:id="7">
    <w:p w:rsidR="00A71E55" w14:paraId="12F9A7DA" w14:textId="0687ACCA">
      <w:pPr>
        <w:pStyle w:val="FootnoteText"/>
      </w:pPr>
      <w:r>
        <w:rPr>
          <w:rStyle w:val="FootnoteReference"/>
        </w:rPr>
        <w:footnoteRef/>
      </w:r>
      <w:r>
        <w:t xml:space="preserve"> </w:t>
      </w:r>
      <w:r w:rsidR="00BE254A">
        <w:t>47 CFR §</w:t>
      </w:r>
      <w:r w:rsidR="004367CF">
        <w:t>§</w:t>
      </w:r>
      <w:r w:rsidR="00BE254A">
        <w:t xml:space="preserve"> </w:t>
      </w:r>
      <w:r w:rsidR="004367CF">
        <w:t xml:space="preserve">15.403, </w:t>
      </w:r>
      <w:r w:rsidR="00BE254A">
        <w:t xml:space="preserve">15.407(k)(1); </w:t>
      </w:r>
      <w:r w:rsidR="00BE254A">
        <w:rPr>
          <w:i/>
          <w:iCs/>
        </w:rPr>
        <w:t>6 GHz Report and Order</w:t>
      </w:r>
      <w:r w:rsidR="00BE254A">
        <w:t xml:space="preserve">, 35 FCC </w:t>
      </w:r>
      <w:r w:rsidR="00BE254A">
        <w:t>Rcd</w:t>
      </w:r>
      <w:r>
        <w:t xml:space="preserve"> at 3860, </w:t>
      </w:r>
      <w:r w:rsidR="00F11827">
        <w:t xml:space="preserve">3862, 3923, </w:t>
      </w:r>
      <w:r>
        <w:t>paras. 17-18</w:t>
      </w:r>
      <w:r w:rsidR="00EB5DD1">
        <w:t>, 22, 192</w:t>
      </w:r>
      <w:r>
        <w:t>.</w:t>
      </w:r>
      <w:r w:rsidR="00EB5DD1">
        <w:t xml:space="preserve">  Only standard-power and fixed-client 6 GHz unlicensed devices are required to operate pursuant to an AFC system.  47 CFR § 15.407(k)(1).  Standard-power devices may operate </w:t>
      </w:r>
      <w:r w:rsidR="00CA2227">
        <w:t xml:space="preserve">both </w:t>
      </w:r>
      <w:r w:rsidR="00EB5DD1">
        <w:t xml:space="preserve">outdoors </w:t>
      </w:r>
      <w:r w:rsidR="00CA2227">
        <w:t>and indoors</w:t>
      </w:r>
      <w:r w:rsidR="00EB5DD1">
        <w:t xml:space="preserve"> </w:t>
      </w:r>
      <w:r w:rsidR="00CA2227">
        <w:t xml:space="preserve">at power levels </w:t>
      </w:r>
      <w:r w:rsidR="00EB5DD1">
        <w:t xml:space="preserve">above the low-power indoor device power limits.  </w:t>
      </w:r>
      <w:r w:rsidRPr="00BE254A" w:rsidR="00BE254A">
        <w:rPr>
          <w:i/>
          <w:iCs/>
        </w:rPr>
        <w:t>Id.</w:t>
      </w:r>
      <w:r w:rsidR="00BE254A">
        <w:t xml:space="preserve"> § 15.407(a)(4).  A f</w:t>
      </w:r>
      <w:r w:rsidR="00EB5DD1">
        <w:t>ixed client device</w:t>
      </w:r>
      <w:r w:rsidR="00BE254A">
        <w:t xml:space="preserve"> is</w:t>
      </w:r>
      <w:r w:rsidR="00EB5DD1">
        <w:t xml:space="preserve"> </w:t>
      </w:r>
      <w:r w:rsidR="00BE254A">
        <w:t>“</w:t>
      </w:r>
      <w:r w:rsidRPr="004603AC" w:rsidR="00EB5DD1">
        <w:t>intended as customer premise equipment that is permanently attached to a structure, operates only on channels provided by an AFC, has a geolocation capability, and complies with antenna pointing angle requirements.</w:t>
      </w:r>
      <w:r w:rsidR="00BE254A">
        <w:t>”</w:t>
      </w:r>
      <w:r w:rsidR="00EB5DD1">
        <w:t xml:space="preserve">  </w:t>
      </w:r>
      <w:r w:rsidRPr="00BE254A" w:rsidR="0062553A">
        <w:rPr>
          <w:i/>
          <w:iCs/>
        </w:rPr>
        <w:t>Id.</w:t>
      </w:r>
      <w:r w:rsidR="00EB5DD1">
        <w:t xml:space="preserve"> § 15.403.</w:t>
      </w:r>
      <w:r w:rsidRPr="00F11827" w:rsidR="00F11827">
        <w:rPr>
          <w:i/>
          <w:iCs/>
        </w:rPr>
        <w:t xml:space="preserve"> </w:t>
      </w:r>
    </w:p>
  </w:footnote>
  <w:footnote w:id="8">
    <w:p w:rsidR="00A71E55" w14:paraId="0EA90AE0" w14:textId="77777777">
      <w:pPr>
        <w:pStyle w:val="FootnoteText"/>
      </w:pPr>
      <w:r>
        <w:rPr>
          <w:rStyle w:val="FootnoteReference"/>
        </w:rPr>
        <w:footnoteRef/>
      </w:r>
      <w:r>
        <w:t xml:space="preserve"> </w:t>
      </w:r>
      <w:r w:rsidR="000B24E5">
        <w:rPr>
          <w:i/>
          <w:iCs/>
        </w:rPr>
        <w:t>6 GHz Report and Order</w:t>
      </w:r>
      <w:r w:rsidR="000B24E5">
        <w:t xml:space="preserve">, 35 FCC </w:t>
      </w:r>
      <w:r w:rsidR="000B24E5">
        <w:t>Rcd</w:t>
      </w:r>
      <w:r w:rsidR="000B24E5">
        <w:t xml:space="preserve"> </w:t>
      </w:r>
      <w:r>
        <w:t>at 3855, para. 7.</w:t>
      </w:r>
    </w:p>
  </w:footnote>
  <w:footnote w:id="9">
    <w:p w:rsidR="00A71E55" w14:paraId="0612DB17" w14:textId="77777777">
      <w:pPr>
        <w:pStyle w:val="FootnoteText"/>
      </w:pPr>
      <w:r>
        <w:rPr>
          <w:rStyle w:val="FootnoteReference"/>
        </w:rPr>
        <w:footnoteRef/>
      </w:r>
      <w:r>
        <w:t xml:space="preserve"> </w:t>
      </w:r>
      <w:r w:rsidRPr="00A71E55">
        <w:rPr>
          <w:i/>
          <w:iCs/>
        </w:rPr>
        <w:t>Id</w:t>
      </w:r>
      <w:r>
        <w:t>. at 3884, para. 87.</w:t>
      </w:r>
    </w:p>
  </w:footnote>
  <w:footnote w:id="10">
    <w:p w:rsidR="000B24E5" w:rsidP="000B24E5" w14:paraId="1C6BBF2C" w14:textId="77777777">
      <w:pPr>
        <w:pStyle w:val="FootnoteText"/>
      </w:pPr>
      <w:r>
        <w:rPr>
          <w:rStyle w:val="FootnoteReference"/>
        </w:rPr>
        <w:footnoteRef/>
      </w:r>
      <w:r>
        <w:t xml:space="preserve"> </w:t>
      </w:r>
      <w:r w:rsidR="00E7427A">
        <w:t>47 CFR § 15.407(</w:t>
      </w:r>
      <w:r w:rsidRPr="004367CF" w:rsidR="00E7427A">
        <w:t>l</w:t>
      </w:r>
      <w:r w:rsidR="00E7427A">
        <w:t xml:space="preserve">), (m); </w:t>
      </w:r>
      <w:r w:rsidR="00E7427A">
        <w:rPr>
          <w:i/>
          <w:iCs/>
        </w:rPr>
        <w:t>6 GHz Report and Order</w:t>
      </w:r>
      <w:r w:rsidR="00E7427A">
        <w:t xml:space="preserve">, 35 FCC </w:t>
      </w:r>
      <w:r w:rsidR="00E7427A">
        <w:t>Rcd</w:t>
      </w:r>
      <w:r>
        <w:t xml:space="preserve"> at 3862, para. 22.</w:t>
      </w:r>
    </w:p>
  </w:footnote>
  <w:footnote w:id="11">
    <w:p w:rsidR="00A70611" w:rsidP="00A70611" w14:paraId="56CCC56D" w14:textId="7A7D7DAF">
      <w:pPr>
        <w:pStyle w:val="FootnoteText"/>
      </w:pPr>
      <w:r>
        <w:rPr>
          <w:rStyle w:val="FootnoteReference"/>
        </w:rPr>
        <w:footnoteRef/>
      </w:r>
      <w:r>
        <w:t xml:space="preserve"> </w:t>
      </w:r>
      <w:r w:rsidRPr="001E7250">
        <w:rPr>
          <w:i/>
          <w:iCs/>
        </w:rPr>
        <w:t xml:space="preserve">The Commission Begins the Process for Authorizing </w:t>
      </w:r>
      <w:r>
        <w:rPr>
          <w:i/>
          <w:iCs/>
        </w:rPr>
        <w:t xml:space="preserve">6 GHz Band </w:t>
      </w:r>
      <w:r w:rsidRPr="001E7250">
        <w:rPr>
          <w:i/>
          <w:iCs/>
        </w:rPr>
        <w:t>Automated Frequency Coordination Systems</w:t>
      </w:r>
      <w:r>
        <w:t xml:space="preserve">, ET Docket No. 21-352, Public Notice, </w:t>
      </w:r>
      <w:r w:rsidR="005908BF">
        <w:t xml:space="preserve">36 FCC </w:t>
      </w:r>
      <w:r w:rsidR="005908BF">
        <w:t>Rcd</w:t>
      </w:r>
      <w:r w:rsidR="005908BF">
        <w:t xml:space="preserve"> 14098, 14098, 14101-02, 14</w:t>
      </w:r>
      <w:r w:rsidR="004F2F46">
        <w:t>103</w:t>
      </w:r>
      <w:r>
        <w:t>, paras. 2, 7, 10 (2021).</w:t>
      </w:r>
    </w:p>
  </w:footnote>
  <w:footnote w:id="12">
    <w:p w:rsidR="00A70611" w:rsidP="00A70611" w14:paraId="08BEC815" w14:textId="77777777">
      <w:pPr>
        <w:pStyle w:val="FootnoteText"/>
      </w:pPr>
      <w:r>
        <w:rPr>
          <w:rStyle w:val="FootnoteReference"/>
        </w:rPr>
        <w:footnoteRef/>
      </w:r>
      <w:r>
        <w:t xml:space="preserve"> See the 14 applications to operate AFC systems filed in ET Docket No. 21-352 between October 28, 2021, and November 11, 2021.  APCO International; the Utilities Technology Council and Edison Electric Institute; Wi-Fi Alliance; Dynamic Spectrum Alliance; Verizon; AT&amp;T Services; Apple, Broadcom et al.; and the Fixed Wireless Communications Coalition (FWCC) filed comments in ET Docket No. 21-352 on </w:t>
      </w:r>
      <w:r w:rsidRPr="00B959FC">
        <w:t>December 21</w:t>
      </w:r>
      <w:r w:rsidRPr="0006162A">
        <w:t>,</w:t>
      </w:r>
      <w:r w:rsidRPr="00B959FC">
        <w:t xml:space="preserve"> </w:t>
      </w:r>
      <w:r w:rsidRPr="0006162A">
        <w:t>2021</w:t>
      </w:r>
      <w:r w:rsidRPr="00B959FC">
        <w:t>.</w:t>
      </w:r>
    </w:p>
  </w:footnote>
  <w:footnote w:id="13">
    <w:p w:rsidR="00A70611" w:rsidP="00A70611" w14:paraId="1A0E8D2C" w14:textId="188FDA2C">
      <w:pPr>
        <w:pStyle w:val="FootnoteText"/>
      </w:pPr>
      <w:r>
        <w:rPr>
          <w:rStyle w:val="FootnoteReference"/>
        </w:rPr>
        <w:footnoteRef/>
      </w:r>
      <w:r>
        <w:t xml:space="preserve"> </w:t>
      </w:r>
      <w:r w:rsidR="00A730C0">
        <w:t xml:space="preserve">Letter from Robert A. Silverman, Counsel to </w:t>
      </w:r>
      <w:r>
        <w:t>Amdocs</w:t>
      </w:r>
      <w:r w:rsidR="00A730C0">
        <w:t>, Inc., to Marlene H. Dortch, Secretary, FCC, ET Docket No. 21-352, at 1 (filed</w:t>
      </w:r>
      <w:r>
        <w:t xml:space="preserve"> Mar</w:t>
      </w:r>
      <w:r w:rsidR="00A730C0">
        <w:t>.</w:t>
      </w:r>
      <w:r>
        <w:t xml:space="preserve"> 25, 2022</w:t>
      </w:r>
      <w:r w:rsidR="00A730C0">
        <w:t>)</w:t>
      </w:r>
      <w:r>
        <w:t>.</w:t>
      </w:r>
    </w:p>
  </w:footnote>
  <w:footnote w:id="14">
    <w:p w:rsidR="00A70611" w:rsidP="00A70611" w14:paraId="1F113F77" w14:textId="18D542BA">
      <w:pPr>
        <w:pStyle w:val="FootnoteText"/>
      </w:pPr>
      <w:r>
        <w:rPr>
          <w:rStyle w:val="FootnoteReference"/>
        </w:rPr>
        <w:footnoteRef/>
      </w:r>
      <w:r>
        <w:t xml:space="preserve"> </w:t>
      </w:r>
      <w:r w:rsidRPr="00DF44D6">
        <w:rPr>
          <w:i/>
          <w:iCs/>
        </w:rPr>
        <w:t>OET Announces Conditional Approval for 6 GHz Band Automated Frequency Coordination Systems</w:t>
      </w:r>
      <w:r>
        <w:t xml:space="preserve">, ET Docket 21-352, Public Notice, </w:t>
      </w:r>
      <w:r w:rsidR="00B12FA7">
        <w:t xml:space="preserve">37 FCC </w:t>
      </w:r>
      <w:r w:rsidR="00B12FA7">
        <w:t>Rcd</w:t>
      </w:r>
      <w:r w:rsidR="00B12FA7">
        <w:t xml:space="preserve"> 13071, 13071</w:t>
      </w:r>
      <w:r>
        <w:t>, para. 1 (</w:t>
      </w:r>
      <w:r w:rsidR="006E3BEF">
        <w:t xml:space="preserve">OET </w:t>
      </w:r>
      <w:r>
        <w:t>2022) (</w:t>
      </w:r>
      <w:r w:rsidRPr="005E1BB5">
        <w:rPr>
          <w:i/>
          <w:iCs/>
        </w:rPr>
        <w:t>2022 Public Notice</w:t>
      </w:r>
      <w:r>
        <w:t xml:space="preserve">). </w:t>
      </w:r>
    </w:p>
  </w:footnote>
  <w:footnote w:id="15">
    <w:p w:rsidR="00A70611" w:rsidP="00A70611" w14:paraId="73BC834E" w14:textId="486D9091">
      <w:pPr>
        <w:pStyle w:val="FootnoteText"/>
      </w:pPr>
      <w:r>
        <w:rPr>
          <w:rStyle w:val="FootnoteReference"/>
        </w:rPr>
        <w:footnoteRef/>
      </w:r>
      <w:r>
        <w:t xml:space="preserve"> </w:t>
      </w:r>
      <w:r w:rsidRPr="00DF44D6">
        <w:rPr>
          <w:i/>
          <w:iCs/>
        </w:rPr>
        <w:t>Id</w:t>
      </w:r>
      <w:r>
        <w:t xml:space="preserve">. at </w:t>
      </w:r>
      <w:r w:rsidR="007268D7">
        <w:t>13073-74</w:t>
      </w:r>
      <w:r>
        <w:t>, para. 5.</w:t>
      </w:r>
    </w:p>
  </w:footnote>
  <w:footnote w:id="16">
    <w:p w:rsidR="007042A5" w14:paraId="11E6843D" w14:textId="291908E0">
      <w:pPr>
        <w:pStyle w:val="FootnoteText"/>
      </w:pPr>
      <w:r>
        <w:rPr>
          <w:rStyle w:val="FootnoteReference"/>
        </w:rPr>
        <w:footnoteRef/>
      </w:r>
      <w:r>
        <w:t xml:space="preserve"> </w:t>
      </w:r>
      <w:r w:rsidRPr="00DF44D6">
        <w:rPr>
          <w:i/>
          <w:iCs/>
        </w:rPr>
        <w:t>OET Announces Co</w:t>
      </w:r>
      <w:r>
        <w:rPr>
          <w:i/>
          <w:iCs/>
        </w:rPr>
        <w:t>mmencement of Testing of the</w:t>
      </w:r>
      <w:r w:rsidRPr="00DF44D6">
        <w:rPr>
          <w:i/>
          <w:iCs/>
        </w:rPr>
        <w:t xml:space="preserve"> 6 GHz Band Automated Frequency Coordination Systems</w:t>
      </w:r>
      <w:r>
        <w:t>, ET Docket 21-352, Public Notice, DA 23-759 (</w:t>
      </w:r>
      <w:r w:rsidR="00C017B8">
        <w:t xml:space="preserve">OET </w:t>
      </w:r>
      <w:r>
        <w:t xml:space="preserve">Aug. 24, 2023) </w:t>
      </w:r>
      <w:hyperlink r:id="rId2" w:history="1">
        <w:r w:rsidRPr="006F7187">
          <w:rPr>
            <w:rStyle w:val="Hyperlink"/>
          </w:rPr>
          <w:t>https://www.fcc.gov/edocs/search-results?t=advanced&amp;daNo=23-759</w:t>
        </w:r>
      </w:hyperlink>
      <w:r>
        <w:t xml:space="preserve"> (</w:t>
      </w:r>
      <w:r w:rsidRPr="005E1BB5">
        <w:rPr>
          <w:i/>
          <w:iCs/>
        </w:rPr>
        <w:t>202</w:t>
      </w:r>
      <w:r>
        <w:rPr>
          <w:i/>
          <w:iCs/>
        </w:rPr>
        <w:t>3</w:t>
      </w:r>
      <w:r w:rsidRPr="005E1BB5">
        <w:rPr>
          <w:i/>
          <w:iCs/>
        </w:rPr>
        <w:t xml:space="preserve"> Public Notice</w:t>
      </w:r>
      <w:r>
        <w:t>)</w:t>
      </w:r>
      <w:r w:rsidR="004367CF">
        <w:t>.</w:t>
      </w:r>
    </w:p>
  </w:footnote>
  <w:footnote w:id="17">
    <w:p w:rsidR="0053068D" w:rsidRPr="005E30BF" w:rsidP="0053068D" w14:paraId="1156DF97" w14:textId="4F13A88D">
      <w:pPr>
        <w:pStyle w:val="FootnoteText"/>
      </w:pPr>
      <w:r>
        <w:rPr>
          <w:rStyle w:val="FootnoteReference"/>
        </w:rPr>
        <w:footnoteRef/>
      </w:r>
      <w:r>
        <w:t xml:space="preserve"> </w:t>
      </w:r>
      <w:r w:rsidR="003F7861">
        <w:rPr>
          <w:i/>
          <w:iCs/>
        </w:rPr>
        <w:t>Id.</w:t>
      </w:r>
      <w:r>
        <w:rPr>
          <w:i/>
          <w:iCs/>
        </w:rPr>
        <w:t xml:space="preserve"> </w:t>
      </w:r>
      <w:r>
        <w:t xml:space="preserve">at </w:t>
      </w:r>
      <w:r w:rsidR="00A650C6">
        <w:t xml:space="preserve">1, 3-7, 12-13, paras. 1, 6-18, 36; </w:t>
      </w:r>
      <w:r w:rsidRPr="00E90B6A" w:rsidR="00E90B6A">
        <w:rPr>
          <w:i/>
          <w:iCs/>
        </w:rPr>
        <w:t>see also</w:t>
      </w:r>
      <w:r w:rsidR="00E90B6A">
        <w:t xml:space="preserve"> </w:t>
      </w:r>
      <w:r w:rsidRPr="00E90B6A" w:rsidR="00E90B6A">
        <w:rPr>
          <w:i/>
          <w:iCs/>
        </w:rPr>
        <w:t>6 GHz Report and Order</w:t>
      </w:r>
      <w:r w:rsidR="00E90B6A">
        <w:t xml:space="preserve">, 35 FCC </w:t>
      </w:r>
      <w:r w:rsidR="00E90B6A">
        <w:t>Rcd</w:t>
      </w:r>
      <w:r w:rsidR="00E90B6A">
        <w:t xml:space="preserve"> at 3871, para. 49; </w:t>
      </w:r>
      <w:r w:rsidRPr="00E90B6A" w:rsidR="00E90B6A">
        <w:rPr>
          <w:i/>
          <w:iCs/>
        </w:rPr>
        <w:t>2022 Public Notice</w:t>
      </w:r>
      <w:r w:rsidR="00E90B6A">
        <w:t xml:space="preserve">, 37 FCC </w:t>
      </w:r>
      <w:r w:rsidR="00E90B6A">
        <w:t>Rcd</w:t>
      </w:r>
      <w:r w:rsidR="00E90B6A">
        <w:t xml:space="preserve"> at 13090-92, paras. 41-47</w:t>
      </w:r>
      <w:r>
        <w:t>.</w:t>
      </w:r>
    </w:p>
  </w:footnote>
  <w:footnote w:id="18">
    <w:p w:rsidR="00AF0D17" w:rsidRPr="005E30BF" w:rsidP="00AF0D17" w14:paraId="5544BBC4" w14:textId="548BD3D6">
      <w:pPr>
        <w:pStyle w:val="FootnoteText"/>
      </w:pPr>
      <w:r>
        <w:rPr>
          <w:rStyle w:val="FootnoteReference"/>
        </w:rPr>
        <w:footnoteRef/>
      </w:r>
      <w:r>
        <w:t xml:space="preserve"> </w:t>
      </w:r>
      <w:bookmarkStart w:id="3" w:name="_Hlk157588144"/>
      <w:r w:rsidRPr="005E1BB5">
        <w:rPr>
          <w:i/>
          <w:iCs/>
        </w:rPr>
        <w:t>202</w:t>
      </w:r>
      <w:r w:rsidR="00535F5A">
        <w:rPr>
          <w:i/>
          <w:iCs/>
        </w:rPr>
        <w:t>3</w:t>
      </w:r>
      <w:r w:rsidRPr="005E1BB5">
        <w:rPr>
          <w:i/>
          <w:iCs/>
        </w:rPr>
        <w:t xml:space="preserve"> Public Notice</w:t>
      </w:r>
      <w:r>
        <w:rPr>
          <w:i/>
          <w:iCs/>
        </w:rPr>
        <w:t xml:space="preserve"> </w:t>
      </w:r>
      <w:r>
        <w:t>at 5-6, paras. 11-12</w:t>
      </w:r>
      <w:bookmarkEnd w:id="3"/>
      <w:r>
        <w:t xml:space="preserve">.  A list of FCC recognized accredited testing laboratories can be found at </w:t>
      </w:r>
      <w:hyperlink r:id="rId3" w:history="1">
        <w:r w:rsidRPr="00F22448">
          <w:rPr>
            <w:rStyle w:val="Hyperlink"/>
          </w:rPr>
          <w:t>https://apps.fcc.gov/oetcf/eas/reports/TestFirmSearch.cfm</w:t>
        </w:r>
      </w:hyperlink>
      <w:r>
        <w:t xml:space="preserve">.  A list of </w:t>
      </w:r>
      <w:r>
        <w:t>W</w:t>
      </w:r>
      <w:r w:rsidR="00E52082">
        <w:t>I</w:t>
      </w:r>
      <w:r>
        <w:t>nnForum</w:t>
      </w:r>
      <w:r>
        <w:t xml:space="preserve">-approved CBSD test labs can be found at </w:t>
      </w:r>
      <w:hyperlink r:id="rId4" w:history="1">
        <w:r w:rsidRPr="00790667">
          <w:rPr>
            <w:rStyle w:val="Hyperlink"/>
          </w:rPr>
          <w:t>https://cbrs.wirelessinnovation.org/cbsd-certification-program</w:t>
        </w:r>
      </w:hyperlink>
      <w:r>
        <w:t xml:space="preserve">. </w:t>
      </w:r>
      <w:r w:rsidR="006B0E7C">
        <w:t xml:space="preserve"> </w:t>
      </w:r>
      <w:r w:rsidR="00EB2B74">
        <w:t xml:space="preserve">The </w:t>
      </w:r>
      <w:r w:rsidR="00EB2B74">
        <w:t>W</w:t>
      </w:r>
      <w:r w:rsidR="00E52082">
        <w:t>I</w:t>
      </w:r>
      <w:r w:rsidR="00EB2B74">
        <w:t>nnForum</w:t>
      </w:r>
      <w:r w:rsidR="00EB2B74">
        <w:t xml:space="preserve"> accreditation process can be found at </w:t>
      </w:r>
      <w:r w:rsidRPr="001C5B12">
        <w:rPr>
          <w:i/>
          <w:iCs/>
        </w:rPr>
        <w:t>Wireless Innovation Forum Authorized AFC System Test Lab Requirements</w:t>
      </w:r>
      <w:r>
        <w:t>, Version 1.0.0, Aug</w:t>
      </w:r>
      <w:r w:rsidR="00EB2B74">
        <w:t>.</w:t>
      </w:r>
      <w:r>
        <w:t xml:space="preserve"> 4, 2022, </w:t>
      </w:r>
      <w:hyperlink r:id="rId5" w:history="1">
        <w:r w:rsidRPr="006F7187">
          <w:rPr>
            <w:rStyle w:val="Hyperlink"/>
          </w:rPr>
          <w:t>https://6ghz.wirelessinnovation.org/assets/WINNF-TS-5009-V1.0.0%206%20GHz%20AFC%20System%20ATL%20Requirements%20Specification.pdf</w:t>
        </w:r>
      </w:hyperlink>
      <w:r>
        <w:rPr>
          <w:rStyle w:val="Hyperlink"/>
        </w:rPr>
        <w:t xml:space="preserve">.  </w:t>
      </w:r>
      <w:r>
        <w:t xml:space="preserve">    </w:t>
      </w:r>
    </w:p>
  </w:footnote>
  <w:footnote w:id="19">
    <w:p w:rsidR="005E30BF" w14:paraId="13767E66" w14:textId="62BA725D">
      <w:pPr>
        <w:pStyle w:val="FootnoteText"/>
      </w:pPr>
      <w:r>
        <w:rPr>
          <w:rStyle w:val="FootnoteReference"/>
        </w:rPr>
        <w:footnoteRef/>
      </w:r>
      <w:r>
        <w:t xml:space="preserve"> </w:t>
      </w:r>
      <w:r w:rsidRPr="005E1BB5" w:rsidR="00AF0D17">
        <w:rPr>
          <w:i/>
          <w:iCs/>
        </w:rPr>
        <w:t>202</w:t>
      </w:r>
      <w:r w:rsidR="00535F5A">
        <w:rPr>
          <w:i/>
          <w:iCs/>
        </w:rPr>
        <w:t>3</w:t>
      </w:r>
      <w:r w:rsidRPr="005E1BB5" w:rsidR="00AF0D17">
        <w:rPr>
          <w:i/>
          <w:iCs/>
        </w:rPr>
        <w:t xml:space="preserve"> Public Notice</w:t>
      </w:r>
      <w:r>
        <w:t xml:space="preserve"> at 3-4, paras. 7-8; </w:t>
      </w:r>
      <w:r w:rsidR="00E00CB1">
        <w:rPr>
          <w:i/>
          <w:iCs/>
        </w:rPr>
        <w:t xml:space="preserve">see </w:t>
      </w:r>
      <w:r w:rsidRPr="00426135">
        <w:rPr>
          <w:i/>
          <w:iCs/>
        </w:rPr>
        <w:t>Wi-Fi Alliance AFC System (SUT) Compliance Test Plan Version 1.</w:t>
      </w:r>
      <w:r>
        <w:rPr>
          <w:i/>
          <w:iCs/>
        </w:rPr>
        <w:t>5</w:t>
      </w:r>
      <w:r w:rsidRPr="00E16CA2">
        <w:t>,</w:t>
      </w:r>
      <w:r>
        <w:t xml:space="preserve"> available at </w:t>
      </w:r>
      <w:hyperlink r:id="rId6" w:history="1">
        <w:r>
          <w:rPr>
            <w:rStyle w:val="Hyperlink"/>
          </w:rPr>
          <w:t>https://www.wi-fi.org/discover-wi-fi/6-ghz-afc-resources</w:t>
        </w:r>
      </w:hyperlink>
      <w:r>
        <w:t>.</w:t>
      </w:r>
    </w:p>
  </w:footnote>
  <w:footnote w:id="20">
    <w:p w:rsidR="00AF0D17" w14:paraId="7B17E036" w14:textId="7E1336AB">
      <w:pPr>
        <w:pStyle w:val="FootnoteText"/>
      </w:pPr>
      <w:r>
        <w:rPr>
          <w:rStyle w:val="FootnoteReference"/>
        </w:rPr>
        <w:footnoteRef/>
      </w:r>
      <w:r>
        <w:t xml:space="preserve"> </w:t>
      </w:r>
      <w:r w:rsidRPr="005E1BB5" w:rsidR="003D697A">
        <w:rPr>
          <w:i/>
          <w:iCs/>
        </w:rPr>
        <w:t>202</w:t>
      </w:r>
      <w:r w:rsidR="00535F5A">
        <w:rPr>
          <w:i/>
          <w:iCs/>
        </w:rPr>
        <w:t>3</w:t>
      </w:r>
      <w:r w:rsidRPr="005E1BB5" w:rsidR="003D697A">
        <w:rPr>
          <w:i/>
          <w:iCs/>
        </w:rPr>
        <w:t xml:space="preserve"> Public Notice</w:t>
      </w:r>
      <w:r w:rsidR="003D697A">
        <w:t xml:space="preserve"> at 4-5, paras. 8-9; </w:t>
      </w:r>
      <w:r w:rsidR="00530217">
        <w:rPr>
          <w:i/>
          <w:iCs/>
        </w:rPr>
        <w:t xml:space="preserve">see </w:t>
      </w:r>
      <w:r w:rsidRPr="00153C8C" w:rsidR="003D697A">
        <w:rPr>
          <w:i/>
          <w:iCs/>
        </w:rPr>
        <w:t>AFC System (SUT) Compliance Test Vectors v1.2</w:t>
      </w:r>
      <w:r w:rsidR="003D697A">
        <w:t>, Wi-Fi Alliance, available at</w:t>
      </w:r>
      <w:r w:rsidR="003D697A">
        <w:rPr>
          <w:color w:val="000000"/>
        </w:rPr>
        <w:t xml:space="preserve"> </w:t>
      </w:r>
      <w:hyperlink r:id="rId6" w:history="1">
        <w:r w:rsidR="003D697A">
          <w:rPr>
            <w:rStyle w:val="Hyperlink"/>
          </w:rPr>
          <w:t>https://www.wi-fi.org/discover-wi-fi/6-ghz-afc-resources</w:t>
        </w:r>
      </w:hyperlink>
      <w:r w:rsidR="003D697A">
        <w:rPr>
          <w:color w:val="00B050"/>
        </w:rPr>
        <w:t xml:space="preserve">. </w:t>
      </w:r>
    </w:p>
  </w:footnote>
  <w:footnote w:id="21">
    <w:p w:rsidR="00312C8B" w14:paraId="0CC00B88" w14:textId="04111BFF">
      <w:pPr>
        <w:pStyle w:val="FootnoteText"/>
      </w:pPr>
      <w:r>
        <w:rPr>
          <w:rStyle w:val="FootnoteReference"/>
        </w:rPr>
        <w:footnoteRef/>
      </w:r>
      <w:r>
        <w:t xml:space="preserve"> </w:t>
      </w:r>
      <w:r w:rsidRPr="005E1BB5">
        <w:rPr>
          <w:i/>
          <w:iCs/>
        </w:rPr>
        <w:t>202</w:t>
      </w:r>
      <w:r w:rsidR="00535F5A">
        <w:rPr>
          <w:i/>
          <w:iCs/>
        </w:rPr>
        <w:t>3</w:t>
      </w:r>
      <w:r w:rsidRPr="005E1BB5">
        <w:rPr>
          <w:i/>
          <w:iCs/>
        </w:rPr>
        <w:t xml:space="preserve"> Public Notice</w:t>
      </w:r>
      <w:r>
        <w:t xml:space="preserve"> at 5, para. 9.</w:t>
      </w:r>
    </w:p>
  </w:footnote>
  <w:footnote w:id="22">
    <w:p w:rsidR="00BF0775" w14:paraId="2A5FBBEF" w14:textId="535432C6">
      <w:pPr>
        <w:pStyle w:val="FootnoteText"/>
      </w:pPr>
      <w:r>
        <w:rPr>
          <w:rStyle w:val="FootnoteReference"/>
        </w:rPr>
        <w:footnoteRef/>
      </w:r>
      <w:r>
        <w:t xml:space="preserve"> </w:t>
      </w:r>
      <w:r w:rsidRPr="00592BFD" w:rsidR="00EA7FAB">
        <w:rPr>
          <w:i/>
          <w:iCs/>
        </w:rPr>
        <w:t>Id</w:t>
      </w:r>
      <w:r w:rsidR="00EA7FAB">
        <w:t>.</w:t>
      </w:r>
      <w:r w:rsidR="003D697A">
        <w:t xml:space="preserve"> at </w:t>
      </w:r>
      <w:r w:rsidR="00592BFD">
        <w:t>6</w:t>
      </w:r>
      <w:r w:rsidR="003D697A">
        <w:t xml:space="preserve">, para. </w:t>
      </w:r>
      <w:r w:rsidR="00592BFD">
        <w:t>13.</w:t>
      </w:r>
    </w:p>
  </w:footnote>
  <w:footnote w:id="23">
    <w:p w:rsidR="003D697A" w14:paraId="5167EB04" w14:textId="75EBBE7A">
      <w:pPr>
        <w:pStyle w:val="FootnoteText"/>
      </w:pPr>
      <w:r>
        <w:rPr>
          <w:rStyle w:val="FootnoteReference"/>
        </w:rPr>
        <w:footnoteRef/>
      </w:r>
      <w:r>
        <w:t xml:space="preserve"> </w:t>
      </w:r>
      <w:r w:rsidRPr="00592BFD" w:rsidR="00592BFD">
        <w:rPr>
          <w:i/>
          <w:iCs/>
        </w:rPr>
        <w:t>Id</w:t>
      </w:r>
      <w:r w:rsidR="00592BFD">
        <w:t>. at 6, para. 14.</w:t>
      </w:r>
    </w:p>
  </w:footnote>
  <w:footnote w:id="24">
    <w:p w:rsidR="003D697A" w14:paraId="52EEA2EF" w14:textId="7ADD15E3">
      <w:pPr>
        <w:pStyle w:val="FootnoteText"/>
      </w:pPr>
      <w:r>
        <w:rPr>
          <w:rStyle w:val="FootnoteReference"/>
        </w:rPr>
        <w:footnoteRef/>
      </w:r>
      <w:r>
        <w:t xml:space="preserve"> </w:t>
      </w:r>
      <w:r w:rsidRPr="00592BFD" w:rsidR="00592BFD">
        <w:rPr>
          <w:i/>
          <w:iCs/>
        </w:rPr>
        <w:t>Id</w:t>
      </w:r>
      <w:r w:rsidR="00592BFD">
        <w:t>. at 6, para. 15.</w:t>
      </w:r>
    </w:p>
  </w:footnote>
  <w:footnote w:id="25">
    <w:p w:rsidR="003D697A" w14:paraId="30C1C506" w14:textId="53BB9792">
      <w:pPr>
        <w:pStyle w:val="FootnoteText"/>
      </w:pPr>
      <w:r>
        <w:rPr>
          <w:rStyle w:val="FootnoteReference"/>
        </w:rPr>
        <w:footnoteRef/>
      </w:r>
      <w:r>
        <w:t xml:space="preserve"> </w:t>
      </w:r>
      <w:r w:rsidRPr="00592BFD" w:rsidR="00592BFD">
        <w:rPr>
          <w:i/>
          <w:iCs/>
        </w:rPr>
        <w:t>Id</w:t>
      </w:r>
      <w:r w:rsidR="00592BFD">
        <w:t xml:space="preserve">. at </w:t>
      </w:r>
      <w:r w:rsidR="00D567A3">
        <w:t>7</w:t>
      </w:r>
      <w:r w:rsidR="00592BFD">
        <w:t>, para. 1</w:t>
      </w:r>
      <w:r w:rsidR="00D567A3">
        <w:t>7.</w:t>
      </w:r>
    </w:p>
  </w:footnote>
  <w:footnote w:id="26">
    <w:p w:rsidR="00D567A3" w14:paraId="056BBC0F" w14:textId="12A3C62D">
      <w:pPr>
        <w:pStyle w:val="FootnoteText"/>
      </w:pPr>
      <w:r>
        <w:rPr>
          <w:rStyle w:val="FootnoteReference"/>
        </w:rPr>
        <w:footnoteRef/>
      </w:r>
      <w:r>
        <w:t xml:space="preserve"> </w:t>
      </w:r>
      <w:r w:rsidRPr="00592BFD">
        <w:rPr>
          <w:i/>
          <w:iCs/>
        </w:rPr>
        <w:t>Id</w:t>
      </w:r>
      <w:r>
        <w:t>. at 7, para. 18.</w:t>
      </w:r>
    </w:p>
  </w:footnote>
  <w:footnote w:id="27">
    <w:p w:rsidR="00414EBC" w14:paraId="0C4A848A" w14:textId="1526B777">
      <w:pPr>
        <w:pStyle w:val="FootnoteText"/>
      </w:pPr>
      <w:r>
        <w:rPr>
          <w:rStyle w:val="FootnoteReference"/>
        </w:rPr>
        <w:footnoteRef/>
      </w:r>
      <w:r>
        <w:t xml:space="preserve"> </w:t>
      </w:r>
      <w:bookmarkStart w:id="5" w:name="_Hlk157587516"/>
      <w:r>
        <w:t xml:space="preserve">Test and Certification for Qualcomm’s AFC System using </w:t>
      </w:r>
      <w:r>
        <w:t>W</w:t>
      </w:r>
      <w:r w:rsidR="00E52082">
        <w:t>I</w:t>
      </w:r>
      <w:r>
        <w:t>nnForum</w:t>
      </w:r>
      <w:r>
        <w:t xml:space="preserve"> Test Harness</w:t>
      </w:r>
      <w:bookmarkEnd w:id="5"/>
      <w:r>
        <w:t>, ET Docket No. 21-352 (filed Oct. 4, 2023); Broadcom AFC SUT Test Report, ET Docket No. 21-352 (filed Oct</w:t>
      </w:r>
      <w:r w:rsidR="000A1091">
        <w:t>.</w:t>
      </w:r>
      <w:r>
        <w:t xml:space="preserve"> 3, 2023); Wi-Fi </w:t>
      </w:r>
      <w:r w:rsidR="0025762E">
        <w:t xml:space="preserve">Alliance </w:t>
      </w:r>
      <w:r>
        <w:t>AFC SUT Test Report, ET Docket No. 21-352 (filed Oct</w:t>
      </w:r>
      <w:r w:rsidR="000A1091">
        <w:t>.</w:t>
      </w:r>
      <w:r>
        <w:t xml:space="preserve"> 5, 2023); Wireless Broadband Alliance AFC SUT Test Report, ET Docket No. 21-352 (filed Dec. 13, 2023); Test and Certification for Sony Group Corporation’s AFC System using </w:t>
      </w:r>
      <w:r>
        <w:t>W</w:t>
      </w:r>
      <w:r w:rsidR="00E52082">
        <w:t>I</w:t>
      </w:r>
      <w:r>
        <w:t>nnForum</w:t>
      </w:r>
      <w:r>
        <w:t xml:space="preserve"> Test Harness, ET Docket No. 21-352 (filed </w:t>
      </w:r>
      <w:r w:rsidR="0025762E">
        <w:t>Nov. 6</w:t>
      </w:r>
      <w:r>
        <w:t xml:space="preserve">, 2023); </w:t>
      </w:r>
      <w:r w:rsidR="0025762E">
        <w:t xml:space="preserve">Test and Certification for Federated Wireless’s AFC System using </w:t>
      </w:r>
      <w:r w:rsidR="0025762E">
        <w:t>W</w:t>
      </w:r>
      <w:r w:rsidR="00E52082">
        <w:t>I</w:t>
      </w:r>
      <w:r w:rsidR="0025762E">
        <w:t>nnForum</w:t>
      </w:r>
      <w:r w:rsidR="0025762E">
        <w:t xml:space="preserve"> Test Harness</w:t>
      </w:r>
      <w:r>
        <w:t xml:space="preserve">, ET Docket No. 21-352 (filed </w:t>
      </w:r>
      <w:r w:rsidR="0025762E">
        <w:t>Oct. 5</w:t>
      </w:r>
      <w:r>
        <w:t xml:space="preserve">, 2023)  </w:t>
      </w:r>
      <w:r>
        <w:t>Comsearch</w:t>
      </w:r>
      <w:r w:rsidR="0025762E">
        <w:t xml:space="preserve"> AFC System (SUT) Test Report</w:t>
      </w:r>
      <w:r>
        <w:t xml:space="preserve">, ET Docket No. 21-352 (filed </w:t>
      </w:r>
      <w:r w:rsidR="0025762E">
        <w:t>Oct. 9</w:t>
      </w:r>
      <w:r>
        <w:t>, 2023)</w:t>
      </w:r>
      <w:r w:rsidR="0025762E">
        <w:t>.</w:t>
      </w:r>
    </w:p>
  </w:footnote>
  <w:footnote w:id="28">
    <w:p w:rsidR="00185460" w14:paraId="5852E7BF" w14:textId="39686BFA">
      <w:pPr>
        <w:pStyle w:val="FootnoteText"/>
      </w:pPr>
      <w:r>
        <w:rPr>
          <w:rStyle w:val="FootnoteReference"/>
        </w:rPr>
        <w:footnoteRef/>
      </w:r>
      <w:r>
        <w:t xml:space="preserve"> </w:t>
      </w:r>
      <w:r w:rsidR="00715696">
        <w:rPr>
          <w:i/>
          <w:iCs/>
        </w:rPr>
        <w:t xml:space="preserve">See </w:t>
      </w:r>
      <w:r w:rsidRPr="005E1BB5">
        <w:rPr>
          <w:i/>
          <w:iCs/>
        </w:rPr>
        <w:t>202</w:t>
      </w:r>
      <w:r>
        <w:rPr>
          <w:i/>
          <w:iCs/>
        </w:rPr>
        <w:t>3</w:t>
      </w:r>
      <w:r w:rsidRPr="005E1BB5">
        <w:rPr>
          <w:i/>
          <w:iCs/>
        </w:rPr>
        <w:t xml:space="preserve"> Public Notice</w:t>
      </w:r>
      <w:r>
        <w:rPr>
          <w:i/>
          <w:iCs/>
        </w:rPr>
        <w:t xml:space="preserve"> </w:t>
      </w:r>
      <w:r>
        <w:t xml:space="preserve">at 5, para. 11.  </w:t>
      </w:r>
    </w:p>
  </w:footnote>
  <w:footnote w:id="29">
    <w:p w:rsidR="00170CB7" w14:paraId="389484DC" w14:textId="0DD73DA6">
      <w:pPr>
        <w:pStyle w:val="FootnoteText"/>
      </w:pPr>
      <w:r>
        <w:rPr>
          <w:rStyle w:val="FootnoteReference"/>
        </w:rPr>
        <w:footnoteRef/>
      </w:r>
      <w:r>
        <w:t xml:space="preserve"> </w:t>
      </w:r>
      <w:r w:rsidR="00EB244D">
        <w:t xml:space="preserve">Public Testing Report of Qualcomm US Automated Frequency Coordination System, </w:t>
      </w:r>
      <w:r w:rsidR="00FC6FB0">
        <w:t xml:space="preserve">ET Docket No. 21-352 (filed Dec. </w:t>
      </w:r>
      <w:r w:rsidR="00EB244D">
        <w:t>7</w:t>
      </w:r>
      <w:r w:rsidR="00FC6FB0">
        <w:t>, 2023) (</w:t>
      </w:r>
      <w:r w:rsidRPr="001F3490" w:rsidR="001F3490">
        <w:rPr>
          <w:i/>
          <w:iCs/>
        </w:rPr>
        <w:t>Qualcomm</w:t>
      </w:r>
      <w:r w:rsidRPr="00FC6FB0" w:rsidR="00FC6FB0">
        <w:rPr>
          <w:i/>
          <w:iCs/>
        </w:rPr>
        <w:t xml:space="preserve"> Public Trial Report</w:t>
      </w:r>
      <w:r w:rsidR="00FC6FB0">
        <w:t xml:space="preserve">); </w:t>
      </w:r>
      <w:r w:rsidR="001F3490">
        <w:t xml:space="preserve">Broadcom Report on Successful AFC System Public Trial, </w:t>
      </w:r>
      <w:r w:rsidR="00FC6FB0">
        <w:t xml:space="preserve">ET Docket No. 21-352 (filed Dec. </w:t>
      </w:r>
      <w:r w:rsidR="001F3490">
        <w:t>6</w:t>
      </w:r>
      <w:r w:rsidR="00FC6FB0">
        <w:t>, 2023) (</w:t>
      </w:r>
      <w:r w:rsidR="00BD315E">
        <w:rPr>
          <w:i/>
          <w:iCs/>
        </w:rPr>
        <w:t>Broadcom</w:t>
      </w:r>
      <w:r w:rsidRPr="00FC6FB0" w:rsidR="00FC6FB0">
        <w:rPr>
          <w:i/>
          <w:iCs/>
        </w:rPr>
        <w:t xml:space="preserve"> Public Trial Report</w:t>
      </w:r>
      <w:r w:rsidR="00FC6FB0">
        <w:t xml:space="preserve">); </w:t>
      </w:r>
      <w:r w:rsidR="001F3490">
        <w:t xml:space="preserve">Report on Public Trial of the Wi-Fi Alliance Automatic Frequency Coordination </w:t>
      </w:r>
      <w:r w:rsidR="006E3D20">
        <w:t>System</w:t>
      </w:r>
      <w:r w:rsidR="001F3490">
        <w:t xml:space="preserve">, </w:t>
      </w:r>
      <w:r w:rsidR="00FC6FB0">
        <w:t xml:space="preserve">ET Docket No. 21-352 (filed Dec. </w:t>
      </w:r>
      <w:r w:rsidR="001F3490">
        <w:t>8</w:t>
      </w:r>
      <w:r w:rsidR="00FC6FB0">
        <w:t>, 2023) (</w:t>
      </w:r>
      <w:r w:rsidR="00FC6FB0">
        <w:rPr>
          <w:i/>
          <w:iCs/>
        </w:rPr>
        <w:t>Wi-Fi Alliance</w:t>
      </w:r>
      <w:r w:rsidRPr="00FC6FB0" w:rsidR="00FC6FB0">
        <w:rPr>
          <w:i/>
          <w:iCs/>
        </w:rPr>
        <w:t xml:space="preserve"> Public Trial Report</w:t>
      </w:r>
      <w:r w:rsidR="00FC6FB0">
        <w:t xml:space="preserve">); Wireless Broadband Alliance Inc. Report on Public Trial of the AFC System, ET Docket No. 21-352 (filed Dec. </w:t>
      </w:r>
      <w:r w:rsidR="00177544">
        <w:t>15</w:t>
      </w:r>
      <w:r w:rsidR="00FC6FB0">
        <w:t>, 2023) (</w:t>
      </w:r>
      <w:r w:rsidRPr="00FC6FB0" w:rsidR="00FC6FB0">
        <w:rPr>
          <w:i/>
          <w:iCs/>
        </w:rPr>
        <w:t>WBA Public Trial Report</w:t>
      </w:r>
      <w:r w:rsidR="00FC6FB0">
        <w:t xml:space="preserve">); </w:t>
      </w:r>
      <w:r w:rsidR="00380D6E">
        <w:t xml:space="preserve">Sony Group Corporation Automated Frequency Coordination </w:t>
      </w:r>
      <w:r w:rsidR="003C5C4B">
        <w:t xml:space="preserve">System </w:t>
      </w:r>
      <w:r w:rsidR="00380D6E">
        <w:t xml:space="preserve">Public Trial Report, ET Docket No. 21-352 (filed </w:t>
      </w:r>
      <w:r w:rsidR="00FC6FB0">
        <w:t>Dec. 22, 2023</w:t>
      </w:r>
      <w:r w:rsidR="00380D6E">
        <w:t>)</w:t>
      </w:r>
      <w:r w:rsidR="00FC6FB0">
        <w:t xml:space="preserve"> (</w:t>
      </w:r>
      <w:r w:rsidRPr="00FC6FB0" w:rsidR="00FC6FB0">
        <w:rPr>
          <w:i/>
          <w:iCs/>
        </w:rPr>
        <w:t>Sony Public Trial Report</w:t>
      </w:r>
      <w:r w:rsidR="00FC6FB0">
        <w:t>); Federated Wireless, Inc. Automated Frequency Coordination System Public Trial Report, ET Docket No. 21-352 (filed Dec. 7, 2023) (</w:t>
      </w:r>
      <w:bookmarkStart w:id="6" w:name="_Hlk157498969"/>
      <w:r w:rsidRPr="00FC6FB0" w:rsidR="00FC6FB0">
        <w:rPr>
          <w:i/>
          <w:iCs/>
        </w:rPr>
        <w:t>Federated Public Trial Report</w:t>
      </w:r>
      <w:bookmarkEnd w:id="6"/>
      <w:r w:rsidR="00FC6FB0">
        <w:t>)</w:t>
      </w:r>
      <w:r w:rsidR="00EB244D">
        <w:t xml:space="preserve">; AFC Public Trial </w:t>
      </w:r>
      <w:r w:rsidR="00EB0316">
        <w:t xml:space="preserve">Final </w:t>
      </w:r>
      <w:r w:rsidR="00EB244D">
        <w:t xml:space="preserve">Report, </w:t>
      </w:r>
      <w:r w:rsidR="00EB244D">
        <w:t>Comsearch</w:t>
      </w:r>
      <w:r w:rsidR="00EB244D">
        <w:t>, ET Docket No. 21-352 (filed Dec. 13, 2023) (</w:t>
      </w:r>
      <w:bookmarkStart w:id="7" w:name="_Hlk157498981"/>
      <w:r w:rsidRPr="00EB244D" w:rsidR="00EB244D">
        <w:rPr>
          <w:i/>
          <w:iCs/>
        </w:rPr>
        <w:t>Coms</w:t>
      </w:r>
      <w:r w:rsidR="00EB244D">
        <w:rPr>
          <w:i/>
          <w:iCs/>
        </w:rPr>
        <w:t>earch</w:t>
      </w:r>
      <w:r w:rsidRPr="00EB244D" w:rsidR="00EB244D">
        <w:rPr>
          <w:i/>
          <w:iCs/>
        </w:rPr>
        <w:t xml:space="preserve"> Public Trial Report</w:t>
      </w:r>
      <w:bookmarkEnd w:id="7"/>
      <w:r w:rsidR="00EB244D">
        <w:t>)</w:t>
      </w:r>
      <w:r w:rsidR="00FC6FB0">
        <w:t xml:space="preserve">. </w:t>
      </w:r>
    </w:p>
  </w:footnote>
  <w:footnote w:id="30">
    <w:p w:rsidR="00893428" w14:paraId="05280536" w14:textId="177BF73D">
      <w:pPr>
        <w:pStyle w:val="FootnoteText"/>
      </w:pPr>
      <w:r>
        <w:rPr>
          <w:rStyle w:val="FootnoteReference"/>
        </w:rPr>
        <w:footnoteRef/>
      </w:r>
      <w:r>
        <w:t xml:space="preserve"> </w:t>
      </w:r>
      <w:r w:rsidR="00B26678">
        <w:t xml:space="preserve">Each AFC public </w:t>
      </w:r>
      <w:r>
        <w:t xml:space="preserve">portal </w:t>
      </w:r>
      <w:r w:rsidR="00B26678">
        <w:t xml:space="preserve">was designed such that </w:t>
      </w:r>
      <w:r>
        <w:t xml:space="preserve">users </w:t>
      </w:r>
      <w:r w:rsidR="00B26678">
        <w:t xml:space="preserve">could </w:t>
      </w:r>
      <w:r>
        <w:t xml:space="preserve">submit </w:t>
      </w:r>
      <w:r w:rsidR="00B26678">
        <w:t xml:space="preserve">test parameters for any </w:t>
      </w:r>
      <w:r>
        <w:t xml:space="preserve">location in the United States and receive a list </w:t>
      </w:r>
      <w:r w:rsidR="00B26678">
        <w:t xml:space="preserve">detailing the maximum </w:t>
      </w:r>
      <w:r>
        <w:t xml:space="preserve">power level </w:t>
      </w:r>
      <w:r w:rsidR="00B26678">
        <w:t xml:space="preserve">for each frequency across the band </w:t>
      </w:r>
      <w:r>
        <w:t>at which a standard power device</w:t>
      </w:r>
      <w:r w:rsidR="00AA13F9">
        <w:t xml:space="preserve"> at that location</w:t>
      </w:r>
      <w:r w:rsidR="00B26678">
        <w:t xml:space="preserve"> could operate</w:t>
      </w:r>
      <w:r w:rsidR="00AA13F9">
        <w:t xml:space="preserve"> to insure that all incumbent operations, such as fixed service microwave links, are protected from harmful interference as proscribed by the Commission</w:t>
      </w:r>
      <w:r>
        <w:t>.  Th</w:t>
      </w:r>
      <w:r w:rsidR="00AA13F9">
        <w:t>e</w:t>
      </w:r>
      <w:r>
        <w:t xml:space="preserve"> column </w:t>
      </w:r>
      <w:r w:rsidR="00AA13F9">
        <w:t xml:space="preserve">labelled “Test Locations Submitted” depicts </w:t>
      </w:r>
      <w:r>
        <w:t xml:space="preserve">the total number of </w:t>
      </w:r>
      <w:r w:rsidR="00AA13F9">
        <w:t xml:space="preserve">user submitted </w:t>
      </w:r>
      <w:r>
        <w:t xml:space="preserve">test locations </w:t>
      </w:r>
      <w:r w:rsidR="00AA13F9">
        <w:t xml:space="preserve">received by </w:t>
      </w:r>
      <w:r>
        <w:t xml:space="preserve">each AFC </w:t>
      </w:r>
      <w:r w:rsidR="00AA13F9">
        <w:t xml:space="preserve">public </w:t>
      </w:r>
      <w:r>
        <w:t xml:space="preserve">portal.  </w:t>
      </w:r>
      <w:r w:rsidR="00AA13F9">
        <w:t>The column labelled “Challenges Received” represents the subset of test locations submitted for which users notified the AFC public portal operator that they disagreed with the provided test result.</w:t>
      </w:r>
      <w:r>
        <w:t xml:space="preserve"> </w:t>
      </w:r>
    </w:p>
  </w:footnote>
  <w:footnote w:id="31">
    <w:p w:rsidR="009F562C" w14:paraId="7A7CB68C" w14:textId="71085027">
      <w:pPr>
        <w:pStyle w:val="FootnoteText"/>
      </w:pPr>
      <w:r>
        <w:rPr>
          <w:rStyle w:val="FootnoteReference"/>
        </w:rPr>
        <w:footnoteRef/>
      </w:r>
      <w:r>
        <w:t xml:space="preserve"> While the AFC applicants indicated in their </w:t>
      </w:r>
      <w:r w:rsidR="006966B8">
        <w:t xml:space="preserve">public trial </w:t>
      </w:r>
      <w:r>
        <w:t xml:space="preserve">reports the number of challenges received from AT&amp;T and FirstEnergy, with the exception of Federated Wireless and Qualcomm they didn’t provide </w:t>
      </w:r>
      <w:r w:rsidR="006966B8">
        <w:t xml:space="preserve">in their public trial reports </w:t>
      </w:r>
      <w:r>
        <w:t xml:space="preserve">the number of </w:t>
      </w:r>
      <w:r w:rsidR="006966B8">
        <w:t xml:space="preserve">test locations for which they received </w:t>
      </w:r>
      <w:r>
        <w:t>challenges from the Electric Power Research Institute (EPRI).  However, EPRI made a filing containing the communication sent to each AFC applicant which included a table listing the test locations submitted.  This enabled OET to count the number of test location for which EPRI challenged the AFC system results.  Letter from Katie Jereza, Vice President of Corporate Affairs, EPRI, to Marlene H. Dortch, Secretary, FCC, ET Docket No. 21-352 at 1 (filed Jan. 18, 2024).</w:t>
      </w:r>
    </w:p>
  </w:footnote>
  <w:footnote w:id="32">
    <w:p w:rsidR="00D84A15" w14:paraId="5035FEE9" w14:textId="55A3624C">
      <w:pPr>
        <w:pStyle w:val="FootnoteText"/>
      </w:pPr>
      <w:r>
        <w:rPr>
          <w:rStyle w:val="FootnoteReference"/>
        </w:rPr>
        <w:footnoteRef/>
      </w:r>
      <w:r>
        <w:t xml:space="preserve"> </w:t>
      </w:r>
      <w:r w:rsidR="00A730C0">
        <w:t xml:space="preserve">Letter from </w:t>
      </w:r>
      <w:r w:rsidR="00F972A5">
        <w:t xml:space="preserve">Michael P. Goggin, </w:t>
      </w:r>
      <w:r>
        <w:t>AT&amp;T</w:t>
      </w:r>
      <w:r w:rsidR="00F972A5">
        <w:t xml:space="preserve"> Services, Inc., to Marlene H. Dortch, Secretary, FCC, ET Docket No. 21-352, at 2 (filed</w:t>
      </w:r>
      <w:r>
        <w:t xml:space="preserve"> Dec. </w:t>
      </w:r>
      <w:r w:rsidR="00F972A5">
        <w:t>25</w:t>
      </w:r>
      <w:r>
        <w:t>, 2023</w:t>
      </w:r>
      <w:r w:rsidR="00F972A5">
        <w:t>)</w:t>
      </w:r>
      <w:r>
        <w:t>.</w:t>
      </w:r>
    </w:p>
  </w:footnote>
  <w:footnote w:id="33">
    <w:p w:rsidR="00D9697B" w14:paraId="0F5FA017" w14:textId="15F57587">
      <w:pPr>
        <w:pStyle w:val="FootnoteText"/>
      </w:pPr>
      <w:r>
        <w:rPr>
          <w:rStyle w:val="FootnoteReference"/>
        </w:rPr>
        <w:footnoteRef/>
      </w:r>
      <w:r>
        <w:t xml:space="preserve"> </w:t>
      </w:r>
      <w:r w:rsidRPr="00D9697B">
        <w:rPr>
          <w:i/>
          <w:iCs/>
        </w:rPr>
        <w:t>Id</w:t>
      </w:r>
      <w:r>
        <w:t xml:space="preserve">. </w:t>
      </w:r>
    </w:p>
  </w:footnote>
  <w:footnote w:id="34">
    <w:p w:rsidR="001B645A" w:rsidP="001B645A" w14:paraId="06FD6475" w14:textId="77777777">
      <w:pPr>
        <w:pStyle w:val="FootnoteText"/>
      </w:pPr>
      <w:r>
        <w:rPr>
          <w:rStyle w:val="FootnoteReference"/>
        </w:rPr>
        <w:footnoteRef/>
      </w:r>
      <w:r>
        <w:t xml:space="preserve"> </w:t>
      </w:r>
      <w:r w:rsidRPr="00D9697B">
        <w:rPr>
          <w:i/>
          <w:iCs/>
        </w:rPr>
        <w:t>Id</w:t>
      </w:r>
      <w:r>
        <w:t xml:space="preserve">. </w:t>
      </w:r>
    </w:p>
  </w:footnote>
  <w:footnote w:id="35">
    <w:p w:rsidR="00D9697B" w14:paraId="7F835671" w14:textId="28977783">
      <w:pPr>
        <w:pStyle w:val="FootnoteText"/>
      </w:pPr>
      <w:r>
        <w:rPr>
          <w:rStyle w:val="FootnoteReference"/>
        </w:rPr>
        <w:footnoteRef/>
      </w:r>
      <w:r>
        <w:t xml:space="preserve"> </w:t>
      </w:r>
      <w:r w:rsidRPr="00D9697B">
        <w:rPr>
          <w:i/>
          <w:iCs/>
        </w:rPr>
        <w:t>Id</w:t>
      </w:r>
      <w:r>
        <w:t>. at 1</w:t>
      </w:r>
      <w:r w:rsidR="00EF3A29">
        <w:t>, 2</w:t>
      </w:r>
      <w:r w:rsidR="00995CA2">
        <w:t xml:space="preserve">; </w:t>
      </w:r>
      <w:r w:rsidR="000F7DAF">
        <w:t xml:space="preserve">AT&amp;T states that neither the Wi-Fi Alliance nor the Open AFC group are neutral forums.  </w:t>
      </w:r>
      <w:r w:rsidRPr="006F65DF" w:rsidR="000F7DAF">
        <w:rPr>
          <w:i/>
          <w:iCs/>
        </w:rPr>
        <w:t>Id</w:t>
      </w:r>
      <w:r w:rsidR="000F7DAF">
        <w:t>. at 2.</w:t>
      </w:r>
      <w:r w:rsidR="00E8334B">
        <w:t xml:space="preserve">  AT&amp;T also request</w:t>
      </w:r>
      <w:r w:rsidR="00AA13F9">
        <w:t>s</w:t>
      </w:r>
      <w:r w:rsidR="00E8334B">
        <w:t xml:space="preserve"> that AFC system authority be conditioned on requiring “some unresolved matters to be addressed within those inter-industry organizations.”  </w:t>
      </w:r>
      <w:r w:rsidRPr="000B19EB" w:rsidR="00E8334B">
        <w:rPr>
          <w:i/>
          <w:iCs/>
        </w:rPr>
        <w:t>Id</w:t>
      </w:r>
      <w:r w:rsidR="00E8334B">
        <w:t xml:space="preserve">. at 1.  </w:t>
      </w:r>
      <w:r w:rsidR="00B90A37">
        <w:t>Given that</w:t>
      </w:r>
      <w:r w:rsidR="00E8334B">
        <w:t xml:space="preserve"> AT&amp;T is not specific as to which unresolved matters should be included within this requirement</w:t>
      </w:r>
      <w:r w:rsidR="00B90A37">
        <w:t xml:space="preserve"> and our inability to control the agenda of inter-industry organizations, we are not adopting this suggested requirement. </w:t>
      </w:r>
      <w:r w:rsidR="00E8334B">
        <w:t xml:space="preserve">  </w:t>
      </w:r>
    </w:p>
  </w:footnote>
  <w:footnote w:id="36">
    <w:p w:rsidR="00B33CB5" w:rsidP="00B33CB5" w14:paraId="17B19509" w14:textId="77417A01">
      <w:pPr>
        <w:pStyle w:val="FootnoteText"/>
      </w:pPr>
      <w:r>
        <w:rPr>
          <w:rStyle w:val="FootnoteReference"/>
        </w:rPr>
        <w:footnoteRef/>
      </w:r>
      <w:r>
        <w:t xml:space="preserve"> </w:t>
      </w:r>
      <w:r w:rsidRPr="00D9697B">
        <w:rPr>
          <w:i/>
          <w:iCs/>
        </w:rPr>
        <w:t>Id</w:t>
      </w:r>
      <w:r>
        <w:t>. at 2.</w:t>
      </w:r>
    </w:p>
  </w:footnote>
  <w:footnote w:id="37">
    <w:p w:rsidR="006F65DF" w14:paraId="394B5193" w14:textId="7AF7F177">
      <w:pPr>
        <w:pStyle w:val="FootnoteText"/>
      </w:pPr>
      <w:r>
        <w:rPr>
          <w:rStyle w:val="FootnoteReference"/>
        </w:rPr>
        <w:footnoteRef/>
      </w:r>
      <w:r>
        <w:t xml:space="preserve"> </w:t>
      </w:r>
      <w:r w:rsidRPr="00B64B72" w:rsidR="00B64B72">
        <w:rPr>
          <w:i/>
          <w:iCs/>
        </w:rPr>
        <w:t>Id</w:t>
      </w:r>
      <w:r w:rsidR="00B64B72">
        <w:t>. at 3.</w:t>
      </w:r>
      <w:r>
        <w:t xml:space="preserve">  </w:t>
      </w:r>
    </w:p>
  </w:footnote>
  <w:footnote w:id="38">
    <w:p w:rsidR="0063142C" w14:paraId="5E40FCC2" w14:textId="4B17FDFF">
      <w:pPr>
        <w:pStyle w:val="FootnoteText"/>
      </w:pPr>
      <w:r>
        <w:rPr>
          <w:rStyle w:val="FootnoteReference"/>
        </w:rPr>
        <w:footnoteRef/>
      </w:r>
      <w:r>
        <w:t xml:space="preserve"> </w:t>
      </w:r>
      <w:r w:rsidRPr="001F3490">
        <w:rPr>
          <w:i/>
          <w:iCs/>
        </w:rPr>
        <w:t>Qualcomm</w:t>
      </w:r>
      <w:r w:rsidRPr="00FC6FB0">
        <w:rPr>
          <w:i/>
          <w:iCs/>
        </w:rPr>
        <w:t xml:space="preserve"> Public Trial Report</w:t>
      </w:r>
      <w:r>
        <w:rPr>
          <w:i/>
          <w:iCs/>
        </w:rPr>
        <w:t xml:space="preserve"> </w:t>
      </w:r>
      <w:r>
        <w:t xml:space="preserve">at 10; </w:t>
      </w:r>
      <w:bookmarkStart w:id="8" w:name="_Hlk157432989"/>
      <w:r w:rsidRPr="0063142C">
        <w:rPr>
          <w:i/>
          <w:iCs/>
        </w:rPr>
        <w:t xml:space="preserve">Sony </w:t>
      </w:r>
      <w:r w:rsidRPr="00FC6FB0">
        <w:rPr>
          <w:i/>
          <w:iCs/>
        </w:rPr>
        <w:t>Public Trial Report</w:t>
      </w:r>
      <w:r>
        <w:rPr>
          <w:i/>
          <w:iCs/>
        </w:rPr>
        <w:t xml:space="preserve"> </w:t>
      </w:r>
      <w:r>
        <w:t>at</w:t>
      </w:r>
      <w:bookmarkEnd w:id="8"/>
      <w:r>
        <w:t xml:space="preserve"> 14-15; </w:t>
      </w:r>
      <w:r w:rsidR="00B67E5A">
        <w:t>Letter from Naotaka Sato, Sony Group Corporation, to Marlene H. Dortch, Secretary, FCC, ET Docket No. 21-352, at 1 (filed Feb. 5, 2024).</w:t>
      </w:r>
    </w:p>
  </w:footnote>
  <w:footnote w:id="39">
    <w:p w:rsidR="00EB244D" w14:paraId="4061B107" w14:textId="76FA0790">
      <w:pPr>
        <w:pStyle w:val="FootnoteText"/>
      </w:pPr>
      <w:r>
        <w:rPr>
          <w:rStyle w:val="FootnoteReference"/>
        </w:rPr>
        <w:footnoteRef/>
      </w:r>
      <w:r>
        <w:t xml:space="preserve"> </w:t>
      </w:r>
      <w:r w:rsidRPr="0063142C" w:rsidR="0063142C">
        <w:rPr>
          <w:i/>
          <w:iCs/>
        </w:rPr>
        <w:t>Federated Public</w:t>
      </w:r>
      <w:r w:rsidR="0063142C">
        <w:t xml:space="preserve"> </w:t>
      </w:r>
      <w:r w:rsidRPr="0063142C">
        <w:rPr>
          <w:i/>
          <w:iCs/>
        </w:rPr>
        <w:t>Trial Report</w:t>
      </w:r>
      <w:r>
        <w:rPr>
          <w:i/>
          <w:iCs/>
        </w:rPr>
        <w:t xml:space="preserve"> </w:t>
      </w:r>
      <w:r>
        <w:t xml:space="preserve">at </w:t>
      </w:r>
      <w:r w:rsidR="0063142C">
        <w:t>4</w:t>
      </w:r>
      <w:r w:rsidR="000B19EB">
        <w:t>.</w:t>
      </w:r>
      <w:r>
        <w:t xml:space="preserve">  </w:t>
      </w:r>
    </w:p>
  </w:footnote>
  <w:footnote w:id="40">
    <w:p w:rsidR="00883CC1" w14:paraId="485276B4" w14:textId="0CC40021">
      <w:pPr>
        <w:pStyle w:val="FootnoteText"/>
      </w:pPr>
      <w:r>
        <w:rPr>
          <w:rStyle w:val="FootnoteReference"/>
        </w:rPr>
        <w:footnoteRef/>
      </w:r>
      <w:r>
        <w:t xml:space="preserve"> </w:t>
      </w:r>
      <w:r>
        <w:rPr>
          <w:i/>
          <w:iCs/>
        </w:rPr>
        <w:t>WBA</w:t>
      </w:r>
      <w:r w:rsidRPr="0063142C">
        <w:rPr>
          <w:i/>
          <w:iCs/>
        </w:rPr>
        <w:t xml:space="preserve"> </w:t>
      </w:r>
      <w:r w:rsidRPr="00FC6FB0">
        <w:rPr>
          <w:i/>
          <w:iCs/>
        </w:rPr>
        <w:t>Public Trial Report</w:t>
      </w:r>
      <w:r>
        <w:rPr>
          <w:i/>
          <w:iCs/>
        </w:rPr>
        <w:t xml:space="preserve"> </w:t>
      </w:r>
      <w:r>
        <w:t>at 9-10.</w:t>
      </w:r>
    </w:p>
  </w:footnote>
  <w:footnote w:id="41">
    <w:p w:rsidR="00FE6318" w14:paraId="79E32F55" w14:textId="1BBB7207">
      <w:pPr>
        <w:pStyle w:val="FootnoteText"/>
      </w:pPr>
      <w:r>
        <w:rPr>
          <w:rStyle w:val="FootnoteReference"/>
        </w:rPr>
        <w:footnoteRef/>
      </w:r>
      <w:r>
        <w:t xml:space="preserve"> </w:t>
      </w:r>
      <w:bookmarkStart w:id="9" w:name="_Hlk157433520"/>
      <w:r w:rsidR="00D47000">
        <w:rPr>
          <w:i/>
          <w:iCs/>
        </w:rPr>
        <w:t>E</w:t>
      </w:r>
      <w:r w:rsidRPr="00B46191">
        <w:rPr>
          <w:i/>
          <w:iCs/>
        </w:rPr>
        <w:t>.g.</w:t>
      </w:r>
      <w:r w:rsidR="00B71D2A">
        <w:t>,</w:t>
      </w:r>
      <w:r>
        <w:t xml:space="preserve"> </w:t>
      </w:r>
      <w:bookmarkEnd w:id="9"/>
      <w:r w:rsidRPr="0063142C">
        <w:rPr>
          <w:i/>
          <w:iCs/>
        </w:rPr>
        <w:t xml:space="preserve">Sony </w:t>
      </w:r>
      <w:r w:rsidRPr="00FC6FB0">
        <w:rPr>
          <w:i/>
          <w:iCs/>
        </w:rPr>
        <w:t>Public Trial Report</w:t>
      </w:r>
      <w:r>
        <w:rPr>
          <w:i/>
          <w:iCs/>
        </w:rPr>
        <w:t xml:space="preserve"> </w:t>
      </w:r>
      <w:r>
        <w:t xml:space="preserve">at </w:t>
      </w:r>
      <w:r w:rsidR="00D47000">
        <w:t>16-</w:t>
      </w:r>
      <w:r w:rsidR="00B46191">
        <w:t xml:space="preserve">17; </w:t>
      </w:r>
      <w:r w:rsidR="00B46191">
        <w:rPr>
          <w:i/>
          <w:iCs/>
        </w:rPr>
        <w:t>Broadcom</w:t>
      </w:r>
      <w:r w:rsidRPr="0063142C" w:rsidR="00B46191">
        <w:rPr>
          <w:i/>
          <w:iCs/>
        </w:rPr>
        <w:t xml:space="preserve"> </w:t>
      </w:r>
      <w:r w:rsidRPr="00FC6FB0" w:rsidR="00B46191">
        <w:rPr>
          <w:i/>
          <w:iCs/>
        </w:rPr>
        <w:t>Public Trial Report</w:t>
      </w:r>
      <w:r w:rsidR="00B46191">
        <w:rPr>
          <w:i/>
          <w:iCs/>
        </w:rPr>
        <w:t xml:space="preserve"> </w:t>
      </w:r>
      <w:r w:rsidR="00B46191">
        <w:t>at 5</w:t>
      </w:r>
      <w:r w:rsidR="00D47000">
        <w:t xml:space="preserve">; </w:t>
      </w:r>
      <w:r w:rsidR="00D47000">
        <w:rPr>
          <w:i/>
          <w:iCs/>
        </w:rPr>
        <w:t xml:space="preserve">Federated Public Trial Report </w:t>
      </w:r>
      <w:r w:rsidR="00D47000">
        <w:t>at 8</w:t>
      </w:r>
      <w:r w:rsidR="00B46191">
        <w:t>.</w:t>
      </w:r>
    </w:p>
  </w:footnote>
  <w:footnote w:id="42">
    <w:p w:rsidR="00B46191" w:rsidRPr="0042541E" w14:paraId="4D9B2410" w14:textId="16A78D41">
      <w:pPr>
        <w:pStyle w:val="FootnoteText"/>
      </w:pPr>
      <w:r>
        <w:rPr>
          <w:rStyle w:val="FootnoteReference"/>
        </w:rPr>
        <w:footnoteRef/>
      </w:r>
      <w:r>
        <w:t xml:space="preserve"> </w:t>
      </w:r>
      <w:r w:rsidRPr="00D47000" w:rsidR="00D47000">
        <w:rPr>
          <w:i/>
          <w:iCs/>
        </w:rPr>
        <w:t>E</w:t>
      </w:r>
      <w:r w:rsidRPr="00B46191">
        <w:rPr>
          <w:i/>
          <w:iCs/>
        </w:rPr>
        <w:t>.g.</w:t>
      </w:r>
      <w:r w:rsidR="00B71D2A">
        <w:t>,</w:t>
      </w:r>
      <w:r w:rsidR="00883CC1">
        <w:rPr>
          <w:i/>
          <w:iCs/>
        </w:rPr>
        <w:t xml:space="preserve"> Federated Public Trial Report </w:t>
      </w:r>
      <w:r w:rsidR="00883CC1">
        <w:t xml:space="preserve">at 6-7; </w:t>
      </w:r>
      <w:r w:rsidRPr="001F3490" w:rsidR="0042541E">
        <w:rPr>
          <w:i/>
          <w:iCs/>
        </w:rPr>
        <w:t>Qualcomm</w:t>
      </w:r>
      <w:r w:rsidRPr="00FC6FB0" w:rsidR="0042541E">
        <w:rPr>
          <w:i/>
          <w:iCs/>
        </w:rPr>
        <w:t xml:space="preserve"> Public Trial Report</w:t>
      </w:r>
      <w:r w:rsidR="0042541E">
        <w:rPr>
          <w:i/>
          <w:iCs/>
        </w:rPr>
        <w:t xml:space="preserve"> </w:t>
      </w:r>
      <w:r w:rsidR="0042541E">
        <w:t>at 11</w:t>
      </w:r>
      <w:r w:rsidR="00D47000">
        <w:t>-12</w:t>
      </w:r>
      <w:r w:rsidR="0042541E">
        <w:t>.</w:t>
      </w:r>
    </w:p>
  </w:footnote>
  <w:footnote w:id="43">
    <w:p w:rsidR="00B46191" w14:paraId="2899D9F9" w14:textId="29AAE1D1">
      <w:pPr>
        <w:pStyle w:val="FootnoteText"/>
      </w:pPr>
      <w:r>
        <w:rPr>
          <w:rStyle w:val="FootnoteReference"/>
        </w:rPr>
        <w:footnoteRef/>
      </w:r>
      <w:r>
        <w:t xml:space="preserve"> </w:t>
      </w:r>
      <w:r w:rsidRPr="00D47000" w:rsidR="00D47000">
        <w:rPr>
          <w:i/>
          <w:iCs/>
        </w:rPr>
        <w:t>E</w:t>
      </w:r>
      <w:r w:rsidRPr="00B46191">
        <w:rPr>
          <w:i/>
          <w:iCs/>
        </w:rPr>
        <w:t>.g.</w:t>
      </w:r>
      <w:r w:rsidR="00B71D2A">
        <w:t>,</w:t>
      </w:r>
      <w:r w:rsidR="00883CC1">
        <w:rPr>
          <w:i/>
          <w:iCs/>
        </w:rPr>
        <w:t xml:space="preserve"> WBA</w:t>
      </w:r>
      <w:r w:rsidRPr="0063142C" w:rsidR="00883CC1">
        <w:rPr>
          <w:i/>
          <w:iCs/>
        </w:rPr>
        <w:t xml:space="preserve"> </w:t>
      </w:r>
      <w:r w:rsidRPr="00FC6FB0" w:rsidR="00883CC1">
        <w:rPr>
          <w:i/>
          <w:iCs/>
        </w:rPr>
        <w:t>Public Trial Report</w:t>
      </w:r>
      <w:r w:rsidR="00883CC1">
        <w:rPr>
          <w:i/>
          <w:iCs/>
        </w:rPr>
        <w:t xml:space="preserve"> </w:t>
      </w:r>
      <w:r w:rsidR="00883CC1">
        <w:t xml:space="preserve">at 9; </w:t>
      </w:r>
      <w:r w:rsidRPr="0042541E" w:rsidR="0042541E">
        <w:rPr>
          <w:i/>
          <w:iCs/>
        </w:rPr>
        <w:t>Wi-Fi Alliance Public Trial Report</w:t>
      </w:r>
      <w:r w:rsidR="0042541E">
        <w:t xml:space="preserve"> at 10.</w:t>
      </w:r>
    </w:p>
  </w:footnote>
  <w:footnote w:id="44">
    <w:p w:rsidR="00B46191" w14:paraId="2EA97379" w14:textId="7F39A18E">
      <w:pPr>
        <w:pStyle w:val="FootnoteText"/>
      </w:pPr>
      <w:r>
        <w:rPr>
          <w:rStyle w:val="FootnoteReference"/>
        </w:rPr>
        <w:footnoteRef/>
      </w:r>
      <w:r>
        <w:t xml:space="preserve"> </w:t>
      </w:r>
      <w:r w:rsidRPr="00D47000" w:rsidR="00D47000">
        <w:rPr>
          <w:i/>
          <w:iCs/>
        </w:rPr>
        <w:t>E</w:t>
      </w:r>
      <w:r w:rsidRPr="00D47000">
        <w:rPr>
          <w:i/>
          <w:iCs/>
        </w:rPr>
        <w:t>.</w:t>
      </w:r>
      <w:r w:rsidRPr="00B46191">
        <w:rPr>
          <w:i/>
          <w:iCs/>
        </w:rPr>
        <w:t>g.</w:t>
      </w:r>
      <w:r w:rsidR="00B71D2A">
        <w:t>,</w:t>
      </w:r>
      <w:r>
        <w:t xml:space="preserve"> </w:t>
      </w:r>
      <w:r>
        <w:rPr>
          <w:i/>
          <w:iCs/>
        </w:rPr>
        <w:t>Broadcom</w:t>
      </w:r>
      <w:r w:rsidRPr="0063142C">
        <w:rPr>
          <w:i/>
          <w:iCs/>
        </w:rPr>
        <w:t xml:space="preserve"> </w:t>
      </w:r>
      <w:r w:rsidRPr="00FC6FB0">
        <w:rPr>
          <w:i/>
          <w:iCs/>
        </w:rPr>
        <w:t>Public Trial Report</w:t>
      </w:r>
      <w:r>
        <w:rPr>
          <w:i/>
          <w:iCs/>
        </w:rPr>
        <w:t xml:space="preserve"> </w:t>
      </w:r>
      <w:r>
        <w:t xml:space="preserve">at 6-7; </w:t>
      </w:r>
      <w:r w:rsidRPr="0042541E" w:rsidR="0042541E">
        <w:rPr>
          <w:i/>
          <w:iCs/>
        </w:rPr>
        <w:t>Wi-Fi Alliance Public Trial Report</w:t>
      </w:r>
      <w:r w:rsidR="0042541E">
        <w:t xml:space="preserve"> at 10.</w:t>
      </w:r>
    </w:p>
  </w:footnote>
  <w:footnote w:id="45">
    <w:p w:rsidR="00B46191" w14:paraId="7305FC2E" w14:textId="36FB40EB">
      <w:pPr>
        <w:pStyle w:val="FootnoteText"/>
      </w:pPr>
      <w:r>
        <w:rPr>
          <w:rStyle w:val="FootnoteReference"/>
        </w:rPr>
        <w:footnoteRef/>
      </w:r>
      <w:r>
        <w:t xml:space="preserve"> </w:t>
      </w:r>
      <w:r w:rsidRPr="00D47000" w:rsidR="00D47000">
        <w:rPr>
          <w:i/>
          <w:iCs/>
        </w:rPr>
        <w:t>E</w:t>
      </w:r>
      <w:r w:rsidRPr="00B46191" w:rsidR="006E6431">
        <w:rPr>
          <w:i/>
          <w:iCs/>
        </w:rPr>
        <w:t>.g.</w:t>
      </w:r>
      <w:r w:rsidR="00B71D2A">
        <w:t>,</w:t>
      </w:r>
      <w:r w:rsidR="006E6431">
        <w:t xml:space="preserve"> </w:t>
      </w:r>
      <w:r w:rsidR="006E6431">
        <w:rPr>
          <w:i/>
          <w:iCs/>
        </w:rPr>
        <w:t>Broadcom</w:t>
      </w:r>
      <w:r w:rsidRPr="0063142C" w:rsidR="006E6431">
        <w:rPr>
          <w:i/>
          <w:iCs/>
        </w:rPr>
        <w:t xml:space="preserve"> </w:t>
      </w:r>
      <w:r w:rsidRPr="00FC6FB0" w:rsidR="006E6431">
        <w:rPr>
          <w:i/>
          <w:iCs/>
        </w:rPr>
        <w:t>Public Trial Report</w:t>
      </w:r>
      <w:r w:rsidR="006E6431">
        <w:rPr>
          <w:i/>
          <w:iCs/>
        </w:rPr>
        <w:t xml:space="preserve"> </w:t>
      </w:r>
      <w:r w:rsidR="006E6431">
        <w:t xml:space="preserve">at 7; </w:t>
      </w:r>
      <w:r w:rsidRPr="0042541E" w:rsidR="006E6431">
        <w:rPr>
          <w:i/>
          <w:iCs/>
        </w:rPr>
        <w:t>Wi-Fi Alliance Public Trial Report</w:t>
      </w:r>
      <w:r w:rsidR="006E6431">
        <w:t xml:space="preserve"> at 10.</w:t>
      </w:r>
    </w:p>
  </w:footnote>
  <w:footnote w:id="46">
    <w:p w:rsidR="00CA05C0" w14:paraId="26B0221A" w14:textId="7A0ECEFD">
      <w:pPr>
        <w:pStyle w:val="FootnoteText"/>
      </w:pPr>
      <w:r>
        <w:rPr>
          <w:rStyle w:val="FootnoteReference"/>
        </w:rPr>
        <w:footnoteRef/>
      </w:r>
      <w:r>
        <w:t xml:space="preserve"> </w:t>
      </w:r>
      <w:r w:rsidR="00367F54">
        <w:t xml:space="preserve">47 CFR §0.241(k).  The Office of Engineering and Technology has delegated authority to, among other things, “… </w:t>
      </w:r>
      <w:r w:rsidRPr="00367F54" w:rsidR="00367F54">
        <w:t>develop procedures that these AFC system operators will use to ensure compliance with the requirements for AFC system operations; to make determinations regarding the continued acceptability of individual AFC system operators;</w:t>
      </w:r>
      <w:r w:rsidR="00367F54">
        <w:t xml:space="preserve"> …”  In exercising this delegated authority, OET could require AFC systems to make certain modifications if warranted based on the work of inter-industry groups or any other source. </w:t>
      </w:r>
    </w:p>
  </w:footnote>
  <w:footnote w:id="47">
    <w:p w:rsidR="000225F9" w14:paraId="6B662308" w14:textId="29D18C85">
      <w:pPr>
        <w:pStyle w:val="FootnoteText"/>
      </w:pPr>
      <w:r>
        <w:rPr>
          <w:rStyle w:val="FootnoteReference"/>
        </w:rPr>
        <w:footnoteRef/>
      </w:r>
      <w:r w:rsidR="00AB6966">
        <w:rPr>
          <w:i/>
          <w:iCs/>
        </w:rPr>
        <w:t xml:space="preserve"> </w:t>
      </w:r>
      <w:r w:rsidRPr="005E1BB5" w:rsidR="00401AFC">
        <w:rPr>
          <w:i/>
          <w:iCs/>
        </w:rPr>
        <w:t>2022 Public Notice</w:t>
      </w:r>
      <w:r w:rsidR="00AB6966">
        <w:t xml:space="preserve">, 37 FCC </w:t>
      </w:r>
      <w:r w:rsidR="00AB6966">
        <w:t>Rcd</w:t>
      </w:r>
      <w:r w:rsidR="00AB6966">
        <w:t xml:space="preserve"> at 1308</w:t>
      </w:r>
      <w:r w:rsidR="002128A3">
        <w:t>7</w:t>
      </w:r>
      <w:r w:rsidR="00AB6966">
        <w:t>, para. 37.</w:t>
      </w:r>
      <w:r>
        <w:t xml:space="preserve"> </w:t>
      </w:r>
      <w:r w:rsidR="00560CD4">
        <w:t xml:space="preserve"> </w:t>
      </w:r>
    </w:p>
  </w:footnote>
  <w:footnote w:id="48">
    <w:p w:rsidR="000225F9" w14:paraId="02D9A449" w14:textId="6ADB818F">
      <w:pPr>
        <w:pStyle w:val="FootnoteText"/>
      </w:pPr>
      <w:r>
        <w:rPr>
          <w:rStyle w:val="FootnoteReference"/>
        </w:rPr>
        <w:footnoteRef/>
      </w:r>
      <w:r>
        <w:t xml:space="preserve"> We appreciate the work of </w:t>
      </w:r>
      <w:r>
        <w:t>WInnForum</w:t>
      </w:r>
      <w:r>
        <w:t xml:space="preserve"> in developing </w:t>
      </w:r>
      <w:r w:rsidR="00AB6966">
        <w:t>technical</w:t>
      </w:r>
      <w:r>
        <w:t xml:space="preserve"> standards for the AFC systems.  In considering proposed modifications to AFC system</w:t>
      </w:r>
      <w:r w:rsidR="006E266A">
        <w:t xml:space="preserve"> operations</w:t>
      </w:r>
      <w:r>
        <w:t xml:space="preserve">, we </w:t>
      </w:r>
      <w:r w:rsidR="006E266A">
        <w:t xml:space="preserve">will </w:t>
      </w:r>
      <w:r>
        <w:t>give</w:t>
      </w:r>
      <w:r w:rsidR="00401AFC">
        <w:t xml:space="preserve"> great weight to inter-industry consensus reached in organizations such as the </w:t>
      </w:r>
      <w:r w:rsidR="00401AFC">
        <w:t>WInnForum</w:t>
      </w:r>
      <w:r w:rsidR="00401AFC">
        <w:t xml:space="preserve">.  </w:t>
      </w:r>
      <w:r>
        <w:t xml:space="preserve">  </w:t>
      </w:r>
    </w:p>
  </w:footnote>
  <w:footnote w:id="49">
    <w:p w:rsidR="003A4AD5" w:rsidP="003A4AD5" w14:paraId="662E5A57" w14:textId="73F4C13C">
      <w:pPr>
        <w:pStyle w:val="FootnoteText"/>
      </w:pPr>
      <w:r>
        <w:rPr>
          <w:rStyle w:val="FootnoteReference"/>
        </w:rPr>
        <w:footnoteRef/>
      </w:r>
      <w:r>
        <w:t xml:space="preserve"> </w:t>
      </w:r>
      <w:r w:rsidRPr="004C2ED1">
        <w:t>47 CFR § 0.241(</w:t>
      </w:r>
      <w:r>
        <w:t>k</w:t>
      </w:r>
      <w:r w:rsidRPr="004C2ED1">
        <w:t>)</w:t>
      </w:r>
      <w:r>
        <w:t>;</w:t>
      </w:r>
      <w:r w:rsidR="00242FBB">
        <w:t xml:space="preserve"> </w:t>
      </w:r>
      <w:r w:rsidR="00B3257F">
        <w:rPr>
          <w:i/>
          <w:iCs/>
        </w:rPr>
        <w:t>6 GHz Report and Order</w:t>
      </w:r>
      <w:r w:rsidR="00B3257F">
        <w:t xml:space="preserve">, 35 FCC </w:t>
      </w:r>
      <w:r w:rsidR="00B3257F">
        <w:t>Rcd</w:t>
      </w:r>
      <w:r w:rsidR="00B3257F">
        <w:t xml:space="preserve"> at 3870, para. 48.</w:t>
      </w:r>
      <w:r>
        <w:t xml:space="preserve"> </w:t>
      </w:r>
    </w:p>
  </w:footnote>
  <w:footnote w:id="50">
    <w:p w:rsidR="00F04A40" w14:paraId="582B9CB3" w14:textId="05872F56">
      <w:pPr>
        <w:pStyle w:val="FootnoteText"/>
      </w:pPr>
      <w:r>
        <w:rPr>
          <w:rStyle w:val="FootnoteReference"/>
        </w:rPr>
        <w:footnoteRef/>
      </w:r>
      <w:r>
        <w:t xml:space="preserve"> </w:t>
      </w:r>
      <w:r w:rsidR="009F562C">
        <w:t>Letter from Katie Jereza, Vice President of Corporate Affairs, EPRI, to Marlene H. Dortch, Secretary, FCC, ET Docket No. 21-352 at 1 (filed Jan. 18, 2024)</w:t>
      </w:r>
      <w:r>
        <w:t xml:space="preserve">.  </w:t>
      </w:r>
    </w:p>
  </w:footnote>
  <w:footnote w:id="51">
    <w:p w:rsidR="00042B4D" w:rsidP="00042B4D" w14:paraId="64A0F11F" w14:textId="79BEDBE4">
      <w:pPr>
        <w:pStyle w:val="FootnoteText"/>
      </w:pPr>
      <w:r>
        <w:rPr>
          <w:rStyle w:val="FootnoteReference"/>
        </w:rPr>
        <w:footnoteRef/>
      </w:r>
      <w:r>
        <w:t xml:space="preserve"> </w:t>
      </w:r>
      <w:r w:rsidRPr="00D955DF">
        <w:rPr>
          <w:i/>
          <w:iCs/>
        </w:rPr>
        <w:t>Id</w:t>
      </w:r>
      <w:r>
        <w:t xml:space="preserve">.  </w:t>
      </w:r>
    </w:p>
  </w:footnote>
  <w:footnote w:id="52">
    <w:p w:rsidR="00F04A40" w14:paraId="7CF75715" w14:textId="6F54F752">
      <w:pPr>
        <w:pStyle w:val="FootnoteText"/>
      </w:pPr>
      <w:r>
        <w:rPr>
          <w:rStyle w:val="FootnoteReference"/>
        </w:rPr>
        <w:footnoteRef/>
      </w:r>
      <w:r>
        <w:t xml:space="preserve"> </w:t>
      </w:r>
      <w:r w:rsidRPr="00D955DF">
        <w:rPr>
          <w:i/>
          <w:iCs/>
        </w:rPr>
        <w:t>Id</w:t>
      </w:r>
      <w:r>
        <w:t xml:space="preserve">. at 2.  </w:t>
      </w:r>
    </w:p>
  </w:footnote>
  <w:footnote w:id="53">
    <w:p w:rsidR="00F04A40" w14:paraId="0AD4022A" w14:textId="15F7064C">
      <w:pPr>
        <w:pStyle w:val="FootnoteText"/>
      </w:pPr>
      <w:r>
        <w:rPr>
          <w:rStyle w:val="FootnoteReference"/>
        </w:rPr>
        <w:footnoteRef/>
      </w:r>
      <w:r>
        <w:t xml:space="preserve"> </w:t>
      </w:r>
      <w:r w:rsidRPr="00D955DF">
        <w:rPr>
          <w:i/>
          <w:iCs/>
        </w:rPr>
        <w:t>Id</w:t>
      </w:r>
      <w:r>
        <w:t xml:space="preserve">.  </w:t>
      </w:r>
    </w:p>
  </w:footnote>
  <w:footnote w:id="54">
    <w:p w:rsidR="00D955DF" w14:paraId="05690BC2" w14:textId="4B2E6C9B">
      <w:pPr>
        <w:pStyle w:val="FootnoteText"/>
      </w:pPr>
      <w:r>
        <w:rPr>
          <w:rStyle w:val="FootnoteReference"/>
        </w:rPr>
        <w:footnoteRef/>
      </w:r>
      <w:r>
        <w:t xml:space="preserve"> </w:t>
      </w:r>
      <w:r w:rsidRPr="00D955DF">
        <w:rPr>
          <w:i/>
          <w:iCs/>
        </w:rPr>
        <w:t>Id</w:t>
      </w:r>
      <w:r>
        <w:t>.</w:t>
      </w:r>
    </w:p>
  </w:footnote>
  <w:footnote w:id="55">
    <w:p w:rsidR="00356BD3" w14:paraId="16635176" w14:textId="3ACB6AC2">
      <w:pPr>
        <w:pStyle w:val="FootnoteText"/>
      </w:pPr>
      <w:r>
        <w:rPr>
          <w:rStyle w:val="FootnoteReference"/>
        </w:rPr>
        <w:footnoteRef/>
      </w:r>
      <w:r>
        <w:t xml:space="preserve"> </w:t>
      </w:r>
      <w:r w:rsidRPr="00356BD3">
        <w:rPr>
          <w:i/>
          <w:iCs/>
        </w:rPr>
        <w:t>Id</w:t>
      </w:r>
      <w:r>
        <w:t xml:space="preserve">. at 14, 25.  </w:t>
      </w:r>
    </w:p>
  </w:footnote>
  <w:footnote w:id="56">
    <w:p w:rsidR="00356BD3" w14:paraId="1829F84C" w14:textId="75CDC5C0">
      <w:pPr>
        <w:pStyle w:val="FootnoteText"/>
      </w:pPr>
      <w:r>
        <w:rPr>
          <w:rStyle w:val="FootnoteReference"/>
        </w:rPr>
        <w:footnoteRef/>
      </w:r>
      <w:r>
        <w:t xml:space="preserve"> </w:t>
      </w:r>
      <w:r w:rsidRPr="00356BD3">
        <w:rPr>
          <w:i/>
          <w:iCs/>
        </w:rPr>
        <w:t>Id</w:t>
      </w:r>
      <w:r>
        <w:t xml:space="preserve">. at 2.  </w:t>
      </w:r>
    </w:p>
  </w:footnote>
  <w:footnote w:id="57">
    <w:p w:rsidR="00BD315E" w14:paraId="4DF5341F" w14:textId="1547B1C8">
      <w:pPr>
        <w:pStyle w:val="FootnoteText"/>
      </w:pPr>
      <w:r>
        <w:rPr>
          <w:rStyle w:val="FootnoteReference"/>
        </w:rPr>
        <w:footnoteRef/>
      </w:r>
      <w:r>
        <w:t xml:space="preserve"> </w:t>
      </w:r>
      <w:r w:rsidRPr="001F3490">
        <w:rPr>
          <w:i/>
          <w:iCs/>
        </w:rPr>
        <w:t>Qualcomm</w:t>
      </w:r>
      <w:r w:rsidRPr="00FC6FB0">
        <w:rPr>
          <w:i/>
          <w:iCs/>
        </w:rPr>
        <w:t xml:space="preserve"> Public Trial Report</w:t>
      </w:r>
      <w:r>
        <w:rPr>
          <w:i/>
          <w:iCs/>
        </w:rPr>
        <w:t xml:space="preserve"> </w:t>
      </w:r>
      <w:r>
        <w:t>at 8-9</w:t>
      </w:r>
      <w:r w:rsidRPr="000B19EB">
        <w:t xml:space="preserve">; </w:t>
      </w:r>
      <w:r>
        <w:rPr>
          <w:i/>
          <w:iCs/>
        </w:rPr>
        <w:t>Broadcom</w:t>
      </w:r>
      <w:r w:rsidRPr="00FC6FB0">
        <w:rPr>
          <w:i/>
          <w:iCs/>
        </w:rPr>
        <w:t xml:space="preserve"> Public Trial Report</w:t>
      </w:r>
      <w:r>
        <w:rPr>
          <w:i/>
          <w:iCs/>
        </w:rPr>
        <w:t xml:space="preserve"> </w:t>
      </w:r>
      <w:r>
        <w:t>at 3-4</w:t>
      </w:r>
      <w:r w:rsidRPr="000B19EB">
        <w:t xml:space="preserve">; </w:t>
      </w:r>
      <w:r>
        <w:rPr>
          <w:i/>
          <w:iCs/>
        </w:rPr>
        <w:t>Wi-Fi Alliance</w:t>
      </w:r>
      <w:r w:rsidRPr="00FC6FB0">
        <w:rPr>
          <w:i/>
          <w:iCs/>
        </w:rPr>
        <w:t xml:space="preserve"> Public Trial Report</w:t>
      </w:r>
      <w:r>
        <w:rPr>
          <w:i/>
          <w:iCs/>
        </w:rPr>
        <w:t xml:space="preserve"> </w:t>
      </w:r>
      <w:r>
        <w:t>at 12</w:t>
      </w:r>
      <w:r w:rsidRPr="000B19EB">
        <w:t xml:space="preserve">; </w:t>
      </w:r>
      <w:r w:rsidRPr="00FC6FB0">
        <w:rPr>
          <w:i/>
          <w:iCs/>
        </w:rPr>
        <w:t>WBA Public Trial Report</w:t>
      </w:r>
      <w:r>
        <w:rPr>
          <w:i/>
          <w:iCs/>
        </w:rPr>
        <w:t xml:space="preserve"> </w:t>
      </w:r>
      <w:r>
        <w:t>at 2-4</w:t>
      </w:r>
      <w:r w:rsidRPr="000B19EB">
        <w:t xml:space="preserve">; </w:t>
      </w:r>
      <w:r w:rsidRPr="00FC6FB0">
        <w:rPr>
          <w:i/>
          <w:iCs/>
        </w:rPr>
        <w:t>Sony Public Trial Report</w:t>
      </w:r>
      <w:r>
        <w:rPr>
          <w:i/>
          <w:iCs/>
        </w:rPr>
        <w:t xml:space="preserve"> </w:t>
      </w:r>
      <w:r>
        <w:t xml:space="preserve">at </w:t>
      </w:r>
      <w:r w:rsidR="00C54102">
        <w:t>21</w:t>
      </w:r>
      <w:r w:rsidRPr="000B19EB">
        <w:t xml:space="preserve">; </w:t>
      </w:r>
      <w:r w:rsidRPr="00FC6FB0">
        <w:rPr>
          <w:i/>
          <w:iCs/>
        </w:rPr>
        <w:t>Federated Public Trial Report</w:t>
      </w:r>
      <w:r w:rsidR="00C54102">
        <w:rPr>
          <w:i/>
          <w:iCs/>
        </w:rPr>
        <w:t xml:space="preserve"> </w:t>
      </w:r>
      <w:r w:rsidR="00C54102">
        <w:t>at 4-6</w:t>
      </w:r>
      <w:r w:rsidRPr="000B19EB">
        <w:t xml:space="preserve">; </w:t>
      </w:r>
      <w:r w:rsidRPr="00EB244D">
        <w:rPr>
          <w:i/>
          <w:iCs/>
        </w:rPr>
        <w:t>Coms</w:t>
      </w:r>
      <w:r>
        <w:rPr>
          <w:i/>
          <w:iCs/>
        </w:rPr>
        <w:t>earch</w:t>
      </w:r>
      <w:r w:rsidRPr="00EB244D">
        <w:rPr>
          <w:i/>
          <w:iCs/>
        </w:rPr>
        <w:t xml:space="preserve"> Public Trial Report</w:t>
      </w:r>
      <w:r w:rsidR="00C54102">
        <w:rPr>
          <w:i/>
          <w:iCs/>
        </w:rPr>
        <w:t xml:space="preserve"> </w:t>
      </w:r>
      <w:r w:rsidR="00C54102">
        <w:t>at 16-36.</w:t>
      </w:r>
      <w:r>
        <w:rPr>
          <w:i/>
          <w:iCs/>
        </w:rPr>
        <w:t xml:space="preserve">  </w:t>
      </w:r>
    </w:p>
  </w:footnote>
  <w:footnote w:id="58">
    <w:p w:rsidR="00382777" w14:paraId="29AE5993" w14:textId="62052B9A">
      <w:pPr>
        <w:pStyle w:val="FootnoteText"/>
      </w:pPr>
      <w:r>
        <w:rPr>
          <w:rStyle w:val="FootnoteReference"/>
        </w:rPr>
        <w:footnoteRef/>
      </w:r>
      <w:r>
        <w:t xml:space="preserve"> 47 CFR § 15.407(l)(1); </w:t>
      </w:r>
      <w:r>
        <w:rPr>
          <w:i/>
          <w:iCs/>
        </w:rPr>
        <w:t>6 GHz Report and Order</w:t>
      </w:r>
      <w:r>
        <w:t xml:space="preserve">, 35 FCC </w:t>
      </w:r>
      <w:r>
        <w:t>Rcd</w:t>
      </w:r>
      <w:r>
        <w:t xml:space="preserve"> at 3875-77, paras. 64-66.</w:t>
      </w:r>
    </w:p>
  </w:footnote>
  <w:footnote w:id="59">
    <w:p w:rsidR="00382777" w14:paraId="11EB6942" w14:textId="6C8B4BFF">
      <w:pPr>
        <w:pStyle w:val="FootnoteText"/>
      </w:pPr>
      <w:r>
        <w:rPr>
          <w:rStyle w:val="FootnoteReference"/>
        </w:rPr>
        <w:footnoteRef/>
      </w:r>
      <w:r>
        <w:t xml:space="preserve"> </w:t>
      </w:r>
      <w:r>
        <w:rPr>
          <w:i/>
          <w:iCs/>
        </w:rPr>
        <w:t>6 GHz Report and Order</w:t>
      </w:r>
      <w:r>
        <w:t xml:space="preserve">, 35 FCC </w:t>
      </w:r>
      <w:r>
        <w:t>Rcd</w:t>
      </w:r>
      <w:r>
        <w:t xml:space="preserve"> at 3877, para. 67.</w:t>
      </w:r>
    </w:p>
  </w:footnote>
  <w:footnote w:id="60">
    <w:p w:rsidR="00382777" w14:paraId="3658384B" w14:textId="46E299AF">
      <w:pPr>
        <w:pStyle w:val="FootnoteText"/>
      </w:pPr>
      <w:r>
        <w:rPr>
          <w:rStyle w:val="FootnoteReference"/>
        </w:rPr>
        <w:footnoteRef/>
      </w:r>
      <w:r>
        <w:t xml:space="preserve"> </w:t>
      </w:r>
      <w:r>
        <w:rPr>
          <w:i/>
          <w:iCs/>
        </w:rPr>
        <w:t>6 GHz Report and Order</w:t>
      </w:r>
      <w:r>
        <w:t xml:space="preserve">, 35 FCC </w:t>
      </w:r>
      <w:r>
        <w:t>Rcd</w:t>
      </w:r>
      <w:r>
        <w:t xml:space="preserve"> at 3879, para. 72.</w:t>
      </w:r>
    </w:p>
  </w:footnote>
  <w:footnote w:id="61">
    <w:p w:rsidR="00A7149C" w14:paraId="22D552B6" w14:textId="0A8AEA46">
      <w:pPr>
        <w:pStyle w:val="FootnoteText"/>
      </w:pPr>
      <w:r>
        <w:rPr>
          <w:rStyle w:val="FootnoteReference"/>
        </w:rPr>
        <w:footnoteRef/>
      </w:r>
      <w:r>
        <w:t xml:space="preserve"> </w:t>
      </w:r>
      <w:r>
        <w:rPr>
          <w:i/>
          <w:iCs/>
        </w:rPr>
        <w:t>Broadcom</w:t>
      </w:r>
      <w:r w:rsidRPr="00FC6FB0">
        <w:rPr>
          <w:i/>
          <w:iCs/>
        </w:rPr>
        <w:t xml:space="preserve"> Public Trial Report</w:t>
      </w:r>
      <w:r>
        <w:rPr>
          <w:i/>
          <w:iCs/>
        </w:rPr>
        <w:t xml:space="preserve"> </w:t>
      </w:r>
      <w:r>
        <w:t>at 2-3</w:t>
      </w:r>
      <w:r w:rsidRPr="000B19EB">
        <w:t xml:space="preserve">; </w:t>
      </w:r>
      <w:r>
        <w:rPr>
          <w:i/>
          <w:iCs/>
        </w:rPr>
        <w:t>Wi-Fi Alliance</w:t>
      </w:r>
      <w:r w:rsidRPr="00FC6FB0">
        <w:rPr>
          <w:i/>
          <w:iCs/>
        </w:rPr>
        <w:t xml:space="preserve"> Public Trial Report</w:t>
      </w:r>
      <w:r>
        <w:rPr>
          <w:i/>
          <w:iCs/>
        </w:rPr>
        <w:t xml:space="preserve"> </w:t>
      </w:r>
      <w:r>
        <w:t>at 12-13</w:t>
      </w:r>
      <w:r w:rsidRPr="00A7149C">
        <w:t>;</w:t>
      </w:r>
      <w:r>
        <w:rPr>
          <w:i/>
          <w:iCs/>
        </w:rPr>
        <w:t xml:space="preserve"> </w:t>
      </w:r>
      <w:r w:rsidRPr="00FC6FB0">
        <w:rPr>
          <w:i/>
          <w:iCs/>
        </w:rPr>
        <w:t>WBA Public Trial Report</w:t>
      </w:r>
      <w:r>
        <w:rPr>
          <w:i/>
          <w:iCs/>
        </w:rPr>
        <w:t xml:space="preserve"> </w:t>
      </w:r>
      <w:r>
        <w:t>at 2</w:t>
      </w:r>
      <w:r w:rsidRPr="000B19EB">
        <w:t xml:space="preserve">; </w:t>
      </w:r>
      <w:r w:rsidRPr="00FC6FB0">
        <w:rPr>
          <w:i/>
          <w:iCs/>
        </w:rPr>
        <w:t>Sony Public Trial Report</w:t>
      </w:r>
      <w:r>
        <w:rPr>
          <w:i/>
          <w:iCs/>
        </w:rPr>
        <w:t xml:space="preserve"> </w:t>
      </w:r>
      <w:r>
        <w:t>at 21-22</w:t>
      </w:r>
      <w:r w:rsidRPr="000B19EB">
        <w:t xml:space="preserve">; </w:t>
      </w:r>
      <w:r w:rsidRPr="00FC6FB0">
        <w:rPr>
          <w:i/>
          <w:iCs/>
        </w:rPr>
        <w:t>Federated Public Trial Report</w:t>
      </w:r>
      <w:r>
        <w:rPr>
          <w:i/>
          <w:iCs/>
        </w:rPr>
        <w:t xml:space="preserve"> </w:t>
      </w:r>
      <w:r>
        <w:t>at 3</w:t>
      </w:r>
      <w:r w:rsidRPr="000B19EB">
        <w:t xml:space="preserve">; </w:t>
      </w:r>
      <w:bookmarkStart w:id="10" w:name="_Hlk157505794"/>
      <w:r w:rsidRPr="00EB244D">
        <w:rPr>
          <w:i/>
          <w:iCs/>
        </w:rPr>
        <w:t>Coms</w:t>
      </w:r>
      <w:r>
        <w:rPr>
          <w:i/>
          <w:iCs/>
        </w:rPr>
        <w:t>earch</w:t>
      </w:r>
      <w:r w:rsidRPr="00EB244D">
        <w:rPr>
          <w:i/>
          <w:iCs/>
        </w:rPr>
        <w:t xml:space="preserve"> Public Trial Report</w:t>
      </w:r>
      <w:r>
        <w:rPr>
          <w:i/>
          <w:iCs/>
        </w:rPr>
        <w:t xml:space="preserve"> </w:t>
      </w:r>
      <w:r>
        <w:t>at 14-16</w:t>
      </w:r>
      <w:bookmarkEnd w:id="10"/>
      <w:r>
        <w:t>.</w:t>
      </w:r>
    </w:p>
  </w:footnote>
  <w:footnote w:id="62">
    <w:p w:rsidR="009F562C" w:rsidP="009F562C" w14:paraId="5D51759D" w14:textId="77777777">
      <w:pPr>
        <w:pStyle w:val="FootnoteText"/>
      </w:pPr>
      <w:r>
        <w:rPr>
          <w:rStyle w:val="FootnoteReference"/>
        </w:rPr>
        <w:footnoteRef/>
      </w:r>
      <w:r>
        <w:t xml:space="preserve"> </w:t>
      </w:r>
      <w:r w:rsidRPr="00FC6FB0">
        <w:rPr>
          <w:i/>
          <w:iCs/>
        </w:rPr>
        <w:t>Federated Public Trial Report</w:t>
      </w:r>
      <w:r>
        <w:rPr>
          <w:i/>
          <w:iCs/>
        </w:rPr>
        <w:t xml:space="preserve"> </w:t>
      </w:r>
      <w:r>
        <w:t xml:space="preserve">at 3.  </w:t>
      </w:r>
    </w:p>
  </w:footnote>
  <w:footnote w:id="63">
    <w:p w:rsidR="00035597" w14:paraId="23BF5D5F" w14:textId="589810D1">
      <w:pPr>
        <w:pStyle w:val="FootnoteText"/>
      </w:pPr>
      <w:r>
        <w:rPr>
          <w:rStyle w:val="FootnoteReference"/>
        </w:rPr>
        <w:footnoteRef/>
      </w:r>
      <w:r>
        <w:t xml:space="preserve"> </w:t>
      </w:r>
      <w:r w:rsidR="009C74B2">
        <w:rPr>
          <w:i/>
          <w:iCs/>
        </w:rPr>
        <w:t>E</w:t>
      </w:r>
      <w:r w:rsidRPr="00035597">
        <w:rPr>
          <w:i/>
          <w:iCs/>
        </w:rPr>
        <w:t>.g</w:t>
      </w:r>
      <w:r w:rsidRPr="000B19EB">
        <w:rPr>
          <w:i/>
          <w:iCs/>
        </w:rPr>
        <w:t>.</w:t>
      </w:r>
      <w:r w:rsidR="001C26DE">
        <w:t>,</w:t>
      </w:r>
      <w:r>
        <w:t xml:space="preserve"> </w:t>
      </w:r>
      <w:r w:rsidRPr="00FC6FB0">
        <w:rPr>
          <w:i/>
          <w:iCs/>
        </w:rPr>
        <w:t>WBA Public Trial Report</w:t>
      </w:r>
      <w:r>
        <w:rPr>
          <w:i/>
          <w:iCs/>
        </w:rPr>
        <w:t xml:space="preserve"> </w:t>
      </w:r>
      <w:r>
        <w:t xml:space="preserve">at 2; </w:t>
      </w:r>
      <w:r w:rsidRPr="009C74B2" w:rsidR="009C74B2">
        <w:rPr>
          <w:i/>
          <w:iCs/>
        </w:rPr>
        <w:t>Broadcom</w:t>
      </w:r>
      <w:r w:rsidRPr="00EB244D">
        <w:rPr>
          <w:i/>
          <w:iCs/>
        </w:rPr>
        <w:t xml:space="preserve"> Public Trial Report</w:t>
      </w:r>
      <w:r>
        <w:rPr>
          <w:i/>
          <w:iCs/>
        </w:rPr>
        <w:t xml:space="preserve"> </w:t>
      </w:r>
      <w:r>
        <w:t xml:space="preserve">at </w:t>
      </w:r>
      <w:r w:rsidR="009C74B2">
        <w:t xml:space="preserve">2; </w:t>
      </w:r>
      <w:r w:rsidRPr="00FC6FB0" w:rsidR="009C74B2">
        <w:rPr>
          <w:i/>
          <w:iCs/>
        </w:rPr>
        <w:t>Sony Public Trial Report</w:t>
      </w:r>
      <w:r w:rsidR="009C74B2">
        <w:rPr>
          <w:i/>
          <w:iCs/>
        </w:rPr>
        <w:t xml:space="preserve"> </w:t>
      </w:r>
      <w:r w:rsidR="009C74B2">
        <w:t>at 21</w:t>
      </w:r>
      <w:r>
        <w:t xml:space="preserve">.    </w:t>
      </w:r>
    </w:p>
  </w:footnote>
  <w:footnote w:id="64">
    <w:p w:rsidR="009F562C" w:rsidP="009F562C" w14:paraId="0DFC2099" w14:textId="77777777">
      <w:pPr>
        <w:pStyle w:val="FootnoteText"/>
      </w:pPr>
      <w:r>
        <w:rPr>
          <w:rStyle w:val="FootnoteReference"/>
        </w:rPr>
        <w:footnoteRef/>
      </w:r>
      <w:r>
        <w:t xml:space="preserve"> </w:t>
      </w:r>
      <w:r w:rsidRPr="00EB244D">
        <w:rPr>
          <w:i/>
          <w:iCs/>
        </w:rPr>
        <w:t>Coms</w:t>
      </w:r>
      <w:r>
        <w:rPr>
          <w:i/>
          <w:iCs/>
        </w:rPr>
        <w:t>earch</w:t>
      </w:r>
      <w:r w:rsidRPr="00EB244D">
        <w:rPr>
          <w:i/>
          <w:iCs/>
        </w:rPr>
        <w:t xml:space="preserve"> Public Trial Report</w:t>
      </w:r>
      <w:r>
        <w:rPr>
          <w:i/>
          <w:iCs/>
        </w:rPr>
        <w:t xml:space="preserve"> </w:t>
      </w:r>
      <w:r>
        <w:t xml:space="preserve">at 14-16; </w:t>
      </w:r>
      <w:r w:rsidRPr="00FC6FB0">
        <w:rPr>
          <w:i/>
          <w:iCs/>
        </w:rPr>
        <w:t>Sony Public Trial Report</w:t>
      </w:r>
      <w:r>
        <w:rPr>
          <w:i/>
          <w:iCs/>
        </w:rPr>
        <w:t xml:space="preserve"> </w:t>
      </w:r>
      <w:r>
        <w:t xml:space="preserve">at 21; </w:t>
      </w:r>
      <w:r>
        <w:rPr>
          <w:i/>
          <w:iCs/>
        </w:rPr>
        <w:t>Broadcom</w:t>
      </w:r>
      <w:r w:rsidRPr="00FC6FB0">
        <w:rPr>
          <w:i/>
          <w:iCs/>
        </w:rPr>
        <w:t xml:space="preserve"> Public Trial Report</w:t>
      </w:r>
      <w:r>
        <w:rPr>
          <w:i/>
          <w:iCs/>
        </w:rPr>
        <w:t xml:space="preserve"> </w:t>
      </w:r>
      <w:r>
        <w:t xml:space="preserve">at 3.  </w:t>
      </w:r>
    </w:p>
  </w:footnote>
  <w:footnote w:id="65">
    <w:p w:rsidR="00AD0A8B" w:rsidP="00AD0A8B" w14:paraId="13363A03" w14:textId="77777777">
      <w:pPr>
        <w:pStyle w:val="FootnoteText"/>
      </w:pPr>
      <w:r>
        <w:rPr>
          <w:rStyle w:val="FootnoteReference"/>
        </w:rPr>
        <w:footnoteRef/>
      </w:r>
      <w:r>
        <w:t xml:space="preserve"> </w:t>
      </w:r>
      <w:r w:rsidRPr="0063142C">
        <w:rPr>
          <w:i/>
          <w:iCs/>
        </w:rPr>
        <w:t>Federated Public</w:t>
      </w:r>
      <w:r>
        <w:t xml:space="preserve"> </w:t>
      </w:r>
      <w:r w:rsidRPr="0063142C">
        <w:rPr>
          <w:i/>
          <w:iCs/>
        </w:rPr>
        <w:t>Trial Report</w:t>
      </w:r>
      <w:r>
        <w:t xml:space="preserve"> at 4; </w:t>
      </w:r>
      <w:r w:rsidRPr="00FE6318">
        <w:rPr>
          <w:i/>
          <w:iCs/>
        </w:rPr>
        <w:t>Broadcom Public Trial Report</w:t>
      </w:r>
      <w:r>
        <w:t xml:space="preserve"> at 1, </w:t>
      </w:r>
      <w:r>
        <w:rPr>
          <w:i/>
          <w:iCs/>
        </w:rPr>
        <w:t>Comsearch</w:t>
      </w:r>
      <w:r w:rsidRPr="00FE6318">
        <w:rPr>
          <w:i/>
          <w:iCs/>
        </w:rPr>
        <w:t xml:space="preserve"> Public Trial Report</w:t>
      </w:r>
      <w:r>
        <w:t xml:space="preserve"> at 6.</w:t>
      </w:r>
    </w:p>
  </w:footnote>
  <w:footnote w:id="66">
    <w:p w:rsidR="00AE277C" w:rsidRPr="00AE277C" w14:paraId="4229523E" w14:textId="71012728">
      <w:pPr>
        <w:pStyle w:val="FootnoteText"/>
      </w:pPr>
      <w:r>
        <w:rPr>
          <w:rStyle w:val="FootnoteReference"/>
        </w:rPr>
        <w:footnoteRef/>
      </w:r>
      <w:r>
        <w:t xml:space="preserve"> </w:t>
      </w:r>
      <w:r w:rsidRPr="00E22A94">
        <w:rPr>
          <w:i/>
          <w:iCs/>
        </w:rPr>
        <w:t>2023 Public Notice</w:t>
      </w:r>
      <w:r>
        <w:rPr>
          <w:i/>
          <w:iCs/>
        </w:rPr>
        <w:t xml:space="preserve"> </w:t>
      </w:r>
      <w:r>
        <w:t>at 12, para. 35 (citing</w:t>
      </w:r>
      <w:r w:rsidR="009C136E">
        <w:t>,</w:t>
      </w:r>
      <w:r>
        <w:t xml:space="preserve"> e.g.</w:t>
      </w:r>
      <w:r w:rsidR="009C136E">
        <w:t>,</w:t>
      </w:r>
      <w:r>
        <w:t xml:space="preserve"> Broadcom Feb. 24, 2022 </w:t>
      </w:r>
      <w:r w:rsidRPr="00402862">
        <w:rPr>
          <w:i/>
          <w:iCs/>
        </w:rPr>
        <w:t xml:space="preserve">Ex </w:t>
      </w:r>
      <w:r w:rsidRPr="00402862">
        <w:rPr>
          <w:i/>
          <w:iCs/>
        </w:rPr>
        <w:t>Parte</w:t>
      </w:r>
      <w:r>
        <w:t xml:space="preserve"> ET Docket No. 21-352, at 3; Kyrio Feb. 25, 2022 </w:t>
      </w:r>
      <w:r w:rsidRPr="00A51A67">
        <w:rPr>
          <w:i/>
          <w:iCs/>
        </w:rPr>
        <w:t xml:space="preserve">Ex </w:t>
      </w:r>
      <w:r w:rsidRPr="00A51A67">
        <w:rPr>
          <w:i/>
          <w:iCs/>
        </w:rPr>
        <w:t>Parte</w:t>
      </w:r>
      <w:r>
        <w:t xml:space="preserve"> ET Docket No. 21-352, at 3; Qualcomm Automated Frequency Coordination System Operator Application: Responses to Supplemental Questions, ET Docket No. 21-352, at 4 (filed Feb. 28, 2022); Supplement to Proposal from Sony Group Corporation to Serve as an Automated Frequency Coordination System Operator, ET Docket No. 21-352, at 4-5 (filed Feb. 24, 2022); Wi-Fi Alliance Feb. 22, 2022 </w:t>
      </w:r>
      <w:r w:rsidRPr="005C5968">
        <w:rPr>
          <w:i/>
          <w:iCs/>
        </w:rPr>
        <w:t xml:space="preserve">Ex </w:t>
      </w:r>
      <w:r w:rsidRPr="005C5968">
        <w:rPr>
          <w:i/>
          <w:iCs/>
        </w:rPr>
        <w:t>Parte</w:t>
      </w:r>
      <w:r>
        <w:t xml:space="preserve"> ET Docket No. 21-352, at 6; Supplement to the Proposal by Federated Wireless to Serve as an Automated Frequency Coordination System Operator in the 6 GHz Band, ET Docket No. 21-352, at 9 (filed Feb. 9, 2022); Supplement to </w:t>
      </w:r>
      <w:r>
        <w:t>Comsearch</w:t>
      </w:r>
      <w:r>
        <w:t xml:space="preserve"> Proposal to be Approved as an Automated Frequency Coordination Operator, ET Docket No. 31-352, at  9-10 (filed Mar. 1, 2022).</w:t>
      </w:r>
    </w:p>
  </w:footnote>
  <w:footnote w:id="67">
    <w:p w:rsidR="00AE277C" w14:paraId="157044E1" w14:textId="5E3358B2">
      <w:pPr>
        <w:pStyle w:val="FootnoteText"/>
      </w:pPr>
      <w:r>
        <w:rPr>
          <w:rStyle w:val="FootnoteReference"/>
        </w:rPr>
        <w:footnoteRef/>
      </w:r>
      <w:r>
        <w:t xml:space="preserve"> </w:t>
      </w:r>
      <w:r w:rsidRPr="00AE277C">
        <w:rPr>
          <w:i/>
          <w:iCs/>
        </w:rPr>
        <w:t>Id</w:t>
      </w:r>
      <w:r>
        <w:t xml:space="preserve">.  </w:t>
      </w:r>
    </w:p>
  </w:footnote>
  <w:footnote w:id="68">
    <w:p w:rsidR="00AE277C" w14:paraId="26550E6D" w14:textId="6F9F0AC6">
      <w:pPr>
        <w:pStyle w:val="FootnoteText"/>
      </w:pPr>
      <w:r>
        <w:rPr>
          <w:rStyle w:val="FootnoteReference"/>
        </w:rPr>
        <w:footnoteRef/>
      </w:r>
      <w:r>
        <w:t xml:space="preserve"> </w:t>
      </w:r>
      <w:r w:rsidR="007B492C">
        <w:t xml:space="preserve">Letter from </w:t>
      </w:r>
      <w:r w:rsidR="002B30C7">
        <w:t xml:space="preserve">Christopher Szymanski, Broadcom Inc. et al., to Marlene H. Dortch, Secretary, FCC, ET Docket No. 21-352, at 1 (filed </w:t>
      </w:r>
      <w:r w:rsidR="001529D6">
        <w:t>Jan. 29, 2024</w:t>
      </w:r>
      <w:r w:rsidR="002B30C7">
        <w:t>)</w:t>
      </w:r>
      <w:r w:rsidR="001529D6">
        <w:t>.</w:t>
      </w:r>
    </w:p>
  </w:footnote>
  <w:footnote w:id="69">
    <w:p w:rsidR="00AE277C" w14:paraId="3D5451F8" w14:textId="0FFC2C8C">
      <w:pPr>
        <w:pStyle w:val="FootnoteText"/>
      </w:pPr>
      <w:r>
        <w:rPr>
          <w:rStyle w:val="FootnoteReference"/>
        </w:rPr>
        <w:footnoteRef/>
      </w:r>
      <w:r>
        <w:t xml:space="preserve"> </w:t>
      </w:r>
      <w:r w:rsidRPr="001529D6" w:rsidR="001529D6">
        <w:rPr>
          <w:i/>
          <w:iCs/>
        </w:rPr>
        <w:t>Id</w:t>
      </w:r>
      <w:r w:rsidR="001529D6">
        <w:t xml:space="preserve">. </w:t>
      </w:r>
    </w:p>
  </w:footnote>
  <w:footnote w:id="70">
    <w:p w:rsidR="001529D6" w14:paraId="4D5E0D10" w14:textId="4279D866">
      <w:pPr>
        <w:pStyle w:val="FootnoteText"/>
      </w:pPr>
      <w:r>
        <w:rPr>
          <w:rStyle w:val="FootnoteReference"/>
        </w:rPr>
        <w:footnoteRef/>
      </w:r>
      <w:r>
        <w:t xml:space="preserve"> 47 CFR § 15</w:t>
      </w:r>
      <w:r w:rsidR="003D63EB">
        <w:t>.5(b).</w:t>
      </w:r>
    </w:p>
  </w:footnote>
  <w:footnote w:id="71">
    <w:p w:rsidR="000070B2" w14:paraId="47C49F81" w14:textId="44AAA140">
      <w:pPr>
        <w:pStyle w:val="FootnoteText"/>
      </w:pPr>
      <w:r>
        <w:rPr>
          <w:rStyle w:val="FootnoteReference"/>
        </w:rPr>
        <w:footnoteRef/>
      </w:r>
      <w:r>
        <w:rPr>
          <w:i/>
          <w:iCs/>
        </w:rPr>
        <w:t xml:space="preserve"> </w:t>
      </w:r>
      <w:r w:rsidRPr="00E22A94">
        <w:rPr>
          <w:i/>
          <w:iCs/>
        </w:rPr>
        <w:t>2023 Public Notice</w:t>
      </w:r>
      <w:r>
        <w:t xml:space="preserve"> </w:t>
      </w:r>
      <w:r w:rsidR="00382F77">
        <w:t xml:space="preserve">at </w:t>
      </w:r>
      <w:r w:rsidR="00437EBD">
        <w:t>3, 7, paras. 6, 19</w:t>
      </w:r>
      <w:r w:rsidR="00B07136">
        <w:t xml:space="preserve">; </w:t>
      </w:r>
      <w:r w:rsidR="00B07136">
        <w:rPr>
          <w:i/>
          <w:iCs/>
        </w:rPr>
        <w:t>see 6 GHz Report and Order</w:t>
      </w:r>
      <w:r w:rsidR="00B07136">
        <w:t xml:space="preserve">, 35 FCC </w:t>
      </w:r>
      <w:r w:rsidR="00B07136">
        <w:t>Rcd</w:t>
      </w:r>
      <w:r w:rsidR="00B07136">
        <w:t xml:space="preserve"> at 3871, para. 49</w:t>
      </w:r>
      <w:r w:rsidR="00437EBD">
        <w:t>.</w:t>
      </w:r>
    </w:p>
  </w:footnote>
  <w:footnote w:id="72">
    <w:p w:rsidR="000070B2" w:rsidP="000070B2" w14:paraId="7341E1A2" w14:textId="77777777">
      <w:pPr>
        <w:pStyle w:val="FootnoteText"/>
      </w:pPr>
      <w:r>
        <w:rPr>
          <w:rStyle w:val="FootnoteReference"/>
        </w:rPr>
        <w:footnoteRef/>
      </w:r>
      <w:r>
        <w:t xml:space="preserve"> </w:t>
      </w:r>
      <w:r w:rsidRPr="001D07E7">
        <w:rPr>
          <w:i/>
          <w:iCs/>
        </w:rPr>
        <w:t>6 GHz Report and Order</w:t>
      </w:r>
      <w:r>
        <w:rPr>
          <w:i/>
          <w:iCs/>
        </w:rPr>
        <w:t>,</w:t>
      </w:r>
      <w:r>
        <w:t xml:space="preserve"> </w:t>
      </w:r>
      <w:r>
        <w:rPr>
          <w:spacing w:val="-2"/>
        </w:rPr>
        <w:t xml:space="preserve">35 FCC </w:t>
      </w:r>
      <w:r>
        <w:rPr>
          <w:spacing w:val="-2"/>
        </w:rPr>
        <w:t>Rcd</w:t>
      </w:r>
      <w:r>
        <w:rPr>
          <w:i/>
          <w:iCs/>
          <w:szCs w:val="22"/>
        </w:rPr>
        <w:t xml:space="preserve"> </w:t>
      </w:r>
      <w:r>
        <w:rPr>
          <w:szCs w:val="22"/>
        </w:rPr>
        <w:t xml:space="preserve">at </w:t>
      </w:r>
      <w:r>
        <w:t>3862, para. 22.</w:t>
      </w:r>
    </w:p>
  </w:footnote>
  <w:footnote w:id="73">
    <w:p w:rsidR="0082360A" w14:paraId="66FAF430" w14:textId="436D4D28">
      <w:pPr>
        <w:pStyle w:val="FootnoteText"/>
      </w:pPr>
      <w:r>
        <w:rPr>
          <w:rStyle w:val="FootnoteReference"/>
        </w:rPr>
        <w:footnoteRef/>
      </w:r>
      <w:r>
        <w:t xml:space="preserve"> Proposal by C3Spectra</w:t>
      </w:r>
      <w:r w:rsidR="009F06E3">
        <w:t xml:space="preserve"> Inc.</w:t>
      </w:r>
      <w:r>
        <w:t xml:space="preserve"> for Approval of 6 GHz Automated Frequency Coordination Service Operator, ET Docket No. 21-352 </w:t>
      </w:r>
      <w:r w:rsidR="00FB687B">
        <w:t>(</w:t>
      </w:r>
      <w:r>
        <w:t xml:space="preserve">filed Dec. </w:t>
      </w:r>
      <w:r w:rsidR="00025C06">
        <w:t>3</w:t>
      </w:r>
      <w:r>
        <w:t>, 2023</w:t>
      </w:r>
      <w:r w:rsidR="00FB687B">
        <w:t>)</w:t>
      </w:r>
      <w:r w:rsidR="00025C06">
        <w:t xml:space="preserve">, </w:t>
      </w:r>
      <w:hyperlink r:id="rId1" w:history="1">
        <w:r w:rsidRPr="00BD7150" w:rsidR="00025C06">
          <w:rPr>
            <w:rStyle w:val="Hyperlink"/>
          </w:rPr>
          <w:t>https://www.fcc.gov/ecfs/document/120222669592/1</w:t>
        </w:r>
      </w:hyperlink>
      <w:r>
        <w:t xml:space="preserve">.  </w:t>
      </w:r>
      <w:r w:rsidR="005E6110">
        <w:tab/>
      </w:r>
    </w:p>
  </w:footnote>
  <w:footnote w:id="74">
    <w:p w:rsidR="00BF2662" w14:paraId="20AD15F4" w14:textId="5335E1DB">
      <w:pPr>
        <w:pStyle w:val="FootnoteText"/>
      </w:pPr>
      <w:r>
        <w:rPr>
          <w:rStyle w:val="FootnoteReference"/>
        </w:rPr>
        <w:footnoteRef/>
      </w:r>
      <w:r>
        <w:t xml:space="preserve"> </w:t>
      </w:r>
      <w:r>
        <w:rPr>
          <w:i/>
          <w:iCs/>
        </w:rPr>
        <w:t>6 GHz Report and Order</w:t>
      </w:r>
      <w:r>
        <w:t xml:space="preserve">, 35 FCC </w:t>
      </w:r>
      <w:r>
        <w:t>Rcd</w:t>
      </w:r>
      <w:r>
        <w:t xml:space="preserve"> at </w:t>
      </w:r>
      <w:r w:rsidR="00C9421F">
        <w:t>38</w:t>
      </w:r>
      <w:r>
        <w:t>71, para. 49.</w:t>
      </w:r>
    </w:p>
  </w:footnote>
  <w:footnote w:id="75">
    <w:p w:rsidR="001613C5" w:rsidP="001613C5" w14:paraId="72ADFED4" w14:textId="4D45965B">
      <w:pPr>
        <w:pStyle w:val="FootnoteText"/>
      </w:pPr>
      <w:r>
        <w:rPr>
          <w:rStyle w:val="FootnoteReference"/>
        </w:rPr>
        <w:footnoteRef/>
      </w:r>
      <w:r>
        <w:t xml:space="preserve"> </w:t>
      </w:r>
      <w:r>
        <w:rPr>
          <w:i/>
          <w:iCs/>
        </w:rPr>
        <w:t>Id.</w:t>
      </w:r>
    </w:p>
  </w:footnote>
  <w:footnote w:id="76">
    <w:p w:rsidR="00B74ED9" w:rsidRPr="00BF2662" w14:paraId="7C461EA8" w14:textId="55DE8214">
      <w:pPr>
        <w:pStyle w:val="FootnoteText"/>
      </w:pPr>
      <w:r>
        <w:rPr>
          <w:rStyle w:val="FootnoteReference"/>
        </w:rPr>
        <w:footnoteRef/>
      </w:r>
      <w:r>
        <w:t xml:space="preserve"> </w:t>
      </w:r>
      <w:r w:rsidRPr="005E1BB5" w:rsidR="00BF2662">
        <w:rPr>
          <w:i/>
          <w:iCs/>
        </w:rPr>
        <w:t>202</w:t>
      </w:r>
      <w:r w:rsidR="00BF2662">
        <w:rPr>
          <w:i/>
          <w:iCs/>
        </w:rPr>
        <w:t>3</w:t>
      </w:r>
      <w:r w:rsidRPr="005E1BB5" w:rsidR="00BF2662">
        <w:rPr>
          <w:i/>
          <w:iCs/>
        </w:rPr>
        <w:t xml:space="preserve"> Public Notice</w:t>
      </w:r>
      <w:r w:rsidR="00BF2662">
        <w:rPr>
          <w:i/>
          <w:iCs/>
        </w:rPr>
        <w:t xml:space="preserve"> </w:t>
      </w:r>
      <w:r w:rsidR="00BF2662">
        <w:t xml:space="preserve">at </w:t>
      </w:r>
      <w:r w:rsidR="00851C5A">
        <w:t xml:space="preserve">3-7, </w:t>
      </w:r>
      <w:r w:rsidR="00BF2662">
        <w:t>paras. 6-18</w:t>
      </w:r>
      <w:r w:rsidR="00CE18EA">
        <w:t xml:space="preserve">; </w:t>
      </w:r>
      <w:r w:rsidR="00CE18EA">
        <w:rPr>
          <w:i/>
          <w:iCs/>
        </w:rPr>
        <w:t>see 6 GHz Report and Order</w:t>
      </w:r>
      <w:r w:rsidR="00CE18EA">
        <w:t xml:space="preserve">, 35 FCC </w:t>
      </w:r>
      <w:r w:rsidR="00CE18EA">
        <w:t>Rcd</w:t>
      </w:r>
      <w:r w:rsidR="00CE18EA">
        <w:t xml:space="preserve"> at 3871, para. 49</w:t>
      </w:r>
      <w:r w:rsidR="00BF266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rsidP="006F63CA" w14:paraId="1A3717EF"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82C09E0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B82A31"/>
    <w:multiLevelType w:val="hybridMultilevel"/>
    <w:tmpl w:val="2DBE470E"/>
    <w:lvl w:ilvl="0">
      <w:start w:val="0"/>
      <w:numFmt w:val="bullet"/>
      <w:lvlText w:val=""/>
      <w:lvlJc w:val="left"/>
      <w:pPr>
        <w:ind w:left="4680" w:hanging="360"/>
      </w:pPr>
      <w:rPr>
        <w:rFonts w:ascii="Wingdings" w:eastAsia="Times New Roman" w:hAnsi="Wingdings" w:cs="Times New Roman" w:hint="default"/>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5">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6D33E4"/>
    <w:multiLevelType w:val="hybridMultilevel"/>
    <w:tmpl w:val="04AEE2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26E6FB8"/>
    <w:multiLevelType w:val="hybridMultilevel"/>
    <w:tmpl w:val="494076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8"/>
  </w:num>
  <w:num w:numId="9">
    <w:abstractNumId w:val="4"/>
  </w:num>
  <w:num w:numId="10">
    <w:abstractNumId w:val="9"/>
  </w:num>
  <w:num w:numId="11">
    <w:abstractNumId w:val="7"/>
  </w:num>
  <w:num w:numId="12">
    <w:abstractNumId w:val="3"/>
  </w:num>
  <w:num w:numId="13">
    <w:abstractNumId w:val="8"/>
    <w:lvlOverride w:ilvl="0">
      <w:startOverride w:val="1"/>
    </w:lvlOverride>
  </w:num>
  <w:num w:numId="14">
    <w:abstractNumId w:val="8"/>
  </w:num>
  <w:num w:numId="15">
    <w:abstractNumId w:val="3"/>
  </w:num>
  <w:num w:numId="16">
    <w:abstractNumId w:val="8"/>
  </w:num>
  <w:num w:numId="17">
    <w:abstractNumId w:val="3"/>
  </w:num>
  <w:num w:numId="18">
    <w:abstractNumId w:val="8"/>
    <w:lvlOverride w:ilvl="0">
      <w:startOverride w:val="1"/>
    </w:lvlOverride>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A"/>
    <w:rsid w:val="00000500"/>
    <w:rsid w:val="000006D2"/>
    <w:rsid w:val="00001947"/>
    <w:rsid w:val="0000387A"/>
    <w:rsid w:val="00003E48"/>
    <w:rsid w:val="00005190"/>
    <w:rsid w:val="0000640E"/>
    <w:rsid w:val="00006F26"/>
    <w:rsid w:val="000070B2"/>
    <w:rsid w:val="00007922"/>
    <w:rsid w:val="00007A0B"/>
    <w:rsid w:val="0001035B"/>
    <w:rsid w:val="00011ED0"/>
    <w:rsid w:val="000136E4"/>
    <w:rsid w:val="0001370C"/>
    <w:rsid w:val="000138D1"/>
    <w:rsid w:val="00013905"/>
    <w:rsid w:val="00013A7D"/>
    <w:rsid w:val="00014E52"/>
    <w:rsid w:val="00014F8E"/>
    <w:rsid w:val="00015345"/>
    <w:rsid w:val="000155F5"/>
    <w:rsid w:val="00016385"/>
    <w:rsid w:val="00016560"/>
    <w:rsid w:val="00016787"/>
    <w:rsid w:val="00016828"/>
    <w:rsid w:val="000173AE"/>
    <w:rsid w:val="0001747E"/>
    <w:rsid w:val="00017596"/>
    <w:rsid w:val="0002193A"/>
    <w:rsid w:val="00021B28"/>
    <w:rsid w:val="00021E73"/>
    <w:rsid w:val="000225F9"/>
    <w:rsid w:val="000227B6"/>
    <w:rsid w:val="000256AA"/>
    <w:rsid w:val="00025C06"/>
    <w:rsid w:val="00025D4D"/>
    <w:rsid w:val="00025E52"/>
    <w:rsid w:val="000262F5"/>
    <w:rsid w:val="00026C14"/>
    <w:rsid w:val="00026F12"/>
    <w:rsid w:val="0002760D"/>
    <w:rsid w:val="00027A59"/>
    <w:rsid w:val="00030272"/>
    <w:rsid w:val="000306A7"/>
    <w:rsid w:val="00030C5E"/>
    <w:rsid w:val="00031527"/>
    <w:rsid w:val="00031A43"/>
    <w:rsid w:val="0003241A"/>
    <w:rsid w:val="00032586"/>
    <w:rsid w:val="00032895"/>
    <w:rsid w:val="00033281"/>
    <w:rsid w:val="00033410"/>
    <w:rsid w:val="00033421"/>
    <w:rsid w:val="00033C5C"/>
    <w:rsid w:val="00034573"/>
    <w:rsid w:val="00034910"/>
    <w:rsid w:val="00035597"/>
    <w:rsid w:val="0003572D"/>
    <w:rsid w:val="00035E0E"/>
    <w:rsid w:val="00036A61"/>
    <w:rsid w:val="00037BDD"/>
    <w:rsid w:val="00037DE1"/>
    <w:rsid w:val="00037F87"/>
    <w:rsid w:val="00040927"/>
    <w:rsid w:val="00041490"/>
    <w:rsid w:val="0004196C"/>
    <w:rsid w:val="00041C33"/>
    <w:rsid w:val="000420AC"/>
    <w:rsid w:val="00042262"/>
    <w:rsid w:val="000426DE"/>
    <w:rsid w:val="00042926"/>
    <w:rsid w:val="00042B4D"/>
    <w:rsid w:val="00042BBC"/>
    <w:rsid w:val="00043276"/>
    <w:rsid w:val="00044488"/>
    <w:rsid w:val="0004460D"/>
    <w:rsid w:val="00045416"/>
    <w:rsid w:val="00046213"/>
    <w:rsid w:val="00046489"/>
    <w:rsid w:val="00046508"/>
    <w:rsid w:val="000469BF"/>
    <w:rsid w:val="00046C43"/>
    <w:rsid w:val="0004738A"/>
    <w:rsid w:val="000479A6"/>
    <w:rsid w:val="00047A4A"/>
    <w:rsid w:val="000502B1"/>
    <w:rsid w:val="00050CCC"/>
    <w:rsid w:val="00050CF8"/>
    <w:rsid w:val="000515B0"/>
    <w:rsid w:val="0005169B"/>
    <w:rsid w:val="00051C0C"/>
    <w:rsid w:val="00051F8A"/>
    <w:rsid w:val="00051FB2"/>
    <w:rsid w:val="00052696"/>
    <w:rsid w:val="000531F0"/>
    <w:rsid w:val="000532B1"/>
    <w:rsid w:val="00054224"/>
    <w:rsid w:val="00054A4B"/>
    <w:rsid w:val="00054A69"/>
    <w:rsid w:val="00054FA2"/>
    <w:rsid w:val="00055A56"/>
    <w:rsid w:val="00055FC2"/>
    <w:rsid w:val="00056E8D"/>
    <w:rsid w:val="00057590"/>
    <w:rsid w:val="00060007"/>
    <w:rsid w:val="000604FD"/>
    <w:rsid w:val="0006162A"/>
    <w:rsid w:val="00061EEA"/>
    <w:rsid w:val="000627CF"/>
    <w:rsid w:val="00062B17"/>
    <w:rsid w:val="00063488"/>
    <w:rsid w:val="00063CE4"/>
    <w:rsid w:val="0006401A"/>
    <w:rsid w:val="00064642"/>
    <w:rsid w:val="000653C1"/>
    <w:rsid w:val="00065744"/>
    <w:rsid w:val="000660F4"/>
    <w:rsid w:val="00067052"/>
    <w:rsid w:val="0006731F"/>
    <w:rsid w:val="0007028E"/>
    <w:rsid w:val="000708C7"/>
    <w:rsid w:val="00072343"/>
    <w:rsid w:val="000729AD"/>
    <w:rsid w:val="00073548"/>
    <w:rsid w:val="00073871"/>
    <w:rsid w:val="0007407D"/>
    <w:rsid w:val="00074E5F"/>
    <w:rsid w:val="00074F6D"/>
    <w:rsid w:val="0007521B"/>
    <w:rsid w:val="00075C07"/>
    <w:rsid w:val="00075EC7"/>
    <w:rsid w:val="00076114"/>
    <w:rsid w:val="00076146"/>
    <w:rsid w:val="000762D7"/>
    <w:rsid w:val="0007690D"/>
    <w:rsid w:val="00076957"/>
    <w:rsid w:val="0007774C"/>
    <w:rsid w:val="00077EDA"/>
    <w:rsid w:val="00080527"/>
    <w:rsid w:val="00080AF6"/>
    <w:rsid w:val="00081943"/>
    <w:rsid w:val="00082440"/>
    <w:rsid w:val="00082655"/>
    <w:rsid w:val="00082B0E"/>
    <w:rsid w:val="00083132"/>
    <w:rsid w:val="0008363D"/>
    <w:rsid w:val="00083D14"/>
    <w:rsid w:val="000841A0"/>
    <w:rsid w:val="00084247"/>
    <w:rsid w:val="000845E9"/>
    <w:rsid w:val="000849B2"/>
    <w:rsid w:val="00084BDC"/>
    <w:rsid w:val="00085A22"/>
    <w:rsid w:val="00086A11"/>
    <w:rsid w:val="00086E7C"/>
    <w:rsid w:val="000873E3"/>
    <w:rsid w:val="00087405"/>
    <w:rsid w:val="00087C89"/>
    <w:rsid w:val="0009084C"/>
    <w:rsid w:val="00090890"/>
    <w:rsid w:val="000915C6"/>
    <w:rsid w:val="00091C4D"/>
    <w:rsid w:val="00091C92"/>
    <w:rsid w:val="00091E08"/>
    <w:rsid w:val="00091F25"/>
    <w:rsid w:val="0009268A"/>
    <w:rsid w:val="000927B8"/>
    <w:rsid w:val="00092B55"/>
    <w:rsid w:val="00093253"/>
    <w:rsid w:val="0009363C"/>
    <w:rsid w:val="0009546E"/>
    <w:rsid w:val="000954C7"/>
    <w:rsid w:val="00095608"/>
    <w:rsid w:val="000959E9"/>
    <w:rsid w:val="00095CDF"/>
    <w:rsid w:val="00096174"/>
    <w:rsid w:val="00096547"/>
    <w:rsid w:val="000967CA"/>
    <w:rsid w:val="00096CBF"/>
    <w:rsid w:val="00096D9B"/>
    <w:rsid w:val="00096FF6"/>
    <w:rsid w:val="000970E7"/>
    <w:rsid w:val="000971D0"/>
    <w:rsid w:val="0009740F"/>
    <w:rsid w:val="000974FA"/>
    <w:rsid w:val="00097DDC"/>
    <w:rsid w:val="00097F8B"/>
    <w:rsid w:val="000A0FF1"/>
    <w:rsid w:val="000A1091"/>
    <w:rsid w:val="000A162D"/>
    <w:rsid w:val="000A2737"/>
    <w:rsid w:val="000A2899"/>
    <w:rsid w:val="000A33C0"/>
    <w:rsid w:val="000A3793"/>
    <w:rsid w:val="000A3AAE"/>
    <w:rsid w:val="000A47AC"/>
    <w:rsid w:val="000A49FA"/>
    <w:rsid w:val="000A52AA"/>
    <w:rsid w:val="000A5EA8"/>
    <w:rsid w:val="000A64DD"/>
    <w:rsid w:val="000A752B"/>
    <w:rsid w:val="000A7AFE"/>
    <w:rsid w:val="000A7B9E"/>
    <w:rsid w:val="000B04C2"/>
    <w:rsid w:val="000B0557"/>
    <w:rsid w:val="000B0BA8"/>
    <w:rsid w:val="000B10EA"/>
    <w:rsid w:val="000B190B"/>
    <w:rsid w:val="000B19EB"/>
    <w:rsid w:val="000B1AC1"/>
    <w:rsid w:val="000B24E5"/>
    <w:rsid w:val="000B2B86"/>
    <w:rsid w:val="000B35E1"/>
    <w:rsid w:val="000B46B8"/>
    <w:rsid w:val="000B4A01"/>
    <w:rsid w:val="000B4C80"/>
    <w:rsid w:val="000B4F8E"/>
    <w:rsid w:val="000B5342"/>
    <w:rsid w:val="000B59E0"/>
    <w:rsid w:val="000B5C2C"/>
    <w:rsid w:val="000B5C4D"/>
    <w:rsid w:val="000B5F4D"/>
    <w:rsid w:val="000B6375"/>
    <w:rsid w:val="000B6D35"/>
    <w:rsid w:val="000B7383"/>
    <w:rsid w:val="000B79CE"/>
    <w:rsid w:val="000C053B"/>
    <w:rsid w:val="000C06C6"/>
    <w:rsid w:val="000C0F89"/>
    <w:rsid w:val="000C226F"/>
    <w:rsid w:val="000C25DC"/>
    <w:rsid w:val="000C2706"/>
    <w:rsid w:val="000C2FAD"/>
    <w:rsid w:val="000C3226"/>
    <w:rsid w:val="000C377F"/>
    <w:rsid w:val="000C3CBA"/>
    <w:rsid w:val="000C441F"/>
    <w:rsid w:val="000C4E4B"/>
    <w:rsid w:val="000C51C2"/>
    <w:rsid w:val="000C5376"/>
    <w:rsid w:val="000C5B1A"/>
    <w:rsid w:val="000C5C77"/>
    <w:rsid w:val="000C5E3E"/>
    <w:rsid w:val="000C663A"/>
    <w:rsid w:val="000C6A6E"/>
    <w:rsid w:val="000C6D25"/>
    <w:rsid w:val="000C72CE"/>
    <w:rsid w:val="000C756A"/>
    <w:rsid w:val="000C7793"/>
    <w:rsid w:val="000C7CC4"/>
    <w:rsid w:val="000D002B"/>
    <w:rsid w:val="000D018E"/>
    <w:rsid w:val="000D01EC"/>
    <w:rsid w:val="000D02A2"/>
    <w:rsid w:val="000D12FF"/>
    <w:rsid w:val="000D15F7"/>
    <w:rsid w:val="000D1DCF"/>
    <w:rsid w:val="000D266B"/>
    <w:rsid w:val="000D308B"/>
    <w:rsid w:val="000D3432"/>
    <w:rsid w:val="000D3641"/>
    <w:rsid w:val="000D3F76"/>
    <w:rsid w:val="000D4514"/>
    <w:rsid w:val="000D4515"/>
    <w:rsid w:val="000D4624"/>
    <w:rsid w:val="000D4C6A"/>
    <w:rsid w:val="000D588A"/>
    <w:rsid w:val="000D5FE7"/>
    <w:rsid w:val="000D6A94"/>
    <w:rsid w:val="000D6E4D"/>
    <w:rsid w:val="000D777E"/>
    <w:rsid w:val="000D7E1B"/>
    <w:rsid w:val="000E0056"/>
    <w:rsid w:val="000E0251"/>
    <w:rsid w:val="000E032E"/>
    <w:rsid w:val="000E04CF"/>
    <w:rsid w:val="000E16AE"/>
    <w:rsid w:val="000E174D"/>
    <w:rsid w:val="000E1862"/>
    <w:rsid w:val="000E240C"/>
    <w:rsid w:val="000E258B"/>
    <w:rsid w:val="000E366B"/>
    <w:rsid w:val="000E6428"/>
    <w:rsid w:val="000E6554"/>
    <w:rsid w:val="000E690B"/>
    <w:rsid w:val="000E6B72"/>
    <w:rsid w:val="000E6C40"/>
    <w:rsid w:val="000E6C8B"/>
    <w:rsid w:val="000E7074"/>
    <w:rsid w:val="000E788E"/>
    <w:rsid w:val="000F0094"/>
    <w:rsid w:val="000F04C6"/>
    <w:rsid w:val="000F0C60"/>
    <w:rsid w:val="000F1125"/>
    <w:rsid w:val="000F1F61"/>
    <w:rsid w:val="000F23C7"/>
    <w:rsid w:val="000F255B"/>
    <w:rsid w:val="000F41C8"/>
    <w:rsid w:val="000F438B"/>
    <w:rsid w:val="000F4C92"/>
    <w:rsid w:val="000F6024"/>
    <w:rsid w:val="000F6118"/>
    <w:rsid w:val="000F6861"/>
    <w:rsid w:val="000F6B31"/>
    <w:rsid w:val="000F6E46"/>
    <w:rsid w:val="000F703C"/>
    <w:rsid w:val="000F7DAF"/>
    <w:rsid w:val="00100547"/>
    <w:rsid w:val="00100969"/>
    <w:rsid w:val="0010140F"/>
    <w:rsid w:val="001023A5"/>
    <w:rsid w:val="001023B3"/>
    <w:rsid w:val="00102BBE"/>
    <w:rsid w:val="00102DD9"/>
    <w:rsid w:val="00103328"/>
    <w:rsid w:val="00104639"/>
    <w:rsid w:val="00104B04"/>
    <w:rsid w:val="001054E0"/>
    <w:rsid w:val="00105600"/>
    <w:rsid w:val="00105CCB"/>
    <w:rsid w:val="00105FB7"/>
    <w:rsid w:val="001069C3"/>
    <w:rsid w:val="001069E6"/>
    <w:rsid w:val="00106A02"/>
    <w:rsid w:val="00106C93"/>
    <w:rsid w:val="0010779C"/>
    <w:rsid w:val="00110060"/>
    <w:rsid w:val="001108D6"/>
    <w:rsid w:val="00110A03"/>
    <w:rsid w:val="00111F67"/>
    <w:rsid w:val="001121CF"/>
    <w:rsid w:val="00112352"/>
    <w:rsid w:val="0011258E"/>
    <w:rsid w:val="00112641"/>
    <w:rsid w:val="00112D89"/>
    <w:rsid w:val="00112DFC"/>
    <w:rsid w:val="00112E13"/>
    <w:rsid w:val="001134D3"/>
    <w:rsid w:val="001137A2"/>
    <w:rsid w:val="00113D8F"/>
    <w:rsid w:val="00114A2C"/>
    <w:rsid w:val="00114CC9"/>
    <w:rsid w:val="00114D8C"/>
    <w:rsid w:val="00115197"/>
    <w:rsid w:val="001152AA"/>
    <w:rsid w:val="0011589C"/>
    <w:rsid w:val="00115B50"/>
    <w:rsid w:val="00115C3F"/>
    <w:rsid w:val="00115ED4"/>
    <w:rsid w:val="00116261"/>
    <w:rsid w:val="00116515"/>
    <w:rsid w:val="0011751B"/>
    <w:rsid w:val="00117BF9"/>
    <w:rsid w:val="0012002F"/>
    <w:rsid w:val="001202CD"/>
    <w:rsid w:val="00121B91"/>
    <w:rsid w:val="00121FEF"/>
    <w:rsid w:val="00122A17"/>
    <w:rsid w:val="00123DE8"/>
    <w:rsid w:val="00123F6A"/>
    <w:rsid w:val="0012405E"/>
    <w:rsid w:val="001245BE"/>
    <w:rsid w:val="001245C6"/>
    <w:rsid w:val="00124A39"/>
    <w:rsid w:val="00124ABC"/>
    <w:rsid w:val="00125EC3"/>
    <w:rsid w:val="0012626A"/>
    <w:rsid w:val="001265EC"/>
    <w:rsid w:val="00126623"/>
    <w:rsid w:val="001273B0"/>
    <w:rsid w:val="00127725"/>
    <w:rsid w:val="00127BD2"/>
    <w:rsid w:val="00127DF8"/>
    <w:rsid w:val="0013089B"/>
    <w:rsid w:val="00130917"/>
    <w:rsid w:val="001313C6"/>
    <w:rsid w:val="00131DD9"/>
    <w:rsid w:val="00132CF6"/>
    <w:rsid w:val="00132FB9"/>
    <w:rsid w:val="001336EA"/>
    <w:rsid w:val="00136B09"/>
    <w:rsid w:val="00136D7C"/>
    <w:rsid w:val="00136E84"/>
    <w:rsid w:val="001379CA"/>
    <w:rsid w:val="00137FDB"/>
    <w:rsid w:val="0014066E"/>
    <w:rsid w:val="00140D56"/>
    <w:rsid w:val="00141673"/>
    <w:rsid w:val="0014281D"/>
    <w:rsid w:val="001428E1"/>
    <w:rsid w:val="00142E60"/>
    <w:rsid w:val="001433D5"/>
    <w:rsid w:val="001452DD"/>
    <w:rsid w:val="0014579E"/>
    <w:rsid w:val="00145A7F"/>
    <w:rsid w:val="00146044"/>
    <w:rsid w:val="00146552"/>
    <w:rsid w:val="001466AF"/>
    <w:rsid w:val="00146B09"/>
    <w:rsid w:val="00146D4D"/>
    <w:rsid w:val="00147368"/>
    <w:rsid w:val="0014787F"/>
    <w:rsid w:val="00147938"/>
    <w:rsid w:val="00147D7D"/>
    <w:rsid w:val="00150510"/>
    <w:rsid w:val="00150AC9"/>
    <w:rsid w:val="00150EB9"/>
    <w:rsid w:val="00150F52"/>
    <w:rsid w:val="001511E1"/>
    <w:rsid w:val="001513AF"/>
    <w:rsid w:val="001517D6"/>
    <w:rsid w:val="00151EAD"/>
    <w:rsid w:val="00152831"/>
    <w:rsid w:val="001529D6"/>
    <w:rsid w:val="00153672"/>
    <w:rsid w:val="00153C8C"/>
    <w:rsid w:val="001542F5"/>
    <w:rsid w:val="00154934"/>
    <w:rsid w:val="00154F9F"/>
    <w:rsid w:val="00155305"/>
    <w:rsid w:val="001554C3"/>
    <w:rsid w:val="001556C2"/>
    <w:rsid w:val="00155DEC"/>
    <w:rsid w:val="00156152"/>
    <w:rsid w:val="00156A1B"/>
    <w:rsid w:val="00156F55"/>
    <w:rsid w:val="001603D9"/>
    <w:rsid w:val="00160777"/>
    <w:rsid w:val="001613C5"/>
    <w:rsid w:val="00161433"/>
    <w:rsid w:val="001633FB"/>
    <w:rsid w:val="0016342B"/>
    <w:rsid w:val="00163451"/>
    <w:rsid w:val="001635BC"/>
    <w:rsid w:val="00163CD3"/>
    <w:rsid w:val="001643A4"/>
    <w:rsid w:val="0016450E"/>
    <w:rsid w:val="001648D0"/>
    <w:rsid w:val="00165EFE"/>
    <w:rsid w:val="001660E8"/>
    <w:rsid w:val="001665A1"/>
    <w:rsid w:val="00166C29"/>
    <w:rsid w:val="00167210"/>
    <w:rsid w:val="00167A4A"/>
    <w:rsid w:val="00167C47"/>
    <w:rsid w:val="00167EDD"/>
    <w:rsid w:val="00170969"/>
    <w:rsid w:val="00170CB7"/>
    <w:rsid w:val="001713B4"/>
    <w:rsid w:val="00171AC0"/>
    <w:rsid w:val="00172B6D"/>
    <w:rsid w:val="001734B7"/>
    <w:rsid w:val="0017377F"/>
    <w:rsid w:val="00173AE3"/>
    <w:rsid w:val="00173E18"/>
    <w:rsid w:val="001740E6"/>
    <w:rsid w:val="0017454E"/>
    <w:rsid w:val="00174671"/>
    <w:rsid w:val="00174A09"/>
    <w:rsid w:val="00174B4A"/>
    <w:rsid w:val="00174E2A"/>
    <w:rsid w:val="00175123"/>
    <w:rsid w:val="00175B03"/>
    <w:rsid w:val="00176278"/>
    <w:rsid w:val="00176DB3"/>
    <w:rsid w:val="001773C5"/>
    <w:rsid w:val="00177544"/>
    <w:rsid w:val="00177BDB"/>
    <w:rsid w:val="001803DD"/>
    <w:rsid w:val="00180CDE"/>
    <w:rsid w:val="00180D3D"/>
    <w:rsid w:val="00181B03"/>
    <w:rsid w:val="00182908"/>
    <w:rsid w:val="00182BA3"/>
    <w:rsid w:val="0018315A"/>
    <w:rsid w:val="00183A08"/>
    <w:rsid w:val="00184046"/>
    <w:rsid w:val="001842FF"/>
    <w:rsid w:val="00184BF7"/>
    <w:rsid w:val="00185460"/>
    <w:rsid w:val="00185AAF"/>
    <w:rsid w:val="00185C8A"/>
    <w:rsid w:val="00185CDB"/>
    <w:rsid w:val="00185FD2"/>
    <w:rsid w:val="001864D2"/>
    <w:rsid w:val="00186986"/>
    <w:rsid w:val="00186A85"/>
    <w:rsid w:val="00187028"/>
    <w:rsid w:val="0018760D"/>
    <w:rsid w:val="001876B4"/>
    <w:rsid w:val="00187B4D"/>
    <w:rsid w:val="00190BE9"/>
    <w:rsid w:val="0019181A"/>
    <w:rsid w:val="00191B85"/>
    <w:rsid w:val="001922FA"/>
    <w:rsid w:val="00192B6E"/>
    <w:rsid w:val="0019311B"/>
    <w:rsid w:val="00193384"/>
    <w:rsid w:val="00193AC7"/>
    <w:rsid w:val="00194653"/>
    <w:rsid w:val="00194962"/>
    <w:rsid w:val="00194C66"/>
    <w:rsid w:val="00194D93"/>
    <w:rsid w:val="001956E7"/>
    <w:rsid w:val="001958BB"/>
    <w:rsid w:val="00196675"/>
    <w:rsid w:val="001967D3"/>
    <w:rsid w:val="00197504"/>
    <w:rsid w:val="001976DC"/>
    <w:rsid w:val="001A01C9"/>
    <w:rsid w:val="001A0D9B"/>
    <w:rsid w:val="001A1085"/>
    <w:rsid w:val="001A12AC"/>
    <w:rsid w:val="001A1D5B"/>
    <w:rsid w:val="001A24E7"/>
    <w:rsid w:val="001A2527"/>
    <w:rsid w:val="001A3428"/>
    <w:rsid w:val="001A3A74"/>
    <w:rsid w:val="001A3C66"/>
    <w:rsid w:val="001A4C34"/>
    <w:rsid w:val="001A4C39"/>
    <w:rsid w:val="001A4E93"/>
    <w:rsid w:val="001A4FE4"/>
    <w:rsid w:val="001A4FF8"/>
    <w:rsid w:val="001A577E"/>
    <w:rsid w:val="001A58D2"/>
    <w:rsid w:val="001A61F4"/>
    <w:rsid w:val="001A62F9"/>
    <w:rsid w:val="001A6994"/>
    <w:rsid w:val="001A6AAF"/>
    <w:rsid w:val="001A6F23"/>
    <w:rsid w:val="001A7BBC"/>
    <w:rsid w:val="001B02B9"/>
    <w:rsid w:val="001B0E31"/>
    <w:rsid w:val="001B156B"/>
    <w:rsid w:val="001B1595"/>
    <w:rsid w:val="001B1B44"/>
    <w:rsid w:val="001B1D0E"/>
    <w:rsid w:val="001B1D68"/>
    <w:rsid w:val="001B3345"/>
    <w:rsid w:val="001B36A7"/>
    <w:rsid w:val="001B4C84"/>
    <w:rsid w:val="001B4D3D"/>
    <w:rsid w:val="001B5022"/>
    <w:rsid w:val="001B528D"/>
    <w:rsid w:val="001B5B8C"/>
    <w:rsid w:val="001B5BBC"/>
    <w:rsid w:val="001B5C2D"/>
    <w:rsid w:val="001B6072"/>
    <w:rsid w:val="001B645A"/>
    <w:rsid w:val="001B6F5E"/>
    <w:rsid w:val="001B774A"/>
    <w:rsid w:val="001B7857"/>
    <w:rsid w:val="001B795A"/>
    <w:rsid w:val="001B7D69"/>
    <w:rsid w:val="001B7E9B"/>
    <w:rsid w:val="001C00D6"/>
    <w:rsid w:val="001C037E"/>
    <w:rsid w:val="001C116F"/>
    <w:rsid w:val="001C1177"/>
    <w:rsid w:val="001C2631"/>
    <w:rsid w:val="001C26DE"/>
    <w:rsid w:val="001C290A"/>
    <w:rsid w:val="001C3A36"/>
    <w:rsid w:val="001C3ED0"/>
    <w:rsid w:val="001C434B"/>
    <w:rsid w:val="001C461D"/>
    <w:rsid w:val="001C4EC6"/>
    <w:rsid w:val="001C4F90"/>
    <w:rsid w:val="001C506F"/>
    <w:rsid w:val="001C5845"/>
    <w:rsid w:val="001C5B12"/>
    <w:rsid w:val="001C6D50"/>
    <w:rsid w:val="001C6DA7"/>
    <w:rsid w:val="001C6FF3"/>
    <w:rsid w:val="001C7018"/>
    <w:rsid w:val="001C7439"/>
    <w:rsid w:val="001C7537"/>
    <w:rsid w:val="001C7615"/>
    <w:rsid w:val="001C78A2"/>
    <w:rsid w:val="001C7A3E"/>
    <w:rsid w:val="001D07E7"/>
    <w:rsid w:val="001D0C11"/>
    <w:rsid w:val="001D0EF7"/>
    <w:rsid w:val="001D1A87"/>
    <w:rsid w:val="001D1CE6"/>
    <w:rsid w:val="001D20F0"/>
    <w:rsid w:val="001D2233"/>
    <w:rsid w:val="001D2FFB"/>
    <w:rsid w:val="001D4C50"/>
    <w:rsid w:val="001D52A8"/>
    <w:rsid w:val="001D54D9"/>
    <w:rsid w:val="001D5A8C"/>
    <w:rsid w:val="001D5C42"/>
    <w:rsid w:val="001D64D2"/>
    <w:rsid w:val="001D6C3B"/>
    <w:rsid w:val="001D6CD8"/>
    <w:rsid w:val="001D7633"/>
    <w:rsid w:val="001D7C52"/>
    <w:rsid w:val="001D7F92"/>
    <w:rsid w:val="001E0274"/>
    <w:rsid w:val="001E0479"/>
    <w:rsid w:val="001E1B4B"/>
    <w:rsid w:val="001E281F"/>
    <w:rsid w:val="001E3487"/>
    <w:rsid w:val="001E39CF"/>
    <w:rsid w:val="001E43D6"/>
    <w:rsid w:val="001E46C3"/>
    <w:rsid w:val="001E4816"/>
    <w:rsid w:val="001E4A08"/>
    <w:rsid w:val="001E4DD7"/>
    <w:rsid w:val="001E5561"/>
    <w:rsid w:val="001E5DCD"/>
    <w:rsid w:val="001E656D"/>
    <w:rsid w:val="001E68B3"/>
    <w:rsid w:val="001E6C95"/>
    <w:rsid w:val="001E7250"/>
    <w:rsid w:val="001F023F"/>
    <w:rsid w:val="001F056F"/>
    <w:rsid w:val="001F05BC"/>
    <w:rsid w:val="001F07E9"/>
    <w:rsid w:val="001F1B90"/>
    <w:rsid w:val="001F2078"/>
    <w:rsid w:val="001F20CC"/>
    <w:rsid w:val="001F2797"/>
    <w:rsid w:val="001F2E25"/>
    <w:rsid w:val="001F3490"/>
    <w:rsid w:val="001F5503"/>
    <w:rsid w:val="001F5E55"/>
    <w:rsid w:val="001F65FA"/>
    <w:rsid w:val="001F67FA"/>
    <w:rsid w:val="001F6E4F"/>
    <w:rsid w:val="001F7215"/>
    <w:rsid w:val="001F732F"/>
    <w:rsid w:val="001F77C9"/>
    <w:rsid w:val="001F7ABC"/>
    <w:rsid w:val="001F7BA8"/>
    <w:rsid w:val="00200A70"/>
    <w:rsid w:val="00200D9B"/>
    <w:rsid w:val="00200E28"/>
    <w:rsid w:val="00201264"/>
    <w:rsid w:val="002013E7"/>
    <w:rsid w:val="002015CB"/>
    <w:rsid w:val="002017D9"/>
    <w:rsid w:val="002021A0"/>
    <w:rsid w:val="00202C3F"/>
    <w:rsid w:val="00203D03"/>
    <w:rsid w:val="0020410E"/>
    <w:rsid w:val="0020483D"/>
    <w:rsid w:val="0020483F"/>
    <w:rsid w:val="002057BC"/>
    <w:rsid w:val="00205A84"/>
    <w:rsid w:val="00205FC7"/>
    <w:rsid w:val="00206232"/>
    <w:rsid w:val="002064EA"/>
    <w:rsid w:val="00206B79"/>
    <w:rsid w:val="00206C37"/>
    <w:rsid w:val="0020772D"/>
    <w:rsid w:val="00207AAD"/>
    <w:rsid w:val="00210924"/>
    <w:rsid w:val="00210C03"/>
    <w:rsid w:val="00211C30"/>
    <w:rsid w:val="00211DCC"/>
    <w:rsid w:val="002120D0"/>
    <w:rsid w:val="002121E4"/>
    <w:rsid w:val="00212606"/>
    <w:rsid w:val="0021285A"/>
    <w:rsid w:val="002128A3"/>
    <w:rsid w:val="00212AE2"/>
    <w:rsid w:val="0021317C"/>
    <w:rsid w:val="0021341B"/>
    <w:rsid w:val="00213503"/>
    <w:rsid w:val="00213920"/>
    <w:rsid w:val="00213BF3"/>
    <w:rsid w:val="00213F6E"/>
    <w:rsid w:val="0021483D"/>
    <w:rsid w:val="002151F9"/>
    <w:rsid w:val="00216698"/>
    <w:rsid w:val="00217049"/>
    <w:rsid w:val="00217112"/>
    <w:rsid w:val="002172A1"/>
    <w:rsid w:val="002172FA"/>
    <w:rsid w:val="002174B3"/>
    <w:rsid w:val="0021754B"/>
    <w:rsid w:val="00221400"/>
    <w:rsid w:val="00221C47"/>
    <w:rsid w:val="00222143"/>
    <w:rsid w:val="00222BD4"/>
    <w:rsid w:val="00222C04"/>
    <w:rsid w:val="002233D3"/>
    <w:rsid w:val="00223607"/>
    <w:rsid w:val="00224388"/>
    <w:rsid w:val="00224A9A"/>
    <w:rsid w:val="00224AEF"/>
    <w:rsid w:val="00225193"/>
    <w:rsid w:val="002257AE"/>
    <w:rsid w:val="002258D1"/>
    <w:rsid w:val="002259B1"/>
    <w:rsid w:val="002267DD"/>
    <w:rsid w:val="00226EBE"/>
    <w:rsid w:val="002270DC"/>
    <w:rsid w:val="002273A7"/>
    <w:rsid w:val="00227B8E"/>
    <w:rsid w:val="00227FA9"/>
    <w:rsid w:val="00230DB6"/>
    <w:rsid w:val="0023101E"/>
    <w:rsid w:val="002310B9"/>
    <w:rsid w:val="002317B0"/>
    <w:rsid w:val="00231805"/>
    <w:rsid w:val="00231EFC"/>
    <w:rsid w:val="002324F2"/>
    <w:rsid w:val="0023283A"/>
    <w:rsid w:val="0023295F"/>
    <w:rsid w:val="002334FD"/>
    <w:rsid w:val="002335A9"/>
    <w:rsid w:val="00233A8E"/>
    <w:rsid w:val="00234582"/>
    <w:rsid w:val="00234BA4"/>
    <w:rsid w:val="00234E32"/>
    <w:rsid w:val="002353AC"/>
    <w:rsid w:val="0023547F"/>
    <w:rsid w:val="00235E9F"/>
    <w:rsid w:val="00235EB3"/>
    <w:rsid w:val="00235FF4"/>
    <w:rsid w:val="00236F20"/>
    <w:rsid w:val="00237192"/>
    <w:rsid w:val="00237CEB"/>
    <w:rsid w:val="00237CEF"/>
    <w:rsid w:val="00240290"/>
    <w:rsid w:val="00241094"/>
    <w:rsid w:val="002419C8"/>
    <w:rsid w:val="00241AAD"/>
    <w:rsid w:val="00241CF3"/>
    <w:rsid w:val="00242162"/>
    <w:rsid w:val="00242FBB"/>
    <w:rsid w:val="002430C7"/>
    <w:rsid w:val="002439DE"/>
    <w:rsid w:val="0024403D"/>
    <w:rsid w:val="00244427"/>
    <w:rsid w:val="00244679"/>
    <w:rsid w:val="00245430"/>
    <w:rsid w:val="00245733"/>
    <w:rsid w:val="00245A31"/>
    <w:rsid w:val="002460DE"/>
    <w:rsid w:val="002462F1"/>
    <w:rsid w:val="00246784"/>
    <w:rsid w:val="00246CB7"/>
    <w:rsid w:val="00247057"/>
    <w:rsid w:val="002471C6"/>
    <w:rsid w:val="0024765D"/>
    <w:rsid w:val="002506D8"/>
    <w:rsid w:val="00250C8F"/>
    <w:rsid w:val="00250F23"/>
    <w:rsid w:val="002512CA"/>
    <w:rsid w:val="0025136E"/>
    <w:rsid w:val="0025151F"/>
    <w:rsid w:val="00251B1A"/>
    <w:rsid w:val="00251E2A"/>
    <w:rsid w:val="002524BA"/>
    <w:rsid w:val="00252600"/>
    <w:rsid w:val="00252928"/>
    <w:rsid w:val="00252D6F"/>
    <w:rsid w:val="00252FAE"/>
    <w:rsid w:val="00254412"/>
    <w:rsid w:val="002544C7"/>
    <w:rsid w:val="002544EB"/>
    <w:rsid w:val="00254871"/>
    <w:rsid w:val="002559F3"/>
    <w:rsid w:val="00255FF9"/>
    <w:rsid w:val="0025762E"/>
    <w:rsid w:val="00257DA0"/>
    <w:rsid w:val="002600E1"/>
    <w:rsid w:val="00260157"/>
    <w:rsid w:val="0026017F"/>
    <w:rsid w:val="00260281"/>
    <w:rsid w:val="0026084F"/>
    <w:rsid w:val="00260C20"/>
    <w:rsid w:val="00260D5C"/>
    <w:rsid w:val="00261A94"/>
    <w:rsid w:val="0026205A"/>
    <w:rsid w:val="0026228F"/>
    <w:rsid w:val="002629A6"/>
    <w:rsid w:val="00262CC0"/>
    <w:rsid w:val="00263953"/>
    <w:rsid w:val="00263B71"/>
    <w:rsid w:val="002640F0"/>
    <w:rsid w:val="00264514"/>
    <w:rsid w:val="0026489A"/>
    <w:rsid w:val="00264AF6"/>
    <w:rsid w:val="00264B22"/>
    <w:rsid w:val="00265729"/>
    <w:rsid w:val="00265A22"/>
    <w:rsid w:val="00265EAF"/>
    <w:rsid w:val="00265F1D"/>
    <w:rsid w:val="002662B4"/>
    <w:rsid w:val="002667C0"/>
    <w:rsid w:val="00267496"/>
    <w:rsid w:val="002677E8"/>
    <w:rsid w:val="00270697"/>
    <w:rsid w:val="00270869"/>
    <w:rsid w:val="002710E5"/>
    <w:rsid w:val="002711DB"/>
    <w:rsid w:val="0027126F"/>
    <w:rsid w:val="002712A1"/>
    <w:rsid w:val="00271593"/>
    <w:rsid w:val="002717D9"/>
    <w:rsid w:val="00271940"/>
    <w:rsid w:val="00271BD8"/>
    <w:rsid w:val="00272AF3"/>
    <w:rsid w:val="00272C48"/>
    <w:rsid w:val="00272F81"/>
    <w:rsid w:val="002733E3"/>
    <w:rsid w:val="002736B7"/>
    <w:rsid w:val="00273E34"/>
    <w:rsid w:val="00273FB0"/>
    <w:rsid w:val="002742EB"/>
    <w:rsid w:val="0027466D"/>
    <w:rsid w:val="002748B1"/>
    <w:rsid w:val="00275C6C"/>
    <w:rsid w:val="00276A33"/>
    <w:rsid w:val="00277B1B"/>
    <w:rsid w:val="002806B5"/>
    <w:rsid w:val="0028092D"/>
    <w:rsid w:val="00280F69"/>
    <w:rsid w:val="00281442"/>
    <w:rsid w:val="002815F9"/>
    <w:rsid w:val="002817BD"/>
    <w:rsid w:val="00281F35"/>
    <w:rsid w:val="00282077"/>
    <w:rsid w:val="00282175"/>
    <w:rsid w:val="002821C2"/>
    <w:rsid w:val="002825FA"/>
    <w:rsid w:val="0028286B"/>
    <w:rsid w:val="00282AF6"/>
    <w:rsid w:val="00283840"/>
    <w:rsid w:val="002842A2"/>
    <w:rsid w:val="00284504"/>
    <w:rsid w:val="00285B35"/>
    <w:rsid w:val="0028696D"/>
    <w:rsid w:val="00287390"/>
    <w:rsid w:val="00287884"/>
    <w:rsid w:val="00287D66"/>
    <w:rsid w:val="002904F4"/>
    <w:rsid w:val="002912CF"/>
    <w:rsid w:val="00291A3B"/>
    <w:rsid w:val="00291D8B"/>
    <w:rsid w:val="0029246B"/>
    <w:rsid w:val="00292811"/>
    <w:rsid w:val="00292C89"/>
    <w:rsid w:val="002933AD"/>
    <w:rsid w:val="00293896"/>
    <w:rsid w:val="002943AA"/>
    <w:rsid w:val="0029444E"/>
    <w:rsid w:val="0029465B"/>
    <w:rsid w:val="0029532B"/>
    <w:rsid w:val="0029549A"/>
    <w:rsid w:val="00295764"/>
    <w:rsid w:val="002959AE"/>
    <w:rsid w:val="0029606A"/>
    <w:rsid w:val="00296CCB"/>
    <w:rsid w:val="002A1576"/>
    <w:rsid w:val="002A2916"/>
    <w:rsid w:val="002A3084"/>
    <w:rsid w:val="002A371E"/>
    <w:rsid w:val="002A398F"/>
    <w:rsid w:val="002A3E61"/>
    <w:rsid w:val="002A3F2D"/>
    <w:rsid w:val="002A4420"/>
    <w:rsid w:val="002A4756"/>
    <w:rsid w:val="002A522B"/>
    <w:rsid w:val="002A55CA"/>
    <w:rsid w:val="002A5A5A"/>
    <w:rsid w:val="002A5B3C"/>
    <w:rsid w:val="002A5F54"/>
    <w:rsid w:val="002A6123"/>
    <w:rsid w:val="002A63D7"/>
    <w:rsid w:val="002A6A97"/>
    <w:rsid w:val="002A6DE1"/>
    <w:rsid w:val="002B033D"/>
    <w:rsid w:val="002B1670"/>
    <w:rsid w:val="002B1B89"/>
    <w:rsid w:val="002B1EBC"/>
    <w:rsid w:val="002B2044"/>
    <w:rsid w:val="002B2174"/>
    <w:rsid w:val="002B22FD"/>
    <w:rsid w:val="002B23A6"/>
    <w:rsid w:val="002B30C7"/>
    <w:rsid w:val="002B407E"/>
    <w:rsid w:val="002B4156"/>
    <w:rsid w:val="002B422E"/>
    <w:rsid w:val="002B48FB"/>
    <w:rsid w:val="002B49A3"/>
    <w:rsid w:val="002B556F"/>
    <w:rsid w:val="002B5E45"/>
    <w:rsid w:val="002B668D"/>
    <w:rsid w:val="002B697F"/>
    <w:rsid w:val="002B7425"/>
    <w:rsid w:val="002B7591"/>
    <w:rsid w:val="002B7D44"/>
    <w:rsid w:val="002C09AD"/>
    <w:rsid w:val="002C09B5"/>
    <w:rsid w:val="002C0D97"/>
    <w:rsid w:val="002C0E44"/>
    <w:rsid w:val="002C179E"/>
    <w:rsid w:val="002C1A77"/>
    <w:rsid w:val="002C2EE4"/>
    <w:rsid w:val="002C320A"/>
    <w:rsid w:val="002C4919"/>
    <w:rsid w:val="002C496B"/>
    <w:rsid w:val="002C4B2A"/>
    <w:rsid w:val="002C4C1D"/>
    <w:rsid w:val="002C4F04"/>
    <w:rsid w:val="002C53F6"/>
    <w:rsid w:val="002C5A2B"/>
    <w:rsid w:val="002C62BA"/>
    <w:rsid w:val="002C6556"/>
    <w:rsid w:val="002C6FEA"/>
    <w:rsid w:val="002C71AC"/>
    <w:rsid w:val="002C78ED"/>
    <w:rsid w:val="002D0827"/>
    <w:rsid w:val="002D148D"/>
    <w:rsid w:val="002D14A8"/>
    <w:rsid w:val="002D303C"/>
    <w:rsid w:val="002D3590"/>
    <w:rsid w:val="002D3C14"/>
    <w:rsid w:val="002D3D08"/>
    <w:rsid w:val="002D43E8"/>
    <w:rsid w:val="002D454E"/>
    <w:rsid w:val="002D5002"/>
    <w:rsid w:val="002D50C3"/>
    <w:rsid w:val="002D6143"/>
    <w:rsid w:val="002D64EB"/>
    <w:rsid w:val="002D66FF"/>
    <w:rsid w:val="002D735C"/>
    <w:rsid w:val="002D760C"/>
    <w:rsid w:val="002D7826"/>
    <w:rsid w:val="002E0273"/>
    <w:rsid w:val="002E0E06"/>
    <w:rsid w:val="002E112F"/>
    <w:rsid w:val="002E1692"/>
    <w:rsid w:val="002E304C"/>
    <w:rsid w:val="002E3743"/>
    <w:rsid w:val="002E3770"/>
    <w:rsid w:val="002E3794"/>
    <w:rsid w:val="002E40EA"/>
    <w:rsid w:val="002E42C4"/>
    <w:rsid w:val="002E5231"/>
    <w:rsid w:val="002E559A"/>
    <w:rsid w:val="002E5B83"/>
    <w:rsid w:val="002E5F55"/>
    <w:rsid w:val="002E721A"/>
    <w:rsid w:val="002E748E"/>
    <w:rsid w:val="002E74D2"/>
    <w:rsid w:val="002E76E2"/>
    <w:rsid w:val="002E79A1"/>
    <w:rsid w:val="002E7C3E"/>
    <w:rsid w:val="002F0297"/>
    <w:rsid w:val="002F1347"/>
    <w:rsid w:val="002F13FC"/>
    <w:rsid w:val="002F1F49"/>
    <w:rsid w:val="002F256F"/>
    <w:rsid w:val="002F2855"/>
    <w:rsid w:val="002F2F9E"/>
    <w:rsid w:val="002F34B7"/>
    <w:rsid w:val="002F3509"/>
    <w:rsid w:val="002F4864"/>
    <w:rsid w:val="002F5045"/>
    <w:rsid w:val="002F689E"/>
    <w:rsid w:val="002F6A11"/>
    <w:rsid w:val="002F6E85"/>
    <w:rsid w:val="002F711F"/>
    <w:rsid w:val="002F74C2"/>
    <w:rsid w:val="00300012"/>
    <w:rsid w:val="003007B9"/>
    <w:rsid w:val="0030180C"/>
    <w:rsid w:val="00301E10"/>
    <w:rsid w:val="003025A3"/>
    <w:rsid w:val="00302D70"/>
    <w:rsid w:val="003030F0"/>
    <w:rsid w:val="00303143"/>
    <w:rsid w:val="003031F8"/>
    <w:rsid w:val="00303F8D"/>
    <w:rsid w:val="00304273"/>
    <w:rsid w:val="003042F6"/>
    <w:rsid w:val="00304E16"/>
    <w:rsid w:val="0030577B"/>
    <w:rsid w:val="00306952"/>
    <w:rsid w:val="00306993"/>
    <w:rsid w:val="0030711E"/>
    <w:rsid w:val="0030747E"/>
    <w:rsid w:val="0031007F"/>
    <w:rsid w:val="00311017"/>
    <w:rsid w:val="00311E76"/>
    <w:rsid w:val="00311EB3"/>
    <w:rsid w:val="0031249B"/>
    <w:rsid w:val="00312522"/>
    <w:rsid w:val="00312810"/>
    <w:rsid w:val="00312C8B"/>
    <w:rsid w:val="00313407"/>
    <w:rsid w:val="003135F4"/>
    <w:rsid w:val="00313AFC"/>
    <w:rsid w:val="00314D43"/>
    <w:rsid w:val="00315609"/>
    <w:rsid w:val="00315780"/>
    <w:rsid w:val="003160FA"/>
    <w:rsid w:val="003162C5"/>
    <w:rsid w:val="003166B2"/>
    <w:rsid w:val="00316825"/>
    <w:rsid w:val="0031683B"/>
    <w:rsid w:val="0032017B"/>
    <w:rsid w:val="00320756"/>
    <w:rsid w:val="0032078C"/>
    <w:rsid w:val="003209AC"/>
    <w:rsid w:val="003222F9"/>
    <w:rsid w:val="00322696"/>
    <w:rsid w:val="00322983"/>
    <w:rsid w:val="00323309"/>
    <w:rsid w:val="00323EE0"/>
    <w:rsid w:val="00324B83"/>
    <w:rsid w:val="003262C8"/>
    <w:rsid w:val="00326375"/>
    <w:rsid w:val="00326920"/>
    <w:rsid w:val="00326B3B"/>
    <w:rsid w:val="00326C4C"/>
    <w:rsid w:val="0032761E"/>
    <w:rsid w:val="00327E82"/>
    <w:rsid w:val="00327EE0"/>
    <w:rsid w:val="00330014"/>
    <w:rsid w:val="00330381"/>
    <w:rsid w:val="0033059C"/>
    <w:rsid w:val="00331208"/>
    <w:rsid w:val="0033192E"/>
    <w:rsid w:val="003329F3"/>
    <w:rsid w:val="00332DE6"/>
    <w:rsid w:val="00333899"/>
    <w:rsid w:val="00333906"/>
    <w:rsid w:val="00333C94"/>
    <w:rsid w:val="00333D9D"/>
    <w:rsid w:val="003343D7"/>
    <w:rsid w:val="0033478F"/>
    <w:rsid w:val="003348B4"/>
    <w:rsid w:val="00334C58"/>
    <w:rsid w:val="00335368"/>
    <w:rsid w:val="00335AC8"/>
    <w:rsid w:val="00335F28"/>
    <w:rsid w:val="00337375"/>
    <w:rsid w:val="0033767D"/>
    <w:rsid w:val="00341573"/>
    <w:rsid w:val="00341731"/>
    <w:rsid w:val="00341CA4"/>
    <w:rsid w:val="00341CDF"/>
    <w:rsid w:val="00341F28"/>
    <w:rsid w:val="0034230F"/>
    <w:rsid w:val="003433B4"/>
    <w:rsid w:val="0034393A"/>
    <w:rsid w:val="0034397A"/>
    <w:rsid w:val="003443DE"/>
    <w:rsid w:val="00344642"/>
    <w:rsid w:val="00344C3D"/>
    <w:rsid w:val="003454FC"/>
    <w:rsid w:val="0034562D"/>
    <w:rsid w:val="00345F81"/>
    <w:rsid w:val="00346567"/>
    <w:rsid w:val="003465B9"/>
    <w:rsid w:val="00346DF6"/>
    <w:rsid w:val="003471B5"/>
    <w:rsid w:val="003504F7"/>
    <w:rsid w:val="003505AA"/>
    <w:rsid w:val="003505FE"/>
    <w:rsid w:val="00350C49"/>
    <w:rsid w:val="003510C6"/>
    <w:rsid w:val="00351A2F"/>
    <w:rsid w:val="00351C9F"/>
    <w:rsid w:val="00351FE0"/>
    <w:rsid w:val="003527EA"/>
    <w:rsid w:val="0035293C"/>
    <w:rsid w:val="00352973"/>
    <w:rsid w:val="0035320E"/>
    <w:rsid w:val="00353D86"/>
    <w:rsid w:val="00354EA5"/>
    <w:rsid w:val="00354F14"/>
    <w:rsid w:val="00355127"/>
    <w:rsid w:val="00355866"/>
    <w:rsid w:val="00355ED0"/>
    <w:rsid w:val="0035606E"/>
    <w:rsid w:val="00356817"/>
    <w:rsid w:val="00356BD3"/>
    <w:rsid w:val="00356DAD"/>
    <w:rsid w:val="00357661"/>
    <w:rsid w:val="00357A08"/>
    <w:rsid w:val="00360A8C"/>
    <w:rsid w:val="0036118B"/>
    <w:rsid w:val="00361805"/>
    <w:rsid w:val="00361A9C"/>
    <w:rsid w:val="00361D7A"/>
    <w:rsid w:val="00362156"/>
    <w:rsid w:val="0036279B"/>
    <w:rsid w:val="00362AA2"/>
    <w:rsid w:val="00362C05"/>
    <w:rsid w:val="00362F0E"/>
    <w:rsid w:val="00363BBD"/>
    <w:rsid w:val="00363C12"/>
    <w:rsid w:val="00364076"/>
    <w:rsid w:val="00364B92"/>
    <w:rsid w:val="00365758"/>
    <w:rsid w:val="0036595B"/>
    <w:rsid w:val="00365DB1"/>
    <w:rsid w:val="003661F5"/>
    <w:rsid w:val="003677D8"/>
    <w:rsid w:val="00367F54"/>
    <w:rsid w:val="0037000E"/>
    <w:rsid w:val="00370DF8"/>
    <w:rsid w:val="00371698"/>
    <w:rsid w:val="00371F94"/>
    <w:rsid w:val="00372796"/>
    <w:rsid w:val="0037299F"/>
    <w:rsid w:val="0037392C"/>
    <w:rsid w:val="00373978"/>
    <w:rsid w:val="00374E35"/>
    <w:rsid w:val="00375023"/>
    <w:rsid w:val="00375946"/>
    <w:rsid w:val="00375C14"/>
    <w:rsid w:val="003763D0"/>
    <w:rsid w:val="00376FB0"/>
    <w:rsid w:val="003779CC"/>
    <w:rsid w:val="00377B56"/>
    <w:rsid w:val="00380273"/>
    <w:rsid w:val="00380829"/>
    <w:rsid w:val="00380B07"/>
    <w:rsid w:val="00380D6E"/>
    <w:rsid w:val="00381303"/>
    <w:rsid w:val="003814F8"/>
    <w:rsid w:val="0038150A"/>
    <w:rsid w:val="0038172B"/>
    <w:rsid w:val="00381F82"/>
    <w:rsid w:val="00382121"/>
    <w:rsid w:val="00382777"/>
    <w:rsid w:val="00382F4C"/>
    <w:rsid w:val="00382F77"/>
    <w:rsid w:val="00382FC3"/>
    <w:rsid w:val="00383B4B"/>
    <w:rsid w:val="00384290"/>
    <w:rsid w:val="0038497B"/>
    <w:rsid w:val="00384D06"/>
    <w:rsid w:val="0038597C"/>
    <w:rsid w:val="00385A1D"/>
    <w:rsid w:val="00385D72"/>
    <w:rsid w:val="00385DCE"/>
    <w:rsid w:val="00385EF0"/>
    <w:rsid w:val="003868EB"/>
    <w:rsid w:val="00386F46"/>
    <w:rsid w:val="003874E2"/>
    <w:rsid w:val="003900F7"/>
    <w:rsid w:val="003908E7"/>
    <w:rsid w:val="00390D90"/>
    <w:rsid w:val="00391268"/>
    <w:rsid w:val="00391C08"/>
    <w:rsid w:val="00392267"/>
    <w:rsid w:val="003922C8"/>
    <w:rsid w:val="00392357"/>
    <w:rsid w:val="00392FE2"/>
    <w:rsid w:val="00393022"/>
    <w:rsid w:val="003949A0"/>
    <w:rsid w:val="00394D1C"/>
    <w:rsid w:val="00395272"/>
    <w:rsid w:val="00395588"/>
    <w:rsid w:val="00395E2A"/>
    <w:rsid w:val="0039612E"/>
    <w:rsid w:val="00397B69"/>
    <w:rsid w:val="003A06C2"/>
    <w:rsid w:val="003A09EE"/>
    <w:rsid w:val="003A0D37"/>
    <w:rsid w:val="003A101E"/>
    <w:rsid w:val="003A14B5"/>
    <w:rsid w:val="003A18C8"/>
    <w:rsid w:val="003A1CB9"/>
    <w:rsid w:val="003A21DC"/>
    <w:rsid w:val="003A23BA"/>
    <w:rsid w:val="003A27E0"/>
    <w:rsid w:val="003A2E2D"/>
    <w:rsid w:val="003A3957"/>
    <w:rsid w:val="003A3A61"/>
    <w:rsid w:val="003A3D84"/>
    <w:rsid w:val="003A42B6"/>
    <w:rsid w:val="003A4AD5"/>
    <w:rsid w:val="003A4B1A"/>
    <w:rsid w:val="003A4BA7"/>
    <w:rsid w:val="003A4BF5"/>
    <w:rsid w:val="003A5201"/>
    <w:rsid w:val="003A5AF2"/>
    <w:rsid w:val="003A6BAF"/>
    <w:rsid w:val="003A6EC7"/>
    <w:rsid w:val="003A7BAF"/>
    <w:rsid w:val="003B0158"/>
    <w:rsid w:val="003B0280"/>
    <w:rsid w:val="003B049E"/>
    <w:rsid w:val="003B0863"/>
    <w:rsid w:val="003B096B"/>
    <w:rsid w:val="003B0CCC"/>
    <w:rsid w:val="003B1386"/>
    <w:rsid w:val="003B1524"/>
    <w:rsid w:val="003B16CC"/>
    <w:rsid w:val="003B2721"/>
    <w:rsid w:val="003B2D36"/>
    <w:rsid w:val="003B344C"/>
    <w:rsid w:val="003B3719"/>
    <w:rsid w:val="003B3731"/>
    <w:rsid w:val="003B4042"/>
    <w:rsid w:val="003B4144"/>
    <w:rsid w:val="003B4692"/>
    <w:rsid w:val="003B4E1A"/>
    <w:rsid w:val="003B57D2"/>
    <w:rsid w:val="003B5865"/>
    <w:rsid w:val="003B6D5F"/>
    <w:rsid w:val="003B72D5"/>
    <w:rsid w:val="003B763D"/>
    <w:rsid w:val="003C0108"/>
    <w:rsid w:val="003C03BC"/>
    <w:rsid w:val="003C07B3"/>
    <w:rsid w:val="003C07DA"/>
    <w:rsid w:val="003C10A3"/>
    <w:rsid w:val="003C1501"/>
    <w:rsid w:val="003C22A4"/>
    <w:rsid w:val="003C254A"/>
    <w:rsid w:val="003C2D77"/>
    <w:rsid w:val="003C4355"/>
    <w:rsid w:val="003C4698"/>
    <w:rsid w:val="003C4722"/>
    <w:rsid w:val="003C5C4B"/>
    <w:rsid w:val="003C6265"/>
    <w:rsid w:val="003C63A0"/>
    <w:rsid w:val="003C687D"/>
    <w:rsid w:val="003C6CA1"/>
    <w:rsid w:val="003C7230"/>
    <w:rsid w:val="003C7757"/>
    <w:rsid w:val="003D009F"/>
    <w:rsid w:val="003D0168"/>
    <w:rsid w:val="003D0C51"/>
    <w:rsid w:val="003D1257"/>
    <w:rsid w:val="003D13F4"/>
    <w:rsid w:val="003D159D"/>
    <w:rsid w:val="003D1FA6"/>
    <w:rsid w:val="003D1FB2"/>
    <w:rsid w:val="003D2183"/>
    <w:rsid w:val="003D22FE"/>
    <w:rsid w:val="003D268E"/>
    <w:rsid w:val="003D2DCB"/>
    <w:rsid w:val="003D3782"/>
    <w:rsid w:val="003D3C9E"/>
    <w:rsid w:val="003D460F"/>
    <w:rsid w:val="003D48A9"/>
    <w:rsid w:val="003D54F5"/>
    <w:rsid w:val="003D560D"/>
    <w:rsid w:val="003D5693"/>
    <w:rsid w:val="003D5720"/>
    <w:rsid w:val="003D604E"/>
    <w:rsid w:val="003D63EB"/>
    <w:rsid w:val="003D657C"/>
    <w:rsid w:val="003D68FA"/>
    <w:rsid w:val="003D697A"/>
    <w:rsid w:val="003D6D69"/>
    <w:rsid w:val="003D6E36"/>
    <w:rsid w:val="003D6E42"/>
    <w:rsid w:val="003D7AB7"/>
    <w:rsid w:val="003E0283"/>
    <w:rsid w:val="003E1143"/>
    <w:rsid w:val="003E19B0"/>
    <w:rsid w:val="003E2786"/>
    <w:rsid w:val="003E284A"/>
    <w:rsid w:val="003E2932"/>
    <w:rsid w:val="003E2CDA"/>
    <w:rsid w:val="003E314A"/>
    <w:rsid w:val="003E35DA"/>
    <w:rsid w:val="003E392C"/>
    <w:rsid w:val="003E3BED"/>
    <w:rsid w:val="003E4051"/>
    <w:rsid w:val="003E4224"/>
    <w:rsid w:val="003E6408"/>
    <w:rsid w:val="003E71D8"/>
    <w:rsid w:val="003E7A0A"/>
    <w:rsid w:val="003E7FDA"/>
    <w:rsid w:val="003F04BE"/>
    <w:rsid w:val="003F071F"/>
    <w:rsid w:val="003F10AB"/>
    <w:rsid w:val="003F12C8"/>
    <w:rsid w:val="003F14C7"/>
    <w:rsid w:val="003F1B6F"/>
    <w:rsid w:val="003F1D18"/>
    <w:rsid w:val="003F23D8"/>
    <w:rsid w:val="003F3094"/>
    <w:rsid w:val="003F3501"/>
    <w:rsid w:val="003F369F"/>
    <w:rsid w:val="003F374C"/>
    <w:rsid w:val="003F3C25"/>
    <w:rsid w:val="003F41D6"/>
    <w:rsid w:val="003F44AC"/>
    <w:rsid w:val="003F46AA"/>
    <w:rsid w:val="003F471F"/>
    <w:rsid w:val="003F59E1"/>
    <w:rsid w:val="003F5AAB"/>
    <w:rsid w:val="003F5C6A"/>
    <w:rsid w:val="003F6256"/>
    <w:rsid w:val="003F63A1"/>
    <w:rsid w:val="003F6903"/>
    <w:rsid w:val="003F6B7C"/>
    <w:rsid w:val="003F7557"/>
    <w:rsid w:val="003F77EA"/>
    <w:rsid w:val="003F7861"/>
    <w:rsid w:val="00400490"/>
    <w:rsid w:val="00400BBA"/>
    <w:rsid w:val="00401AFC"/>
    <w:rsid w:val="00402797"/>
    <w:rsid w:val="00402862"/>
    <w:rsid w:val="00403164"/>
    <w:rsid w:val="0040360F"/>
    <w:rsid w:val="00403AA1"/>
    <w:rsid w:val="00403AAB"/>
    <w:rsid w:val="00403C29"/>
    <w:rsid w:val="004045EC"/>
    <w:rsid w:val="00404DB2"/>
    <w:rsid w:val="004052BB"/>
    <w:rsid w:val="00405C21"/>
    <w:rsid w:val="0040608F"/>
    <w:rsid w:val="0040700E"/>
    <w:rsid w:val="0040756B"/>
    <w:rsid w:val="00410832"/>
    <w:rsid w:val="004111E0"/>
    <w:rsid w:val="004112EF"/>
    <w:rsid w:val="00411E7B"/>
    <w:rsid w:val="00411F28"/>
    <w:rsid w:val="00411F75"/>
    <w:rsid w:val="004122F2"/>
    <w:rsid w:val="00412818"/>
    <w:rsid w:val="00412ADE"/>
    <w:rsid w:val="00412C54"/>
    <w:rsid w:val="0041307A"/>
    <w:rsid w:val="00413334"/>
    <w:rsid w:val="00413574"/>
    <w:rsid w:val="00413F35"/>
    <w:rsid w:val="0041438B"/>
    <w:rsid w:val="004145D2"/>
    <w:rsid w:val="00414B5D"/>
    <w:rsid w:val="00414EBC"/>
    <w:rsid w:val="00415998"/>
    <w:rsid w:val="0041792F"/>
    <w:rsid w:val="00417C72"/>
    <w:rsid w:val="00417F9E"/>
    <w:rsid w:val="0042092C"/>
    <w:rsid w:val="00420A44"/>
    <w:rsid w:val="00420B34"/>
    <w:rsid w:val="00420BAD"/>
    <w:rsid w:val="00420C5B"/>
    <w:rsid w:val="00421046"/>
    <w:rsid w:val="004217FB"/>
    <w:rsid w:val="004218D1"/>
    <w:rsid w:val="00421912"/>
    <w:rsid w:val="00421E7D"/>
    <w:rsid w:val="00421EAA"/>
    <w:rsid w:val="004222E6"/>
    <w:rsid w:val="00422A81"/>
    <w:rsid w:val="00422AB6"/>
    <w:rsid w:val="00422E52"/>
    <w:rsid w:val="00423A06"/>
    <w:rsid w:val="004243F4"/>
    <w:rsid w:val="0042445C"/>
    <w:rsid w:val="00424734"/>
    <w:rsid w:val="00424A7D"/>
    <w:rsid w:val="00424ABE"/>
    <w:rsid w:val="00424FFC"/>
    <w:rsid w:val="0042541E"/>
    <w:rsid w:val="00425A67"/>
    <w:rsid w:val="00425ACA"/>
    <w:rsid w:val="00425EFA"/>
    <w:rsid w:val="004260DA"/>
    <w:rsid w:val="00426135"/>
    <w:rsid w:val="00426653"/>
    <w:rsid w:val="00426B93"/>
    <w:rsid w:val="00426E78"/>
    <w:rsid w:val="00427513"/>
    <w:rsid w:val="00427A0A"/>
    <w:rsid w:val="00427CB9"/>
    <w:rsid w:val="004301A3"/>
    <w:rsid w:val="00430494"/>
    <w:rsid w:val="00430603"/>
    <w:rsid w:val="0043200A"/>
    <w:rsid w:val="00432222"/>
    <w:rsid w:val="0043265D"/>
    <w:rsid w:val="00432A32"/>
    <w:rsid w:val="0043316E"/>
    <w:rsid w:val="0043444C"/>
    <w:rsid w:val="00434A74"/>
    <w:rsid w:val="00435373"/>
    <w:rsid w:val="0043580A"/>
    <w:rsid w:val="00436316"/>
    <w:rsid w:val="0043674A"/>
    <w:rsid w:val="004367CF"/>
    <w:rsid w:val="00436957"/>
    <w:rsid w:val="00436A39"/>
    <w:rsid w:val="0043717A"/>
    <w:rsid w:val="0043747B"/>
    <w:rsid w:val="00437EBD"/>
    <w:rsid w:val="00440101"/>
    <w:rsid w:val="004403D9"/>
    <w:rsid w:val="0044040F"/>
    <w:rsid w:val="0044041F"/>
    <w:rsid w:val="00441036"/>
    <w:rsid w:val="0044190F"/>
    <w:rsid w:val="00441AE7"/>
    <w:rsid w:val="0044233A"/>
    <w:rsid w:val="00442D6F"/>
    <w:rsid w:val="0044357E"/>
    <w:rsid w:val="004435DB"/>
    <w:rsid w:val="00443E1A"/>
    <w:rsid w:val="00443F61"/>
    <w:rsid w:val="00444D01"/>
    <w:rsid w:val="0044504F"/>
    <w:rsid w:val="00445F7E"/>
    <w:rsid w:val="00446237"/>
    <w:rsid w:val="004467F0"/>
    <w:rsid w:val="004468FF"/>
    <w:rsid w:val="00446EF3"/>
    <w:rsid w:val="00446FA6"/>
    <w:rsid w:val="00450247"/>
    <w:rsid w:val="0045113B"/>
    <w:rsid w:val="00451D63"/>
    <w:rsid w:val="00452529"/>
    <w:rsid w:val="00452B44"/>
    <w:rsid w:val="00452BA8"/>
    <w:rsid w:val="00452BBD"/>
    <w:rsid w:val="00453D99"/>
    <w:rsid w:val="00453FED"/>
    <w:rsid w:val="00454065"/>
    <w:rsid w:val="00454A02"/>
    <w:rsid w:val="00454D11"/>
    <w:rsid w:val="0045519E"/>
    <w:rsid w:val="00455943"/>
    <w:rsid w:val="004559F6"/>
    <w:rsid w:val="00456010"/>
    <w:rsid w:val="00456676"/>
    <w:rsid w:val="00456A80"/>
    <w:rsid w:val="00456ED2"/>
    <w:rsid w:val="00456EEC"/>
    <w:rsid w:val="0045722C"/>
    <w:rsid w:val="004574B5"/>
    <w:rsid w:val="004603AC"/>
    <w:rsid w:val="00460486"/>
    <w:rsid w:val="00460C9C"/>
    <w:rsid w:val="0046116D"/>
    <w:rsid w:val="004611A3"/>
    <w:rsid w:val="00461244"/>
    <w:rsid w:val="00461822"/>
    <w:rsid w:val="004618E0"/>
    <w:rsid w:val="00461CD7"/>
    <w:rsid w:val="00461DE5"/>
    <w:rsid w:val="00463ADA"/>
    <w:rsid w:val="004640DB"/>
    <w:rsid w:val="00465469"/>
    <w:rsid w:val="004658F1"/>
    <w:rsid w:val="00465C0D"/>
    <w:rsid w:val="00465E21"/>
    <w:rsid w:val="00466623"/>
    <w:rsid w:val="00466AB1"/>
    <w:rsid w:val="00467962"/>
    <w:rsid w:val="0047038E"/>
    <w:rsid w:val="0047073C"/>
    <w:rsid w:val="00470AAC"/>
    <w:rsid w:val="004716D9"/>
    <w:rsid w:val="0047219D"/>
    <w:rsid w:val="00472FB0"/>
    <w:rsid w:val="004731E1"/>
    <w:rsid w:val="0047322C"/>
    <w:rsid w:val="004741B8"/>
    <w:rsid w:val="004749E6"/>
    <w:rsid w:val="00474B6B"/>
    <w:rsid w:val="00474DD5"/>
    <w:rsid w:val="00475545"/>
    <w:rsid w:val="004757AE"/>
    <w:rsid w:val="00476FFD"/>
    <w:rsid w:val="0047704E"/>
    <w:rsid w:val="004775A9"/>
    <w:rsid w:val="004801D2"/>
    <w:rsid w:val="00480753"/>
    <w:rsid w:val="0048177A"/>
    <w:rsid w:val="00481AD8"/>
    <w:rsid w:val="004825F9"/>
    <w:rsid w:val="0048268B"/>
    <w:rsid w:val="00482EF2"/>
    <w:rsid w:val="00483167"/>
    <w:rsid w:val="004833A5"/>
    <w:rsid w:val="0048348A"/>
    <w:rsid w:val="00483F49"/>
    <w:rsid w:val="00484E8B"/>
    <w:rsid w:val="00485057"/>
    <w:rsid w:val="00485136"/>
    <w:rsid w:val="00485854"/>
    <w:rsid w:val="004858CB"/>
    <w:rsid w:val="00486295"/>
    <w:rsid w:val="0048677A"/>
    <w:rsid w:val="00486BF8"/>
    <w:rsid w:val="00487F65"/>
    <w:rsid w:val="00491D2E"/>
    <w:rsid w:val="004923CA"/>
    <w:rsid w:val="004926C7"/>
    <w:rsid w:val="004926E3"/>
    <w:rsid w:val="00492ABF"/>
    <w:rsid w:val="00492B9E"/>
    <w:rsid w:val="00492DB2"/>
    <w:rsid w:val="0049309D"/>
    <w:rsid w:val="004932A0"/>
    <w:rsid w:val="00494770"/>
    <w:rsid w:val="004948E2"/>
    <w:rsid w:val="0049591D"/>
    <w:rsid w:val="00495F16"/>
    <w:rsid w:val="00496191"/>
    <w:rsid w:val="00496253"/>
    <w:rsid w:val="0049649D"/>
    <w:rsid w:val="00496CE6"/>
    <w:rsid w:val="00497161"/>
    <w:rsid w:val="0049753B"/>
    <w:rsid w:val="004A1285"/>
    <w:rsid w:val="004A1D17"/>
    <w:rsid w:val="004A1F01"/>
    <w:rsid w:val="004A2204"/>
    <w:rsid w:val="004A2277"/>
    <w:rsid w:val="004A2409"/>
    <w:rsid w:val="004A2672"/>
    <w:rsid w:val="004A26F6"/>
    <w:rsid w:val="004A2D91"/>
    <w:rsid w:val="004A3195"/>
    <w:rsid w:val="004A356E"/>
    <w:rsid w:val="004A38B8"/>
    <w:rsid w:val="004A3AA3"/>
    <w:rsid w:val="004A3BE9"/>
    <w:rsid w:val="004A3DA3"/>
    <w:rsid w:val="004A40D8"/>
    <w:rsid w:val="004A56F5"/>
    <w:rsid w:val="004A5A0C"/>
    <w:rsid w:val="004A60DD"/>
    <w:rsid w:val="004A647E"/>
    <w:rsid w:val="004A6A44"/>
    <w:rsid w:val="004A72D6"/>
    <w:rsid w:val="004A7348"/>
    <w:rsid w:val="004B0541"/>
    <w:rsid w:val="004B07A8"/>
    <w:rsid w:val="004B0854"/>
    <w:rsid w:val="004B10B7"/>
    <w:rsid w:val="004B13DF"/>
    <w:rsid w:val="004B13E4"/>
    <w:rsid w:val="004B16B2"/>
    <w:rsid w:val="004B20D9"/>
    <w:rsid w:val="004B26D9"/>
    <w:rsid w:val="004B2A56"/>
    <w:rsid w:val="004B36E7"/>
    <w:rsid w:val="004B3DD1"/>
    <w:rsid w:val="004B3F56"/>
    <w:rsid w:val="004B416E"/>
    <w:rsid w:val="004B437C"/>
    <w:rsid w:val="004B47F4"/>
    <w:rsid w:val="004B52F9"/>
    <w:rsid w:val="004B56B3"/>
    <w:rsid w:val="004B6517"/>
    <w:rsid w:val="004B66C1"/>
    <w:rsid w:val="004B6F5F"/>
    <w:rsid w:val="004B7AC2"/>
    <w:rsid w:val="004C0048"/>
    <w:rsid w:val="004C06A9"/>
    <w:rsid w:val="004C11E7"/>
    <w:rsid w:val="004C132E"/>
    <w:rsid w:val="004C1A6B"/>
    <w:rsid w:val="004C24FE"/>
    <w:rsid w:val="004C2871"/>
    <w:rsid w:val="004C2E6E"/>
    <w:rsid w:val="004C2E9A"/>
    <w:rsid w:val="004C2ED1"/>
    <w:rsid w:val="004C3225"/>
    <w:rsid w:val="004C4320"/>
    <w:rsid w:val="004C434C"/>
    <w:rsid w:val="004C525F"/>
    <w:rsid w:val="004C553F"/>
    <w:rsid w:val="004C5591"/>
    <w:rsid w:val="004C5630"/>
    <w:rsid w:val="004C57B7"/>
    <w:rsid w:val="004C5C6E"/>
    <w:rsid w:val="004C5DEA"/>
    <w:rsid w:val="004C6471"/>
    <w:rsid w:val="004C6C19"/>
    <w:rsid w:val="004C7D21"/>
    <w:rsid w:val="004D0006"/>
    <w:rsid w:val="004D045C"/>
    <w:rsid w:val="004D0D00"/>
    <w:rsid w:val="004D0D39"/>
    <w:rsid w:val="004D2248"/>
    <w:rsid w:val="004D2311"/>
    <w:rsid w:val="004D31CE"/>
    <w:rsid w:val="004D376E"/>
    <w:rsid w:val="004D39E0"/>
    <w:rsid w:val="004D4342"/>
    <w:rsid w:val="004D4C03"/>
    <w:rsid w:val="004D513D"/>
    <w:rsid w:val="004D524D"/>
    <w:rsid w:val="004D68D6"/>
    <w:rsid w:val="004D6C27"/>
    <w:rsid w:val="004D6DB7"/>
    <w:rsid w:val="004D6EB2"/>
    <w:rsid w:val="004D6EF9"/>
    <w:rsid w:val="004E0748"/>
    <w:rsid w:val="004E0E56"/>
    <w:rsid w:val="004E104A"/>
    <w:rsid w:val="004E1DFA"/>
    <w:rsid w:val="004E2252"/>
    <w:rsid w:val="004E22C3"/>
    <w:rsid w:val="004E238D"/>
    <w:rsid w:val="004E3229"/>
    <w:rsid w:val="004E3468"/>
    <w:rsid w:val="004E41BD"/>
    <w:rsid w:val="004E422F"/>
    <w:rsid w:val="004E4551"/>
    <w:rsid w:val="004E48FE"/>
    <w:rsid w:val="004E4FC6"/>
    <w:rsid w:val="004E54E3"/>
    <w:rsid w:val="004E569B"/>
    <w:rsid w:val="004E59F5"/>
    <w:rsid w:val="004E6957"/>
    <w:rsid w:val="004E71EF"/>
    <w:rsid w:val="004E7312"/>
    <w:rsid w:val="004E74E7"/>
    <w:rsid w:val="004F05FB"/>
    <w:rsid w:val="004F2049"/>
    <w:rsid w:val="004F216C"/>
    <w:rsid w:val="004F2E0F"/>
    <w:rsid w:val="004F2F46"/>
    <w:rsid w:val="004F3576"/>
    <w:rsid w:val="004F36F7"/>
    <w:rsid w:val="004F4A99"/>
    <w:rsid w:val="004F5122"/>
    <w:rsid w:val="004F546F"/>
    <w:rsid w:val="004F57F4"/>
    <w:rsid w:val="004F585F"/>
    <w:rsid w:val="004F64BC"/>
    <w:rsid w:val="004F7711"/>
    <w:rsid w:val="004F78BA"/>
    <w:rsid w:val="004F7CB9"/>
    <w:rsid w:val="005004F2"/>
    <w:rsid w:val="00500984"/>
    <w:rsid w:val="00500B02"/>
    <w:rsid w:val="005025A6"/>
    <w:rsid w:val="0050281C"/>
    <w:rsid w:val="00503142"/>
    <w:rsid w:val="005032F3"/>
    <w:rsid w:val="00503BD3"/>
    <w:rsid w:val="0050436A"/>
    <w:rsid w:val="00504737"/>
    <w:rsid w:val="00505180"/>
    <w:rsid w:val="005052BB"/>
    <w:rsid w:val="00505FD1"/>
    <w:rsid w:val="00506910"/>
    <w:rsid w:val="00506A66"/>
    <w:rsid w:val="00506F60"/>
    <w:rsid w:val="00507ACB"/>
    <w:rsid w:val="00507E54"/>
    <w:rsid w:val="0051017D"/>
    <w:rsid w:val="00510E40"/>
    <w:rsid w:val="00511633"/>
    <w:rsid w:val="00512350"/>
    <w:rsid w:val="005125B4"/>
    <w:rsid w:val="00512708"/>
    <w:rsid w:val="005127B2"/>
    <w:rsid w:val="00512C54"/>
    <w:rsid w:val="00513939"/>
    <w:rsid w:val="00513E59"/>
    <w:rsid w:val="0051410B"/>
    <w:rsid w:val="005145AF"/>
    <w:rsid w:val="00514933"/>
    <w:rsid w:val="00515280"/>
    <w:rsid w:val="00515B55"/>
    <w:rsid w:val="00516DCB"/>
    <w:rsid w:val="00516DF7"/>
    <w:rsid w:val="005176CB"/>
    <w:rsid w:val="00517BF7"/>
    <w:rsid w:val="00520E12"/>
    <w:rsid w:val="005210DD"/>
    <w:rsid w:val="00521FF3"/>
    <w:rsid w:val="005238B4"/>
    <w:rsid w:val="00523991"/>
    <w:rsid w:val="00523BBB"/>
    <w:rsid w:val="00523BC3"/>
    <w:rsid w:val="00523E69"/>
    <w:rsid w:val="005244D3"/>
    <w:rsid w:val="005244FB"/>
    <w:rsid w:val="00524970"/>
    <w:rsid w:val="00525A47"/>
    <w:rsid w:val="00525F5A"/>
    <w:rsid w:val="0052747E"/>
    <w:rsid w:val="005274CF"/>
    <w:rsid w:val="00527944"/>
    <w:rsid w:val="00527BC8"/>
    <w:rsid w:val="00530217"/>
    <w:rsid w:val="0053068D"/>
    <w:rsid w:val="005310FB"/>
    <w:rsid w:val="0053116F"/>
    <w:rsid w:val="00531708"/>
    <w:rsid w:val="0053202A"/>
    <w:rsid w:val="005329C7"/>
    <w:rsid w:val="00534037"/>
    <w:rsid w:val="0053450C"/>
    <w:rsid w:val="005348FE"/>
    <w:rsid w:val="00535228"/>
    <w:rsid w:val="00535F5A"/>
    <w:rsid w:val="00536D24"/>
    <w:rsid w:val="00536E8B"/>
    <w:rsid w:val="0053759F"/>
    <w:rsid w:val="005375E8"/>
    <w:rsid w:val="00540289"/>
    <w:rsid w:val="00540ED1"/>
    <w:rsid w:val="00541D24"/>
    <w:rsid w:val="0054243E"/>
    <w:rsid w:val="005436B7"/>
    <w:rsid w:val="00543E3E"/>
    <w:rsid w:val="005453B1"/>
    <w:rsid w:val="0054692E"/>
    <w:rsid w:val="00547E4E"/>
    <w:rsid w:val="005503CF"/>
    <w:rsid w:val="00550934"/>
    <w:rsid w:val="00551991"/>
    <w:rsid w:val="00551C76"/>
    <w:rsid w:val="00552186"/>
    <w:rsid w:val="005521B1"/>
    <w:rsid w:val="00552236"/>
    <w:rsid w:val="005528C1"/>
    <w:rsid w:val="00553C8A"/>
    <w:rsid w:val="00554075"/>
    <w:rsid w:val="0055449A"/>
    <w:rsid w:val="005547C4"/>
    <w:rsid w:val="00554B2E"/>
    <w:rsid w:val="00554B4B"/>
    <w:rsid w:val="00554BB9"/>
    <w:rsid w:val="00554F00"/>
    <w:rsid w:val="00554F3A"/>
    <w:rsid w:val="00555B26"/>
    <w:rsid w:val="00556100"/>
    <w:rsid w:val="0055619A"/>
    <w:rsid w:val="0055640E"/>
    <w:rsid w:val="00556446"/>
    <w:rsid w:val="00556F02"/>
    <w:rsid w:val="005574A1"/>
    <w:rsid w:val="00557FA1"/>
    <w:rsid w:val="0056073C"/>
    <w:rsid w:val="00560CD4"/>
    <w:rsid w:val="005619E2"/>
    <w:rsid w:val="00562318"/>
    <w:rsid w:val="00562B89"/>
    <w:rsid w:val="00562C14"/>
    <w:rsid w:val="00563079"/>
    <w:rsid w:val="005634DD"/>
    <w:rsid w:val="005639ED"/>
    <w:rsid w:val="00563B59"/>
    <w:rsid w:val="00565BC9"/>
    <w:rsid w:val="00566310"/>
    <w:rsid w:val="00566597"/>
    <w:rsid w:val="00567C48"/>
    <w:rsid w:val="00570677"/>
    <w:rsid w:val="005712CD"/>
    <w:rsid w:val="00571452"/>
    <w:rsid w:val="00571869"/>
    <w:rsid w:val="00571C68"/>
    <w:rsid w:val="0057215B"/>
    <w:rsid w:val="005731E2"/>
    <w:rsid w:val="005733BF"/>
    <w:rsid w:val="00573534"/>
    <w:rsid w:val="005737BF"/>
    <w:rsid w:val="005739FF"/>
    <w:rsid w:val="00573A24"/>
    <w:rsid w:val="00574844"/>
    <w:rsid w:val="00574947"/>
    <w:rsid w:val="00575D7B"/>
    <w:rsid w:val="00575F69"/>
    <w:rsid w:val="00576364"/>
    <w:rsid w:val="00576C7F"/>
    <w:rsid w:val="00576EE6"/>
    <w:rsid w:val="005771E1"/>
    <w:rsid w:val="00577598"/>
    <w:rsid w:val="005776B3"/>
    <w:rsid w:val="0057792B"/>
    <w:rsid w:val="00577AD6"/>
    <w:rsid w:val="0058293B"/>
    <w:rsid w:val="00582A04"/>
    <w:rsid w:val="00582DBE"/>
    <w:rsid w:val="00582EF5"/>
    <w:rsid w:val="00583378"/>
    <w:rsid w:val="00583643"/>
    <w:rsid w:val="00583788"/>
    <w:rsid w:val="00583DEA"/>
    <w:rsid w:val="005847DD"/>
    <w:rsid w:val="00585420"/>
    <w:rsid w:val="00585A5C"/>
    <w:rsid w:val="0058671F"/>
    <w:rsid w:val="00586AE4"/>
    <w:rsid w:val="005879E9"/>
    <w:rsid w:val="00587FA1"/>
    <w:rsid w:val="005908BF"/>
    <w:rsid w:val="00590C96"/>
    <w:rsid w:val="00591C51"/>
    <w:rsid w:val="00591DDF"/>
    <w:rsid w:val="00592107"/>
    <w:rsid w:val="00592BFD"/>
    <w:rsid w:val="00592CFC"/>
    <w:rsid w:val="00594046"/>
    <w:rsid w:val="00594131"/>
    <w:rsid w:val="0059428E"/>
    <w:rsid w:val="00595091"/>
    <w:rsid w:val="0059521B"/>
    <w:rsid w:val="005953A7"/>
    <w:rsid w:val="005955B2"/>
    <w:rsid w:val="00595CCD"/>
    <w:rsid w:val="00596891"/>
    <w:rsid w:val="00597616"/>
    <w:rsid w:val="005A021C"/>
    <w:rsid w:val="005A04D7"/>
    <w:rsid w:val="005A107E"/>
    <w:rsid w:val="005A10E7"/>
    <w:rsid w:val="005A12F0"/>
    <w:rsid w:val="005A152D"/>
    <w:rsid w:val="005A220A"/>
    <w:rsid w:val="005A2AC4"/>
    <w:rsid w:val="005A3084"/>
    <w:rsid w:val="005A326B"/>
    <w:rsid w:val="005A3D57"/>
    <w:rsid w:val="005A4703"/>
    <w:rsid w:val="005A59CD"/>
    <w:rsid w:val="005A5DD1"/>
    <w:rsid w:val="005A5F8A"/>
    <w:rsid w:val="005A604D"/>
    <w:rsid w:val="005A6778"/>
    <w:rsid w:val="005A68FD"/>
    <w:rsid w:val="005A6E6B"/>
    <w:rsid w:val="005A749B"/>
    <w:rsid w:val="005A7A5D"/>
    <w:rsid w:val="005A7BE0"/>
    <w:rsid w:val="005A7C02"/>
    <w:rsid w:val="005B0110"/>
    <w:rsid w:val="005B0114"/>
    <w:rsid w:val="005B056D"/>
    <w:rsid w:val="005B0C2D"/>
    <w:rsid w:val="005B121C"/>
    <w:rsid w:val="005B15F9"/>
    <w:rsid w:val="005B19DE"/>
    <w:rsid w:val="005B290C"/>
    <w:rsid w:val="005B3491"/>
    <w:rsid w:val="005B3642"/>
    <w:rsid w:val="005B436B"/>
    <w:rsid w:val="005B4F15"/>
    <w:rsid w:val="005B537C"/>
    <w:rsid w:val="005B6090"/>
    <w:rsid w:val="005B6561"/>
    <w:rsid w:val="005B69A5"/>
    <w:rsid w:val="005B6AA4"/>
    <w:rsid w:val="005B6AAC"/>
    <w:rsid w:val="005B6C2A"/>
    <w:rsid w:val="005B6F20"/>
    <w:rsid w:val="005B71E1"/>
    <w:rsid w:val="005C0217"/>
    <w:rsid w:val="005C056F"/>
    <w:rsid w:val="005C06BB"/>
    <w:rsid w:val="005C0826"/>
    <w:rsid w:val="005C1189"/>
    <w:rsid w:val="005C12FA"/>
    <w:rsid w:val="005C166A"/>
    <w:rsid w:val="005C1B95"/>
    <w:rsid w:val="005C2057"/>
    <w:rsid w:val="005C23A4"/>
    <w:rsid w:val="005C3358"/>
    <w:rsid w:val="005C3D45"/>
    <w:rsid w:val="005C487E"/>
    <w:rsid w:val="005C533B"/>
    <w:rsid w:val="005C57E1"/>
    <w:rsid w:val="005C5943"/>
    <w:rsid w:val="005C5968"/>
    <w:rsid w:val="005C5FC0"/>
    <w:rsid w:val="005C611C"/>
    <w:rsid w:val="005C64E9"/>
    <w:rsid w:val="005C665B"/>
    <w:rsid w:val="005C6A57"/>
    <w:rsid w:val="005C6A95"/>
    <w:rsid w:val="005C7803"/>
    <w:rsid w:val="005C7F9A"/>
    <w:rsid w:val="005D04DA"/>
    <w:rsid w:val="005D1102"/>
    <w:rsid w:val="005D150B"/>
    <w:rsid w:val="005D1C09"/>
    <w:rsid w:val="005D25EF"/>
    <w:rsid w:val="005D29EC"/>
    <w:rsid w:val="005D39E0"/>
    <w:rsid w:val="005D43E3"/>
    <w:rsid w:val="005D4705"/>
    <w:rsid w:val="005D54C4"/>
    <w:rsid w:val="005D592F"/>
    <w:rsid w:val="005D5946"/>
    <w:rsid w:val="005D62CD"/>
    <w:rsid w:val="005D66D4"/>
    <w:rsid w:val="005D69E5"/>
    <w:rsid w:val="005D72FA"/>
    <w:rsid w:val="005D79EA"/>
    <w:rsid w:val="005D7E7A"/>
    <w:rsid w:val="005D7EC4"/>
    <w:rsid w:val="005E03DE"/>
    <w:rsid w:val="005E0EA6"/>
    <w:rsid w:val="005E1ABD"/>
    <w:rsid w:val="005E1BB5"/>
    <w:rsid w:val="005E20E2"/>
    <w:rsid w:val="005E30BF"/>
    <w:rsid w:val="005E3E73"/>
    <w:rsid w:val="005E3FE5"/>
    <w:rsid w:val="005E50AD"/>
    <w:rsid w:val="005E56F7"/>
    <w:rsid w:val="005E6007"/>
    <w:rsid w:val="005E6110"/>
    <w:rsid w:val="005E6200"/>
    <w:rsid w:val="005E667B"/>
    <w:rsid w:val="005E6978"/>
    <w:rsid w:val="005E6A84"/>
    <w:rsid w:val="005E6D89"/>
    <w:rsid w:val="005E6FA4"/>
    <w:rsid w:val="005E79A5"/>
    <w:rsid w:val="005F0875"/>
    <w:rsid w:val="005F0EB2"/>
    <w:rsid w:val="005F10C3"/>
    <w:rsid w:val="005F1635"/>
    <w:rsid w:val="005F1FA9"/>
    <w:rsid w:val="005F2179"/>
    <w:rsid w:val="005F2E1C"/>
    <w:rsid w:val="005F3417"/>
    <w:rsid w:val="005F35D9"/>
    <w:rsid w:val="005F549E"/>
    <w:rsid w:val="005F54E6"/>
    <w:rsid w:val="005F56C4"/>
    <w:rsid w:val="005F5A46"/>
    <w:rsid w:val="005F6103"/>
    <w:rsid w:val="005F64D8"/>
    <w:rsid w:val="005F69C9"/>
    <w:rsid w:val="005F6A67"/>
    <w:rsid w:val="005F6D1D"/>
    <w:rsid w:val="005F701A"/>
    <w:rsid w:val="005F714F"/>
    <w:rsid w:val="005F729C"/>
    <w:rsid w:val="00600200"/>
    <w:rsid w:val="00600DD0"/>
    <w:rsid w:val="00600EC0"/>
    <w:rsid w:val="006016B4"/>
    <w:rsid w:val="0060196E"/>
    <w:rsid w:val="00601D2C"/>
    <w:rsid w:val="00602225"/>
    <w:rsid w:val="00602547"/>
    <w:rsid w:val="00602947"/>
    <w:rsid w:val="00602B83"/>
    <w:rsid w:val="00602BF5"/>
    <w:rsid w:val="00602C91"/>
    <w:rsid w:val="00603286"/>
    <w:rsid w:val="00604532"/>
    <w:rsid w:val="0060501C"/>
    <w:rsid w:val="00605091"/>
    <w:rsid w:val="00605281"/>
    <w:rsid w:val="00605288"/>
    <w:rsid w:val="00605574"/>
    <w:rsid w:val="00605DA1"/>
    <w:rsid w:val="00606E91"/>
    <w:rsid w:val="00607F19"/>
    <w:rsid w:val="006105A0"/>
    <w:rsid w:val="006107EF"/>
    <w:rsid w:val="00610AF2"/>
    <w:rsid w:val="00610DDE"/>
    <w:rsid w:val="00610EAC"/>
    <w:rsid w:val="00611462"/>
    <w:rsid w:val="00611ACA"/>
    <w:rsid w:val="00611F1A"/>
    <w:rsid w:val="00612110"/>
    <w:rsid w:val="006121C9"/>
    <w:rsid w:val="006125FF"/>
    <w:rsid w:val="00612E67"/>
    <w:rsid w:val="00613221"/>
    <w:rsid w:val="00613682"/>
    <w:rsid w:val="0061383F"/>
    <w:rsid w:val="0061386E"/>
    <w:rsid w:val="00614922"/>
    <w:rsid w:val="00614CD0"/>
    <w:rsid w:val="00614D68"/>
    <w:rsid w:val="00614DA5"/>
    <w:rsid w:val="00614DA9"/>
    <w:rsid w:val="00614E15"/>
    <w:rsid w:val="00615754"/>
    <w:rsid w:val="00616161"/>
    <w:rsid w:val="00616F04"/>
    <w:rsid w:val="0061721B"/>
    <w:rsid w:val="00617280"/>
    <w:rsid w:val="00617CFA"/>
    <w:rsid w:val="0062087D"/>
    <w:rsid w:val="00620ACE"/>
    <w:rsid w:val="0062198A"/>
    <w:rsid w:val="0062207B"/>
    <w:rsid w:val="00622B76"/>
    <w:rsid w:val="00623291"/>
    <w:rsid w:val="00623A53"/>
    <w:rsid w:val="00623FAF"/>
    <w:rsid w:val="00623FFF"/>
    <w:rsid w:val="00624490"/>
    <w:rsid w:val="00624CE7"/>
    <w:rsid w:val="0062532E"/>
    <w:rsid w:val="0062553A"/>
    <w:rsid w:val="00625ACA"/>
    <w:rsid w:val="00625B40"/>
    <w:rsid w:val="00625CE6"/>
    <w:rsid w:val="00625DE6"/>
    <w:rsid w:val="00625E13"/>
    <w:rsid w:val="00626793"/>
    <w:rsid w:val="0062699B"/>
    <w:rsid w:val="00626E34"/>
    <w:rsid w:val="0062707F"/>
    <w:rsid w:val="0062767E"/>
    <w:rsid w:val="00627B43"/>
    <w:rsid w:val="006307AC"/>
    <w:rsid w:val="00630BFF"/>
    <w:rsid w:val="00631077"/>
    <w:rsid w:val="0063142C"/>
    <w:rsid w:val="00631B5E"/>
    <w:rsid w:val="006323CF"/>
    <w:rsid w:val="00632515"/>
    <w:rsid w:val="00633194"/>
    <w:rsid w:val="00634477"/>
    <w:rsid w:val="006347B6"/>
    <w:rsid w:val="00635233"/>
    <w:rsid w:val="00635598"/>
    <w:rsid w:val="006357BC"/>
    <w:rsid w:val="006368F6"/>
    <w:rsid w:val="00636D09"/>
    <w:rsid w:val="00637DAB"/>
    <w:rsid w:val="006400C0"/>
    <w:rsid w:val="00640EC2"/>
    <w:rsid w:val="00642893"/>
    <w:rsid w:val="00642F83"/>
    <w:rsid w:val="00642FA9"/>
    <w:rsid w:val="00643055"/>
    <w:rsid w:val="00643DA7"/>
    <w:rsid w:val="00643E93"/>
    <w:rsid w:val="0064457D"/>
    <w:rsid w:val="006446DC"/>
    <w:rsid w:val="0064489A"/>
    <w:rsid w:val="00644A15"/>
    <w:rsid w:val="00644C92"/>
    <w:rsid w:val="00645A9C"/>
    <w:rsid w:val="00645FFB"/>
    <w:rsid w:val="00646A13"/>
    <w:rsid w:val="00646DD8"/>
    <w:rsid w:val="00647214"/>
    <w:rsid w:val="0065037D"/>
    <w:rsid w:val="00650914"/>
    <w:rsid w:val="006510A5"/>
    <w:rsid w:val="0065115E"/>
    <w:rsid w:val="006518A6"/>
    <w:rsid w:val="00651D08"/>
    <w:rsid w:val="00651FD8"/>
    <w:rsid w:val="00652105"/>
    <w:rsid w:val="00652312"/>
    <w:rsid w:val="006526FE"/>
    <w:rsid w:val="00652751"/>
    <w:rsid w:val="00652DA3"/>
    <w:rsid w:val="00652EED"/>
    <w:rsid w:val="006537D0"/>
    <w:rsid w:val="00653F41"/>
    <w:rsid w:val="006540D4"/>
    <w:rsid w:val="0065423D"/>
    <w:rsid w:val="006542F7"/>
    <w:rsid w:val="006553B8"/>
    <w:rsid w:val="006563F8"/>
    <w:rsid w:val="006565FE"/>
    <w:rsid w:val="0065694A"/>
    <w:rsid w:val="00656B46"/>
    <w:rsid w:val="00656CA7"/>
    <w:rsid w:val="006573A6"/>
    <w:rsid w:val="006577E6"/>
    <w:rsid w:val="00657DCB"/>
    <w:rsid w:val="0066099C"/>
    <w:rsid w:val="00660C54"/>
    <w:rsid w:val="006614B7"/>
    <w:rsid w:val="00661669"/>
    <w:rsid w:val="00662D50"/>
    <w:rsid w:val="00663099"/>
    <w:rsid w:val="006634D9"/>
    <w:rsid w:val="00663C16"/>
    <w:rsid w:val="00663FCB"/>
    <w:rsid w:val="00664264"/>
    <w:rsid w:val="00665655"/>
    <w:rsid w:val="00665C5E"/>
    <w:rsid w:val="00666791"/>
    <w:rsid w:val="00666AEA"/>
    <w:rsid w:val="00667936"/>
    <w:rsid w:val="006709B6"/>
    <w:rsid w:val="00670C16"/>
    <w:rsid w:val="00671749"/>
    <w:rsid w:val="00671917"/>
    <w:rsid w:val="00671996"/>
    <w:rsid w:val="0067224E"/>
    <w:rsid w:val="00672293"/>
    <w:rsid w:val="006726B9"/>
    <w:rsid w:val="00672B6B"/>
    <w:rsid w:val="00672EF9"/>
    <w:rsid w:val="00673FC6"/>
    <w:rsid w:val="006740DE"/>
    <w:rsid w:val="0067494F"/>
    <w:rsid w:val="00674FD5"/>
    <w:rsid w:val="00675032"/>
    <w:rsid w:val="006757EC"/>
    <w:rsid w:val="00676428"/>
    <w:rsid w:val="006767C9"/>
    <w:rsid w:val="00676830"/>
    <w:rsid w:val="00676878"/>
    <w:rsid w:val="00676CF5"/>
    <w:rsid w:val="00676F5A"/>
    <w:rsid w:val="0067707A"/>
    <w:rsid w:val="006770EC"/>
    <w:rsid w:val="006771C4"/>
    <w:rsid w:val="00677E7B"/>
    <w:rsid w:val="006805F0"/>
    <w:rsid w:val="00680637"/>
    <w:rsid w:val="00680E6A"/>
    <w:rsid w:val="00680FAB"/>
    <w:rsid w:val="006812A4"/>
    <w:rsid w:val="00681326"/>
    <w:rsid w:val="006815C7"/>
    <w:rsid w:val="006820C4"/>
    <w:rsid w:val="0068285C"/>
    <w:rsid w:val="00682AFC"/>
    <w:rsid w:val="00682F7A"/>
    <w:rsid w:val="0068345D"/>
    <w:rsid w:val="00683A03"/>
    <w:rsid w:val="00684020"/>
    <w:rsid w:val="006841BB"/>
    <w:rsid w:val="00684678"/>
    <w:rsid w:val="00684B32"/>
    <w:rsid w:val="00684F9A"/>
    <w:rsid w:val="0068505E"/>
    <w:rsid w:val="00685AE6"/>
    <w:rsid w:val="006865E2"/>
    <w:rsid w:val="006865F0"/>
    <w:rsid w:val="00686D4E"/>
    <w:rsid w:val="00687466"/>
    <w:rsid w:val="00687E96"/>
    <w:rsid w:val="00687EE2"/>
    <w:rsid w:val="00690187"/>
    <w:rsid w:val="00690F52"/>
    <w:rsid w:val="00690F81"/>
    <w:rsid w:val="0069116C"/>
    <w:rsid w:val="006911E5"/>
    <w:rsid w:val="00691735"/>
    <w:rsid w:val="0069192A"/>
    <w:rsid w:val="006919CB"/>
    <w:rsid w:val="00692697"/>
    <w:rsid w:val="006927AC"/>
    <w:rsid w:val="00692A7A"/>
    <w:rsid w:val="00693020"/>
    <w:rsid w:val="0069348A"/>
    <w:rsid w:val="00693BF8"/>
    <w:rsid w:val="00694025"/>
    <w:rsid w:val="0069402D"/>
    <w:rsid w:val="0069409F"/>
    <w:rsid w:val="0069413B"/>
    <w:rsid w:val="00695A8C"/>
    <w:rsid w:val="00695BA7"/>
    <w:rsid w:val="00695CA1"/>
    <w:rsid w:val="00695FC7"/>
    <w:rsid w:val="00696410"/>
    <w:rsid w:val="00696429"/>
    <w:rsid w:val="006966B8"/>
    <w:rsid w:val="00696C8F"/>
    <w:rsid w:val="0069708B"/>
    <w:rsid w:val="00697136"/>
    <w:rsid w:val="0069733C"/>
    <w:rsid w:val="00697AF6"/>
    <w:rsid w:val="00697D79"/>
    <w:rsid w:val="006A0332"/>
    <w:rsid w:val="006A0D61"/>
    <w:rsid w:val="006A2843"/>
    <w:rsid w:val="006A3A7D"/>
    <w:rsid w:val="006A4525"/>
    <w:rsid w:val="006A4D2D"/>
    <w:rsid w:val="006A4E29"/>
    <w:rsid w:val="006A55C3"/>
    <w:rsid w:val="006A5CA9"/>
    <w:rsid w:val="006A7925"/>
    <w:rsid w:val="006B0069"/>
    <w:rsid w:val="006B0511"/>
    <w:rsid w:val="006B06CA"/>
    <w:rsid w:val="006B0E7C"/>
    <w:rsid w:val="006B11D6"/>
    <w:rsid w:val="006B21E0"/>
    <w:rsid w:val="006B26CC"/>
    <w:rsid w:val="006B2B16"/>
    <w:rsid w:val="006B2D77"/>
    <w:rsid w:val="006B30E9"/>
    <w:rsid w:val="006B39F7"/>
    <w:rsid w:val="006B3EDF"/>
    <w:rsid w:val="006B4057"/>
    <w:rsid w:val="006B4093"/>
    <w:rsid w:val="006B76CD"/>
    <w:rsid w:val="006B7A3D"/>
    <w:rsid w:val="006C04FB"/>
    <w:rsid w:val="006C154C"/>
    <w:rsid w:val="006C219D"/>
    <w:rsid w:val="006C26C0"/>
    <w:rsid w:val="006C277F"/>
    <w:rsid w:val="006C2DEF"/>
    <w:rsid w:val="006C3AC4"/>
    <w:rsid w:val="006C4DA3"/>
    <w:rsid w:val="006C515D"/>
    <w:rsid w:val="006C5371"/>
    <w:rsid w:val="006C5B34"/>
    <w:rsid w:val="006C5B90"/>
    <w:rsid w:val="006C6B38"/>
    <w:rsid w:val="006C7126"/>
    <w:rsid w:val="006C7132"/>
    <w:rsid w:val="006C7FA3"/>
    <w:rsid w:val="006D0CD7"/>
    <w:rsid w:val="006D218D"/>
    <w:rsid w:val="006D22F1"/>
    <w:rsid w:val="006D2A87"/>
    <w:rsid w:val="006D34EF"/>
    <w:rsid w:val="006D3553"/>
    <w:rsid w:val="006D3F35"/>
    <w:rsid w:val="006D43E6"/>
    <w:rsid w:val="006D4701"/>
    <w:rsid w:val="006D4D87"/>
    <w:rsid w:val="006D4EB6"/>
    <w:rsid w:val="006D5742"/>
    <w:rsid w:val="006D636E"/>
    <w:rsid w:val="006D65EC"/>
    <w:rsid w:val="006D67A1"/>
    <w:rsid w:val="006D6ABD"/>
    <w:rsid w:val="006D76ED"/>
    <w:rsid w:val="006D794D"/>
    <w:rsid w:val="006E0AB6"/>
    <w:rsid w:val="006E11F3"/>
    <w:rsid w:val="006E1F2B"/>
    <w:rsid w:val="006E266A"/>
    <w:rsid w:val="006E2911"/>
    <w:rsid w:val="006E2A0D"/>
    <w:rsid w:val="006E2AD9"/>
    <w:rsid w:val="006E2D1E"/>
    <w:rsid w:val="006E2F58"/>
    <w:rsid w:val="006E3000"/>
    <w:rsid w:val="006E360F"/>
    <w:rsid w:val="006E3BEF"/>
    <w:rsid w:val="006E3D20"/>
    <w:rsid w:val="006E4474"/>
    <w:rsid w:val="006E5368"/>
    <w:rsid w:val="006E548E"/>
    <w:rsid w:val="006E603B"/>
    <w:rsid w:val="006E617B"/>
    <w:rsid w:val="006E6431"/>
    <w:rsid w:val="006E71E5"/>
    <w:rsid w:val="006E76F9"/>
    <w:rsid w:val="006E7C2B"/>
    <w:rsid w:val="006F0A55"/>
    <w:rsid w:val="006F2565"/>
    <w:rsid w:val="006F2F77"/>
    <w:rsid w:val="006F35A6"/>
    <w:rsid w:val="006F37FB"/>
    <w:rsid w:val="006F3B55"/>
    <w:rsid w:val="006F3D36"/>
    <w:rsid w:val="006F3F9F"/>
    <w:rsid w:val="006F438C"/>
    <w:rsid w:val="006F4911"/>
    <w:rsid w:val="006F4C94"/>
    <w:rsid w:val="006F4ECA"/>
    <w:rsid w:val="006F5581"/>
    <w:rsid w:val="006F5B82"/>
    <w:rsid w:val="006F61BF"/>
    <w:rsid w:val="006F630C"/>
    <w:rsid w:val="006F63CA"/>
    <w:rsid w:val="006F65DF"/>
    <w:rsid w:val="006F65FA"/>
    <w:rsid w:val="006F694E"/>
    <w:rsid w:val="006F6EDB"/>
    <w:rsid w:val="006F7187"/>
    <w:rsid w:val="006F7794"/>
    <w:rsid w:val="006F7E9A"/>
    <w:rsid w:val="00700048"/>
    <w:rsid w:val="00700522"/>
    <w:rsid w:val="00700544"/>
    <w:rsid w:val="007017A4"/>
    <w:rsid w:val="0070191F"/>
    <w:rsid w:val="00701AF8"/>
    <w:rsid w:val="00702218"/>
    <w:rsid w:val="007023AA"/>
    <w:rsid w:val="0070263E"/>
    <w:rsid w:val="00702880"/>
    <w:rsid w:val="00702DF9"/>
    <w:rsid w:val="00703C37"/>
    <w:rsid w:val="00703D4E"/>
    <w:rsid w:val="007042A5"/>
    <w:rsid w:val="0070467A"/>
    <w:rsid w:val="0070467C"/>
    <w:rsid w:val="007048C9"/>
    <w:rsid w:val="00704B46"/>
    <w:rsid w:val="00705305"/>
    <w:rsid w:val="0070550D"/>
    <w:rsid w:val="00705E0A"/>
    <w:rsid w:val="0070637B"/>
    <w:rsid w:val="00706FC9"/>
    <w:rsid w:val="00707077"/>
    <w:rsid w:val="007071F4"/>
    <w:rsid w:val="00707437"/>
    <w:rsid w:val="0070772F"/>
    <w:rsid w:val="00707797"/>
    <w:rsid w:val="007077C1"/>
    <w:rsid w:val="0071037F"/>
    <w:rsid w:val="007117B1"/>
    <w:rsid w:val="00711852"/>
    <w:rsid w:val="00711AC3"/>
    <w:rsid w:val="00712A59"/>
    <w:rsid w:val="00712AC4"/>
    <w:rsid w:val="00712E0A"/>
    <w:rsid w:val="0071300F"/>
    <w:rsid w:val="00713951"/>
    <w:rsid w:val="00713DA0"/>
    <w:rsid w:val="00714DB2"/>
    <w:rsid w:val="00715696"/>
    <w:rsid w:val="00715C01"/>
    <w:rsid w:val="00715DF5"/>
    <w:rsid w:val="00716C56"/>
    <w:rsid w:val="0071727E"/>
    <w:rsid w:val="007173F6"/>
    <w:rsid w:val="007177A3"/>
    <w:rsid w:val="00717A24"/>
    <w:rsid w:val="00717E75"/>
    <w:rsid w:val="00717FF9"/>
    <w:rsid w:val="00720CDF"/>
    <w:rsid w:val="00721747"/>
    <w:rsid w:val="00721FDD"/>
    <w:rsid w:val="007221D6"/>
    <w:rsid w:val="00722211"/>
    <w:rsid w:val="007224D5"/>
    <w:rsid w:val="00722516"/>
    <w:rsid w:val="00722E96"/>
    <w:rsid w:val="0072388E"/>
    <w:rsid w:val="0072399A"/>
    <w:rsid w:val="00724D30"/>
    <w:rsid w:val="007254DA"/>
    <w:rsid w:val="007255A5"/>
    <w:rsid w:val="00725D14"/>
    <w:rsid w:val="007264E8"/>
    <w:rsid w:val="007268D7"/>
    <w:rsid w:val="00726F0F"/>
    <w:rsid w:val="00727503"/>
    <w:rsid w:val="00730170"/>
    <w:rsid w:val="007304C9"/>
    <w:rsid w:val="00730767"/>
    <w:rsid w:val="00730D50"/>
    <w:rsid w:val="00731C20"/>
    <w:rsid w:val="00731C45"/>
    <w:rsid w:val="00731F30"/>
    <w:rsid w:val="007323C9"/>
    <w:rsid w:val="00732A0B"/>
    <w:rsid w:val="0073342E"/>
    <w:rsid w:val="007339FE"/>
    <w:rsid w:val="00733AA5"/>
    <w:rsid w:val="00734733"/>
    <w:rsid w:val="0073539A"/>
    <w:rsid w:val="007358ED"/>
    <w:rsid w:val="00735B8E"/>
    <w:rsid w:val="00736042"/>
    <w:rsid w:val="007363DF"/>
    <w:rsid w:val="0073644B"/>
    <w:rsid w:val="00736EF8"/>
    <w:rsid w:val="007371D7"/>
    <w:rsid w:val="007374D8"/>
    <w:rsid w:val="0073763E"/>
    <w:rsid w:val="00737D9D"/>
    <w:rsid w:val="00740191"/>
    <w:rsid w:val="007406D7"/>
    <w:rsid w:val="007409A7"/>
    <w:rsid w:val="00740F13"/>
    <w:rsid w:val="007419A1"/>
    <w:rsid w:val="00741A4B"/>
    <w:rsid w:val="0074216A"/>
    <w:rsid w:val="007426FD"/>
    <w:rsid w:val="007429E1"/>
    <w:rsid w:val="00742D14"/>
    <w:rsid w:val="00742F90"/>
    <w:rsid w:val="007431A5"/>
    <w:rsid w:val="007434FF"/>
    <w:rsid w:val="00744751"/>
    <w:rsid w:val="00744B81"/>
    <w:rsid w:val="00744DF3"/>
    <w:rsid w:val="007455FF"/>
    <w:rsid w:val="00745724"/>
    <w:rsid w:val="007457D7"/>
    <w:rsid w:val="007504C4"/>
    <w:rsid w:val="00750992"/>
    <w:rsid w:val="007509BD"/>
    <w:rsid w:val="00750D59"/>
    <w:rsid w:val="00752002"/>
    <w:rsid w:val="007521C9"/>
    <w:rsid w:val="00753391"/>
    <w:rsid w:val="00754612"/>
    <w:rsid w:val="00754F54"/>
    <w:rsid w:val="00755043"/>
    <w:rsid w:val="00755102"/>
    <w:rsid w:val="0075538B"/>
    <w:rsid w:val="0075575A"/>
    <w:rsid w:val="007565C1"/>
    <w:rsid w:val="00757C5C"/>
    <w:rsid w:val="00760B38"/>
    <w:rsid w:val="007611BA"/>
    <w:rsid w:val="007614C6"/>
    <w:rsid w:val="007618C6"/>
    <w:rsid w:val="00761E2D"/>
    <w:rsid w:val="0076214C"/>
    <w:rsid w:val="007621FD"/>
    <w:rsid w:val="00762584"/>
    <w:rsid w:val="00762C04"/>
    <w:rsid w:val="00763E93"/>
    <w:rsid w:val="0076400E"/>
    <w:rsid w:val="007642B7"/>
    <w:rsid w:val="007644BF"/>
    <w:rsid w:val="007646E1"/>
    <w:rsid w:val="00764BE9"/>
    <w:rsid w:val="00764CC4"/>
    <w:rsid w:val="00764EBE"/>
    <w:rsid w:val="0076609F"/>
    <w:rsid w:val="007670BF"/>
    <w:rsid w:val="00767771"/>
    <w:rsid w:val="0077040D"/>
    <w:rsid w:val="00770B1F"/>
    <w:rsid w:val="00770C4A"/>
    <w:rsid w:val="00770D5C"/>
    <w:rsid w:val="0077104F"/>
    <w:rsid w:val="00771137"/>
    <w:rsid w:val="0077140E"/>
    <w:rsid w:val="00772AA8"/>
    <w:rsid w:val="007740FF"/>
    <w:rsid w:val="00774256"/>
    <w:rsid w:val="00774C6F"/>
    <w:rsid w:val="00775024"/>
    <w:rsid w:val="0077625D"/>
    <w:rsid w:val="00776338"/>
    <w:rsid w:val="0077675C"/>
    <w:rsid w:val="00777C11"/>
    <w:rsid w:val="00777DB8"/>
    <w:rsid w:val="0078075E"/>
    <w:rsid w:val="00780B16"/>
    <w:rsid w:val="0078150A"/>
    <w:rsid w:val="00781665"/>
    <w:rsid w:val="00781D76"/>
    <w:rsid w:val="00781F01"/>
    <w:rsid w:val="007821E3"/>
    <w:rsid w:val="007824F5"/>
    <w:rsid w:val="00783B3B"/>
    <w:rsid w:val="007844C5"/>
    <w:rsid w:val="00784BA1"/>
    <w:rsid w:val="00784E1D"/>
    <w:rsid w:val="00785C0C"/>
    <w:rsid w:val="00786C2C"/>
    <w:rsid w:val="007873C9"/>
    <w:rsid w:val="00790667"/>
    <w:rsid w:val="0079170A"/>
    <w:rsid w:val="00791BD4"/>
    <w:rsid w:val="00792607"/>
    <w:rsid w:val="00792B8B"/>
    <w:rsid w:val="00793128"/>
    <w:rsid w:val="007937A7"/>
    <w:rsid w:val="007939BA"/>
    <w:rsid w:val="00793AEE"/>
    <w:rsid w:val="007940F3"/>
    <w:rsid w:val="007942ED"/>
    <w:rsid w:val="00794518"/>
    <w:rsid w:val="00794F11"/>
    <w:rsid w:val="00795800"/>
    <w:rsid w:val="00795CBA"/>
    <w:rsid w:val="00795E9B"/>
    <w:rsid w:val="007A069A"/>
    <w:rsid w:val="007A1620"/>
    <w:rsid w:val="007A177F"/>
    <w:rsid w:val="007A2B3E"/>
    <w:rsid w:val="007A32A9"/>
    <w:rsid w:val="007A37BB"/>
    <w:rsid w:val="007A3926"/>
    <w:rsid w:val="007A41D1"/>
    <w:rsid w:val="007A4B1A"/>
    <w:rsid w:val="007A4C56"/>
    <w:rsid w:val="007A6CF8"/>
    <w:rsid w:val="007A70B0"/>
    <w:rsid w:val="007A7679"/>
    <w:rsid w:val="007A78A0"/>
    <w:rsid w:val="007A7CDF"/>
    <w:rsid w:val="007A7FE3"/>
    <w:rsid w:val="007B0D34"/>
    <w:rsid w:val="007B1DCE"/>
    <w:rsid w:val="007B22A4"/>
    <w:rsid w:val="007B23D4"/>
    <w:rsid w:val="007B2672"/>
    <w:rsid w:val="007B29E0"/>
    <w:rsid w:val="007B2BB0"/>
    <w:rsid w:val="007B2E04"/>
    <w:rsid w:val="007B2FD7"/>
    <w:rsid w:val="007B3676"/>
    <w:rsid w:val="007B492C"/>
    <w:rsid w:val="007B56EB"/>
    <w:rsid w:val="007B5C5D"/>
    <w:rsid w:val="007B5CF9"/>
    <w:rsid w:val="007B6312"/>
    <w:rsid w:val="007B6874"/>
    <w:rsid w:val="007B6C4C"/>
    <w:rsid w:val="007B75E8"/>
    <w:rsid w:val="007B7DD4"/>
    <w:rsid w:val="007C0900"/>
    <w:rsid w:val="007C1582"/>
    <w:rsid w:val="007C1B4E"/>
    <w:rsid w:val="007C2BFB"/>
    <w:rsid w:val="007C2D81"/>
    <w:rsid w:val="007C3104"/>
    <w:rsid w:val="007C3943"/>
    <w:rsid w:val="007C3FC4"/>
    <w:rsid w:val="007C51F6"/>
    <w:rsid w:val="007C5EDF"/>
    <w:rsid w:val="007C6BBF"/>
    <w:rsid w:val="007C7267"/>
    <w:rsid w:val="007C7B4C"/>
    <w:rsid w:val="007D08FE"/>
    <w:rsid w:val="007D16BD"/>
    <w:rsid w:val="007D2253"/>
    <w:rsid w:val="007D23C1"/>
    <w:rsid w:val="007D2A7C"/>
    <w:rsid w:val="007D31D8"/>
    <w:rsid w:val="007D4044"/>
    <w:rsid w:val="007D479A"/>
    <w:rsid w:val="007D54DC"/>
    <w:rsid w:val="007D5FF3"/>
    <w:rsid w:val="007D6015"/>
    <w:rsid w:val="007D6126"/>
    <w:rsid w:val="007D72DF"/>
    <w:rsid w:val="007D77B8"/>
    <w:rsid w:val="007D7AF7"/>
    <w:rsid w:val="007E0323"/>
    <w:rsid w:val="007E0F39"/>
    <w:rsid w:val="007E1142"/>
    <w:rsid w:val="007E1AB5"/>
    <w:rsid w:val="007E2B39"/>
    <w:rsid w:val="007E3063"/>
    <w:rsid w:val="007E3890"/>
    <w:rsid w:val="007E3963"/>
    <w:rsid w:val="007E3F27"/>
    <w:rsid w:val="007E41D5"/>
    <w:rsid w:val="007E483F"/>
    <w:rsid w:val="007E4E95"/>
    <w:rsid w:val="007E60CF"/>
    <w:rsid w:val="007E6106"/>
    <w:rsid w:val="007E6345"/>
    <w:rsid w:val="007E6F9F"/>
    <w:rsid w:val="007E7158"/>
    <w:rsid w:val="007E7DE9"/>
    <w:rsid w:val="007F01C0"/>
    <w:rsid w:val="007F0245"/>
    <w:rsid w:val="007F0871"/>
    <w:rsid w:val="007F095A"/>
    <w:rsid w:val="007F0F08"/>
    <w:rsid w:val="007F10B1"/>
    <w:rsid w:val="007F1AD0"/>
    <w:rsid w:val="007F2041"/>
    <w:rsid w:val="007F22C1"/>
    <w:rsid w:val="007F2E41"/>
    <w:rsid w:val="007F379C"/>
    <w:rsid w:val="007F3B24"/>
    <w:rsid w:val="007F44DB"/>
    <w:rsid w:val="007F4CBB"/>
    <w:rsid w:val="007F5206"/>
    <w:rsid w:val="007F5BBE"/>
    <w:rsid w:val="007F5BFE"/>
    <w:rsid w:val="007F6483"/>
    <w:rsid w:val="007F6486"/>
    <w:rsid w:val="007F6CC6"/>
    <w:rsid w:val="007F713B"/>
    <w:rsid w:val="007F7374"/>
    <w:rsid w:val="008005BC"/>
    <w:rsid w:val="008008FD"/>
    <w:rsid w:val="00800BF8"/>
    <w:rsid w:val="00800FE0"/>
    <w:rsid w:val="00801B42"/>
    <w:rsid w:val="00801C6E"/>
    <w:rsid w:val="00801D47"/>
    <w:rsid w:val="00801E65"/>
    <w:rsid w:val="00802199"/>
    <w:rsid w:val="008023B3"/>
    <w:rsid w:val="00802CC8"/>
    <w:rsid w:val="00802D51"/>
    <w:rsid w:val="00802F7A"/>
    <w:rsid w:val="0080308D"/>
    <w:rsid w:val="00803145"/>
    <w:rsid w:val="00803B1B"/>
    <w:rsid w:val="00803E34"/>
    <w:rsid w:val="00803E6C"/>
    <w:rsid w:val="00804D98"/>
    <w:rsid w:val="00804DBC"/>
    <w:rsid w:val="008057C5"/>
    <w:rsid w:val="00805AD6"/>
    <w:rsid w:val="00805AE6"/>
    <w:rsid w:val="0080643A"/>
    <w:rsid w:val="0080691B"/>
    <w:rsid w:val="00806B23"/>
    <w:rsid w:val="00806C5F"/>
    <w:rsid w:val="00807C36"/>
    <w:rsid w:val="00807C62"/>
    <w:rsid w:val="00807ECA"/>
    <w:rsid w:val="008102E9"/>
    <w:rsid w:val="0081140A"/>
    <w:rsid w:val="0081155F"/>
    <w:rsid w:val="00812544"/>
    <w:rsid w:val="00812933"/>
    <w:rsid w:val="00812EFC"/>
    <w:rsid w:val="00813AAD"/>
    <w:rsid w:val="00813E3B"/>
    <w:rsid w:val="00813FD7"/>
    <w:rsid w:val="00814D18"/>
    <w:rsid w:val="008160A2"/>
    <w:rsid w:val="00816211"/>
    <w:rsid w:val="00816D6E"/>
    <w:rsid w:val="00817FDE"/>
    <w:rsid w:val="008200C9"/>
    <w:rsid w:val="008200F5"/>
    <w:rsid w:val="0082020B"/>
    <w:rsid w:val="008204C3"/>
    <w:rsid w:val="0082050E"/>
    <w:rsid w:val="0082056F"/>
    <w:rsid w:val="00820B78"/>
    <w:rsid w:val="00820BB5"/>
    <w:rsid w:val="00820C43"/>
    <w:rsid w:val="0082190D"/>
    <w:rsid w:val="008224D5"/>
    <w:rsid w:val="0082253F"/>
    <w:rsid w:val="0082282A"/>
    <w:rsid w:val="00822941"/>
    <w:rsid w:val="0082352B"/>
    <w:rsid w:val="0082360A"/>
    <w:rsid w:val="0082386A"/>
    <w:rsid w:val="00823E5E"/>
    <w:rsid w:val="0082528E"/>
    <w:rsid w:val="0082591C"/>
    <w:rsid w:val="00825B60"/>
    <w:rsid w:val="00825C83"/>
    <w:rsid w:val="008271E5"/>
    <w:rsid w:val="008300B7"/>
    <w:rsid w:val="00830A34"/>
    <w:rsid w:val="00830A48"/>
    <w:rsid w:val="00830B93"/>
    <w:rsid w:val="00830DF3"/>
    <w:rsid w:val="00830F58"/>
    <w:rsid w:val="008312AC"/>
    <w:rsid w:val="008319DC"/>
    <w:rsid w:val="00831D7C"/>
    <w:rsid w:val="00831F98"/>
    <w:rsid w:val="0083249C"/>
    <w:rsid w:val="008328E4"/>
    <w:rsid w:val="00832ADB"/>
    <w:rsid w:val="00832F14"/>
    <w:rsid w:val="00833496"/>
    <w:rsid w:val="00833C89"/>
    <w:rsid w:val="0083417A"/>
    <w:rsid w:val="008351F2"/>
    <w:rsid w:val="00835447"/>
    <w:rsid w:val="00835816"/>
    <w:rsid w:val="00835FBC"/>
    <w:rsid w:val="008360D7"/>
    <w:rsid w:val="0083630E"/>
    <w:rsid w:val="00836613"/>
    <w:rsid w:val="008369F3"/>
    <w:rsid w:val="00836C48"/>
    <w:rsid w:val="00836CD7"/>
    <w:rsid w:val="00837085"/>
    <w:rsid w:val="0083735A"/>
    <w:rsid w:val="0083772D"/>
    <w:rsid w:val="00840261"/>
    <w:rsid w:val="00840987"/>
    <w:rsid w:val="00840FB8"/>
    <w:rsid w:val="008413BD"/>
    <w:rsid w:val="008418FA"/>
    <w:rsid w:val="0084220F"/>
    <w:rsid w:val="00842746"/>
    <w:rsid w:val="00842F50"/>
    <w:rsid w:val="008439AC"/>
    <w:rsid w:val="00843C45"/>
    <w:rsid w:val="0084507A"/>
    <w:rsid w:val="008450A7"/>
    <w:rsid w:val="008458E9"/>
    <w:rsid w:val="00845C94"/>
    <w:rsid w:val="00845E9C"/>
    <w:rsid w:val="00846874"/>
    <w:rsid w:val="0084689B"/>
    <w:rsid w:val="00846A74"/>
    <w:rsid w:val="00846FBE"/>
    <w:rsid w:val="0084710E"/>
    <w:rsid w:val="0084731B"/>
    <w:rsid w:val="00847862"/>
    <w:rsid w:val="00847A95"/>
    <w:rsid w:val="008505DF"/>
    <w:rsid w:val="008506C6"/>
    <w:rsid w:val="00850B5A"/>
    <w:rsid w:val="00851C5A"/>
    <w:rsid w:val="00851D68"/>
    <w:rsid w:val="0085201A"/>
    <w:rsid w:val="008521DA"/>
    <w:rsid w:val="00852563"/>
    <w:rsid w:val="00852A8C"/>
    <w:rsid w:val="00852F48"/>
    <w:rsid w:val="00853908"/>
    <w:rsid w:val="00853B91"/>
    <w:rsid w:val="00855376"/>
    <w:rsid w:val="00855611"/>
    <w:rsid w:val="00860CD8"/>
    <w:rsid w:val="00861126"/>
    <w:rsid w:val="0086189E"/>
    <w:rsid w:val="008622C1"/>
    <w:rsid w:val="008623C1"/>
    <w:rsid w:val="0086281E"/>
    <w:rsid w:val="00862E9E"/>
    <w:rsid w:val="00863AF3"/>
    <w:rsid w:val="00863BAC"/>
    <w:rsid w:val="0086429D"/>
    <w:rsid w:val="00866319"/>
    <w:rsid w:val="00866A92"/>
    <w:rsid w:val="008710EC"/>
    <w:rsid w:val="00871BED"/>
    <w:rsid w:val="00872D45"/>
    <w:rsid w:val="0087338D"/>
    <w:rsid w:val="00873CD1"/>
    <w:rsid w:val="00874793"/>
    <w:rsid w:val="00874950"/>
    <w:rsid w:val="00875648"/>
    <w:rsid w:val="00875689"/>
    <w:rsid w:val="00876157"/>
    <w:rsid w:val="0087675A"/>
    <w:rsid w:val="008772CA"/>
    <w:rsid w:val="00877695"/>
    <w:rsid w:val="00877E60"/>
    <w:rsid w:val="00877EE4"/>
    <w:rsid w:val="008804D7"/>
    <w:rsid w:val="00880548"/>
    <w:rsid w:val="008815D9"/>
    <w:rsid w:val="00881DC0"/>
    <w:rsid w:val="00883604"/>
    <w:rsid w:val="00883AD6"/>
    <w:rsid w:val="00883CC1"/>
    <w:rsid w:val="00883D8C"/>
    <w:rsid w:val="008844A2"/>
    <w:rsid w:val="008844E7"/>
    <w:rsid w:val="00884E1D"/>
    <w:rsid w:val="008859E7"/>
    <w:rsid w:val="0088619C"/>
    <w:rsid w:val="00887419"/>
    <w:rsid w:val="00887A2D"/>
    <w:rsid w:val="0089086D"/>
    <w:rsid w:val="00890980"/>
    <w:rsid w:val="00890AA5"/>
    <w:rsid w:val="00890BDB"/>
    <w:rsid w:val="00890D25"/>
    <w:rsid w:val="00890EAD"/>
    <w:rsid w:val="00891DC5"/>
    <w:rsid w:val="008930D9"/>
    <w:rsid w:val="00893428"/>
    <w:rsid w:val="00893610"/>
    <w:rsid w:val="00893671"/>
    <w:rsid w:val="008938DD"/>
    <w:rsid w:val="00894498"/>
    <w:rsid w:val="008947D0"/>
    <w:rsid w:val="00894BD4"/>
    <w:rsid w:val="00894F32"/>
    <w:rsid w:val="00895B01"/>
    <w:rsid w:val="00895FDE"/>
    <w:rsid w:val="00896E74"/>
    <w:rsid w:val="00897671"/>
    <w:rsid w:val="008976CC"/>
    <w:rsid w:val="008976F2"/>
    <w:rsid w:val="00897B4C"/>
    <w:rsid w:val="00897CD7"/>
    <w:rsid w:val="00897DD6"/>
    <w:rsid w:val="00897F69"/>
    <w:rsid w:val="008A0CC5"/>
    <w:rsid w:val="008A0EC7"/>
    <w:rsid w:val="008A1081"/>
    <w:rsid w:val="008A1520"/>
    <w:rsid w:val="008A1595"/>
    <w:rsid w:val="008A1820"/>
    <w:rsid w:val="008A1A94"/>
    <w:rsid w:val="008A1B15"/>
    <w:rsid w:val="008A1BAE"/>
    <w:rsid w:val="008A2971"/>
    <w:rsid w:val="008A3069"/>
    <w:rsid w:val="008A417E"/>
    <w:rsid w:val="008A4A1B"/>
    <w:rsid w:val="008A5D4A"/>
    <w:rsid w:val="008A6C46"/>
    <w:rsid w:val="008A70A5"/>
    <w:rsid w:val="008A7146"/>
    <w:rsid w:val="008A79EB"/>
    <w:rsid w:val="008A7A8D"/>
    <w:rsid w:val="008B00CD"/>
    <w:rsid w:val="008B0697"/>
    <w:rsid w:val="008B0AD7"/>
    <w:rsid w:val="008B18ED"/>
    <w:rsid w:val="008B1985"/>
    <w:rsid w:val="008B2199"/>
    <w:rsid w:val="008B23BF"/>
    <w:rsid w:val="008B3380"/>
    <w:rsid w:val="008B3870"/>
    <w:rsid w:val="008B4740"/>
    <w:rsid w:val="008B5135"/>
    <w:rsid w:val="008B537D"/>
    <w:rsid w:val="008B5B64"/>
    <w:rsid w:val="008B5C02"/>
    <w:rsid w:val="008B5DDC"/>
    <w:rsid w:val="008B65FD"/>
    <w:rsid w:val="008B6A2A"/>
    <w:rsid w:val="008B6D5A"/>
    <w:rsid w:val="008B7E3F"/>
    <w:rsid w:val="008B7F15"/>
    <w:rsid w:val="008C02AD"/>
    <w:rsid w:val="008C0C57"/>
    <w:rsid w:val="008C0FD6"/>
    <w:rsid w:val="008C11E6"/>
    <w:rsid w:val="008C206E"/>
    <w:rsid w:val="008C2626"/>
    <w:rsid w:val="008C2758"/>
    <w:rsid w:val="008C2811"/>
    <w:rsid w:val="008C28AE"/>
    <w:rsid w:val="008C29EB"/>
    <w:rsid w:val="008C2DD4"/>
    <w:rsid w:val="008C2ECC"/>
    <w:rsid w:val="008C333B"/>
    <w:rsid w:val="008C3639"/>
    <w:rsid w:val="008C37F2"/>
    <w:rsid w:val="008C486D"/>
    <w:rsid w:val="008C4B97"/>
    <w:rsid w:val="008C55BE"/>
    <w:rsid w:val="008C583B"/>
    <w:rsid w:val="008C659A"/>
    <w:rsid w:val="008C66FA"/>
    <w:rsid w:val="008C7CCD"/>
    <w:rsid w:val="008C7CD7"/>
    <w:rsid w:val="008D031C"/>
    <w:rsid w:val="008D04C8"/>
    <w:rsid w:val="008D12B5"/>
    <w:rsid w:val="008D1B99"/>
    <w:rsid w:val="008D2603"/>
    <w:rsid w:val="008D282F"/>
    <w:rsid w:val="008D3B0E"/>
    <w:rsid w:val="008D3FE4"/>
    <w:rsid w:val="008D72A7"/>
    <w:rsid w:val="008D7C05"/>
    <w:rsid w:val="008D7C21"/>
    <w:rsid w:val="008D7DE5"/>
    <w:rsid w:val="008D7EFC"/>
    <w:rsid w:val="008E01E5"/>
    <w:rsid w:val="008E0364"/>
    <w:rsid w:val="008E19A4"/>
    <w:rsid w:val="008E19D9"/>
    <w:rsid w:val="008E1D80"/>
    <w:rsid w:val="008E2304"/>
    <w:rsid w:val="008E2E35"/>
    <w:rsid w:val="008E38E6"/>
    <w:rsid w:val="008E3B8D"/>
    <w:rsid w:val="008E3C2B"/>
    <w:rsid w:val="008E4261"/>
    <w:rsid w:val="008E4747"/>
    <w:rsid w:val="008E487F"/>
    <w:rsid w:val="008E496B"/>
    <w:rsid w:val="008E4B84"/>
    <w:rsid w:val="008E58D4"/>
    <w:rsid w:val="008E5A6A"/>
    <w:rsid w:val="008E5BC8"/>
    <w:rsid w:val="008E5CEF"/>
    <w:rsid w:val="008E617F"/>
    <w:rsid w:val="008E6712"/>
    <w:rsid w:val="008E6E0D"/>
    <w:rsid w:val="008E7C04"/>
    <w:rsid w:val="008E7E0A"/>
    <w:rsid w:val="008E7F25"/>
    <w:rsid w:val="008F09DF"/>
    <w:rsid w:val="008F0E85"/>
    <w:rsid w:val="008F144E"/>
    <w:rsid w:val="008F1B2E"/>
    <w:rsid w:val="008F23ED"/>
    <w:rsid w:val="008F286A"/>
    <w:rsid w:val="008F3094"/>
    <w:rsid w:val="008F320F"/>
    <w:rsid w:val="008F3384"/>
    <w:rsid w:val="008F370E"/>
    <w:rsid w:val="008F396A"/>
    <w:rsid w:val="008F478C"/>
    <w:rsid w:val="008F525E"/>
    <w:rsid w:val="008F663E"/>
    <w:rsid w:val="008F6B6E"/>
    <w:rsid w:val="008F7103"/>
    <w:rsid w:val="008F759D"/>
    <w:rsid w:val="008F75CE"/>
    <w:rsid w:val="008F7FF4"/>
    <w:rsid w:val="009001CD"/>
    <w:rsid w:val="00900607"/>
    <w:rsid w:val="00900A37"/>
    <w:rsid w:val="0090109C"/>
    <w:rsid w:val="00901AFC"/>
    <w:rsid w:val="00902390"/>
    <w:rsid w:val="00902C68"/>
    <w:rsid w:val="00903A65"/>
    <w:rsid w:val="00904636"/>
    <w:rsid w:val="00904F5C"/>
    <w:rsid w:val="00905501"/>
    <w:rsid w:val="00905E45"/>
    <w:rsid w:val="009060CE"/>
    <w:rsid w:val="00906381"/>
    <w:rsid w:val="0090662B"/>
    <w:rsid w:val="00906900"/>
    <w:rsid w:val="00906D40"/>
    <w:rsid w:val="00906DB0"/>
    <w:rsid w:val="00906E78"/>
    <w:rsid w:val="00907206"/>
    <w:rsid w:val="0090761D"/>
    <w:rsid w:val="009102BE"/>
    <w:rsid w:val="0091040C"/>
    <w:rsid w:val="009112F8"/>
    <w:rsid w:val="00911BF6"/>
    <w:rsid w:val="00911E55"/>
    <w:rsid w:val="00912FE0"/>
    <w:rsid w:val="0091328C"/>
    <w:rsid w:val="009133EA"/>
    <w:rsid w:val="00913FC1"/>
    <w:rsid w:val="009156C6"/>
    <w:rsid w:val="00915E33"/>
    <w:rsid w:val="00916045"/>
    <w:rsid w:val="00916923"/>
    <w:rsid w:val="00916FDE"/>
    <w:rsid w:val="00917046"/>
    <w:rsid w:val="00917BD3"/>
    <w:rsid w:val="00917FB5"/>
    <w:rsid w:val="0092000F"/>
    <w:rsid w:val="00920377"/>
    <w:rsid w:val="00921972"/>
    <w:rsid w:val="00921EBC"/>
    <w:rsid w:val="00923742"/>
    <w:rsid w:val="00923B7B"/>
    <w:rsid w:val="00923FC7"/>
    <w:rsid w:val="009245B8"/>
    <w:rsid w:val="0092504C"/>
    <w:rsid w:val="0092520E"/>
    <w:rsid w:val="00925FEB"/>
    <w:rsid w:val="00926B0E"/>
    <w:rsid w:val="00926D77"/>
    <w:rsid w:val="009278E1"/>
    <w:rsid w:val="00927D15"/>
    <w:rsid w:val="00927EED"/>
    <w:rsid w:val="00927FC5"/>
    <w:rsid w:val="00930718"/>
    <w:rsid w:val="009307D4"/>
    <w:rsid w:val="00931192"/>
    <w:rsid w:val="00931361"/>
    <w:rsid w:val="00931782"/>
    <w:rsid w:val="00931A35"/>
    <w:rsid w:val="00932474"/>
    <w:rsid w:val="00932E1A"/>
    <w:rsid w:val="00932E80"/>
    <w:rsid w:val="00933294"/>
    <w:rsid w:val="009337EB"/>
    <w:rsid w:val="0093426C"/>
    <w:rsid w:val="0093493C"/>
    <w:rsid w:val="00934AA3"/>
    <w:rsid w:val="00934EB0"/>
    <w:rsid w:val="009357CA"/>
    <w:rsid w:val="00935A2B"/>
    <w:rsid w:val="009361AC"/>
    <w:rsid w:val="0093736E"/>
    <w:rsid w:val="00937851"/>
    <w:rsid w:val="00937A4F"/>
    <w:rsid w:val="00937B94"/>
    <w:rsid w:val="00937BE1"/>
    <w:rsid w:val="00937DB1"/>
    <w:rsid w:val="009400AF"/>
    <w:rsid w:val="00940797"/>
    <w:rsid w:val="009407BF"/>
    <w:rsid w:val="00941320"/>
    <w:rsid w:val="009427F5"/>
    <w:rsid w:val="00943017"/>
    <w:rsid w:val="00944B07"/>
    <w:rsid w:val="00944BC4"/>
    <w:rsid w:val="00944E10"/>
    <w:rsid w:val="0094564B"/>
    <w:rsid w:val="009456F1"/>
    <w:rsid w:val="00945950"/>
    <w:rsid w:val="009468B4"/>
    <w:rsid w:val="00946E31"/>
    <w:rsid w:val="0094751E"/>
    <w:rsid w:val="00947C99"/>
    <w:rsid w:val="00950C62"/>
    <w:rsid w:val="00951F23"/>
    <w:rsid w:val="00952504"/>
    <w:rsid w:val="009529BB"/>
    <w:rsid w:val="00952B43"/>
    <w:rsid w:val="009535BA"/>
    <w:rsid w:val="0095368D"/>
    <w:rsid w:val="00953F00"/>
    <w:rsid w:val="00953F35"/>
    <w:rsid w:val="00954301"/>
    <w:rsid w:val="00954BB3"/>
    <w:rsid w:val="00954BCE"/>
    <w:rsid w:val="00954F37"/>
    <w:rsid w:val="00955319"/>
    <w:rsid w:val="009554E4"/>
    <w:rsid w:val="00955C84"/>
    <w:rsid w:val="00955C99"/>
    <w:rsid w:val="00956659"/>
    <w:rsid w:val="00957C4E"/>
    <w:rsid w:val="00960712"/>
    <w:rsid w:val="00960771"/>
    <w:rsid w:val="00961021"/>
    <w:rsid w:val="00961029"/>
    <w:rsid w:val="0096151B"/>
    <w:rsid w:val="00962986"/>
    <w:rsid w:val="00962BCA"/>
    <w:rsid w:val="00963989"/>
    <w:rsid w:val="0096398A"/>
    <w:rsid w:val="00963AA2"/>
    <w:rsid w:val="00963B43"/>
    <w:rsid w:val="00963BDD"/>
    <w:rsid w:val="009647DD"/>
    <w:rsid w:val="00964D81"/>
    <w:rsid w:val="0096522E"/>
    <w:rsid w:val="0096550B"/>
    <w:rsid w:val="0096633E"/>
    <w:rsid w:val="009667A9"/>
    <w:rsid w:val="009668A3"/>
    <w:rsid w:val="00966D76"/>
    <w:rsid w:val="009676BF"/>
    <w:rsid w:val="00967BCC"/>
    <w:rsid w:val="0097070D"/>
    <w:rsid w:val="00970D07"/>
    <w:rsid w:val="00970D84"/>
    <w:rsid w:val="00970E2C"/>
    <w:rsid w:val="00971A45"/>
    <w:rsid w:val="00971AEC"/>
    <w:rsid w:val="009726A9"/>
    <w:rsid w:val="00973093"/>
    <w:rsid w:val="0097327D"/>
    <w:rsid w:val="009753A6"/>
    <w:rsid w:val="009775EA"/>
    <w:rsid w:val="00977F77"/>
    <w:rsid w:val="00977F98"/>
    <w:rsid w:val="00977FA8"/>
    <w:rsid w:val="00981525"/>
    <w:rsid w:val="009820F1"/>
    <w:rsid w:val="009821ED"/>
    <w:rsid w:val="00982D57"/>
    <w:rsid w:val="009834FA"/>
    <w:rsid w:val="00983611"/>
    <w:rsid w:val="009836A0"/>
    <w:rsid w:val="00984268"/>
    <w:rsid w:val="00984463"/>
    <w:rsid w:val="00985350"/>
    <w:rsid w:val="00985762"/>
    <w:rsid w:val="00985ECF"/>
    <w:rsid w:val="009860C3"/>
    <w:rsid w:val="00986930"/>
    <w:rsid w:val="00986DFC"/>
    <w:rsid w:val="00987223"/>
    <w:rsid w:val="0099099A"/>
    <w:rsid w:val="00990D3E"/>
    <w:rsid w:val="009910A2"/>
    <w:rsid w:val="00991518"/>
    <w:rsid w:val="00992479"/>
    <w:rsid w:val="00992C33"/>
    <w:rsid w:val="00993A6E"/>
    <w:rsid w:val="0099413D"/>
    <w:rsid w:val="00994273"/>
    <w:rsid w:val="0099465D"/>
    <w:rsid w:val="0099494E"/>
    <w:rsid w:val="009953F6"/>
    <w:rsid w:val="009958B1"/>
    <w:rsid w:val="00995991"/>
    <w:rsid w:val="00995CA2"/>
    <w:rsid w:val="00996793"/>
    <w:rsid w:val="00996D62"/>
    <w:rsid w:val="00997022"/>
    <w:rsid w:val="00997338"/>
    <w:rsid w:val="009979ED"/>
    <w:rsid w:val="00997BBF"/>
    <w:rsid w:val="00997C17"/>
    <w:rsid w:val="00997D98"/>
    <w:rsid w:val="009A0825"/>
    <w:rsid w:val="009A0C46"/>
    <w:rsid w:val="009A1047"/>
    <w:rsid w:val="009A1163"/>
    <w:rsid w:val="009A1388"/>
    <w:rsid w:val="009A1602"/>
    <w:rsid w:val="009A1F10"/>
    <w:rsid w:val="009A2063"/>
    <w:rsid w:val="009A26A8"/>
    <w:rsid w:val="009A40C5"/>
    <w:rsid w:val="009A44FB"/>
    <w:rsid w:val="009A4DD7"/>
    <w:rsid w:val="009A4E56"/>
    <w:rsid w:val="009A4E9E"/>
    <w:rsid w:val="009A4EBF"/>
    <w:rsid w:val="009A4F5E"/>
    <w:rsid w:val="009A5915"/>
    <w:rsid w:val="009A6A99"/>
    <w:rsid w:val="009A7BD5"/>
    <w:rsid w:val="009B02B1"/>
    <w:rsid w:val="009B0331"/>
    <w:rsid w:val="009B2397"/>
    <w:rsid w:val="009B2D82"/>
    <w:rsid w:val="009B3348"/>
    <w:rsid w:val="009B336B"/>
    <w:rsid w:val="009B358D"/>
    <w:rsid w:val="009B3AA2"/>
    <w:rsid w:val="009B406F"/>
    <w:rsid w:val="009B44A3"/>
    <w:rsid w:val="009B4AEA"/>
    <w:rsid w:val="009B4E37"/>
    <w:rsid w:val="009B5447"/>
    <w:rsid w:val="009B6551"/>
    <w:rsid w:val="009B699A"/>
    <w:rsid w:val="009C01C8"/>
    <w:rsid w:val="009C040F"/>
    <w:rsid w:val="009C0A69"/>
    <w:rsid w:val="009C136E"/>
    <w:rsid w:val="009C193B"/>
    <w:rsid w:val="009C25EA"/>
    <w:rsid w:val="009C454A"/>
    <w:rsid w:val="009C4A2C"/>
    <w:rsid w:val="009C4BC5"/>
    <w:rsid w:val="009C5A62"/>
    <w:rsid w:val="009C5BBE"/>
    <w:rsid w:val="009C74B2"/>
    <w:rsid w:val="009C7506"/>
    <w:rsid w:val="009C78AE"/>
    <w:rsid w:val="009D01D6"/>
    <w:rsid w:val="009D02DF"/>
    <w:rsid w:val="009D0434"/>
    <w:rsid w:val="009D10D1"/>
    <w:rsid w:val="009D10F9"/>
    <w:rsid w:val="009D15F3"/>
    <w:rsid w:val="009D18B5"/>
    <w:rsid w:val="009D19B2"/>
    <w:rsid w:val="009D21B0"/>
    <w:rsid w:val="009D24AD"/>
    <w:rsid w:val="009D2CC0"/>
    <w:rsid w:val="009D301D"/>
    <w:rsid w:val="009D32CA"/>
    <w:rsid w:val="009D40B9"/>
    <w:rsid w:val="009D40BF"/>
    <w:rsid w:val="009D4664"/>
    <w:rsid w:val="009D467F"/>
    <w:rsid w:val="009D4F98"/>
    <w:rsid w:val="009D5366"/>
    <w:rsid w:val="009D574F"/>
    <w:rsid w:val="009D598A"/>
    <w:rsid w:val="009D59C0"/>
    <w:rsid w:val="009D5D0F"/>
    <w:rsid w:val="009D604D"/>
    <w:rsid w:val="009D64BE"/>
    <w:rsid w:val="009D6D28"/>
    <w:rsid w:val="009D7391"/>
    <w:rsid w:val="009E0729"/>
    <w:rsid w:val="009E1614"/>
    <w:rsid w:val="009E1968"/>
    <w:rsid w:val="009E234D"/>
    <w:rsid w:val="009E271E"/>
    <w:rsid w:val="009E2E71"/>
    <w:rsid w:val="009E572A"/>
    <w:rsid w:val="009E60F9"/>
    <w:rsid w:val="009E61BB"/>
    <w:rsid w:val="009E63E2"/>
    <w:rsid w:val="009E6423"/>
    <w:rsid w:val="009E6A78"/>
    <w:rsid w:val="009E6AF0"/>
    <w:rsid w:val="009E6F60"/>
    <w:rsid w:val="009E78EB"/>
    <w:rsid w:val="009E7BE7"/>
    <w:rsid w:val="009E7C13"/>
    <w:rsid w:val="009F00A0"/>
    <w:rsid w:val="009F0637"/>
    <w:rsid w:val="009F06E3"/>
    <w:rsid w:val="009F1055"/>
    <w:rsid w:val="009F168E"/>
    <w:rsid w:val="009F169C"/>
    <w:rsid w:val="009F1845"/>
    <w:rsid w:val="009F2459"/>
    <w:rsid w:val="009F249C"/>
    <w:rsid w:val="009F25C2"/>
    <w:rsid w:val="009F270F"/>
    <w:rsid w:val="009F2D03"/>
    <w:rsid w:val="009F4174"/>
    <w:rsid w:val="009F4249"/>
    <w:rsid w:val="009F452F"/>
    <w:rsid w:val="009F4629"/>
    <w:rsid w:val="009F4BBB"/>
    <w:rsid w:val="009F562C"/>
    <w:rsid w:val="009F64EB"/>
    <w:rsid w:val="009F6852"/>
    <w:rsid w:val="009F68C5"/>
    <w:rsid w:val="009F6BF0"/>
    <w:rsid w:val="009F6C38"/>
    <w:rsid w:val="009F7639"/>
    <w:rsid w:val="009F767C"/>
    <w:rsid w:val="009F7AF8"/>
    <w:rsid w:val="00A01C08"/>
    <w:rsid w:val="00A01FBF"/>
    <w:rsid w:val="00A022BD"/>
    <w:rsid w:val="00A02449"/>
    <w:rsid w:val="00A026AA"/>
    <w:rsid w:val="00A02806"/>
    <w:rsid w:val="00A0336E"/>
    <w:rsid w:val="00A035B2"/>
    <w:rsid w:val="00A036F2"/>
    <w:rsid w:val="00A03FC4"/>
    <w:rsid w:val="00A04009"/>
    <w:rsid w:val="00A041C2"/>
    <w:rsid w:val="00A044FE"/>
    <w:rsid w:val="00A04582"/>
    <w:rsid w:val="00A049B9"/>
    <w:rsid w:val="00A060CB"/>
    <w:rsid w:val="00A064E0"/>
    <w:rsid w:val="00A06ACB"/>
    <w:rsid w:val="00A06AF7"/>
    <w:rsid w:val="00A07123"/>
    <w:rsid w:val="00A07B7B"/>
    <w:rsid w:val="00A101F6"/>
    <w:rsid w:val="00A105F2"/>
    <w:rsid w:val="00A10E0F"/>
    <w:rsid w:val="00A1167C"/>
    <w:rsid w:val="00A1196F"/>
    <w:rsid w:val="00A121F7"/>
    <w:rsid w:val="00A124CE"/>
    <w:rsid w:val="00A12BF3"/>
    <w:rsid w:val="00A12F21"/>
    <w:rsid w:val="00A130AA"/>
    <w:rsid w:val="00A13AFF"/>
    <w:rsid w:val="00A14231"/>
    <w:rsid w:val="00A1444B"/>
    <w:rsid w:val="00A14958"/>
    <w:rsid w:val="00A14AFA"/>
    <w:rsid w:val="00A15AE1"/>
    <w:rsid w:val="00A15DBA"/>
    <w:rsid w:val="00A161A0"/>
    <w:rsid w:val="00A163BD"/>
    <w:rsid w:val="00A16DF9"/>
    <w:rsid w:val="00A16FB7"/>
    <w:rsid w:val="00A175C9"/>
    <w:rsid w:val="00A1771A"/>
    <w:rsid w:val="00A200BE"/>
    <w:rsid w:val="00A21DE9"/>
    <w:rsid w:val="00A22183"/>
    <w:rsid w:val="00A224D7"/>
    <w:rsid w:val="00A23367"/>
    <w:rsid w:val="00A23839"/>
    <w:rsid w:val="00A23C18"/>
    <w:rsid w:val="00A24037"/>
    <w:rsid w:val="00A241F2"/>
    <w:rsid w:val="00A24964"/>
    <w:rsid w:val="00A24DE6"/>
    <w:rsid w:val="00A25292"/>
    <w:rsid w:val="00A26206"/>
    <w:rsid w:val="00A26ACD"/>
    <w:rsid w:val="00A273DE"/>
    <w:rsid w:val="00A27723"/>
    <w:rsid w:val="00A27E77"/>
    <w:rsid w:val="00A30B14"/>
    <w:rsid w:val="00A31187"/>
    <w:rsid w:val="00A316A8"/>
    <w:rsid w:val="00A31860"/>
    <w:rsid w:val="00A3225A"/>
    <w:rsid w:val="00A3294F"/>
    <w:rsid w:val="00A3496E"/>
    <w:rsid w:val="00A35477"/>
    <w:rsid w:val="00A3556B"/>
    <w:rsid w:val="00A36A09"/>
    <w:rsid w:val="00A37758"/>
    <w:rsid w:val="00A4091C"/>
    <w:rsid w:val="00A4104C"/>
    <w:rsid w:val="00A4159C"/>
    <w:rsid w:val="00A4181B"/>
    <w:rsid w:val="00A420B1"/>
    <w:rsid w:val="00A42217"/>
    <w:rsid w:val="00A42266"/>
    <w:rsid w:val="00A422AA"/>
    <w:rsid w:val="00A4272D"/>
    <w:rsid w:val="00A42E61"/>
    <w:rsid w:val="00A42EEA"/>
    <w:rsid w:val="00A4396E"/>
    <w:rsid w:val="00A4487D"/>
    <w:rsid w:val="00A44ECD"/>
    <w:rsid w:val="00A4502C"/>
    <w:rsid w:val="00A4572F"/>
    <w:rsid w:val="00A45A72"/>
    <w:rsid w:val="00A45C69"/>
    <w:rsid w:val="00A46B90"/>
    <w:rsid w:val="00A473D0"/>
    <w:rsid w:val="00A474B2"/>
    <w:rsid w:val="00A47589"/>
    <w:rsid w:val="00A4761A"/>
    <w:rsid w:val="00A476E4"/>
    <w:rsid w:val="00A47894"/>
    <w:rsid w:val="00A47BD7"/>
    <w:rsid w:val="00A47C03"/>
    <w:rsid w:val="00A50580"/>
    <w:rsid w:val="00A50A38"/>
    <w:rsid w:val="00A50D4F"/>
    <w:rsid w:val="00A51A67"/>
    <w:rsid w:val="00A53422"/>
    <w:rsid w:val="00A539AC"/>
    <w:rsid w:val="00A55EA0"/>
    <w:rsid w:val="00A5612A"/>
    <w:rsid w:val="00A56EB1"/>
    <w:rsid w:val="00A575A5"/>
    <w:rsid w:val="00A606E0"/>
    <w:rsid w:val="00A61370"/>
    <w:rsid w:val="00A6221D"/>
    <w:rsid w:val="00A63A33"/>
    <w:rsid w:val="00A63C14"/>
    <w:rsid w:val="00A63D42"/>
    <w:rsid w:val="00A63DF1"/>
    <w:rsid w:val="00A64BC9"/>
    <w:rsid w:val="00A64BFB"/>
    <w:rsid w:val="00A650C6"/>
    <w:rsid w:val="00A655FF"/>
    <w:rsid w:val="00A66063"/>
    <w:rsid w:val="00A667B4"/>
    <w:rsid w:val="00A66EEC"/>
    <w:rsid w:val="00A702A1"/>
    <w:rsid w:val="00A703E3"/>
    <w:rsid w:val="00A70611"/>
    <w:rsid w:val="00A7149C"/>
    <w:rsid w:val="00A71E55"/>
    <w:rsid w:val="00A72724"/>
    <w:rsid w:val="00A72C93"/>
    <w:rsid w:val="00A730C0"/>
    <w:rsid w:val="00A730D8"/>
    <w:rsid w:val="00A7322B"/>
    <w:rsid w:val="00A7327D"/>
    <w:rsid w:val="00A73E2E"/>
    <w:rsid w:val="00A74D43"/>
    <w:rsid w:val="00A755C6"/>
    <w:rsid w:val="00A75D1D"/>
    <w:rsid w:val="00A75DA4"/>
    <w:rsid w:val="00A7702B"/>
    <w:rsid w:val="00A77445"/>
    <w:rsid w:val="00A77544"/>
    <w:rsid w:val="00A77C7F"/>
    <w:rsid w:val="00A80CE0"/>
    <w:rsid w:val="00A81423"/>
    <w:rsid w:val="00A8173A"/>
    <w:rsid w:val="00A8231A"/>
    <w:rsid w:val="00A8331A"/>
    <w:rsid w:val="00A83340"/>
    <w:rsid w:val="00A84109"/>
    <w:rsid w:val="00A8491C"/>
    <w:rsid w:val="00A84A72"/>
    <w:rsid w:val="00A862B5"/>
    <w:rsid w:val="00A86DDD"/>
    <w:rsid w:val="00A8721C"/>
    <w:rsid w:val="00A8738D"/>
    <w:rsid w:val="00A8788E"/>
    <w:rsid w:val="00A90048"/>
    <w:rsid w:val="00A90153"/>
    <w:rsid w:val="00A904A3"/>
    <w:rsid w:val="00A906DD"/>
    <w:rsid w:val="00A90ABF"/>
    <w:rsid w:val="00A90EA6"/>
    <w:rsid w:val="00A91256"/>
    <w:rsid w:val="00A914F4"/>
    <w:rsid w:val="00A92038"/>
    <w:rsid w:val="00A93C08"/>
    <w:rsid w:val="00A93CEF"/>
    <w:rsid w:val="00A944D8"/>
    <w:rsid w:val="00A94C5F"/>
    <w:rsid w:val="00A94E77"/>
    <w:rsid w:val="00A94F58"/>
    <w:rsid w:val="00A950E2"/>
    <w:rsid w:val="00A956FD"/>
    <w:rsid w:val="00A95978"/>
    <w:rsid w:val="00A95F81"/>
    <w:rsid w:val="00A964B9"/>
    <w:rsid w:val="00A96F52"/>
    <w:rsid w:val="00A973D0"/>
    <w:rsid w:val="00A97A5C"/>
    <w:rsid w:val="00AA08ED"/>
    <w:rsid w:val="00AA0A64"/>
    <w:rsid w:val="00AA13F9"/>
    <w:rsid w:val="00AA2916"/>
    <w:rsid w:val="00AA2B3F"/>
    <w:rsid w:val="00AA32C2"/>
    <w:rsid w:val="00AA34D7"/>
    <w:rsid w:val="00AA3B62"/>
    <w:rsid w:val="00AA4143"/>
    <w:rsid w:val="00AA4C6A"/>
    <w:rsid w:val="00AA4D54"/>
    <w:rsid w:val="00AA52D1"/>
    <w:rsid w:val="00AA5F29"/>
    <w:rsid w:val="00AA6302"/>
    <w:rsid w:val="00AA6827"/>
    <w:rsid w:val="00AA6AC9"/>
    <w:rsid w:val="00AA6B1D"/>
    <w:rsid w:val="00AA6CA2"/>
    <w:rsid w:val="00AB02C0"/>
    <w:rsid w:val="00AB0C8C"/>
    <w:rsid w:val="00AB177B"/>
    <w:rsid w:val="00AB1B04"/>
    <w:rsid w:val="00AB2525"/>
    <w:rsid w:val="00AB2BAB"/>
    <w:rsid w:val="00AB2CA2"/>
    <w:rsid w:val="00AB2EC1"/>
    <w:rsid w:val="00AB3421"/>
    <w:rsid w:val="00AB3667"/>
    <w:rsid w:val="00AB3A0E"/>
    <w:rsid w:val="00AB493D"/>
    <w:rsid w:val="00AB4EB2"/>
    <w:rsid w:val="00AB5D17"/>
    <w:rsid w:val="00AB61B0"/>
    <w:rsid w:val="00AB649C"/>
    <w:rsid w:val="00AB65EF"/>
    <w:rsid w:val="00AB6811"/>
    <w:rsid w:val="00AB6966"/>
    <w:rsid w:val="00AB6C93"/>
    <w:rsid w:val="00AB6CED"/>
    <w:rsid w:val="00AB6CFF"/>
    <w:rsid w:val="00AB7CB5"/>
    <w:rsid w:val="00AC0C63"/>
    <w:rsid w:val="00AC0E75"/>
    <w:rsid w:val="00AC0E96"/>
    <w:rsid w:val="00AC2146"/>
    <w:rsid w:val="00AC217D"/>
    <w:rsid w:val="00AC25B9"/>
    <w:rsid w:val="00AC2D6C"/>
    <w:rsid w:val="00AC3833"/>
    <w:rsid w:val="00AC3C68"/>
    <w:rsid w:val="00AC407B"/>
    <w:rsid w:val="00AC40E6"/>
    <w:rsid w:val="00AC4302"/>
    <w:rsid w:val="00AC451C"/>
    <w:rsid w:val="00AC4534"/>
    <w:rsid w:val="00AC4997"/>
    <w:rsid w:val="00AC49BE"/>
    <w:rsid w:val="00AC52F6"/>
    <w:rsid w:val="00AC5720"/>
    <w:rsid w:val="00AC5D71"/>
    <w:rsid w:val="00AC5DBF"/>
    <w:rsid w:val="00AC66D2"/>
    <w:rsid w:val="00AC70C6"/>
    <w:rsid w:val="00AC723D"/>
    <w:rsid w:val="00AD05EA"/>
    <w:rsid w:val="00AD0A8B"/>
    <w:rsid w:val="00AD218E"/>
    <w:rsid w:val="00AD26A8"/>
    <w:rsid w:val="00AD2DA2"/>
    <w:rsid w:val="00AD2DC2"/>
    <w:rsid w:val="00AD2FBD"/>
    <w:rsid w:val="00AD36E5"/>
    <w:rsid w:val="00AD4745"/>
    <w:rsid w:val="00AD4978"/>
    <w:rsid w:val="00AD4D13"/>
    <w:rsid w:val="00AD52A2"/>
    <w:rsid w:val="00AD5C38"/>
    <w:rsid w:val="00AD69A8"/>
    <w:rsid w:val="00AD6A6B"/>
    <w:rsid w:val="00AD6D54"/>
    <w:rsid w:val="00AD707D"/>
    <w:rsid w:val="00AD72A2"/>
    <w:rsid w:val="00AD7339"/>
    <w:rsid w:val="00AD7BC2"/>
    <w:rsid w:val="00AD7C0D"/>
    <w:rsid w:val="00AD7E93"/>
    <w:rsid w:val="00AE0228"/>
    <w:rsid w:val="00AE1D69"/>
    <w:rsid w:val="00AE277C"/>
    <w:rsid w:val="00AE2825"/>
    <w:rsid w:val="00AE295F"/>
    <w:rsid w:val="00AE333C"/>
    <w:rsid w:val="00AE3371"/>
    <w:rsid w:val="00AE451E"/>
    <w:rsid w:val="00AE4B7C"/>
    <w:rsid w:val="00AE5240"/>
    <w:rsid w:val="00AE5909"/>
    <w:rsid w:val="00AE5DF8"/>
    <w:rsid w:val="00AE65BE"/>
    <w:rsid w:val="00AE6DE5"/>
    <w:rsid w:val="00AE6F12"/>
    <w:rsid w:val="00AE755A"/>
    <w:rsid w:val="00AE76BE"/>
    <w:rsid w:val="00AE7AF3"/>
    <w:rsid w:val="00AF05A6"/>
    <w:rsid w:val="00AF08FF"/>
    <w:rsid w:val="00AF0D17"/>
    <w:rsid w:val="00AF0D8F"/>
    <w:rsid w:val="00AF1432"/>
    <w:rsid w:val="00AF14B3"/>
    <w:rsid w:val="00AF14B9"/>
    <w:rsid w:val="00AF1B25"/>
    <w:rsid w:val="00AF1C36"/>
    <w:rsid w:val="00AF2162"/>
    <w:rsid w:val="00AF219E"/>
    <w:rsid w:val="00AF33A4"/>
    <w:rsid w:val="00AF3577"/>
    <w:rsid w:val="00AF3A15"/>
    <w:rsid w:val="00AF4208"/>
    <w:rsid w:val="00AF4537"/>
    <w:rsid w:val="00AF4CD2"/>
    <w:rsid w:val="00AF4E2C"/>
    <w:rsid w:val="00AF5174"/>
    <w:rsid w:val="00AF6061"/>
    <w:rsid w:val="00AF675F"/>
    <w:rsid w:val="00AF7D12"/>
    <w:rsid w:val="00AF7EE2"/>
    <w:rsid w:val="00B00AAB"/>
    <w:rsid w:val="00B016E4"/>
    <w:rsid w:val="00B01B0D"/>
    <w:rsid w:val="00B01B64"/>
    <w:rsid w:val="00B01F46"/>
    <w:rsid w:val="00B01FDA"/>
    <w:rsid w:val="00B03509"/>
    <w:rsid w:val="00B03A7A"/>
    <w:rsid w:val="00B03F79"/>
    <w:rsid w:val="00B046D5"/>
    <w:rsid w:val="00B05118"/>
    <w:rsid w:val="00B051C9"/>
    <w:rsid w:val="00B0559A"/>
    <w:rsid w:val="00B0575D"/>
    <w:rsid w:val="00B05797"/>
    <w:rsid w:val="00B059DD"/>
    <w:rsid w:val="00B05FF0"/>
    <w:rsid w:val="00B06F52"/>
    <w:rsid w:val="00B07136"/>
    <w:rsid w:val="00B073AE"/>
    <w:rsid w:val="00B075D3"/>
    <w:rsid w:val="00B0782F"/>
    <w:rsid w:val="00B07EBC"/>
    <w:rsid w:val="00B10126"/>
    <w:rsid w:val="00B10A9F"/>
    <w:rsid w:val="00B10B16"/>
    <w:rsid w:val="00B10D20"/>
    <w:rsid w:val="00B10FBE"/>
    <w:rsid w:val="00B117DF"/>
    <w:rsid w:val="00B126C1"/>
    <w:rsid w:val="00B127C7"/>
    <w:rsid w:val="00B12AE4"/>
    <w:rsid w:val="00B12F0F"/>
    <w:rsid w:val="00B12FA7"/>
    <w:rsid w:val="00B137DA"/>
    <w:rsid w:val="00B138A6"/>
    <w:rsid w:val="00B13988"/>
    <w:rsid w:val="00B13D15"/>
    <w:rsid w:val="00B13E21"/>
    <w:rsid w:val="00B1454B"/>
    <w:rsid w:val="00B1455A"/>
    <w:rsid w:val="00B14625"/>
    <w:rsid w:val="00B14CC1"/>
    <w:rsid w:val="00B14DFF"/>
    <w:rsid w:val="00B14F96"/>
    <w:rsid w:val="00B159FF"/>
    <w:rsid w:val="00B15A6A"/>
    <w:rsid w:val="00B15EEE"/>
    <w:rsid w:val="00B15EF1"/>
    <w:rsid w:val="00B16EDC"/>
    <w:rsid w:val="00B17657"/>
    <w:rsid w:val="00B17726"/>
    <w:rsid w:val="00B2072B"/>
    <w:rsid w:val="00B20B94"/>
    <w:rsid w:val="00B210C3"/>
    <w:rsid w:val="00B21397"/>
    <w:rsid w:val="00B21401"/>
    <w:rsid w:val="00B2144D"/>
    <w:rsid w:val="00B218EE"/>
    <w:rsid w:val="00B22027"/>
    <w:rsid w:val="00B22B1D"/>
    <w:rsid w:val="00B22DAF"/>
    <w:rsid w:val="00B22E35"/>
    <w:rsid w:val="00B22E79"/>
    <w:rsid w:val="00B237FE"/>
    <w:rsid w:val="00B238B9"/>
    <w:rsid w:val="00B23AEC"/>
    <w:rsid w:val="00B23CEA"/>
    <w:rsid w:val="00B23D61"/>
    <w:rsid w:val="00B247B3"/>
    <w:rsid w:val="00B24B81"/>
    <w:rsid w:val="00B25981"/>
    <w:rsid w:val="00B26678"/>
    <w:rsid w:val="00B26952"/>
    <w:rsid w:val="00B26F6C"/>
    <w:rsid w:val="00B271DC"/>
    <w:rsid w:val="00B27836"/>
    <w:rsid w:val="00B27D49"/>
    <w:rsid w:val="00B30C0C"/>
    <w:rsid w:val="00B31BFC"/>
    <w:rsid w:val="00B3257F"/>
    <w:rsid w:val="00B32679"/>
    <w:rsid w:val="00B32F24"/>
    <w:rsid w:val="00B33234"/>
    <w:rsid w:val="00B33279"/>
    <w:rsid w:val="00B33599"/>
    <w:rsid w:val="00B33CB5"/>
    <w:rsid w:val="00B340F6"/>
    <w:rsid w:val="00B344F3"/>
    <w:rsid w:val="00B349CC"/>
    <w:rsid w:val="00B34CA0"/>
    <w:rsid w:val="00B34E6B"/>
    <w:rsid w:val="00B352CD"/>
    <w:rsid w:val="00B35B46"/>
    <w:rsid w:val="00B37188"/>
    <w:rsid w:val="00B37704"/>
    <w:rsid w:val="00B37752"/>
    <w:rsid w:val="00B37F82"/>
    <w:rsid w:val="00B40E84"/>
    <w:rsid w:val="00B41860"/>
    <w:rsid w:val="00B41A62"/>
    <w:rsid w:val="00B41CD2"/>
    <w:rsid w:val="00B4277A"/>
    <w:rsid w:val="00B42AAE"/>
    <w:rsid w:val="00B4348C"/>
    <w:rsid w:val="00B43C16"/>
    <w:rsid w:val="00B43EB6"/>
    <w:rsid w:val="00B43FE9"/>
    <w:rsid w:val="00B44A80"/>
    <w:rsid w:val="00B4544E"/>
    <w:rsid w:val="00B45A07"/>
    <w:rsid w:val="00B45D1A"/>
    <w:rsid w:val="00B46191"/>
    <w:rsid w:val="00B46673"/>
    <w:rsid w:val="00B46AFC"/>
    <w:rsid w:val="00B47549"/>
    <w:rsid w:val="00B50628"/>
    <w:rsid w:val="00B50954"/>
    <w:rsid w:val="00B50D4D"/>
    <w:rsid w:val="00B5139A"/>
    <w:rsid w:val="00B51B20"/>
    <w:rsid w:val="00B51C9B"/>
    <w:rsid w:val="00B51E39"/>
    <w:rsid w:val="00B520A6"/>
    <w:rsid w:val="00B5320A"/>
    <w:rsid w:val="00B53229"/>
    <w:rsid w:val="00B537E2"/>
    <w:rsid w:val="00B539A2"/>
    <w:rsid w:val="00B5447F"/>
    <w:rsid w:val="00B54899"/>
    <w:rsid w:val="00B54A40"/>
    <w:rsid w:val="00B55323"/>
    <w:rsid w:val="00B55760"/>
    <w:rsid w:val="00B55CCD"/>
    <w:rsid w:val="00B57C90"/>
    <w:rsid w:val="00B621F3"/>
    <w:rsid w:val="00B62723"/>
    <w:rsid w:val="00B630F6"/>
    <w:rsid w:val="00B633BC"/>
    <w:rsid w:val="00B637EB"/>
    <w:rsid w:val="00B63A18"/>
    <w:rsid w:val="00B6428C"/>
    <w:rsid w:val="00B643BC"/>
    <w:rsid w:val="00B64595"/>
    <w:rsid w:val="00B648EE"/>
    <w:rsid w:val="00B64B72"/>
    <w:rsid w:val="00B65E20"/>
    <w:rsid w:val="00B65EF5"/>
    <w:rsid w:val="00B6613C"/>
    <w:rsid w:val="00B667AC"/>
    <w:rsid w:val="00B6690A"/>
    <w:rsid w:val="00B67E5A"/>
    <w:rsid w:val="00B70290"/>
    <w:rsid w:val="00B70718"/>
    <w:rsid w:val="00B712C9"/>
    <w:rsid w:val="00B71659"/>
    <w:rsid w:val="00B7194E"/>
    <w:rsid w:val="00B71D2A"/>
    <w:rsid w:val="00B71E0B"/>
    <w:rsid w:val="00B72202"/>
    <w:rsid w:val="00B72A4F"/>
    <w:rsid w:val="00B72D91"/>
    <w:rsid w:val="00B733CB"/>
    <w:rsid w:val="00B74679"/>
    <w:rsid w:val="00B74914"/>
    <w:rsid w:val="00B74AB4"/>
    <w:rsid w:val="00B74ED9"/>
    <w:rsid w:val="00B74FB5"/>
    <w:rsid w:val="00B74FD0"/>
    <w:rsid w:val="00B7514C"/>
    <w:rsid w:val="00B75792"/>
    <w:rsid w:val="00B757B8"/>
    <w:rsid w:val="00B75BFF"/>
    <w:rsid w:val="00B76924"/>
    <w:rsid w:val="00B76F88"/>
    <w:rsid w:val="00B7749A"/>
    <w:rsid w:val="00B77B2A"/>
    <w:rsid w:val="00B77CF2"/>
    <w:rsid w:val="00B77FE9"/>
    <w:rsid w:val="00B8048C"/>
    <w:rsid w:val="00B804C4"/>
    <w:rsid w:val="00B80958"/>
    <w:rsid w:val="00B80B84"/>
    <w:rsid w:val="00B80CC0"/>
    <w:rsid w:val="00B80F90"/>
    <w:rsid w:val="00B81227"/>
    <w:rsid w:val="00B81255"/>
    <w:rsid w:val="00B8286A"/>
    <w:rsid w:val="00B82A75"/>
    <w:rsid w:val="00B837B8"/>
    <w:rsid w:val="00B8468A"/>
    <w:rsid w:val="00B8477E"/>
    <w:rsid w:val="00B858FA"/>
    <w:rsid w:val="00B85D00"/>
    <w:rsid w:val="00B86068"/>
    <w:rsid w:val="00B86742"/>
    <w:rsid w:val="00B86B84"/>
    <w:rsid w:val="00B86FBF"/>
    <w:rsid w:val="00B87009"/>
    <w:rsid w:val="00B87141"/>
    <w:rsid w:val="00B875F3"/>
    <w:rsid w:val="00B87ECF"/>
    <w:rsid w:val="00B9047A"/>
    <w:rsid w:val="00B904F7"/>
    <w:rsid w:val="00B9053C"/>
    <w:rsid w:val="00B907F8"/>
    <w:rsid w:val="00B90A37"/>
    <w:rsid w:val="00B90BA5"/>
    <w:rsid w:val="00B90CF8"/>
    <w:rsid w:val="00B91A24"/>
    <w:rsid w:val="00B91F98"/>
    <w:rsid w:val="00B9251A"/>
    <w:rsid w:val="00B92B76"/>
    <w:rsid w:val="00B92B8C"/>
    <w:rsid w:val="00B92DAC"/>
    <w:rsid w:val="00B9328F"/>
    <w:rsid w:val="00B93FFC"/>
    <w:rsid w:val="00B951FA"/>
    <w:rsid w:val="00B953F6"/>
    <w:rsid w:val="00B9542C"/>
    <w:rsid w:val="00B9573A"/>
    <w:rsid w:val="00B959FC"/>
    <w:rsid w:val="00B95F61"/>
    <w:rsid w:val="00B9605B"/>
    <w:rsid w:val="00B96243"/>
    <w:rsid w:val="00B966BC"/>
    <w:rsid w:val="00B9671A"/>
    <w:rsid w:val="00B96765"/>
    <w:rsid w:val="00B971A7"/>
    <w:rsid w:val="00B972EF"/>
    <w:rsid w:val="00B977FE"/>
    <w:rsid w:val="00B97ACF"/>
    <w:rsid w:val="00BA0938"/>
    <w:rsid w:val="00BA1C11"/>
    <w:rsid w:val="00BA2B32"/>
    <w:rsid w:val="00BA2FA7"/>
    <w:rsid w:val="00BA3717"/>
    <w:rsid w:val="00BA38E9"/>
    <w:rsid w:val="00BA3A7A"/>
    <w:rsid w:val="00BA3B0F"/>
    <w:rsid w:val="00BA4085"/>
    <w:rsid w:val="00BA420E"/>
    <w:rsid w:val="00BA42B6"/>
    <w:rsid w:val="00BA43F4"/>
    <w:rsid w:val="00BA4797"/>
    <w:rsid w:val="00BA50F5"/>
    <w:rsid w:val="00BA547A"/>
    <w:rsid w:val="00BA55EB"/>
    <w:rsid w:val="00BA6299"/>
    <w:rsid w:val="00BA66F2"/>
    <w:rsid w:val="00BA6958"/>
    <w:rsid w:val="00BA703A"/>
    <w:rsid w:val="00BA729D"/>
    <w:rsid w:val="00BA77D1"/>
    <w:rsid w:val="00BB093B"/>
    <w:rsid w:val="00BB153A"/>
    <w:rsid w:val="00BB1F87"/>
    <w:rsid w:val="00BB2184"/>
    <w:rsid w:val="00BB2750"/>
    <w:rsid w:val="00BB286B"/>
    <w:rsid w:val="00BB3478"/>
    <w:rsid w:val="00BB40A7"/>
    <w:rsid w:val="00BB42AE"/>
    <w:rsid w:val="00BB42C2"/>
    <w:rsid w:val="00BB47E6"/>
    <w:rsid w:val="00BB4BFB"/>
    <w:rsid w:val="00BB4D64"/>
    <w:rsid w:val="00BB4F80"/>
    <w:rsid w:val="00BB55BC"/>
    <w:rsid w:val="00BB5E8D"/>
    <w:rsid w:val="00BB65AD"/>
    <w:rsid w:val="00BB6891"/>
    <w:rsid w:val="00BB6A13"/>
    <w:rsid w:val="00BB6B30"/>
    <w:rsid w:val="00BB73D7"/>
    <w:rsid w:val="00BB741B"/>
    <w:rsid w:val="00BB78A9"/>
    <w:rsid w:val="00BC03B3"/>
    <w:rsid w:val="00BC11A2"/>
    <w:rsid w:val="00BC1262"/>
    <w:rsid w:val="00BC246C"/>
    <w:rsid w:val="00BC29E7"/>
    <w:rsid w:val="00BC2F9D"/>
    <w:rsid w:val="00BC2FCE"/>
    <w:rsid w:val="00BC3B7A"/>
    <w:rsid w:val="00BC3BA8"/>
    <w:rsid w:val="00BC3BF9"/>
    <w:rsid w:val="00BC3C93"/>
    <w:rsid w:val="00BC412D"/>
    <w:rsid w:val="00BC4B78"/>
    <w:rsid w:val="00BC5B43"/>
    <w:rsid w:val="00BC63E2"/>
    <w:rsid w:val="00BC6461"/>
    <w:rsid w:val="00BC6B1D"/>
    <w:rsid w:val="00BC6B51"/>
    <w:rsid w:val="00BC74DA"/>
    <w:rsid w:val="00BC751B"/>
    <w:rsid w:val="00BC7556"/>
    <w:rsid w:val="00BC7E8D"/>
    <w:rsid w:val="00BD011E"/>
    <w:rsid w:val="00BD09A1"/>
    <w:rsid w:val="00BD0D19"/>
    <w:rsid w:val="00BD13F8"/>
    <w:rsid w:val="00BD1985"/>
    <w:rsid w:val="00BD24B3"/>
    <w:rsid w:val="00BD2AF2"/>
    <w:rsid w:val="00BD315E"/>
    <w:rsid w:val="00BD3AA7"/>
    <w:rsid w:val="00BD3C91"/>
    <w:rsid w:val="00BD3C98"/>
    <w:rsid w:val="00BD3FB6"/>
    <w:rsid w:val="00BD4859"/>
    <w:rsid w:val="00BD499B"/>
    <w:rsid w:val="00BD4AB9"/>
    <w:rsid w:val="00BD4CA4"/>
    <w:rsid w:val="00BD53C6"/>
    <w:rsid w:val="00BD59EC"/>
    <w:rsid w:val="00BD5A33"/>
    <w:rsid w:val="00BD5D47"/>
    <w:rsid w:val="00BD5DBB"/>
    <w:rsid w:val="00BD628E"/>
    <w:rsid w:val="00BD630F"/>
    <w:rsid w:val="00BD6970"/>
    <w:rsid w:val="00BD6A12"/>
    <w:rsid w:val="00BD7095"/>
    <w:rsid w:val="00BD7150"/>
    <w:rsid w:val="00BD7248"/>
    <w:rsid w:val="00BD759B"/>
    <w:rsid w:val="00BD7EBE"/>
    <w:rsid w:val="00BE0DAE"/>
    <w:rsid w:val="00BE1C37"/>
    <w:rsid w:val="00BE1CC3"/>
    <w:rsid w:val="00BE1E05"/>
    <w:rsid w:val="00BE1E12"/>
    <w:rsid w:val="00BE20EE"/>
    <w:rsid w:val="00BE20FB"/>
    <w:rsid w:val="00BE2144"/>
    <w:rsid w:val="00BE254A"/>
    <w:rsid w:val="00BE267D"/>
    <w:rsid w:val="00BE26E1"/>
    <w:rsid w:val="00BE2E44"/>
    <w:rsid w:val="00BE3679"/>
    <w:rsid w:val="00BE3B81"/>
    <w:rsid w:val="00BE3F25"/>
    <w:rsid w:val="00BE40DB"/>
    <w:rsid w:val="00BE4411"/>
    <w:rsid w:val="00BE4420"/>
    <w:rsid w:val="00BE4949"/>
    <w:rsid w:val="00BE52F0"/>
    <w:rsid w:val="00BE5416"/>
    <w:rsid w:val="00BE679F"/>
    <w:rsid w:val="00BE73DC"/>
    <w:rsid w:val="00BE7642"/>
    <w:rsid w:val="00BE7684"/>
    <w:rsid w:val="00BE7998"/>
    <w:rsid w:val="00BF0343"/>
    <w:rsid w:val="00BF06C0"/>
    <w:rsid w:val="00BF0775"/>
    <w:rsid w:val="00BF0894"/>
    <w:rsid w:val="00BF08C0"/>
    <w:rsid w:val="00BF0CC8"/>
    <w:rsid w:val="00BF1361"/>
    <w:rsid w:val="00BF140A"/>
    <w:rsid w:val="00BF1685"/>
    <w:rsid w:val="00BF1A41"/>
    <w:rsid w:val="00BF2559"/>
    <w:rsid w:val="00BF2662"/>
    <w:rsid w:val="00BF2682"/>
    <w:rsid w:val="00BF26DF"/>
    <w:rsid w:val="00BF29A5"/>
    <w:rsid w:val="00BF3A49"/>
    <w:rsid w:val="00BF43BC"/>
    <w:rsid w:val="00BF553A"/>
    <w:rsid w:val="00BF62BF"/>
    <w:rsid w:val="00BF662C"/>
    <w:rsid w:val="00BF680F"/>
    <w:rsid w:val="00BF7758"/>
    <w:rsid w:val="00BF787C"/>
    <w:rsid w:val="00C00832"/>
    <w:rsid w:val="00C0083F"/>
    <w:rsid w:val="00C017B8"/>
    <w:rsid w:val="00C01DAF"/>
    <w:rsid w:val="00C02250"/>
    <w:rsid w:val="00C02BAA"/>
    <w:rsid w:val="00C03A1E"/>
    <w:rsid w:val="00C042AA"/>
    <w:rsid w:val="00C04656"/>
    <w:rsid w:val="00C0500C"/>
    <w:rsid w:val="00C051C3"/>
    <w:rsid w:val="00C056F2"/>
    <w:rsid w:val="00C05DC4"/>
    <w:rsid w:val="00C0665C"/>
    <w:rsid w:val="00C06D62"/>
    <w:rsid w:val="00C06ECA"/>
    <w:rsid w:val="00C073CA"/>
    <w:rsid w:val="00C0793C"/>
    <w:rsid w:val="00C07F6E"/>
    <w:rsid w:val="00C102CA"/>
    <w:rsid w:val="00C106E5"/>
    <w:rsid w:val="00C10F1D"/>
    <w:rsid w:val="00C1193C"/>
    <w:rsid w:val="00C125C8"/>
    <w:rsid w:val="00C13CA9"/>
    <w:rsid w:val="00C15C98"/>
    <w:rsid w:val="00C1630C"/>
    <w:rsid w:val="00C16351"/>
    <w:rsid w:val="00C16716"/>
    <w:rsid w:val="00C204DD"/>
    <w:rsid w:val="00C2098E"/>
    <w:rsid w:val="00C210F4"/>
    <w:rsid w:val="00C219E0"/>
    <w:rsid w:val="00C221DD"/>
    <w:rsid w:val="00C228A4"/>
    <w:rsid w:val="00C22B57"/>
    <w:rsid w:val="00C232A2"/>
    <w:rsid w:val="00C2383F"/>
    <w:rsid w:val="00C2402D"/>
    <w:rsid w:val="00C24125"/>
    <w:rsid w:val="00C24140"/>
    <w:rsid w:val="00C241ED"/>
    <w:rsid w:val="00C247C6"/>
    <w:rsid w:val="00C24E46"/>
    <w:rsid w:val="00C25DAF"/>
    <w:rsid w:val="00C2634D"/>
    <w:rsid w:val="00C2661E"/>
    <w:rsid w:val="00C26A95"/>
    <w:rsid w:val="00C27037"/>
    <w:rsid w:val="00C3039A"/>
    <w:rsid w:val="00C303B6"/>
    <w:rsid w:val="00C3071F"/>
    <w:rsid w:val="00C308E8"/>
    <w:rsid w:val="00C311E4"/>
    <w:rsid w:val="00C31480"/>
    <w:rsid w:val="00C31742"/>
    <w:rsid w:val="00C32592"/>
    <w:rsid w:val="00C32972"/>
    <w:rsid w:val="00C33145"/>
    <w:rsid w:val="00C334E7"/>
    <w:rsid w:val="00C33E12"/>
    <w:rsid w:val="00C342F3"/>
    <w:rsid w:val="00C34405"/>
    <w:rsid w:val="00C34A3F"/>
    <w:rsid w:val="00C34C42"/>
    <w:rsid w:val="00C34D92"/>
    <w:rsid w:val="00C34F2A"/>
    <w:rsid w:val="00C34FD7"/>
    <w:rsid w:val="00C355EC"/>
    <w:rsid w:val="00C35874"/>
    <w:rsid w:val="00C36D88"/>
    <w:rsid w:val="00C40865"/>
    <w:rsid w:val="00C41722"/>
    <w:rsid w:val="00C41BE0"/>
    <w:rsid w:val="00C41DAF"/>
    <w:rsid w:val="00C422BB"/>
    <w:rsid w:val="00C42442"/>
    <w:rsid w:val="00C43297"/>
    <w:rsid w:val="00C4341C"/>
    <w:rsid w:val="00C4419D"/>
    <w:rsid w:val="00C44866"/>
    <w:rsid w:val="00C45720"/>
    <w:rsid w:val="00C459BA"/>
    <w:rsid w:val="00C45DF4"/>
    <w:rsid w:val="00C4623B"/>
    <w:rsid w:val="00C462B5"/>
    <w:rsid w:val="00C46623"/>
    <w:rsid w:val="00C4779E"/>
    <w:rsid w:val="00C4785A"/>
    <w:rsid w:val="00C50060"/>
    <w:rsid w:val="00C50ABE"/>
    <w:rsid w:val="00C512E8"/>
    <w:rsid w:val="00C51ACF"/>
    <w:rsid w:val="00C5336C"/>
    <w:rsid w:val="00C53868"/>
    <w:rsid w:val="00C5399C"/>
    <w:rsid w:val="00C54102"/>
    <w:rsid w:val="00C54175"/>
    <w:rsid w:val="00C5488D"/>
    <w:rsid w:val="00C548B4"/>
    <w:rsid w:val="00C54A8B"/>
    <w:rsid w:val="00C55B42"/>
    <w:rsid w:val="00C56737"/>
    <w:rsid w:val="00C56782"/>
    <w:rsid w:val="00C570AF"/>
    <w:rsid w:val="00C572B2"/>
    <w:rsid w:val="00C575D3"/>
    <w:rsid w:val="00C57CF6"/>
    <w:rsid w:val="00C60009"/>
    <w:rsid w:val="00C60222"/>
    <w:rsid w:val="00C60594"/>
    <w:rsid w:val="00C606EC"/>
    <w:rsid w:val="00C6094F"/>
    <w:rsid w:val="00C61595"/>
    <w:rsid w:val="00C62160"/>
    <w:rsid w:val="00C62F74"/>
    <w:rsid w:val="00C63476"/>
    <w:rsid w:val="00C63493"/>
    <w:rsid w:val="00C6359B"/>
    <w:rsid w:val="00C638CB"/>
    <w:rsid w:val="00C638CF"/>
    <w:rsid w:val="00C63C0A"/>
    <w:rsid w:val="00C63D8F"/>
    <w:rsid w:val="00C64336"/>
    <w:rsid w:val="00C64EBC"/>
    <w:rsid w:val="00C65143"/>
    <w:rsid w:val="00C66664"/>
    <w:rsid w:val="00C71210"/>
    <w:rsid w:val="00C7160F"/>
    <w:rsid w:val="00C71E0C"/>
    <w:rsid w:val="00C727D7"/>
    <w:rsid w:val="00C729A4"/>
    <w:rsid w:val="00C72D50"/>
    <w:rsid w:val="00C72DAD"/>
    <w:rsid w:val="00C73B06"/>
    <w:rsid w:val="00C73EF0"/>
    <w:rsid w:val="00C74145"/>
    <w:rsid w:val="00C744FB"/>
    <w:rsid w:val="00C7457F"/>
    <w:rsid w:val="00C74EE0"/>
    <w:rsid w:val="00C7520D"/>
    <w:rsid w:val="00C7523E"/>
    <w:rsid w:val="00C75DA1"/>
    <w:rsid w:val="00C76CC6"/>
    <w:rsid w:val="00C76E00"/>
    <w:rsid w:val="00C7707D"/>
    <w:rsid w:val="00C7730F"/>
    <w:rsid w:val="00C80BB2"/>
    <w:rsid w:val="00C8159B"/>
    <w:rsid w:val="00C82248"/>
    <w:rsid w:val="00C827B8"/>
    <w:rsid w:val="00C83EBD"/>
    <w:rsid w:val="00C83FDC"/>
    <w:rsid w:val="00C842A0"/>
    <w:rsid w:val="00C8465C"/>
    <w:rsid w:val="00C859BC"/>
    <w:rsid w:val="00C859C5"/>
    <w:rsid w:val="00C861A8"/>
    <w:rsid w:val="00C866E9"/>
    <w:rsid w:val="00C86A7D"/>
    <w:rsid w:val="00C86D62"/>
    <w:rsid w:val="00C86DC5"/>
    <w:rsid w:val="00C8797D"/>
    <w:rsid w:val="00C87D3E"/>
    <w:rsid w:val="00C905BE"/>
    <w:rsid w:val="00C90D74"/>
    <w:rsid w:val="00C90F00"/>
    <w:rsid w:val="00C912ED"/>
    <w:rsid w:val="00C9180C"/>
    <w:rsid w:val="00C926F6"/>
    <w:rsid w:val="00C92792"/>
    <w:rsid w:val="00C92A74"/>
    <w:rsid w:val="00C92D49"/>
    <w:rsid w:val="00C92F95"/>
    <w:rsid w:val="00C93313"/>
    <w:rsid w:val="00C9344E"/>
    <w:rsid w:val="00C93BBB"/>
    <w:rsid w:val="00C941CD"/>
    <w:rsid w:val="00C9421F"/>
    <w:rsid w:val="00C94D65"/>
    <w:rsid w:val="00C95683"/>
    <w:rsid w:val="00C95900"/>
    <w:rsid w:val="00C95AA2"/>
    <w:rsid w:val="00C96720"/>
    <w:rsid w:val="00C96841"/>
    <w:rsid w:val="00C9702B"/>
    <w:rsid w:val="00CA003D"/>
    <w:rsid w:val="00CA05C0"/>
    <w:rsid w:val="00CA0B92"/>
    <w:rsid w:val="00CA185B"/>
    <w:rsid w:val="00CA2227"/>
    <w:rsid w:val="00CA2605"/>
    <w:rsid w:val="00CA2B1A"/>
    <w:rsid w:val="00CA3238"/>
    <w:rsid w:val="00CA4A5A"/>
    <w:rsid w:val="00CA4E6D"/>
    <w:rsid w:val="00CA4E74"/>
    <w:rsid w:val="00CA520A"/>
    <w:rsid w:val="00CA55A5"/>
    <w:rsid w:val="00CA5ABA"/>
    <w:rsid w:val="00CA602E"/>
    <w:rsid w:val="00CA626D"/>
    <w:rsid w:val="00CA7823"/>
    <w:rsid w:val="00CA793C"/>
    <w:rsid w:val="00CA7CF0"/>
    <w:rsid w:val="00CA7FEA"/>
    <w:rsid w:val="00CB021D"/>
    <w:rsid w:val="00CB027F"/>
    <w:rsid w:val="00CB05A3"/>
    <w:rsid w:val="00CB1249"/>
    <w:rsid w:val="00CB1734"/>
    <w:rsid w:val="00CB1F99"/>
    <w:rsid w:val="00CB215E"/>
    <w:rsid w:val="00CB286E"/>
    <w:rsid w:val="00CB28C1"/>
    <w:rsid w:val="00CB3226"/>
    <w:rsid w:val="00CB3C42"/>
    <w:rsid w:val="00CB3EE4"/>
    <w:rsid w:val="00CB462D"/>
    <w:rsid w:val="00CB49D9"/>
    <w:rsid w:val="00CB544E"/>
    <w:rsid w:val="00CB5C45"/>
    <w:rsid w:val="00CB6C68"/>
    <w:rsid w:val="00CB6D39"/>
    <w:rsid w:val="00CB6DCD"/>
    <w:rsid w:val="00CB710A"/>
    <w:rsid w:val="00CC00F9"/>
    <w:rsid w:val="00CC08BE"/>
    <w:rsid w:val="00CC12B4"/>
    <w:rsid w:val="00CC14AE"/>
    <w:rsid w:val="00CC1A6C"/>
    <w:rsid w:val="00CC359A"/>
    <w:rsid w:val="00CC3606"/>
    <w:rsid w:val="00CC39C8"/>
    <w:rsid w:val="00CC42D9"/>
    <w:rsid w:val="00CC443D"/>
    <w:rsid w:val="00CC445F"/>
    <w:rsid w:val="00CC569C"/>
    <w:rsid w:val="00CC636B"/>
    <w:rsid w:val="00CC6845"/>
    <w:rsid w:val="00CC695F"/>
    <w:rsid w:val="00CC6AD2"/>
    <w:rsid w:val="00CC7073"/>
    <w:rsid w:val="00CC723E"/>
    <w:rsid w:val="00CC732B"/>
    <w:rsid w:val="00CC736C"/>
    <w:rsid w:val="00CC7943"/>
    <w:rsid w:val="00CC7CD8"/>
    <w:rsid w:val="00CC7FB7"/>
    <w:rsid w:val="00CD0ECA"/>
    <w:rsid w:val="00CD114E"/>
    <w:rsid w:val="00CD1EBE"/>
    <w:rsid w:val="00CD2711"/>
    <w:rsid w:val="00CD29AD"/>
    <w:rsid w:val="00CD3A45"/>
    <w:rsid w:val="00CD3DDB"/>
    <w:rsid w:val="00CD49CF"/>
    <w:rsid w:val="00CD4AC4"/>
    <w:rsid w:val="00CD4B28"/>
    <w:rsid w:val="00CD4D20"/>
    <w:rsid w:val="00CD4F59"/>
    <w:rsid w:val="00CD501D"/>
    <w:rsid w:val="00CD6123"/>
    <w:rsid w:val="00CD65EA"/>
    <w:rsid w:val="00CD6AA8"/>
    <w:rsid w:val="00CD6D9F"/>
    <w:rsid w:val="00CD6E3D"/>
    <w:rsid w:val="00CD710E"/>
    <w:rsid w:val="00CD72D3"/>
    <w:rsid w:val="00CD7770"/>
    <w:rsid w:val="00CD7795"/>
    <w:rsid w:val="00CD7893"/>
    <w:rsid w:val="00CD7BA6"/>
    <w:rsid w:val="00CE0B3D"/>
    <w:rsid w:val="00CE0D78"/>
    <w:rsid w:val="00CE16A2"/>
    <w:rsid w:val="00CE18EA"/>
    <w:rsid w:val="00CE286D"/>
    <w:rsid w:val="00CE2D83"/>
    <w:rsid w:val="00CE2F6C"/>
    <w:rsid w:val="00CE44DC"/>
    <w:rsid w:val="00CE4602"/>
    <w:rsid w:val="00CE4B53"/>
    <w:rsid w:val="00CE4FA6"/>
    <w:rsid w:val="00CE5820"/>
    <w:rsid w:val="00CE5C09"/>
    <w:rsid w:val="00CE604E"/>
    <w:rsid w:val="00CE6488"/>
    <w:rsid w:val="00CE71DC"/>
    <w:rsid w:val="00CF0A19"/>
    <w:rsid w:val="00CF0F7C"/>
    <w:rsid w:val="00CF0F98"/>
    <w:rsid w:val="00CF1A83"/>
    <w:rsid w:val="00CF3597"/>
    <w:rsid w:val="00CF3BAD"/>
    <w:rsid w:val="00CF4139"/>
    <w:rsid w:val="00CF49C5"/>
    <w:rsid w:val="00CF49DD"/>
    <w:rsid w:val="00CF4D8F"/>
    <w:rsid w:val="00CF4E5C"/>
    <w:rsid w:val="00CF5108"/>
    <w:rsid w:val="00CF5B28"/>
    <w:rsid w:val="00CF5B29"/>
    <w:rsid w:val="00CF5FC5"/>
    <w:rsid w:val="00CF642C"/>
    <w:rsid w:val="00CF67E7"/>
    <w:rsid w:val="00CF6C0F"/>
    <w:rsid w:val="00CF6C3A"/>
    <w:rsid w:val="00CF7AD9"/>
    <w:rsid w:val="00D0084C"/>
    <w:rsid w:val="00D01979"/>
    <w:rsid w:val="00D01B11"/>
    <w:rsid w:val="00D02853"/>
    <w:rsid w:val="00D037B4"/>
    <w:rsid w:val="00D03FE4"/>
    <w:rsid w:val="00D0459D"/>
    <w:rsid w:val="00D04765"/>
    <w:rsid w:val="00D04771"/>
    <w:rsid w:val="00D04817"/>
    <w:rsid w:val="00D05112"/>
    <w:rsid w:val="00D0545A"/>
    <w:rsid w:val="00D06920"/>
    <w:rsid w:val="00D06AEB"/>
    <w:rsid w:val="00D06B03"/>
    <w:rsid w:val="00D06DB8"/>
    <w:rsid w:val="00D0776C"/>
    <w:rsid w:val="00D07A71"/>
    <w:rsid w:val="00D1023B"/>
    <w:rsid w:val="00D10399"/>
    <w:rsid w:val="00D10972"/>
    <w:rsid w:val="00D10B47"/>
    <w:rsid w:val="00D10CDD"/>
    <w:rsid w:val="00D10F3B"/>
    <w:rsid w:val="00D1111C"/>
    <w:rsid w:val="00D11D6D"/>
    <w:rsid w:val="00D123BB"/>
    <w:rsid w:val="00D12721"/>
    <w:rsid w:val="00D12C0C"/>
    <w:rsid w:val="00D12CB9"/>
    <w:rsid w:val="00D1350F"/>
    <w:rsid w:val="00D1368B"/>
    <w:rsid w:val="00D136CA"/>
    <w:rsid w:val="00D13859"/>
    <w:rsid w:val="00D13B42"/>
    <w:rsid w:val="00D14402"/>
    <w:rsid w:val="00D1564D"/>
    <w:rsid w:val="00D158BC"/>
    <w:rsid w:val="00D15BC9"/>
    <w:rsid w:val="00D15F38"/>
    <w:rsid w:val="00D16333"/>
    <w:rsid w:val="00D16B15"/>
    <w:rsid w:val="00D17A3E"/>
    <w:rsid w:val="00D2021D"/>
    <w:rsid w:val="00D204DF"/>
    <w:rsid w:val="00D20EAA"/>
    <w:rsid w:val="00D21057"/>
    <w:rsid w:val="00D2206F"/>
    <w:rsid w:val="00D222BE"/>
    <w:rsid w:val="00D2274A"/>
    <w:rsid w:val="00D22D80"/>
    <w:rsid w:val="00D23978"/>
    <w:rsid w:val="00D248B7"/>
    <w:rsid w:val="00D24F7A"/>
    <w:rsid w:val="00D25D69"/>
    <w:rsid w:val="00D26ADE"/>
    <w:rsid w:val="00D272C8"/>
    <w:rsid w:val="00D273A3"/>
    <w:rsid w:val="00D2752F"/>
    <w:rsid w:val="00D308FA"/>
    <w:rsid w:val="00D31220"/>
    <w:rsid w:val="00D31422"/>
    <w:rsid w:val="00D31F8A"/>
    <w:rsid w:val="00D32851"/>
    <w:rsid w:val="00D32F63"/>
    <w:rsid w:val="00D335BD"/>
    <w:rsid w:val="00D34536"/>
    <w:rsid w:val="00D34EB2"/>
    <w:rsid w:val="00D34F54"/>
    <w:rsid w:val="00D3571F"/>
    <w:rsid w:val="00D35E94"/>
    <w:rsid w:val="00D363ED"/>
    <w:rsid w:val="00D36AEB"/>
    <w:rsid w:val="00D40E94"/>
    <w:rsid w:val="00D414A5"/>
    <w:rsid w:val="00D4198E"/>
    <w:rsid w:val="00D41E82"/>
    <w:rsid w:val="00D423EC"/>
    <w:rsid w:val="00D4246A"/>
    <w:rsid w:val="00D4347D"/>
    <w:rsid w:val="00D434A0"/>
    <w:rsid w:val="00D445E8"/>
    <w:rsid w:val="00D459D1"/>
    <w:rsid w:val="00D46BA5"/>
    <w:rsid w:val="00D47000"/>
    <w:rsid w:val="00D47AC7"/>
    <w:rsid w:val="00D5069F"/>
    <w:rsid w:val="00D52B6E"/>
    <w:rsid w:val="00D52ED8"/>
    <w:rsid w:val="00D530A1"/>
    <w:rsid w:val="00D531C7"/>
    <w:rsid w:val="00D537F5"/>
    <w:rsid w:val="00D53C7E"/>
    <w:rsid w:val="00D53F73"/>
    <w:rsid w:val="00D542F4"/>
    <w:rsid w:val="00D54F23"/>
    <w:rsid w:val="00D5625D"/>
    <w:rsid w:val="00D562E9"/>
    <w:rsid w:val="00D567A3"/>
    <w:rsid w:val="00D56DD5"/>
    <w:rsid w:val="00D57187"/>
    <w:rsid w:val="00D57A55"/>
    <w:rsid w:val="00D60CF6"/>
    <w:rsid w:val="00D60F01"/>
    <w:rsid w:val="00D61C7C"/>
    <w:rsid w:val="00D61D9A"/>
    <w:rsid w:val="00D61EC5"/>
    <w:rsid w:val="00D62653"/>
    <w:rsid w:val="00D626C8"/>
    <w:rsid w:val="00D62A24"/>
    <w:rsid w:val="00D62CE3"/>
    <w:rsid w:val="00D64761"/>
    <w:rsid w:val="00D6500D"/>
    <w:rsid w:val="00D652ED"/>
    <w:rsid w:val="00D658C4"/>
    <w:rsid w:val="00D660CE"/>
    <w:rsid w:val="00D668FB"/>
    <w:rsid w:val="00D670CA"/>
    <w:rsid w:val="00D67590"/>
    <w:rsid w:val="00D709C7"/>
    <w:rsid w:val="00D709E5"/>
    <w:rsid w:val="00D71788"/>
    <w:rsid w:val="00D717C1"/>
    <w:rsid w:val="00D71F41"/>
    <w:rsid w:val="00D72218"/>
    <w:rsid w:val="00D72EAF"/>
    <w:rsid w:val="00D72FBC"/>
    <w:rsid w:val="00D7300B"/>
    <w:rsid w:val="00D73B83"/>
    <w:rsid w:val="00D749E1"/>
    <w:rsid w:val="00D74EB4"/>
    <w:rsid w:val="00D75167"/>
    <w:rsid w:val="00D75A2F"/>
    <w:rsid w:val="00D76C5D"/>
    <w:rsid w:val="00D77964"/>
    <w:rsid w:val="00D77E8A"/>
    <w:rsid w:val="00D803CA"/>
    <w:rsid w:val="00D80B2E"/>
    <w:rsid w:val="00D80B83"/>
    <w:rsid w:val="00D81039"/>
    <w:rsid w:val="00D81304"/>
    <w:rsid w:val="00D8208B"/>
    <w:rsid w:val="00D82095"/>
    <w:rsid w:val="00D827AC"/>
    <w:rsid w:val="00D830E4"/>
    <w:rsid w:val="00D838D5"/>
    <w:rsid w:val="00D84449"/>
    <w:rsid w:val="00D8470B"/>
    <w:rsid w:val="00D8477B"/>
    <w:rsid w:val="00D84A15"/>
    <w:rsid w:val="00D85C83"/>
    <w:rsid w:val="00D85CA1"/>
    <w:rsid w:val="00D87258"/>
    <w:rsid w:val="00D8769E"/>
    <w:rsid w:val="00D900B9"/>
    <w:rsid w:val="00D906FF"/>
    <w:rsid w:val="00D90798"/>
    <w:rsid w:val="00D90BD7"/>
    <w:rsid w:val="00D91542"/>
    <w:rsid w:val="00D91EAB"/>
    <w:rsid w:val="00D9223B"/>
    <w:rsid w:val="00D929C3"/>
    <w:rsid w:val="00D93640"/>
    <w:rsid w:val="00D93668"/>
    <w:rsid w:val="00D93771"/>
    <w:rsid w:val="00D93E01"/>
    <w:rsid w:val="00D945FB"/>
    <w:rsid w:val="00D94E54"/>
    <w:rsid w:val="00D9515E"/>
    <w:rsid w:val="00D95583"/>
    <w:rsid w:val="00D955DF"/>
    <w:rsid w:val="00D95DE1"/>
    <w:rsid w:val="00D95EB2"/>
    <w:rsid w:val="00D95FB6"/>
    <w:rsid w:val="00D9683E"/>
    <w:rsid w:val="00D9697B"/>
    <w:rsid w:val="00D96A09"/>
    <w:rsid w:val="00D96A2B"/>
    <w:rsid w:val="00D96DE3"/>
    <w:rsid w:val="00D9782A"/>
    <w:rsid w:val="00D979A0"/>
    <w:rsid w:val="00DA06C5"/>
    <w:rsid w:val="00DA1289"/>
    <w:rsid w:val="00DA20FD"/>
    <w:rsid w:val="00DA230E"/>
    <w:rsid w:val="00DA2985"/>
    <w:rsid w:val="00DA2B15"/>
    <w:rsid w:val="00DA2F44"/>
    <w:rsid w:val="00DA38A7"/>
    <w:rsid w:val="00DA3902"/>
    <w:rsid w:val="00DA3AEC"/>
    <w:rsid w:val="00DA3CE8"/>
    <w:rsid w:val="00DA3D39"/>
    <w:rsid w:val="00DA4332"/>
    <w:rsid w:val="00DA4504"/>
    <w:rsid w:val="00DA46F1"/>
    <w:rsid w:val="00DA490D"/>
    <w:rsid w:val="00DA4DA3"/>
    <w:rsid w:val="00DA66AD"/>
    <w:rsid w:val="00DA735B"/>
    <w:rsid w:val="00DA79DB"/>
    <w:rsid w:val="00DB0D31"/>
    <w:rsid w:val="00DB0E6A"/>
    <w:rsid w:val="00DB14CA"/>
    <w:rsid w:val="00DB19DA"/>
    <w:rsid w:val="00DB1F11"/>
    <w:rsid w:val="00DB2A1A"/>
    <w:rsid w:val="00DB2A92"/>
    <w:rsid w:val="00DB3439"/>
    <w:rsid w:val="00DB3724"/>
    <w:rsid w:val="00DB444E"/>
    <w:rsid w:val="00DB44AA"/>
    <w:rsid w:val="00DB4969"/>
    <w:rsid w:val="00DB49BE"/>
    <w:rsid w:val="00DB4B0A"/>
    <w:rsid w:val="00DB564A"/>
    <w:rsid w:val="00DB564D"/>
    <w:rsid w:val="00DB5C22"/>
    <w:rsid w:val="00DB6693"/>
    <w:rsid w:val="00DB789A"/>
    <w:rsid w:val="00DB7E54"/>
    <w:rsid w:val="00DC02CA"/>
    <w:rsid w:val="00DC0396"/>
    <w:rsid w:val="00DC0CE2"/>
    <w:rsid w:val="00DC142C"/>
    <w:rsid w:val="00DC17E1"/>
    <w:rsid w:val="00DC280E"/>
    <w:rsid w:val="00DC349C"/>
    <w:rsid w:val="00DC5EE0"/>
    <w:rsid w:val="00DC61D2"/>
    <w:rsid w:val="00DC6D08"/>
    <w:rsid w:val="00DC6ED2"/>
    <w:rsid w:val="00DC7171"/>
    <w:rsid w:val="00DC746D"/>
    <w:rsid w:val="00DC748F"/>
    <w:rsid w:val="00DC78D8"/>
    <w:rsid w:val="00DD036F"/>
    <w:rsid w:val="00DD0409"/>
    <w:rsid w:val="00DD0866"/>
    <w:rsid w:val="00DD0D11"/>
    <w:rsid w:val="00DD0FFF"/>
    <w:rsid w:val="00DD10A4"/>
    <w:rsid w:val="00DD14EB"/>
    <w:rsid w:val="00DD15C8"/>
    <w:rsid w:val="00DD15DB"/>
    <w:rsid w:val="00DD1F6D"/>
    <w:rsid w:val="00DD2127"/>
    <w:rsid w:val="00DD2718"/>
    <w:rsid w:val="00DD361C"/>
    <w:rsid w:val="00DD3A42"/>
    <w:rsid w:val="00DD4343"/>
    <w:rsid w:val="00DD4930"/>
    <w:rsid w:val="00DD495D"/>
    <w:rsid w:val="00DD57DE"/>
    <w:rsid w:val="00DD65F7"/>
    <w:rsid w:val="00DD6C34"/>
    <w:rsid w:val="00DD7C4E"/>
    <w:rsid w:val="00DD7E16"/>
    <w:rsid w:val="00DE0D58"/>
    <w:rsid w:val="00DE13DC"/>
    <w:rsid w:val="00DE16D4"/>
    <w:rsid w:val="00DE1AEA"/>
    <w:rsid w:val="00DE2B38"/>
    <w:rsid w:val="00DE352B"/>
    <w:rsid w:val="00DE3759"/>
    <w:rsid w:val="00DE3CCD"/>
    <w:rsid w:val="00DE3F24"/>
    <w:rsid w:val="00DE448C"/>
    <w:rsid w:val="00DE4E0D"/>
    <w:rsid w:val="00DE5034"/>
    <w:rsid w:val="00DE550A"/>
    <w:rsid w:val="00DE5BDB"/>
    <w:rsid w:val="00DE6020"/>
    <w:rsid w:val="00DE602F"/>
    <w:rsid w:val="00DE603F"/>
    <w:rsid w:val="00DE690B"/>
    <w:rsid w:val="00DF0133"/>
    <w:rsid w:val="00DF06AA"/>
    <w:rsid w:val="00DF0CB9"/>
    <w:rsid w:val="00DF0ED6"/>
    <w:rsid w:val="00DF100B"/>
    <w:rsid w:val="00DF1205"/>
    <w:rsid w:val="00DF2159"/>
    <w:rsid w:val="00DF2ADA"/>
    <w:rsid w:val="00DF33C8"/>
    <w:rsid w:val="00DF36A2"/>
    <w:rsid w:val="00DF3C5A"/>
    <w:rsid w:val="00DF44D6"/>
    <w:rsid w:val="00DF4828"/>
    <w:rsid w:val="00DF48A3"/>
    <w:rsid w:val="00DF4FB0"/>
    <w:rsid w:val="00DF50D2"/>
    <w:rsid w:val="00DF5399"/>
    <w:rsid w:val="00DF6390"/>
    <w:rsid w:val="00DF658C"/>
    <w:rsid w:val="00DF6747"/>
    <w:rsid w:val="00DF6AF7"/>
    <w:rsid w:val="00DF6D76"/>
    <w:rsid w:val="00DF7426"/>
    <w:rsid w:val="00DF77EB"/>
    <w:rsid w:val="00E0091E"/>
    <w:rsid w:val="00E00987"/>
    <w:rsid w:val="00E00CA6"/>
    <w:rsid w:val="00E00CB1"/>
    <w:rsid w:val="00E017DB"/>
    <w:rsid w:val="00E0199F"/>
    <w:rsid w:val="00E01EBB"/>
    <w:rsid w:val="00E025E2"/>
    <w:rsid w:val="00E03A7A"/>
    <w:rsid w:val="00E03F56"/>
    <w:rsid w:val="00E04437"/>
    <w:rsid w:val="00E04C75"/>
    <w:rsid w:val="00E04D72"/>
    <w:rsid w:val="00E05BF3"/>
    <w:rsid w:val="00E05DD5"/>
    <w:rsid w:val="00E06549"/>
    <w:rsid w:val="00E06E07"/>
    <w:rsid w:val="00E06E4D"/>
    <w:rsid w:val="00E07339"/>
    <w:rsid w:val="00E10593"/>
    <w:rsid w:val="00E12BA1"/>
    <w:rsid w:val="00E12C4C"/>
    <w:rsid w:val="00E132B8"/>
    <w:rsid w:val="00E13E2D"/>
    <w:rsid w:val="00E140C7"/>
    <w:rsid w:val="00E152AD"/>
    <w:rsid w:val="00E15486"/>
    <w:rsid w:val="00E158B5"/>
    <w:rsid w:val="00E15962"/>
    <w:rsid w:val="00E16220"/>
    <w:rsid w:val="00E165EF"/>
    <w:rsid w:val="00E16CA2"/>
    <w:rsid w:val="00E171DE"/>
    <w:rsid w:val="00E172D1"/>
    <w:rsid w:val="00E1743F"/>
    <w:rsid w:val="00E17602"/>
    <w:rsid w:val="00E1765C"/>
    <w:rsid w:val="00E17887"/>
    <w:rsid w:val="00E20105"/>
    <w:rsid w:val="00E207C0"/>
    <w:rsid w:val="00E210EA"/>
    <w:rsid w:val="00E2196C"/>
    <w:rsid w:val="00E21BDE"/>
    <w:rsid w:val="00E220A9"/>
    <w:rsid w:val="00E228F5"/>
    <w:rsid w:val="00E22A94"/>
    <w:rsid w:val="00E22BEA"/>
    <w:rsid w:val="00E235E1"/>
    <w:rsid w:val="00E23885"/>
    <w:rsid w:val="00E2408F"/>
    <w:rsid w:val="00E24374"/>
    <w:rsid w:val="00E24459"/>
    <w:rsid w:val="00E259E8"/>
    <w:rsid w:val="00E25CEF"/>
    <w:rsid w:val="00E264C8"/>
    <w:rsid w:val="00E2706B"/>
    <w:rsid w:val="00E276F5"/>
    <w:rsid w:val="00E2777E"/>
    <w:rsid w:val="00E279C5"/>
    <w:rsid w:val="00E30BCE"/>
    <w:rsid w:val="00E30D3B"/>
    <w:rsid w:val="00E31376"/>
    <w:rsid w:val="00E313B6"/>
    <w:rsid w:val="00E31734"/>
    <w:rsid w:val="00E31FB1"/>
    <w:rsid w:val="00E320DD"/>
    <w:rsid w:val="00E323D4"/>
    <w:rsid w:val="00E328B6"/>
    <w:rsid w:val="00E3306D"/>
    <w:rsid w:val="00E34D87"/>
    <w:rsid w:val="00E35D88"/>
    <w:rsid w:val="00E36CD6"/>
    <w:rsid w:val="00E37190"/>
    <w:rsid w:val="00E3722A"/>
    <w:rsid w:val="00E37C0F"/>
    <w:rsid w:val="00E4013D"/>
    <w:rsid w:val="00E410D1"/>
    <w:rsid w:val="00E4132D"/>
    <w:rsid w:val="00E41544"/>
    <w:rsid w:val="00E420BE"/>
    <w:rsid w:val="00E421A0"/>
    <w:rsid w:val="00E42242"/>
    <w:rsid w:val="00E427C6"/>
    <w:rsid w:val="00E4365B"/>
    <w:rsid w:val="00E43986"/>
    <w:rsid w:val="00E439C7"/>
    <w:rsid w:val="00E43B73"/>
    <w:rsid w:val="00E43B9C"/>
    <w:rsid w:val="00E443C4"/>
    <w:rsid w:val="00E44892"/>
    <w:rsid w:val="00E4534E"/>
    <w:rsid w:val="00E453C0"/>
    <w:rsid w:val="00E4556A"/>
    <w:rsid w:val="00E4621F"/>
    <w:rsid w:val="00E46539"/>
    <w:rsid w:val="00E46B3B"/>
    <w:rsid w:val="00E47204"/>
    <w:rsid w:val="00E473E6"/>
    <w:rsid w:val="00E50696"/>
    <w:rsid w:val="00E5089C"/>
    <w:rsid w:val="00E50E7C"/>
    <w:rsid w:val="00E510F0"/>
    <w:rsid w:val="00E5140C"/>
    <w:rsid w:val="00E51431"/>
    <w:rsid w:val="00E5144A"/>
    <w:rsid w:val="00E51D40"/>
    <w:rsid w:val="00E51E80"/>
    <w:rsid w:val="00E52082"/>
    <w:rsid w:val="00E5211C"/>
    <w:rsid w:val="00E529D6"/>
    <w:rsid w:val="00E52B6B"/>
    <w:rsid w:val="00E52F1D"/>
    <w:rsid w:val="00E536B9"/>
    <w:rsid w:val="00E53C40"/>
    <w:rsid w:val="00E54D5C"/>
    <w:rsid w:val="00E54F1A"/>
    <w:rsid w:val="00E55319"/>
    <w:rsid w:val="00E560F3"/>
    <w:rsid w:val="00E56188"/>
    <w:rsid w:val="00E56492"/>
    <w:rsid w:val="00E5670C"/>
    <w:rsid w:val="00E56A21"/>
    <w:rsid w:val="00E56FEB"/>
    <w:rsid w:val="00E57C72"/>
    <w:rsid w:val="00E60739"/>
    <w:rsid w:val="00E608DC"/>
    <w:rsid w:val="00E616F8"/>
    <w:rsid w:val="00E61CC9"/>
    <w:rsid w:val="00E61DA6"/>
    <w:rsid w:val="00E62177"/>
    <w:rsid w:val="00E62912"/>
    <w:rsid w:val="00E62A9C"/>
    <w:rsid w:val="00E63017"/>
    <w:rsid w:val="00E63452"/>
    <w:rsid w:val="00E640D0"/>
    <w:rsid w:val="00E6516F"/>
    <w:rsid w:val="00E656C5"/>
    <w:rsid w:val="00E65747"/>
    <w:rsid w:val="00E66398"/>
    <w:rsid w:val="00E6663D"/>
    <w:rsid w:val="00E66660"/>
    <w:rsid w:val="00E66ACB"/>
    <w:rsid w:val="00E66DD4"/>
    <w:rsid w:val="00E677CC"/>
    <w:rsid w:val="00E67AA2"/>
    <w:rsid w:val="00E705E7"/>
    <w:rsid w:val="00E70D3A"/>
    <w:rsid w:val="00E71A4E"/>
    <w:rsid w:val="00E71EAB"/>
    <w:rsid w:val="00E72222"/>
    <w:rsid w:val="00E724BA"/>
    <w:rsid w:val="00E72C60"/>
    <w:rsid w:val="00E72CF6"/>
    <w:rsid w:val="00E72E41"/>
    <w:rsid w:val="00E730D9"/>
    <w:rsid w:val="00E7343C"/>
    <w:rsid w:val="00E73649"/>
    <w:rsid w:val="00E74260"/>
    <w:rsid w:val="00E7427A"/>
    <w:rsid w:val="00E7450F"/>
    <w:rsid w:val="00E74570"/>
    <w:rsid w:val="00E747AD"/>
    <w:rsid w:val="00E748C2"/>
    <w:rsid w:val="00E748E0"/>
    <w:rsid w:val="00E74A2B"/>
    <w:rsid w:val="00E751EB"/>
    <w:rsid w:val="00E7600D"/>
    <w:rsid w:val="00E760FA"/>
    <w:rsid w:val="00E7665A"/>
    <w:rsid w:val="00E7711F"/>
    <w:rsid w:val="00E77823"/>
    <w:rsid w:val="00E8045A"/>
    <w:rsid w:val="00E808B9"/>
    <w:rsid w:val="00E82711"/>
    <w:rsid w:val="00E82766"/>
    <w:rsid w:val="00E82880"/>
    <w:rsid w:val="00E82EDE"/>
    <w:rsid w:val="00E8334B"/>
    <w:rsid w:val="00E83C31"/>
    <w:rsid w:val="00E83C54"/>
    <w:rsid w:val="00E84425"/>
    <w:rsid w:val="00E858EB"/>
    <w:rsid w:val="00E86053"/>
    <w:rsid w:val="00E869A8"/>
    <w:rsid w:val="00E8794B"/>
    <w:rsid w:val="00E900A1"/>
    <w:rsid w:val="00E90826"/>
    <w:rsid w:val="00E90907"/>
    <w:rsid w:val="00E90B6A"/>
    <w:rsid w:val="00E90C8D"/>
    <w:rsid w:val="00E92418"/>
    <w:rsid w:val="00E92CC2"/>
    <w:rsid w:val="00E92CC7"/>
    <w:rsid w:val="00E92EE7"/>
    <w:rsid w:val="00E9303F"/>
    <w:rsid w:val="00E93556"/>
    <w:rsid w:val="00E946A8"/>
    <w:rsid w:val="00E9485C"/>
    <w:rsid w:val="00E94B7E"/>
    <w:rsid w:val="00E95DF3"/>
    <w:rsid w:val="00E9696E"/>
    <w:rsid w:val="00E97078"/>
    <w:rsid w:val="00E973C1"/>
    <w:rsid w:val="00EA0280"/>
    <w:rsid w:val="00EA0380"/>
    <w:rsid w:val="00EA0467"/>
    <w:rsid w:val="00EA12BB"/>
    <w:rsid w:val="00EA133A"/>
    <w:rsid w:val="00EA19A2"/>
    <w:rsid w:val="00EA1BE3"/>
    <w:rsid w:val="00EA20E0"/>
    <w:rsid w:val="00EA2F10"/>
    <w:rsid w:val="00EA3CAE"/>
    <w:rsid w:val="00EA4180"/>
    <w:rsid w:val="00EA48DB"/>
    <w:rsid w:val="00EA4A41"/>
    <w:rsid w:val="00EA52CF"/>
    <w:rsid w:val="00EA5D73"/>
    <w:rsid w:val="00EA5FB4"/>
    <w:rsid w:val="00EA5FF2"/>
    <w:rsid w:val="00EA67CC"/>
    <w:rsid w:val="00EA7109"/>
    <w:rsid w:val="00EA7FAB"/>
    <w:rsid w:val="00EB0316"/>
    <w:rsid w:val="00EB09EA"/>
    <w:rsid w:val="00EB12C3"/>
    <w:rsid w:val="00EB1D28"/>
    <w:rsid w:val="00EB2438"/>
    <w:rsid w:val="00EB244D"/>
    <w:rsid w:val="00EB2B74"/>
    <w:rsid w:val="00EB2CAC"/>
    <w:rsid w:val="00EB31DC"/>
    <w:rsid w:val="00EB34F7"/>
    <w:rsid w:val="00EB3BF0"/>
    <w:rsid w:val="00EB4816"/>
    <w:rsid w:val="00EB4E85"/>
    <w:rsid w:val="00EB5621"/>
    <w:rsid w:val="00EB5A1B"/>
    <w:rsid w:val="00EB5DD1"/>
    <w:rsid w:val="00EB6040"/>
    <w:rsid w:val="00EB6162"/>
    <w:rsid w:val="00EB6309"/>
    <w:rsid w:val="00EB663F"/>
    <w:rsid w:val="00EB6A15"/>
    <w:rsid w:val="00EB6FB8"/>
    <w:rsid w:val="00EB70F7"/>
    <w:rsid w:val="00EB78B7"/>
    <w:rsid w:val="00EC0E05"/>
    <w:rsid w:val="00EC145A"/>
    <w:rsid w:val="00EC169E"/>
    <w:rsid w:val="00EC1E68"/>
    <w:rsid w:val="00EC29EF"/>
    <w:rsid w:val="00EC3601"/>
    <w:rsid w:val="00EC3BF8"/>
    <w:rsid w:val="00EC3CA0"/>
    <w:rsid w:val="00EC4364"/>
    <w:rsid w:val="00EC478D"/>
    <w:rsid w:val="00EC5054"/>
    <w:rsid w:val="00EC5C64"/>
    <w:rsid w:val="00EC5FED"/>
    <w:rsid w:val="00EC6A8E"/>
    <w:rsid w:val="00EC6D56"/>
    <w:rsid w:val="00EC6E7E"/>
    <w:rsid w:val="00ED0DC8"/>
    <w:rsid w:val="00ED13E5"/>
    <w:rsid w:val="00ED1ECF"/>
    <w:rsid w:val="00ED203D"/>
    <w:rsid w:val="00ED23A2"/>
    <w:rsid w:val="00ED2621"/>
    <w:rsid w:val="00ED2B2E"/>
    <w:rsid w:val="00ED3C62"/>
    <w:rsid w:val="00ED3DFA"/>
    <w:rsid w:val="00ED4337"/>
    <w:rsid w:val="00ED46F9"/>
    <w:rsid w:val="00ED4C9D"/>
    <w:rsid w:val="00ED4F64"/>
    <w:rsid w:val="00ED5387"/>
    <w:rsid w:val="00EE0E9C"/>
    <w:rsid w:val="00EE0ED6"/>
    <w:rsid w:val="00EE171D"/>
    <w:rsid w:val="00EE17B0"/>
    <w:rsid w:val="00EE2911"/>
    <w:rsid w:val="00EE32A6"/>
    <w:rsid w:val="00EE32CD"/>
    <w:rsid w:val="00EE391C"/>
    <w:rsid w:val="00EE3FD8"/>
    <w:rsid w:val="00EE4226"/>
    <w:rsid w:val="00EE4653"/>
    <w:rsid w:val="00EE4C91"/>
    <w:rsid w:val="00EE56A8"/>
    <w:rsid w:val="00EE56BF"/>
    <w:rsid w:val="00EE5A6A"/>
    <w:rsid w:val="00EE5B48"/>
    <w:rsid w:val="00EE5CA9"/>
    <w:rsid w:val="00EE5D67"/>
    <w:rsid w:val="00EE6CC4"/>
    <w:rsid w:val="00EE7131"/>
    <w:rsid w:val="00EF19B3"/>
    <w:rsid w:val="00EF1B41"/>
    <w:rsid w:val="00EF1FDD"/>
    <w:rsid w:val="00EF22C6"/>
    <w:rsid w:val="00EF27DE"/>
    <w:rsid w:val="00EF397F"/>
    <w:rsid w:val="00EF3A29"/>
    <w:rsid w:val="00EF5BD2"/>
    <w:rsid w:val="00EF7B39"/>
    <w:rsid w:val="00EF7E7D"/>
    <w:rsid w:val="00F009DA"/>
    <w:rsid w:val="00F01C14"/>
    <w:rsid w:val="00F03559"/>
    <w:rsid w:val="00F038E8"/>
    <w:rsid w:val="00F03C9D"/>
    <w:rsid w:val="00F047FE"/>
    <w:rsid w:val="00F04944"/>
    <w:rsid w:val="00F04A40"/>
    <w:rsid w:val="00F04AAF"/>
    <w:rsid w:val="00F06544"/>
    <w:rsid w:val="00F06B83"/>
    <w:rsid w:val="00F06CB2"/>
    <w:rsid w:val="00F0735D"/>
    <w:rsid w:val="00F07447"/>
    <w:rsid w:val="00F076A7"/>
    <w:rsid w:val="00F1045D"/>
    <w:rsid w:val="00F10713"/>
    <w:rsid w:val="00F11061"/>
    <w:rsid w:val="00F1109A"/>
    <w:rsid w:val="00F11180"/>
    <w:rsid w:val="00F11827"/>
    <w:rsid w:val="00F11D6D"/>
    <w:rsid w:val="00F11F72"/>
    <w:rsid w:val="00F123F9"/>
    <w:rsid w:val="00F1320E"/>
    <w:rsid w:val="00F13686"/>
    <w:rsid w:val="00F13949"/>
    <w:rsid w:val="00F13FE0"/>
    <w:rsid w:val="00F14618"/>
    <w:rsid w:val="00F1493B"/>
    <w:rsid w:val="00F14A4B"/>
    <w:rsid w:val="00F158F4"/>
    <w:rsid w:val="00F15B8F"/>
    <w:rsid w:val="00F16264"/>
    <w:rsid w:val="00F173C6"/>
    <w:rsid w:val="00F207B3"/>
    <w:rsid w:val="00F20923"/>
    <w:rsid w:val="00F20B77"/>
    <w:rsid w:val="00F20F5F"/>
    <w:rsid w:val="00F21175"/>
    <w:rsid w:val="00F2146D"/>
    <w:rsid w:val="00F218C5"/>
    <w:rsid w:val="00F218DE"/>
    <w:rsid w:val="00F22448"/>
    <w:rsid w:val="00F22BB2"/>
    <w:rsid w:val="00F235A0"/>
    <w:rsid w:val="00F2372C"/>
    <w:rsid w:val="00F23F85"/>
    <w:rsid w:val="00F24300"/>
    <w:rsid w:val="00F24FEC"/>
    <w:rsid w:val="00F25144"/>
    <w:rsid w:val="00F2617B"/>
    <w:rsid w:val="00F263BE"/>
    <w:rsid w:val="00F26598"/>
    <w:rsid w:val="00F26CE6"/>
    <w:rsid w:val="00F303E9"/>
    <w:rsid w:val="00F30710"/>
    <w:rsid w:val="00F30739"/>
    <w:rsid w:val="00F30DD1"/>
    <w:rsid w:val="00F30E1F"/>
    <w:rsid w:val="00F310D7"/>
    <w:rsid w:val="00F312D7"/>
    <w:rsid w:val="00F319E4"/>
    <w:rsid w:val="00F32282"/>
    <w:rsid w:val="00F33087"/>
    <w:rsid w:val="00F33999"/>
    <w:rsid w:val="00F34302"/>
    <w:rsid w:val="00F34436"/>
    <w:rsid w:val="00F348C4"/>
    <w:rsid w:val="00F34ECE"/>
    <w:rsid w:val="00F35C7E"/>
    <w:rsid w:val="00F35EA2"/>
    <w:rsid w:val="00F363FB"/>
    <w:rsid w:val="00F368E3"/>
    <w:rsid w:val="00F36EBA"/>
    <w:rsid w:val="00F370A3"/>
    <w:rsid w:val="00F37427"/>
    <w:rsid w:val="00F37500"/>
    <w:rsid w:val="00F40BEB"/>
    <w:rsid w:val="00F41310"/>
    <w:rsid w:val="00F41777"/>
    <w:rsid w:val="00F43DFC"/>
    <w:rsid w:val="00F4485A"/>
    <w:rsid w:val="00F44E1B"/>
    <w:rsid w:val="00F4507D"/>
    <w:rsid w:val="00F45558"/>
    <w:rsid w:val="00F46388"/>
    <w:rsid w:val="00F46D1B"/>
    <w:rsid w:val="00F46DD9"/>
    <w:rsid w:val="00F4719D"/>
    <w:rsid w:val="00F47B59"/>
    <w:rsid w:val="00F47DB5"/>
    <w:rsid w:val="00F506A9"/>
    <w:rsid w:val="00F50A32"/>
    <w:rsid w:val="00F50A41"/>
    <w:rsid w:val="00F51433"/>
    <w:rsid w:val="00F518BE"/>
    <w:rsid w:val="00F51916"/>
    <w:rsid w:val="00F5266F"/>
    <w:rsid w:val="00F52921"/>
    <w:rsid w:val="00F52D58"/>
    <w:rsid w:val="00F52F77"/>
    <w:rsid w:val="00F53EC5"/>
    <w:rsid w:val="00F54803"/>
    <w:rsid w:val="00F549FD"/>
    <w:rsid w:val="00F5555D"/>
    <w:rsid w:val="00F56ADB"/>
    <w:rsid w:val="00F5708C"/>
    <w:rsid w:val="00F57F95"/>
    <w:rsid w:val="00F60099"/>
    <w:rsid w:val="00F609A1"/>
    <w:rsid w:val="00F616C7"/>
    <w:rsid w:val="00F62047"/>
    <w:rsid w:val="00F62E7D"/>
    <w:rsid w:val="00F6305C"/>
    <w:rsid w:val="00F63602"/>
    <w:rsid w:val="00F638F5"/>
    <w:rsid w:val="00F63DF8"/>
    <w:rsid w:val="00F63E77"/>
    <w:rsid w:val="00F659B6"/>
    <w:rsid w:val="00F664D1"/>
    <w:rsid w:val="00F670F3"/>
    <w:rsid w:val="00F672A5"/>
    <w:rsid w:val="00F706E5"/>
    <w:rsid w:val="00F70AD7"/>
    <w:rsid w:val="00F70D80"/>
    <w:rsid w:val="00F7178B"/>
    <w:rsid w:val="00F71970"/>
    <w:rsid w:val="00F729F3"/>
    <w:rsid w:val="00F72CFC"/>
    <w:rsid w:val="00F73B5D"/>
    <w:rsid w:val="00F74350"/>
    <w:rsid w:val="00F743E2"/>
    <w:rsid w:val="00F7444A"/>
    <w:rsid w:val="00F74467"/>
    <w:rsid w:val="00F74E0B"/>
    <w:rsid w:val="00F75582"/>
    <w:rsid w:val="00F758FA"/>
    <w:rsid w:val="00F76316"/>
    <w:rsid w:val="00F76FED"/>
    <w:rsid w:val="00F7715F"/>
    <w:rsid w:val="00F7737D"/>
    <w:rsid w:val="00F77416"/>
    <w:rsid w:val="00F80332"/>
    <w:rsid w:val="00F806F9"/>
    <w:rsid w:val="00F812E1"/>
    <w:rsid w:val="00F8145A"/>
    <w:rsid w:val="00F81D65"/>
    <w:rsid w:val="00F822E0"/>
    <w:rsid w:val="00F82562"/>
    <w:rsid w:val="00F82E73"/>
    <w:rsid w:val="00F830A1"/>
    <w:rsid w:val="00F83582"/>
    <w:rsid w:val="00F83601"/>
    <w:rsid w:val="00F83A15"/>
    <w:rsid w:val="00F83C01"/>
    <w:rsid w:val="00F843EE"/>
    <w:rsid w:val="00F84765"/>
    <w:rsid w:val="00F847C7"/>
    <w:rsid w:val="00F84CF7"/>
    <w:rsid w:val="00F85925"/>
    <w:rsid w:val="00F859B4"/>
    <w:rsid w:val="00F867B9"/>
    <w:rsid w:val="00F9016D"/>
    <w:rsid w:val="00F90877"/>
    <w:rsid w:val="00F909B4"/>
    <w:rsid w:val="00F90D59"/>
    <w:rsid w:val="00F911BF"/>
    <w:rsid w:val="00F92C9F"/>
    <w:rsid w:val="00F931A8"/>
    <w:rsid w:val="00F937B0"/>
    <w:rsid w:val="00F93AA6"/>
    <w:rsid w:val="00F944E8"/>
    <w:rsid w:val="00F94DFF"/>
    <w:rsid w:val="00F95116"/>
    <w:rsid w:val="00F961A6"/>
    <w:rsid w:val="00F96A28"/>
    <w:rsid w:val="00F972A5"/>
    <w:rsid w:val="00F97D6E"/>
    <w:rsid w:val="00FA03FD"/>
    <w:rsid w:val="00FA17A3"/>
    <w:rsid w:val="00FA19FE"/>
    <w:rsid w:val="00FA1B37"/>
    <w:rsid w:val="00FA273E"/>
    <w:rsid w:val="00FA2752"/>
    <w:rsid w:val="00FA2E6D"/>
    <w:rsid w:val="00FA3179"/>
    <w:rsid w:val="00FA3767"/>
    <w:rsid w:val="00FA3C7D"/>
    <w:rsid w:val="00FA3D89"/>
    <w:rsid w:val="00FA4E8E"/>
    <w:rsid w:val="00FA571C"/>
    <w:rsid w:val="00FA6272"/>
    <w:rsid w:val="00FA72BC"/>
    <w:rsid w:val="00FA72FF"/>
    <w:rsid w:val="00FB04CA"/>
    <w:rsid w:val="00FB0972"/>
    <w:rsid w:val="00FB116A"/>
    <w:rsid w:val="00FB171B"/>
    <w:rsid w:val="00FB1B4F"/>
    <w:rsid w:val="00FB20AD"/>
    <w:rsid w:val="00FB2120"/>
    <w:rsid w:val="00FB228D"/>
    <w:rsid w:val="00FB22DD"/>
    <w:rsid w:val="00FB254A"/>
    <w:rsid w:val="00FB335E"/>
    <w:rsid w:val="00FB349E"/>
    <w:rsid w:val="00FB36D1"/>
    <w:rsid w:val="00FB386A"/>
    <w:rsid w:val="00FB38D4"/>
    <w:rsid w:val="00FB4123"/>
    <w:rsid w:val="00FB41A7"/>
    <w:rsid w:val="00FB4391"/>
    <w:rsid w:val="00FB50DE"/>
    <w:rsid w:val="00FB52DC"/>
    <w:rsid w:val="00FB54FC"/>
    <w:rsid w:val="00FB59AA"/>
    <w:rsid w:val="00FB5CFB"/>
    <w:rsid w:val="00FB5D90"/>
    <w:rsid w:val="00FB5F94"/>
    <w:rsid w:val="00FB63AF"/>
    <w:rsid w:val="00FB6566"/>
    <w:rsid w:val="00FB6676"/>
    <w:rsid w:val="00FB687B"/>
    <w:rsid w:val="00FB6D0F"/>
    <w:rsid w:val="00FB740E"/>
    <w:rsid w:val="00FB76DD"/>
    <w:rsid w:val="00FC0463"/>
    <w:rsid w:val="00FC1713"/>
    <w:rsid w:val="00FC188D"/>
    <w:rsid w:val="00FC1B09"/>
    <w:rsid w:val="00FC378D"/>
    <w:rsid w:val="00FC3EB3"/>
    <w:rsid w:val="00FC4CFC"/>
    <w:rsid w:val="00FC53F2"/>
    <w:rsid w:val="00FC58B9"/>
    <w:rsid w:val="00FC58FE"/>
    <w:rsid w:val="00FC5BD6"/>
    <w:rsid w:val="00FC634D"/>
    <w:rsid w:val="00FC6D41"/>
    <w:rsid w:val="00FC6DB5"/>
    <w:rsid w:val="00FC6F30"/>
    <w:rsid w:val="00FC6FB0"/>
    <w:rsid w:val="00FC7121"/>
    <w:rsid w:val="00FC7259"/>
    <w:rsid w:val="00FC7F66"/>
    <w:rsid w:val="00FD0178"/>
    <w:rsid w:val="00FD03C8"/>
    <w:rsid w:val="00FD0681"/>
    <w:rsid w:val="00FD1D64"/>
    <w:rsid w:val="00FD23CB"/>
    <w:rsid w:val="00FD249B"/>
    <w:rsid w:val="00FD32BD"/>
    <w:rsid w:val="00FD32E2"/>
    <w:rsid w:val="00FD3A10"/>
    <w:rsid w:val="00FD3A19"/>
    <w:rsid w:val="00FD45AD"/>
    <w:rsid w:val="00FD4A01"/>
    <w:rsid w:val="00FD530A"/>
    <w:rsid w:val="00FD5F15"/>
    <w:rsid w:val="00FD64B8"/>
    <w:rsid w:val="00FD66E7"/>
    <w:rsid w:val="00FD683C"/>
    <w:rsid w:val="00FD7035"/>
    <w:rsid w:val="00FD7055"/>
    <w:rsid w:val="00FD716C"/>
    <w:rsid w:val="00FE03F8"/>
    <w:rsid w:val="00FE06B1"/>
    <w:rsid w:val="00FE0C18"/>
    <w:rsid w:val="00FE0DB3"/>
    <w:rsid w:val="00FE0E0F"/>
    <w:rsid w:val="00FE1193"/>
    <w:rsid w:val="00FE194D"/>
    <w:rsid w:val="00FE2593"/>
    <w:rsid w:val="00FE2780"/>
    <w:rsid w:val="00FE308B"/>
    <w:rsid w:val="00FE38C3"/>
    <w:rsid w:val="00FE3BC7"/>
    <w:rsid w:val="00FE4F03"/>
    <w:rsid w:val="00FE511E"/>
    <w:rsid w:val="00FE5451"/>
    <w:rsid w:val="00FE5A09"/>
    <w:rsid w:val="00FE5EC1"/>
    <w:rsid w:val="00FE5FDE"/>
    <w:rsid w:val="00FE6318"/>
    <w:rsid w:val="00FE63D5"/>
    <w:rsid w:val="00FE666C"/>
    <w:rsid w:val="00FE7136"/>
    <w:rsid w:val="00FE7EC0"/>
    <w:rsid w:val="00FF0DDC"/>
    <w:rsid w:val="00FF2694"/>
    <w:rsid w:val="00FF28EC"/>
    <w:rsid w:val="00FF2A5F"/>
    <w:rsid w:val="00FF3657"/>
    <w:rsid w:val="00FF36FD"/>
    <w:rsid w:val="00FF3F45"/>
    <w:rsid w:val="00FF3F59"/>
    <w:rsid w:val="00FF42A5"/>
    <w:rsid w:val="00FF4849"/>
    <w:rsid w:val="00FF4A7B"/>
    <w:rsid w:val="00FF51D2"/>
    <w:rsid w:val="00FF554B"/>
    <w:rsid w:val="00FF5DE7"/>
    <w:rsid w:val="00FF621E"/>
    <w:rsid w:val="00FF6587"/>
    <w:rsid w:val="00FF7372"/>
    <w:rsid w:val="00FF753A"/>
    <w:rsid w:val="00FF7E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742435A"/>
  <w15:chartTrackingRefBased/>
  <w15:docId w15:val="{D2483952-4E08-4832-BBCF-60A5E5B8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0A8B"/>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Appel note de bas de p,Footnote Reference1,Style 12,Style 124,Style 13,Style 3,Style 4,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F63CA"/>
    <w:pPr>
      <w:tabs>
        <w:tab w:val="center" w:pos="4680"/>
        <w:tab w:val="right" w:pos="9360"/>
      </w:tabs>
    </w:pPr>
    <w:rPr>
      <w:rFonts w:ascii="Arial" w:hAnsi="Arial" w:cs="Arial"/>
      <w:bC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ParaNumChar1">
    <w:name w:val="ParaNum Char1"/>
    <w:link w:val="ParaNum"/>
    <w:rsid w:val="00705305"/>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rsid w:val="000C3226"/>
  </w:style>
  <w:style w:type="paragraph" w:styleId="ListParagraph">
    <w:name w:val="List Paragraph"/>
    <w:basedOn w:val="Normal"/>
    <w:uiPriority w:val="34"/>
    <w:qFormat/>
    <w:rsid w:val="000C322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270869"/>
    <w:rPr>
      <w:sz w:val="16"/>
      <w:szCs w:val="16"/>
    </w:rPr>
  </w:style>
  <w:style w:type="paragraph" w:styleId="CommentText">
    <w:name w:val="annotation text"/>
    <w:basedOn w:val="Normal"/>
    <w:link w:val="CommentTextChar"/>
    <w:uiPriority w:val="99"/>
    <w:unhideWhenUsed/>
    <w:rsid w:val="00270869"/>
    <w:rPr>
      <w:sz w:val="20"/>
    </w:rPr>
  </w:style>
  <w:style w:type="character" w:customStyle="1" w:styleId="CommentTextChar">
    <w:name w:val="Comment Text Char"/>
    <w:basedOn w:val="DefaultParagraphFont"/>
    <w:link w:val="CommentText"/>
    <w:uiPriority w:val="99"/>
    <w:rsid w:val="00270869"/>
    <w:rPr>
      <w:snapToGrid w:val="0"/>
      <w:kern w:val="28"/>
    </w:rPr>
  </w:style>
  <w:style w:type="paragraph" w:styleId="CommentSubject">
    <w:name w:val="annotation subject"/>
    <w:basedOn w:val="CommentText"/>
    <w:next w:val="CommentText"/>
    <w:link w:val="CommentSubjectChar"/>
    <w:uiPriority w:val="99"/>
    <w:semiHidden/>
    <w:unhideWhenUsed/>
    <w:rsid w:val="00270869"/>
    <w:rPr>
      <w:b/>
      <w:bCs/>
    </w:rPr>
  </w:style>
  <w:style w:type="character" w:customStyle="1" w:styleId="CommentSubjectChar">
    <w:name w:val="Comment Subject Char"/>
    <w:basedOn w:val="CommentTextChar"/>
    <w:link w:val="CommentSubject"/>
    <w:uiPriority w:val="99"/>
    <w:semiHidden/>
    <w:rsid w:val="00270869"/>
    <w:rPr>
      <w:b/>
      <w:bCs/>
      <w:snapToGrid w:val="0"/>
      <w:kern w:val="28"/>
    </w:rPr>
  </w:style>
  <w:style w:type="character" w:styleId="FollowedHyperlink">
    <w:name w:val="FollowedHyperlink"/>
    <w:basedOn w:val="DefaultParagraphFont"/>
    <w:uiPriority w:val="99"/>
    <w:semiHidden/>
    <w:unhideWhenUsed/>
    <w:rsid w:val="00C31480"/>
    <w:rPr>
      <w:color w:val="954F72" w:themeColor="followedHyperlink"/>
      <w:u w:val="single"/>
    </w:rPr>
  </w:style>
  <w:style w:type="paragraph" w:styleId="Revision">
    <w:name w:val="Revision"/>
    <w:hidden/>
    <w:uiPriority w:val="99"/>
    <w:semiHidden/>
    <w:rsid w:val="00700048"/>
    <w:rPr>
      <w:snapToGrid w:val="0"/>
      <w:kern w:val="28"/>
      <w:sz w:val="22"/>
    </w:rPr>
  </w:style>
  <w:style w:type="paragraph" w:customStyle="1" w:styleId="indent-1">
    <w:name w:val="indent-1"/>
    <w:basedOn w:val="Normal"/>
    <w:rsid w:val="000420AC"/>
    <w:pPr>
      <w:widowControl/>
      <w:spacing w:before="100" w:beforeAutospacing="1" w:after="100" w:afterAutospacing="1"/>
    </w:pPr>
    <w:rPr>
      <w:snapToGrid/>
      <w:kern w:val="0"/>
      <w:sz w:val="24"/>
      <w:szCs w:val="24"/>
    </w:rPr>
  </w:style>
  <w:style w:type="paragraph" w:customStyle="1" w:styleId="indent-2">
    <w:name w:val="indent-2"/>
    <w:basedOn w:val="Normal"/>
    <w:rsid w:val="000420AC"/>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20AC"/>
  </w:style>
  <w:style w:type="character" w:customStyle="1" w:styleId="paren">
    <w:name w:val="paren"/>
    <w:basedOn w:val="DefaultParagraphFont"/>
    <w:rsid w:val="000420AC"/>
  </w:style>
  <w:style w:type="paragraph" w:styleId="NoSpacing">
    <w:name w:val="No Spacing"/>
    <w:uiPriority w:val="1"/>
    <w:qFormat/>
    <w:rsid w:val="00663C16"/>
    <w:rPr>
      <w:rFonts w:eastAsiaTheme="minorHAnsi" w:cstheme="minorBidi"/>
      <w:sz w:val="22"/>
      <w:szCs w:val="22"/>
    </w:rPr>
  </w:style>
  <w:style w:type="character" w:customStyle="1" w:styleId="Heading3Char">
    <w:name w:val="Heading 3 Char"/>
    <w:basedOn w:val="DefaultParagraphFont"/>
    <w:link w:val="Heading3"/>
    <w:rsid w:val="002933AD"/>
    <w:rPr>
      <w:b/>
      <w:snapToGrid w:val="0"/>
      <w:kern w:val="28"/>
      <w:sz w:val="22"/>
    </w:rPr>
  </w:style>
  <w:style w:type="table" w:styleId="TableGrid">
    <w:name w:val="Table Grid"/>
    <w:basedOn w:val="TableNormal"/>
    <w:uiPriority w:val="59"/>
    <w:rsid w:val="00DE6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Oros@fcc.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0222669592/1" TargetMode="External" /><Relationship Id="rId2" Type="http://schemas.openxmlformats.org/officeDocument/2006/relationships/hyperlink" Target="https://www.fcc.gov/edocs/search-results?t=advanced&amp;daNo=23-759" TargetMode="External" /><Relationship Id="rId3" Type="http://schemas.openxmlformats.org/officeDocument/2006/relationships/hyperlink" Target="https://apps.fcc.gov/oetcf/eas/reports/TestFirmSearch.cfm" TargetMode="External" /><Relationship Id="rId4" Type="http://schemas.openxmlformats.org/officeDocument/2006/relationships/hyperlink" Target="https://cbrs.wirelessinnovation.org/cbsd-certification-program" TargetMode="External" /><Relationship Id="rId5" Type="http://schemas.openxmlformats.org/officeDocument/2006/relationships/hyperlink" Target="https://6ghz.wirelessinnovation.org/assets/WINNF-TS-5009-V1.0.0%206%20GHz%20AFC%20System%20ATL%20Requirements%20Specification.pdf" TargetMode="External" /><Relationship Id="rId6" Type="http://schemas.openxmlformats.org/officeDocument/2006/relationships/hyperlink" Target="https://www.wi-fi.org/discover-wi-fi/6-ghz-afc-resource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