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A26A14" w14:paraId="0D99E860" w14:textId="77777777">
      <w:pPr>
        <w:jc w:val="center"/>
        <w:rPr>
          <w:b/>
          <w:szCs w:val="22"/>
        </w:rPr>
      </w:pPr>
      <w:r w:rsidRPr="00DA7135">
        <w:rPr>
          <w:b/>
          <w:kern w:val="0"/>
          <w:szCs w:val="22"/>
        </w:rPr>
        <w:t>Before</w:t>
      </w:r>
      <w:r w:rsidRPr="00A26A14">
        <w:rPr>
          <w:b/>
          <w:szCs w:val="22"/>
        </w:rPr>
        <w:t xml:space="preserve"> the</w:t>
      </w:r>
    </w:p>
    <w:p w:rsidR="00921803" w:rsidRPr="00DA7135" w:rsidP="00921803" w14:paraId="64745A01" w14:textId="77777777">
      <w:pPr>
        <w:pStyle w:val="StyleBoldCentered"/>
        <w:rPr>
          <w:rFonts w:ascii="Times New Roman" w:hAnsi="Times New Roman"/>
        </w:rPr>
      </w:pPr>
      <w:r w:rsidRPr="00DA7135">
        <w:rPr>
          <w:rFonts w:ascii="Times New Roman" w:hAnsi="Times New Roman"/>
        </w:rPr>
        <w:t>F</w:t>
      </w:r>
      <w:r w:rsidRPr="00DA7135">
        <w:rPr>
          <w:rFonts w:ascii="Times New Roman" w:hAnsi="Times New Roman"/>
          <w:caps w:val="0"/>
        </w:rPr>
        <w:t>ederal Communications Commission</w:t>
      </w:r>
    </w:p>
    <w:p w:rsidR="004C2EE3" w:rsidRPr="00DA7135" w:rsidP="00096D8C" w14:paraId="5EADBBDE" w14:textId="77777777">
      <w:pPr>
        <w:pStyle w:val="StyleBoldCentered"/>
        <w:rPr>
          <w:rFonts w:ascii="Times New Roman" w:hAnsi="Times New Roman"/>
        </w:rPr>
      </w:pPr>
      <w:r w:rsidRPr="00DA7135">
        <w:rPr>
          <w:rFonts w:ascii="Times New Roman" w:hAnsi="Times New Roman"/>
          <w:caps w:val="0"/>
        </w:rPr>
        <w:t>Washington, D.C. 20554</w:t>
      </w:r>
    </w:p>
    <w:p w:rsidR="004C2EE3" w:rsidRPr="00A26A14" w:rsidP="0070224F" w14:paraId="4A0D15E1" w14:textId="77777777">
      <w:pPr>
        <w:rPr>
          <w:szCs w:val="22"/>
        </w:rPr>
      </w:pPr>
    </w:p>
    <w:p w:rsidR="004C2EE3" w:rsidRPr="00A26A14" w:rsidP="0070224F" w14:paraId="730D3798" w14:textId="77777777">
      <w:pPr>
        <w:rPr>
          <w:szCs w:val="22"/>
        </w:rPr>
      </w:pPr>
    </w:p>
    <w:tbl>
      <w:tblPr>
        <w:tblW w:w="0" w:type="auto"/>
        <w:tblLayout w:type="fixed"/>
        <w:tblLook w:val="0000"/>
      </w:tblPr>
      <w:tblGrid>
        <w:gridCol w:w="4698"/>
        <w:gridCol w:w="630"/>
        <w:gridCol w:w="4248"/>
      </w:tblGrid>
      <w:tr w14:paraId="2E3F2BAB" w14:textId="77777777">
        <w:tblPrEx>
          <w:tblW w:w="0" w:type="auto"/>
          <w:tblLayout w:type="fixed"/>
          <w:tblLook w:val="0000"/>
        </w:tblPrEx>
        <w:tc>
          <w:tcPr>
            <w:tcW w:w="4698" w:type="dxa"/>
          </w:tcPr>
          <w:p w:rsidR="004C2EE3" w:rsidRPr="00A26A14" w14:paraId="5D1AC0C5" w14:textId="77777777">
            <w:pPr>
              <w:tabs>
                <w:tab w:val="center" w:pos="4680"/>
              </w:tabs>
              <w:suppressAutoHyphens/>
              <w:rPr>
                <w:spacing w:val="-2"/>
                <w:szCs w:val="22"/>
              </w:rPr>
            </w:pPr>
            <w:r w:rsidRPr="00A26A14">
              <w:rPr>
                <w:spacing w:val="-2"/>
                <w:szCs w:val="22"/>
              </w:rPr>
              <w:t>In the Matter of</w:t>
            </w:r>
          </w:p>
          <w:p w:rsidR="004C2EE3" w:rsidRPr="00A26A14" w14:paraId="66623DD3" w14:textId="77777777">
            <w:pPr>
              <w:tabs>
                <w:tab w:val="center" w:pos="4680"/>
              </w:tabs>
              <w:suppressAutoHyphens/>
              <w:rPr>
                <w:spacing w:val="-2"/>
                <w:szCs w:val="22"/>
              </w:rPr>
            </w:pPr>
          </w:p>
          <w:p w:rsidR="004C2EE3" w:rsidRPr="00A26A14" w:rsidP="007115F7" w14:paraId="61EAB5F2" w14:textId="6F356AC1">
            <w:pPr>
              <w:tabs>
                <w:tab w:val="center" w:pos="4680"/>
              </w:tabs>
              <w:suppressAutoHyphens/>
              <w:rPr>
                <w:spacing w:val="-2"/>
                <w:szCs w:val="22"/>
              </w:rPr>
            </w:pPr>
            <w:r w:rsidRPr="00A26A14">
              <w:rPr>
                <w:spacing w:val="-2"/>
                <w:szCs w:val="22"/>
              </w:rPr>
              <w:t>American Electric Power Service Corporation’s Request for Waiver of Section 90.621(b)</w:t>
            </w:r>
          </w:p>
        </w:tc>
        <w:tc>
          <w:tcPr>
            <w:tcW w:w="630" w:type="dxa"/>
          </w:tcPr>
          <w:p w:rsidR="004C2EE3" w:rsidRPr="00A26A14" w14:paraId="0452ED25" w14:textId="77777777">
            <w:pPr>
              <w:tabs>
                <w:tab w:val="center" w:pos="4680"/>
              </w:tabs>
              <w:suppressAutoHyphens/>
              <w:rPr>
                <w:b/>
                <w:spacing w:val="-2"/>
                <w:szCs w:val="22"/>
              </w:rPr>
            </w:pPr>
            <w:r w:rsidRPr="00A26A14">
              <w:rPr>
                <w:b/>
                <w:spacing w:val="-2"/>
                <w:szCs w:val="22"/>
              </w:rPr>
              <w:t>)</w:t>
            </w:r>
          </w:p>
          <w:p w:rsidR="004C2EE3" w:rsidRPr="00A26A14" w14:paraId="7C604AF4" w14:textId="77777777">
            <w:pPr>
              <w:tabs>
                <w:tab w:val="center" w:pos="4680"/>
              </w:tabs>
              <w:suppressAutoHyphens/>
              <w:rPr>
                <w:b/>
                <w:spacing w:val="-2"/>
                <w:szCs w:val="22"/>
              </w:rPr>
            </w:pPr>
            <w:r w:rsidRPr="00A26A14">
              <w:rPr>
                <w:b/>
                <w:spacing w:val="-2"/>
                <w:szCs w:val="22"/>
              </w:rPr>
              <w:t>)</w:t>
            </w:r>
          </w:p>
          <w:p w:rsidR="004C2EE3" w:rsidRPr="00A26A14" w14:paraId="48E037FB" w14:textId="1898AC52">
            <w:pPr>
              <w:tabs>
                <w:tab w:val="center" w:pos="4680"/>
              </w:tabs>
              <w:suppressAutoHyphens/>
              <w:rPr>
                <w:b/>
                <w:spacing w:val="-2"/>
                <w:szCs w:val="22"/>
              </w:rPr>
            </w:pPr>
            <w:r w:rsidRPr="00A26A14">
              <w:rPr>
                <w:b/>
                <w:spacing w:val="-2"/>
                <w:szCs w:val="22"/>
              </w:rPr>
              <w:t>)</w:t>
            </w:r>
          </w:p>
          <w:p w:rsidR="004C2EE3" w:rsidRPr="00A26A14" w14:paraId="70474FE4" w14:textId="1D5CCED2">
            <w:pPr>
              <w:tabs>
                <w:tab w:val="center" w:pos="4680"/>
              </w:tabs>
              <w:suppressAutoHyphens/>
              <w:rPr>
                <w:b/>
                <w:spacing w:val="-2"/>
                <w:szCs w:val="22"/>
              </w:rPr>
            </w:pPr>
            <w:r w:rsidRPr="00A26A14">
              <w:rPr>
                <w:b/>
                <w:spacing w:val="-2"/>
                <w:szCs w:val="22"/>
              </w:rPr>
              <w:t>)</w:t>
            </w:r>
          </w:p>
        </w:tc>
        <w:tc>
          <w:tcPr>
            <w:tcW w:w="4248" w:type="dxa"/>
          </w:tcPr>
          <w:p w:rsidR="004C2EE3" w:rsidRPr="00A26A14" w14:paraId="7AD0CC58" w14:textId="77777777">
            <w:pPr>
              <w:tabs>
                <w:tab w:val="center" w:pos="4680"/>
              </w:tabs>
              <w:suppressAutoHyphens/>
              <w:rPr>
                <w:spacing w:val="-2"/>
                <w:szCs w:val="22"/>
              </w:rPr>
            </w:pPr>
          </w:p>
          <w:p w:rsidR="004C2EE3" w:rsidRPr="00A26A14" w14:paraId="373C492D" w14:textId="77777777">
            <w:pPr>
              <w:pStyle w:val="TOAHeading"/>
              <w:tabs>
                <w:tab w:val="center" w:pos="4680"/>
                <w:tab w:val="clear" w:pos="9360"/>
              </w:tabs>
              <w:rPr>
                <w:spacing w:val="-2"/>
                <w:szCs w:val="22"/>
              </w:rPr>
            </w:pPr>
          </w:p>
          <w:p w:rsidR="004C2EE3" w:rsidRPr="00A26A14" w14:paraId="1ED00AE8" w14:textId="38AB8A02">
            <w:pPr>
              <w:tabs>
                <w:tab w:val="center" w:pos="4680"/>
              </w:tabs>
              <w:suppressAutoHyphens/>
              <w:rPr>
                <w:spacing w:val="-2"/>
                <w:szCs w:val="22"/>
              </w:rPr>
            </w:pPr>
            <w:r w:rsidRPr="00A26A14">
              <w:rPr>
                <w:spacing w:val="-2"/>
                <w:szCs w:val="22"/>
              </w:rPr>
              <w:t>W</w:t>
            </w:r>
            <w:r w:rsidRPr="00A26A14" w:rsidR="00D479EF">
              <w:rPr>
                <w:spacing w:val="-2"/>
                <w:szCs w:val="22"/>
              </w:rPr>
              <w:t>T Docket No. 23-390</w:t>
            </w:r>
          </w:p>
        </w:tc>
      </w:tr>
    </w:tbl>
    <w:p w:rsidR="004C2EE3" w:rsidRPr="00A26A14" w:rsidP="0070224F" w14:paraId="487AFA3D" w14:textId="77777777">
      <w:pPr>
        <w:rPr>
          <w:szCs w:val="22"/>
        </w:rPr>
      </w:pPr>
    </w:p>
    <w:p w:rsidR="00841AB1" w:rsidRPr="00DA7135" w:rsidP="00F021FA" w14:paraId="30DEDC10" w14:textId="5971546C">
      <w:pPr>
        <w:pStyle w:val="StyleBoldCentered"/>
        <w:rPr>
          <w:rFonts w:ascii="Times New Roman" w:hAnsi="Times New Roman"/>
        </w:rPr>
      </w:pPr>
      <w:r w:rsidRPr="00DA7135">
        <w:rPr>
          <w:rFonts w:ascii="Times New Roman" w:hAnsi="Times New Roman"/>
        </w:rPr>
        <w:t>Order</w:t>
      </w:r>
      <w:r w:rsidRPr="00DA7135" w:rsidR="00047A87">
        <w:rPr>
          <w:rFonts w:ascii="Times New Roman" w:hAnsi="Times New Roman"/>
        </w:rPr>
        <w:t xml:space="preserve"> Granting Extension of Time</w:t>
      </w:r>
    </w:p>
    <w:p w:rsidR="004C2EE3" w:rsidRPr="00A26A14" w14:paraId="70AD2CD9" w14:textId="5971546C">
      <w:pPr>
        <w:tabs>
          <w:tab w:val="left" w:pos="-720"/>
        </w:tabs>
        <w:suppressAutoHyphens/>
        <w:spacing w:line="227" w:lineRule="auto"/>
        <w:rPr>
          <w:spacing w:val="-2"/>
          <w:szCs w:val="22"/>
        </w:rPr>
      </w:pPr>
    </w:p>
    <w:p w:rsidR="004C2EE3" w:rsidRPr="00A26A14" w:rsidP="00133F79" w14:paraId="3E9E7545" w14:textId="3837DDF2">
      <w:pPr>
        <w:tabs>
          <w:tab w:val="left" w:pos="720"/>
          <w:tab w:val="right" w:pos="9360"/>
        </w:tabs>
        <w:suppressAutoHyphens/>
        <w:spacing w:line="227" w:lineRule="auto"/>
        <w:rPr>
          <w:spacing w:val="-2"/>
          <w:szCs w:val="22"/>
        </w:rPr>
      </w:pPr>
      <w:r w:rsidRPr="00A26A14">
        <w:rPr>
          <w:b/>
          <w:spacing w:val="-2"/>
          <w:szCs w:val="22"/>
        </w:rPr>
        <w:t xml:space="preserve">Adopted:  </w:t>
      </w:r>
      <w:r w:rsidRPr="00A26A14" w:rsidR="00D479EF">
        <w:rPr>
          <w:b/>
          <w:spacing w:val="-2"/>
          <w:szCs w:val="22"/>
        </w:rPr>
        <w:t>January 5, 2024</w:t>
      </w:r>
      <w:r w:rsidRPr="00A26A14">
        <w:rPr>
          <w:b/>
          <w:spacing w:val="-2"/>
          <w:szCs w:val="22"/>
        </w:rPr>
        <w:tab/>
      </w:r>
      <w:r w:rsidRPr="00A26A14" w:rsidR="00822CE0">
        <w:rPr>
          <w:b/>
          <w:spacing w:val="-2"/>
          <w:szCs w:val="22"/>
        </w:rPr>
        <w:t>Released</w:t>
      </w:r>
      <w:r w:rsidRPr="00A26A14">
        <w:rPr>
          <w:b/>
          <w:spacing w:val="-2"/>
          <w:szCs w:val="22"/>
        </w:rPr>
        <w:t>:</w:t>
      </w:r>
      <w:r w:rsidRPr="00A26A14" w:rsidR="00822CE0">
        <w:rPr>
          <w:b/>
          <w:spacing w:val="-2"/>
          <w:szCs w:val="22"/>
        </w:rPr>
        <w:t xml:space="preserve"> </w:t>
      </w:r>
      <w:r w:rsidRPr="00A26A14">
        <w:rPr>
          <w:b/>
          <w:spacing w:val="-2"/>
          <w:szCs w:val="22"/>
        </w:rPr>
        <w:t xml:space="preserve"> </w:t>
      </w:r>
      <w:r w:rsidRPr="00A26A14" w:rsidR="00D479EF">
        <w:rPr>
          <w:b/>
          <w:spacing w:val="-2"/>
          <w:szCs w:val="22"/>
        </w:rPr>
        <w:t>January 5, 2024</w:t>
      </w:r>
    </w:p>
    <w:p w:rsidR="00822CE0" w:rsidRPr="00A26A14" w14:paraId="6005BC65" w14:textId="77777777">
      <w:pPr>
        <w:rPr>
          <w:szCs w:val="22"/>
        </w:rPr>
      </w:pPr>
    </w:p>
    <w:p w:rsidR="00E02C80" w:rsidRPr="00DA7135" w:rsidP="00DA7135" w14:paraId="715D1498" w14:textId="7CE5F7B5">
      <w:r w:rsidRPr="00DA7135">
        <w:t>By the Chief, Mobility Division</w:t>
      </w:r>
      <w:r w:rsidRPr="00DA7135" w:rsidR="0040711D">
        <w:t>, Wireless Telecommunications Bureau</w:t>
      </w:r>
      <w:r w:rsidRPr="00DA7135">
        <w:t>:</w:t>
      </w:r>
    </w:p>
    <w:p w:rsidR="00822CE0" w:rsidRPr="00A26A14" w14:paraId="013F6CBA" w14:textId="77777777">
      <w:pPr>
        <w:rPr>
          <w:spacing w:val="-2"/>
          <w:szCs w:val="22"/>
        </w:rPr>
      </w:pPr>
    </w:p>
    <w:p w:rsidR="00902C7F" w:rsidRPr="00A26A14" w:rsidP="00A26A14" w14:paraId="2FCDE839" w14:textId="1C3B5437">
      <w:pPr>
        <w:pStyle w:val="ParaNum"/>
      </w:pPr>
      <w:r w:rsidRPr="00DA7135">
        <w:t>On January 3, 2024, American Electric Power Service Corporation (AEP) filed a Motion for Extension of Time seeking an extension of the reply comment deadline in the above captioned proceeding by 7 days.</w:t>
      </w:r>
      <w:r>
        <w:rPr>
          <w:rStyle w:val="FootnoteReference"/>
          <w:kern w:val="0"/>
          <w:sz w:val="22"/>
          <w:szCs w:val="22"/>
        </w:rPr>
        <w:footnoteReference w:id="3"/>
      </w:r>
      <w:r w:rsidRPr="00DA7135">
        <w:t xml:space="preserve">  By this Order, for the reasons stated below, the Wireless Telecommunications Bureau grants an extension of the reply comment deadline by 7 days to January 12, 2024.</w:t>
      </w:r>
    </w:p>
    <w:p w:rsidR="00417811" w:rsidRPr="00A26A14" w:rsidP="00A26A14" w14:paraId="732C0CA0" w14:textId="0A674719">
      <w:pPr>
        <w:pStyle w:val="ParaNum"/>
      </w:pPr>
      <w:r w:rsidRPr="00DA7135">
        <w:t>On June 8, 2023, AEP filed an application requesting waiver of section 90.621(b) of the Federal Communications Commission’s (Commission) rules.</w:t>
      </w:r>
      <w:r>
        <w:rPr>
          <w:rStyle w:val="FootnoteReference"/>
          <w:kern w:val="0"/>
          <w:sz w:val="22"/>
          <w:szCs w:val="22"/>
        </w:rPr>
        <w:footnoteReference w:id="4"/>
      </w:r>
      <w:r w:rsidRPr="00DA7135">
        <w:t xml:space="preserve">  On November 21, 2023, the Commission released a </w:t>
      </w:r>
      <w:r w:rsidRPr="00DA7135">
        <w:rPr>
          <w:i/>
          <w:iCs/>
        </w:rPr>
        <w:t>Public Notice</w:t>
      </w:r>
      <w:r w:rsidRPr="00DA7135">
        <w:t xml:space="preserve"> seeking comment on this waiver request application and announcing a comment due date of December 21, 2023 and a reply comment due date of January 5, 2024.</w:t>
      </w:r>
      <w:r>
        <w:rPr>
          <w:rStyle w:val="FootnoteReference"/>
          <w:kern w:val="0"/>
          <w:sz w:val="22"/>
          <w:szCs w:val="22"/>
        </w:rPr>
        <w:footnoteReference w:id="5"/>
      </w:r>
      <w:r w:rsidRPr="00DA7135" w:rsidR="00823155">
        <w:t xml:space="preserve">  </w:t>
      </w:r>
      <w:r w:rsidRPr="00DA7135" w:rsidR="00A50840">
        <w:t xml:space="preserve">On December 21, 2023, </w:t>
      </w:r>
      <w:r w:rsidRPr="00DA7135" w:rsidR="00692EFF">
        <w:t>the Government Wireless Technology &amp; Communications Association (GWTCA)</w:t>
      </w:r>
      <w:r w:rsidRPr="00DA7135" w:rsidR="00823155">
        <w:t xml:space="preserve"> filed a comment </w:t>
      </w:r>
      <w:r w:rsidRPr="00DA7135" w:rsidR="00692EFF">
        <w:t>opposing AEP’s waiver request application.</w:t>
      </w:r>
    </w:p>
    <w:p w:rsidR="00E6235F" w:rsidRPr="00A26A14" w:rsidP="00DA7135" w14:paraId="5F93B548" w14:textId="19BF6D10">
      <w:pPr>
        <w:pStyle w:val="ParaNum"/>
      </w:pPr>
      <w:r w:rsidRPr="00DA7135">
        <w:t>AEP seeks a 7-day extension</w:t>
      </w:r>
      <w:r w:rsidRPr="00DA7135" w:rsidR="00042BFA">
        <w:t xml:space="preserve"> of the reply comment deadline</w:t>
      </w:r>
      <w:r w:rsidRPr="00DA7135">
        <w:t>, stating that it became aware of the comment from GWTCA “during the Christmas holidays at which time the relevant AEP personnel were on leave.”</w:t>
      </w:r>
      <w:r>
        <w:rPr>
          <w:rStyle w:val="FootnoteReference"/>
          <w:kern w:val="0"/>
          <w:sz w:val="22"/>
          <w:szCs w:val="22"/>
        </w:rPr>
        <w:footnoteReference w:id="6"/>
      </w:r>
      <w:r w:rsidRPr="00DA7135">
        <w:t xml:space="preserve">  AEP indicates that the relevant staff members are currently working “to review the Opposition” and seeks an “extension to prepare a responsive filing.”</w:t>
      </w:r>
      <w:r>
        <w:rPr>
          <w:rStyle w:val="FootnoteReference"/>
          <w:kern w:val="0"/>
          <w:sz w:val="22"/>
          <w:szCs w:val="22"/>
        </w:rPr>
        <w:footnoteReference w:id="7"/>
      </w:r>
      <w:r w:rsidRPr="00DA7135">
        <w:t xml:space="preserve">  In its motion, AEP notes that this extension “will not adversely impact any party” and that it “has advised counsel for [GWTCA] orally of this extension request.”</w:t>
      </w:r>
      <w:r>
        <w:rPr>
          <w:rStyle w:val="FootnoteReference"/>
          <w:kern w:val="0"/>
          <w:sz w:val="22"/>
          <w:szCs w:val="22"/>
        </w:rPr>
        <w:footnoteReference w:id="8"/>
      </w:r>
    </w:p>
    <w:p w:rsidR="00EA4B3C" w:rsidRPr="00A26A14" w:rsidP="002E2B86" w14:paraId="63BB0BEA" w14:textId="3A8B31B5">
      <w:pPr>
        <w:pStyle w:val="ParaNum"/>
        <w:rPr>
          <w:szCs w:val="22"/>
        </w:rPr>
      </w:pPr>
      <w:r w:rsidRPr="00A26A14">
        <w:rPr>
          <w:szCs w:val="22"/>
        </w:rPr>
        <w:t>We grant a 7-day extension of time to file reply comments in this proceeding.  As set forth in section 1.46 of the Commission’s rules, the Commission does not routinely grant extensions of time for filing reply comments.</w:t>
      </w:r>
      <w:r>
        <w:rPr>
          <w:rStyle w:val="FootnoteReference"/>
          <w:kern w:val="0"/>
          <w:sz w:val="22"/>
          <w:szCs w:val="22"/>
        </w:rPr>
        <w:footnoteReference w:id="9"/>
      </w:r>
      <w:r w:rsidRPr="00A26A14">
        <w:rPr>
          <w:szCs w:val="22"/>
        </w:rPr>
        <w:t xml:space="preserve">  In this case, however, we agree that a 7-day extension is warranted due to the intervening Christmas and New Years Day holidays.  Providing a 7-day extension will allow AEP </w:t>
      </w:r>
      <w:r w:rsidRPr="00A26A14">
        <w:rPr>
          <w:szCs w:val="22"/>
        </w:rPr>
        <w:t>to provide a meaningful response to GWTCA.</w:t>
      </w:r>
      <w:r w:rsidRPr="00DA7135" w:rsidR="00E6235F">
        <w:rPr>
          <w:szCs w:val="22"/>
        </w:rPr>
        <w:t xml:space="preserve"> </w:t>
      </w:r>
    </w:p>
    <w:p w:rsidR="00AA3253" w:rsidRPr="00A26A14" w:rsidP="00AA3253" w14:paraId="176011E3" w14:textId="77777777">
      <w:pPr>
        <w:pStyle w:val="ParaNum"/>
        <w:rPr>
          <w:szCs w:val="22"/>
        </w:rPr>
      </w:pPr>
      <w:r w:rsidRPr="00A26A14">
        <w:rPr>
          <w:szCs w:val="22"/>
        </w:rPr>
        <w:t xml:space="preserve">Accordingly, </w:t>
      </w:r>
      <w:r w:rsidRPr="00A26A14">
        <w:rPr>
          <w:b/>
          <w:bCs/>
          <w:szCs w:val="22"/>
        </w:rPr>
        <w:t>IT IS SO ORDERED</w:t>
      </w:r>
      <w:r w:rsidRPr="00A26A14">
        <w:rPr>
          <w:szCs w:val="22"/>
        </w:rPr>
        <w:t xml:space="preserve"> that, pursuant to section 4(</w:t>
      </w:r>
      <w:r w:rsidRPr="00A26A14">
        <w:rPr>
          <w:szCs w:val="22"/>
        </w:rPr>
        <w:t>i</w:t>
      </w:r>
      <w:r w:rsidRPr="00A26A14">
        <w:rPr>
          <w:szCs w:val="22"/>
        </w:rPr>
        <w:t>) of the Communications Act of 1934, as amended, 47 U.S.C. § 154(</w:t>
      </w:r>
      <w:r w:rsidRPr="00A26A14">
        <w:rPr>
          <w:szCs w:val="22"/>
        </w:rPr>
        <w:t>i</w:t>
      </w:r>
      <w:r w:rsidRPr="00A26A14">
        <w:rPr>
          <w:szCs w:val="22"/>
        </w:rPr>
        <w:t xml:space="preserve">), and sections 0.131, 0.204, 0.331, and 1.46 of the Commission’s Rules, 47 CFR §§ 0.131, 0.204, 0.331, and 1.46, the Motion for Extension of Time filed by American Electric Power Service Corporation on January 3, 2024 </w:t>
      </w:r>
      <w:r w:rsidRPr="00A26A14">
        <w:rPr>
          <w:b/>
          <w:bCs/>
          <w:szCs w:val="22"/>
        </w:rPr>
        <w:t>IS GRANTED</w:t>
      </w:r>
      <w:r w:rsidRPr="00A26A14">
        <w:rPr>
          <w:szCs w:val="22"/>
        </w:rPr>
        <w:t>.</w:t>
      </w:r>
    </w:p>
    <w:p w:rsidR="008A72CE" w:rsidRPr="00A26A14" w:rsidP="008A72CE" w14:paraId="597BF57F" w14:textId="203749D4">
      <w:pPr>
        <w:pStyle w:val="ParaNum"/>
        <w:rPr>
          <w:szCs w:val="22"/>
        </w:rPr>
      </w:pPr>
      <w:r w:rsidRPr="00DA7135">
        <w:rPr>
          <w:b/>
          <w:bCs/>
          <w:kern w:val="0"/>
          <w:szCs w:val="22"/>
        </w:rPr>
        <w:t>IT IS FURTHER ORDERED</w:t>
      </w:r>
      <w:r w:rsidRPr="00DA7135">
        <w:t xml:space="preserve"> that the deadline to file reply comments in this proceeding </w:t>
      </w:r>
      <w:r w:rsidRPr="00DA7135">
        <w:rPr>
          <w:b/>
          <w:bCs/>
          <w:kern w:val="0"/>
          <w:szCs w:val="22"/>
        </w:rPr>
        <w:t>IS EXTENDED</w:t>
      </w:r>
      <w:r w:rsidRPr="00DA7135">
        <w:t xml:space="preserve"> to January 12, 2024.</w:t>
      </w:r>
    </w:p>
    <w:p w:rsidR="008A72CE" w:rsidRPr="00A26A14" w:rsidP="008A72CE" w14:paraId="0385DE56" w14:textId="77777777">
      <w:pPr>
        <w:keepNext/>
        <w:rPr>
          <w:szCs w:val="22"/>
        </w:rPr>
      </w:pPr>
      <w:r w:rsidRPr="00A26A14">
        <w:rPr>
          <w:szCs w:val="22"/>
        </w:rPr>
        <w:tab/>
      </w:r>
      <w:r w:rsidRPr="00A26A14">
        <w:rPr>
          <w:szCs w:val="22"/>
        </w:rPr>
        <w:tab/>
      </w:r>
      <w:r w:rsidRPr="00A26A14">
        <w:rPr>
          <w:szCs w:val="22"/>
        </w:rPr>
        <w:tab/>
      </w:r>
      <w:r w:rsidRPr="00A26A14">
        <w:rPr>
          <w:szCs w:val="22"/>
        </w:rPr>
        <w:tab/>
      </w:r>
      <w:r w:rsidRPr="00A26A14">
        <w:rPr>
          <w:szCs w:val="22"/>
        </w:rPr>
        <w:tab/>
      </w:r>
      <w:r w:rsidRPr="00A26A14">
        <w:rPr>
          <w:szCs w:val="22"/>
        </w:rPr>
        <w:tab/>
        <w:t>FEDERAL COMMUNICATIONS COMMISSION</w:t>
      </w:r>
    </w:p>
    <w:p w:rsidR="008A72CE" w:rsidRPr="00A26A14" w:rsidP="008A72CE" w14:paraId="41AF2A83" w14:textId="77777777">
      <w:pPr>
        <w:keepNext/>
        <w:rPr>
          <w:szCs w:val="22"/>
        </w:rPr>
      </w:pPr>
    </w:p>
    <w:p w:rsidR="008A72CE" w:rsidRPr="00A26A14" w:rsidP="008A72CE" w14:paraId="77FEAFF0" w14:textId="77777777">
      <w:pPr>
        <w:keepNext/>
        <w:rPr>
          <w:szCs w:val="22"/>
        </w:rPr>
      </w:pPr>
    </w:p>
    <w:p w:rsidR="008A72CE" w:rsidRPr="00A26A14" w:rsidP="008A72CE" w14:paraId="00B08DEA" w14:textId="77777777">
      <w:pPr>
        <w:keepNext/>
        <w:rPr>
          <w:szCs w:val="22"/>
        </w:rPr>
      </w:pPr>
    </w:p>
    <w:p w:rsidR="008A72CE" w:rsidRPr="00A26A14" w:rsidP="008A72CE" w14:paraId="10410A13" w14:textId="77777777">
      <w:pPr>
        <w:keepNext/>
        <w:rPr>
          <w:szCs w:val="22"/>
        </w:rPr>
      </w:pPr>
    </w:p>
    <w:p w:rsidR="008D4E73" w:rsidRPr="00A26A14" w:rsidP="008A72CE" w14:paraId="53A30FD7" w14:textId="390653A1">
      <w:pPr>
        <w:keepNext/>
        <w:rPr>
          <w:szCs w:val="22"/>
        </w:rPr>
      </w:pPr>
      <w:r w:rsidRPr="00A26A14">
        <w:rPr>
          <w:szCs w:val="22"/>
        </w:rPr>
        <w:tab/>
      </w:r>
      <w:r w:rsidRPr="00A26A14">
        <w:rPr>
          <w:szCs w:val="22"/>
        </w:rPr>
        <w:tab/>
      </w:r>
      <w:r w:rsidRPr="00A26A14">
        <w:rPr>
          <w:szCs w:val="22"/>
        </w:rPr>
        <w:tab/>
      </w:r>
      <w:r w:rsidRPr="00A26A14">
        <w:rPr>
          <w:szCs w:val="22"/>
        </w:rPr>
        <w:tab/>
      </w:r>
      <w:r w:rsidRPr="00A26A14">
        <w:rPr>
          <w:szCs w:val="22"/>
        </w:rPr>
        <w:tab/>
      </w:r>
      <w:r w:rsidRPr="00A26A14">
        <w:rPr>
          <w:szCs w:val="22"/>
        </w:rPr>
        <w:tab/>
      </w:r>
      <w:r w:rsidRPr="00A26A14">
        <w:rPr>
          <w:szCs w:val="22"/>
        </w:rPr>
        <w:t>Roger Noel</w:t>
      </w:r>
    </w:p>
    <w:p w:rsidR="008D4E73" w:rsidRPr="00A26A14" w:rsidP="008A72CE" w14:paraId="7254F9B1" w14:textId="77777777">
      <w:pPr>
        <w:keepNext/>
        <w:keepLines/>
        <w:rPr>
          <w:szCs w:val="22"/>
        </w:rPr>
      </w:pPr>
      <w:r w:rsidRPr="00A26A14">
        <w:rPr>
          <w:szCs w:val="22"/>
        </w:rPr>
        <w:tab/>
      </w:r>
      <w:r w:rsidRPr="00A26A14">
        <w:rPr>
          <w:szCs w:val="22"/>
        </w:rPr>
        <w:tab/>
      </w:r>
      <w:r w:rsidRPr="00A26A14">
        <w:rPr>
          <w:szCs w:val="22"/>
        </w:rPr>
        <w:tab/>
      </w:r>
      <w:r w:rsidRPr="00A26A14">
        <w:rPr>
          <w:szCs w:val="22"/>
        </w:rPr>
        <w:tab/>
      </w:r>
      <w:r w:rsidRPr="00A26A14">
        <w:rPr>
          <w:szCs w:val="22"/>
        </w:rPr>
        <w:tab/>
      </w:r>
      <w:r w:rsidRPr="00A26A14">
        <w:rPr>
          <w:szCs w:val="22"/>
        </w:rPr>
        <w:tab/>
      </w:r>
      <w:r w:rsidRPr="00A26A14">
        <w:rPr>
          <w:szCs w:val="22"/>
        </w:rPr>
        <w:t>Chief</w:t>
      </w:r>
    </w:p>
    <w:p w:rsidR="008D4E73" w:rsidRPr="00A26A14" w:rsidP="008D4E73" w14:paraId="47D0E4C5" w14:textId="77777777">
      <w:pPr>
        <w:keepNext/>
        <w:keepLines/>
        <w:ind w:left="3600" w:firstLine="720"/>
        <w:rPr>
          <w:szCs w:val="22"/>
        </w:rPr>
      </w:pPr>
      <w:r w:rsidRPr="00A26A14">
        <w:rPr>
          <w:szCs w:val="22"/>
        </w:rPr>
        <w:t xml:space="preserve">Mobility Division </w:t>
      </w:r>
    </w:p>
    <w:p w:rsidR="00162980" w:rsidRPr="00A26A14" w:rsidP="008A72CE" w14:paraId="157A2114" w14:textId="2EA1DFE3">
      <w:pPr>
        <w:keepNext/>
        <w:keepLines/>
        <w:widowControl/>
        <w:ind w:left="4320"/>
        <w:rPr>
          <w:szCs w:val="22"/>
        </w:rPr>
      </w:pPr>
      <w:r w:rsidRPr="00A26A14">
        <w:rPr>
          <w:szCs w:val="22"/>
        </w:rPr>
        <w:t>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E38C12" w14:textId="77777777">
    <w:pPr>
      <w:pStyle w:val="Footer"/>
      <w:framePr w:wrap="around" w:vAnchor="text" w:hAnchor="margin" w:xAlign="center" w:y="1"/>
    </w:pPr>
    <w:r>
      <w:fldChar w:fldCharType="begin"/>
    </w:r>
    <w:r>
      <w:instrText xml:space="preserve">PAGE  </w:instrText>
    </w:r>
    <w:r w:rsidR="0003326A">
      <w:fldChar w:fldCharType="separate"/>
    </w:r>
    <w:r>
      <w:fldChar w:fldCharType="end"/>
    </w:r>
  </w:p>
  <w:p w:rsidR="00D25FB5" w14:paraId="31815F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A3C8C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FEB062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CE98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3439" w14:paraId="1DD9C659" w14:textId="77777777">
      <w:r>
        <w:separator/>
      </w:r>
    </w:p>
  </w:footnote>
  <w:footnote w:type="continuationSeparator" w:id="1">
    <w:p w:rsidR="00DB3439" w:rsidP="00C721AC" w14:paraId="42A8ABCB" w14:textId="77777777">
      <w:pPr>
        <w:spacing w:before="120"/>
        <w:rPr>
          <w:sz w:val="20"/>
        </w:rPr>
      </w:pPr>
      <w:r>
        <w:rPr>
          <w:sz w:val="20"/>
        </w:rPr>
        <w:t xml:space="preserve">(Continued from previous page)  </w:t>
      </w:r>
      <w:r>
        <w:rPr>
          <w:sz w:val="20"/>
        </w:rPr>
        <w:separator/>
      </w:r>
    </w:p>
  </w:footnote>
  <w:footnote w:type="continuationNotice" w:id="2">
    <w:p w:rsidR="00DB3439" w:rsidP="00C721AC" w14:paraId="576D842C" w14:textId="77777777">
      <w:pPr>
        <w:jc w:val="right"/>
        <w:rPr>
          <w:sz w:val="20"/>
        </w:rPr>
      </w:pPr>
      <w:r>
        <w:rPr>
          <w:sz w:val="20"/>
        </w:rPr>
        <w:t>(continued….)</w:t>
      </w:r>
    </w:p>
  </w:footnote>
  <w:footnote w:id="3">
    <w:p w:rsidR="0004417D" w:rsidRPr="00BD7C49" w:rsidP="0004417D" w14:paraId="2B1A7502" w14:textId="77777777">
      <w:pPr>
        <w:pStyle w:val="FootnoteText"/>
      </w:pPr>
      <w:r w:rsidRPr="00BD7C49">
        <w:rPr>
          <w:rStyle w:val="FootnoteReference"/>
        </w:rPr>
        <w:footnoteRef/>
      </w:r>
      <w:r w:rsidRPr="00BD7C49">
        <w:t xml:space="preserve"> </w:t>
      </w:r>
      <w:r>
        <w:t xml:space="preserve">Motion of American Electric Power Service Corporation for Extension of Time, WT Docket No. 23-390, at 1 (filed Jan. 3, 2024), </w:t>
      </w:r>
      <w:hyperlink r:id="rId1" w:history="1">
        <w:r w:rsidRPr="00035E90">
          <w:rPr>
            <w:rStyle w:val="Hyperlink"/>
          </w:rPr>
          <w:t>https://www.fcc.gov/ecfs/search/search-filings/filing/1010358792919</w:t>
        </w:r>
      </w:hyperlink>
      <w:r>
        <w:t xml:space="preserve"> (AEP Motion for Extension of Time).</w:t>
      </w:r>
    </w:p>
  </w:footnote>
  <w:footnote w:id="4">
    <w:p w:rsidR="00417F41" w:rsidRPr="00BD7C49" w:rsidP="00417F41" w14:paraId="63D37959" w14:textId="77777777">
      <w:pPr>
        <w:pStyle w:val="FootnoteText"/>
      </w:pPr>
      <w:r w:rsidRPr="00BD7C49">
        <w:rPr>
          <w:rStyle w:val="FootnoteReference"/>
        </w:rPr>
        <w:footnoteRef/>
      </w:r>
      <w:r w:rsidRPr="00BD7C49">
        <w:t xml:space="preserve"> American Electric Power Service Corporation, ULS File No. 0010577631 (filed June 8, 2023), </w:t>
      </w:r>
      <w:hyperlink r:id="rId2" w:history="1">
        <w:r w:rsidRPr="00BD7C49">
          <w:rPr>
            <w:rStyle w:val="Hyperlink"/>
          </w:rPr>
          <w:t>https://wireless2.fcc.gov/UlsApp/ApplicationSearch/applMain.jsp?applID=14102475</w:t>
        </w:r>
      </w:hyperlink>
      <w:r w:rsidRPr="00BD7C49">
        <w:t>.</w:t>
      </w:r>
    </w:p>
  </w:footnote>
  <w:footnote w:id="5">
    <w:p w:rsidR="00417F41" w:rsidRPr="00BD7C49" w:rsidP="00417F41" w14:paraId="42E34085" w14:textId="77777777">
      <w:pPr>
        <w:pStyle w:val="FootnoteText"/>
      </w:pPr>
      <w:r w:rsidRPr="00BD7C49">
        <w:rPr>
          <w:rStyle w:val="FootnoteReference"/>
        </w:rPr>
        <w:footnoteRef/>
      </w:r>
      <w:r w:rsidRPr="00BD7C49">
        <w:t xml:space="preserve"> </w:t>
      </w:r>
      <w:r w:rsidRPr="00BD7C49">
        <w:rPr>
          <w:i/>
          <w:iCs/>
        </w:rPr>
        <w:t>Wireless Telecommunications Bureau Seeks Comment on American Electric Power Service Corporation’s Request for Waiver of Section 90.621(b)</w:t>
      </w:r>
      <w:r w:rsidRPr="00BD7C49">
        <w:t xml:space="preserve">, WT Docket No. 23-390, Public Notice, DA 23-1084, 2023 WL </w:t>
      </w:r>
      <w:r w:rsidRPr="00BD7C49">
        <w:rPr>
          <w:color w:val="3D3D3D"/>
          <w:shd w:val="clear" w:color="auto" w:fill="FFFFFF"/>
        </w:rPr>
        <w:t>8614340</w:t>
      </w:r>
      <w:r>
        <w:rPr>
          <w:color w:val="3D3D3D"/>
          <w:shd w:val="clear" w:color="auto" w:fill="FFFFFF"/>
        </w:rPr>
        <w:t>, at *1</w:t>
      </w:r>
      <w:r w:rsidRPr="00BD7C49">
        <w:t xml:space="preserve"> (WTB Nov. 21, 2023).</w:t>
      </w:r>
    </w:p>
  </w:footnote>
  <w:footnote w:id="6">
    <w:p w:rsidR="00514D89" w:rsidRPr="008626E1" w:rsidP="00514D89" w14:paraId="654E05A9" w14:textId="5FDEC614">
      <w:pPr>
        <w:pStyle w:val="FootnoteText"/>
      </w:pPr>
      <w:r w:rsidRPr="00BD7C49">
        <w:rPr>
          <w:rStyle w:val="FootnoteReference"/>
        </w:rPr>
        <w:footnoteRef/>
      </w:r>
      <w:r w:rsidRPr="00BD7C49">
        <w:t xml:space="preserve"> </w:t>
      </w:r>
      <w:r>
        <w:t xml:space="preserve">AEP Motion for Extension of Time at </w:t>
      </w:r>
      <w:r w:rsidR="001011FA">
        <w:t>*</w:t>
      </w:r>
      <w:r>
        <w:t>1.</w:t>
      </w:r>
    </w:p>
  </w:footnote>
  <w:footnote w:id="7">
    <w:p w:rsidR="00514D89" w:rsidRPr="00BD7C49" w:rsidP="00514D89" w14:paraId="7D3C07B5" w14:textId="77777777">
      <w:pPr>
        <w:pStyle w:val="FootnoteText"/>
        <w:rPr>
          <w:i/>
          <w:iCs/>
        </w:rPr>
      </w:pPr>
      <w:r w:rsidRPr="00BD7C49">
        <w:rPr>
          <w:rStyle w:val="FootnoteReference"/>
        </w:rPr>
        <w:footnoteRef/>
      </w:r>
      <w:r w:rsidRPr="00BD7C49">
        <w:t xml:space="preserve"> </w:t>
      </w:r>
      <w:r w:rsidRPr="00BD7C49">
        <w:rPr>
          <w:i/>
          <w:iCs/>
        </w:rPr>
        <w:t>Id.</w:t>
      </w:r>
    </w:p>
  </w:footnote>
  <w:footnote w:id="8">
    <w:p w:rsidR="00514D89" w:rsidRPr="00BD7C49" w:rsidP="00514D89" w14:paraId="0300B513" w14:textId="0061CB88">
      <w:pPr>
        <w:pStyle w:val="FootnoteText"/>
      </w:pPr>
      <w:r w:rsidRPr="00BD7C49">
        <w:rPr>
          <w:rStyle w:val="FootnoteReference"/>
        </w:rPr>
        <w:footnoteRef/>
      </w:r>
      <w:r w:rsidRPr="00BD7C49">
        <w:t xml:space="preserve"> </w:t>
      </w:r>
      <w:r w:rsidRPr="00BD7C49">
        <w:rPr>
          <w:i/>
          <w:iCs/>
        </w:rPr>
        <w:t>Id.</w:t>
      </w:r>
      <w:r w:rsidRPr="00BD7C49">
        <w:t xml:space="preserve"> at </w:t>
      </w:r>
      <w:r w:rsidR="001011FA">
        <w:t>*</w:t>
      </w:r>
      <w:r w:rsidRPr="00BD7C49">
        <w:t>1–2.</w:t>
      </w:r>
    </w:p>
  </w:footnote>
  <w:footnote w:id="9">
    <w:p w:rsidR="002E2B86" w:rsidRPr="00BD7C49" w:rsidP="002E2B86" w14:paraId="2F7AFF2E" w14:textId="77777777">
      <w:pPr>
        <w:pStyle w:val="FootnoteText"/>
      </w:pPr>
      <w:r w:rsidRPr="00BD7C49">
        <w:rPr>
          <w:rStyle w:val="FootnoteReference"/>
        </w:rPr>
        <w:footnoteRef/>
      </w:r>
      <w:r w:rsidRPr="00BD7C49">
        <w:t xml:space="preserve"> </w:t>
      </w:r>
      <w:r>
        <w:t xml:space="preserve">47 CFR </w:t>
      </w:r>
      <w:r w:rsidRPr="00D17159">
        <w:t>§</w:t>
      </w:r>
      <w:r>
        <w:t xml:space="preserve">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CA53B2" w14:textId="08E00BE3">
    <w:pPr>
      <w:pStyle w:val="Header"/>
      <w:rPr>
        <w:b w:val="0"/>
      </w:rPr>
    </w:pPr>
    <w:r>
      <w:tab/>
      <w:t>Federal Communications Commission</w:t>
    </w:r>
    <w:r>
      <w:tab/>
    </w:r>
    <w:r w:rsidR="00B22613">
      <w:t>DA 2</w:t>
    </w:r>
    <w:r w:rsidR="00B97709">
      <w:t>4-</w:t>
    </w:r>
    <w:r w:rsidR="0003326A">
      <w:t>16</w:t>
    </w:r>
  </w:p>
  <w:p w:rsidR="00D25FB5" w14:paraId="2DF9B0A7" w14:textId="0DE73D7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2184438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FAD11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D1A483" w14:textId="6B30A7C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2685218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C6949">
      <w:rPr>
        <w:spacing w:val="-2"/>
      </w:rPr>
      <w:t>DA 2</w:t>
    </w:r>
    <w:r w:rsidR="00B97709">
      <w:rPr>
        <w:spacing w:val="-2"/>
      </w:rPr>
      <w:t>4-</w:t>
    </w:r>
    <w:r w:rsidR="0003326A">
      <w:rPr>
        <w:spacing w:val="-2"/>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E9223FB"/>
    <w:multiLevelType w:val="hybridMultilevel"/>
    <w:tmpl w:val="4CF6DCA2"/>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8E"/>
    <w:rsid w:val="000251EC"/>
    <w:rsid w:val="0003326A"/>
    <w:rsid w:val="00035E90"/>
    <w:rsid w:val="00036039"/>
    <w:rsid w:val="00037F90"/>
    <w:rsid w:val="00042BFA"/>
    <w:rsid w:val="0004417D"/>
    <w:rsid w:val="00047A87"/>
    <w:rsid w:val="000564B7"/>
    <w:rsid w:val="00073CB2"/>
    <w:rsid w:val="000875BF"/>
    <w:rsid w:val="00096D8C"/>
    <w:rsid w:val="000C0B65"/>
    <w:rsid w:val="000D0BE7"/>
    <w:rsid w:val="000E05FE"/>
    <w:rsid w:val="000E3957"/>
    <w:rsid w:val="000E3D42"/>
    <w:rsid w:val="000F3D5B"/>
    <w:rsid w:val="001011FA"/>
    <w:rsid w:val="00104D3B"/>
    <w:rsid w:val="00111380"/>
    <w:rsid w:val="00122BD5"/>
    <w:rsid w:val="00131735"/>
    <w:rsid w:val="00133F79"/>
    <w:rsid w:val="00134480"/>
    <w:rsid w:val="00156450"/>
    <w:rsid w:val="00162980"/>
    <w:rsid w:val="00173FF7"/>
    <w:rsid w:val="00194A66"/>
    <w:rsid w:val="00194C0C"/>
    <w:rsid w:val="001B2B40"/>
    <w:rsid w:val="001B418A"/>
    <w:rsid w:val="001C3082"/>
    <w:rsid w:val="001D6BCF"/>
    <w:rsid w:val="001E01CA"/>
    <w:rsid w:val="001E4C66"/>
    <w:rsid w:val="001F5D95"/>
    <w:rsid w:val="00206188"/>
    <w:rsid w:val="00216996"/>
    <w:rsid w:val="00251A8E"/>
    <w:rsid w:val="00275CF5"/>
    <w:rsid w:val="0028032A"/>
    <w:rsid w:val="0028301F"/>
    <w:rsid w:val="00285017"/>
    <w:rsid w:val="00297888"/>
    <w:rsid w:val="002A022D"/>
    <w:rsid w:val="002A2D2E"/>
    <w:rsid w:val="002C00E8"/>
    <w:rsid w:val="002E2981"/>
    <w:rsid w:val="002E2B86"/>
    <w:rsid w:val="002F18DB"/>
    <w:rsid w:val="002F46CE"/>
    <w:rsid w:val="0031061B"/>
    <w:rsid w:val="00311595"/>
    <w:rsid w:val="003222BF"/>
    <w:rsid w:val="00323AC9"/>
    <w:rsid w:val="00332BF8"/>
    <w:rsid w:val="00343749"/>
    <w:rsid w:val="00353D87"/>
    <w:rsid w:val="00361A6E"/>
    <w:rsid w:val="003660ED"/>
    <w:rsid w:val="003853EF"/>
    <w:rsid w:val="003B0550"/>
    <w:rsid w:val="003B694F"/>
    <w:rsid w:val="003B7EA0"/>
    <w:rsid w:val="003C7B8B"/>
    <w:rsid w:val="003D31BA"/>
    <w:rsid w:val="003D7E9A"/>
    <w:rsid w:val="003F171C"/>
    <w:rsid w:val="003F24EA"/>
    <w:rsid w:val="0040711D"/>
    <w:rsid w:val="00411634"/>
    <w:rsid w:val="00412FC5"/>
    <w:rsid w:val="00417811"/>
    <w:rsid w:val="00417F41"/>
    <w:rsid w:val="00422276"/>
    <w:rsid w:val="004242F1"/>
    <w:rsid w:val="0042684D"/>
    <w:rsid w:val="00445A00"/>
    <w:rsid w:val="00451B0F"/>
    <w:rsid w:val="0046358D"/>
    <w:rsid w:val="00472932"/>
    <w:rsid w:val="00481B56"/>
    <w:rsid w:val="004C2EE3"/>
    <w:rsid w:val="004E4A22"/>
    <w:rsid w:val="004F2EB9"/>
    <w:rsid w:val="004F3880"/>
    <w:rsid w:val="00511968"/>
    <w:rsid w:val="00514D89"/>
    <w:rsid w:val="00516C06"/>
    <w:rsid w:val="00516D94"/>
    <w:rsid w:val="0053621A"/>
    <w:rsid w:val="00546612"/>
    <w:rsid w:val="00553C0B"/>
    <w:rsid w:val="0055614C"/>
    <w:rsid w:val="0056243D"/>
    <w:rsid w:val="00566D06"/>
    <w:rsid w:val="00572EAD"/>
    <w:rsid w:val="005B1A10"/>
    <w:rsid w:val="005D1B36"/>
    <w:rsid w:val="005D20AD"/>
    <w:rsid w:val="005E14C2"/>
    <w:rsid w:val="006066FF"/>
    <w:rsid w:val="00606D61"/>
    <w:rsid w:val="00606FC5"/>
    <w:rsid w:val="00607BA5"/>
    <w:rsid w:val="0061180A"/>
    <w:rsid w:val="00613A5D"/>
    <w:rsid w:val="00616412"/>
    <w:rsid w:val="00621180"/>
    <w:rsid w:val="00626EB6"/>
    <w:rsid w:val="00645476"/>
    <w:rsid w:val="00655D03"/>
    <w:rsid w:val="00663075"/>
    <w:rsid w:val="006661EA"/>
    <w:rsid w:val="00683388"/>
    <w:rsid w:val="00683F84"/>
    <w:rsid w:val="00686861"/>
    <w:rsid w:val="00692EFF"/>
    <w:rsid w:val="006A109B"/>
    <w:rsid w:val="006A2A34"/>
    <w:rsid w:val="006A4F39"/>
    <w:rsid w:val="006A6A81"/>
    <w:rsid w:val="006B121A"/>
    <w:rsid w:val="006C2302"/>
    <w:rsid w:val="006C3B77"/>
    <w:rsid w:val="006E1D46"/>
    <w:rsid w:val="006F7393"/>
    <w:rsid w:val="0070224F"/>
    <w:rsid w:val="007115F7"/>
    <w:rsid w:val="007136B1"/>
    <w:rsid w:val="0073108C"/>
    <w:rsid w:val="00731383"/>
    <w:rsid w:val="007450B7"/>
    <w:rsid w:val="00747A99"/>
    <w:rsid w:val="00771EE0"/>
    <w:rsid w:val="00785689"/>
    <w:rsid w:val="0079754B"/>
    <w:rsid w:val="007A1E6D"/>
    <w:rsid w:val="007A23CE"/>
    <w:rsid w:val="007B0EB2"/>
    <w:rsid w:val="007B27DD"/>
    <w:rsid w:val="007B328A"/>
    <w:rsid w:val="007D31D3"/>
    <w:rsid w:val="00803AA8"/>
    <w:rsid w:val="008056B9"/>
    <w:rsid w:val="00810B6F"/>
    <w:rsid w:val="00822CE0"/>
    <w:rsid w:val="00823155"/>
    <w:rsid w:val="00823EA7"/>
    <w:rsid w:val="00837981"/>
    <w:rsid w:val="00841AB1"/>
    <w:rsid w:val="008531BD"/>
    <w:rsid w:val="008626E1"/>
    <w:rsid w:val="008635E4"/>
    <w:rsid w:val="008725BC"/>
    <w:rsid w:val="00873C95"/>
    <w:rsid w:val="00881BEA"/>
    <w:rsid w:val="00884718"/>
    <w:rsid w:val="00894C1E"/>
    <w:rsid w:val="008A72CE"/>
    <w:rsid w:val="008B5131"/>
    <w:rsid w:val="008C68F1"/>
    <w:rsid w:val="008D4E73"/>
    <w:rsid w:val="008E13F9"/>
    <w:rsid w:val="00902C7F"/>
    <w:rsid w:val="00915E6C"/>
    <w:rsid w:val="00921803"/>
    <w:rsid w:val="00926503"/>
    <w:rsid w:val="00926DD1"/>
    <w:rsid w:val="009326CD"/>
    <w:rsid w:val="0093319C"/>
    <w:rsid w:val="00945355"/>
    <w:rsid w:val="009726D8"/>
    <w:rsid w:val="0098599D"/>
    <w:rsid w:val="009B1751"/>
    <w:rsid w:val="009B7C16"/>
    <w:rsid w:val="009C4C3E"/>
    <w:rsid w:val="009D6643"/>
    <w:rsid w:val="009D7308"/>
    <w:rsid w:val="009E5D4C"/>
    <w:rsid w:val="009F3A6C"/>
    <w:rsid w:val="009F76DB"/>
    <w:rsid w:val="00A0094D"/>
    <w:rsid w:val="00A22A40"/>
    <w:rsid w:val="00A26A14"/>
    <w:rsid w:val="00A32C3B"/>
    <w:rsid w:val="00A35D3D"/>
    <w:rsid w:val="00A36FCD"/>
    <w:rsid w:val="00A45F4F"/>
    <w:rsid w:val="00A50840"/>
    <w:rsid w:val="00A600A9"/>
    <w:rsid w:val="00A62C84"/>
    <w:rsid w:val="00A66FD6"/>
    <w:rsid w:val="00A70EF7"/>
    <w:rsid w:val="00A72797"/>
    <w:rsid w:val="00AA3253"/>
    <w:rsid w:val="00AA39B0"/>
    <w:rsid w:val="00AA5440"/>
    <w:rsid w:val="00AA55B7"/>
    <w:rsid w:val="00AA5B9E"/>
    <w:rsid w:val="00AB2407"/>
    <w:rsid w:val="00AB53DF"/>
    <w:rsid w:val="00AC4A8C"/>
    <w:rsid w:val="00AD18F4"/>
    <w:rsid w:val="00AD2395"/>
    <w:rsid w:val="00AE0610"/>
    <w:rsid w:val="00AF0C68"/>
    <w:rsid w:val="00AF3E55"/>
    <w:rsid w:val="00AF49F1"/>
    <w:rsid w:val="00B05DD1"/>
    <w:rsid w:val="00B07E5C"/>
    <w:rsid w:val="00B22613"/>
    <w:rsid w:val="00B347C9"/>
    <w:rsid w:val="00B62B6C"/>
    <w:rsid w:val="00B811F7"/>
    <w:rsid w:val="00B97709"/>
    <w:rsid w:val="00BA5900"/>
    <w:rsid w:val="00BA5DC6"/>
    <w:rsid w:val="00BA6196"/>
    <w:rsid w:val="00BB4CD7"/>
    <w:rsid w:val="00BC6D8C"/>
    <w:rsid w:val="00BD7C49"/>
    <w:rsid w:val="00BE3A2E"/>
    <w:rsid w:val="00BE4946"/>
    <w:rsid w:val="00BF0C03"/>
    <w:rsid w:val="00C17983"/>
    <w:rsid w:val="00C252A2"/>
    <w:rsid w:val="00C34006"/>
    <w:rsid w:val="00C36B4C"/>
    <w:rsid w:val="00C420ED"/>
    <w:rsid w:val="00C426B1"/>
    <w:rsid w:val="00C52343"/>
    <w:rsid w:val="00C66160"/>
    <w:rsid w:val="00C721AC"/>
    <w:rsid w:val="00C8764B"/>
    <w:rsid w:val="00C90D6A"/>
    <w:rsid w:val="00C92AD1"/>
    <w:rsid w:val="00CA247E"/>
    <w:rsid w:val="00CA6D21"/>
    <w:rsid w:val="00CB0406"/>
    <w:rsid w:val="00CC381C"/>
    <w:rsid w:val="00CC72B6"/>
    <w:rsid w:val="00CD0A25"/>
    <w:rsid w:val="00CF1748"/>
    <w:rsid w:val="00D0218D"/>
    <w:rsid w:val="00D17159"/>
    <w:rsid w:val="00D17832"/>
    <w:rsid w:val="00D206E6"/>
    <w:rsid w:val="00D21A1F"/>
    <w:rsid w:val="00D25546"/>
    <w:rsid w:val="00D25FB5"/>
    <w:rsid w:val="00D44223"/>
    <w:rsid w:val="00D479EF"/>
    <w:rsid w:val="00D5360D"/>
    <w:rsid w:val="00D66211"/>
    <w:rsid w:val="00D76EAF"/>
    <w:rsid w:val="00D80D04"/>
    <w:rsid w:val="00DA13A2"/>
    <w:rsid w:val="00DA2529"/>
    <w:rsid w:val="00DA7135"/>
    <w:rsid w:val="00DB0AA5"/>
    <w:rsid w:val="00DB130A"/>
    <w:rsid w:val="00DB2780"/>
    <w:rsid w:val="00DB2EBB"/>
    <w:rsid w:val="00DB3439"/>
    <w:rsid w:val="00DC10A1"/>
    <w:rsid w:val="00DC5118"/>
    <w:rsid w:val="00DC655F"/>
    <w:rsid w:val="00DC6F9E"/>
    <w:rsid w:val="00DD0B59"/>
    <w:rsid w:val="00DD56CE"/>
    <w:rsid w:val="00DD7EBD"/>
    <w:rsid w:val="00DF62B6"/>
    <w:rsid w:val="00DF7A8E"/>
    <w:rsid w:val="00DF7FC1"/>
    <w:rsid w:val="00E00106"/>
    <w:rsid w:val="00E02C80"/>
    <w:rsid w:val="00E07225"/>
    <w:rsid w:val="00E1392C"/>
    <w:rsid w:val="00E13E4B"/>
    <w:rsid w:val="00E24CF6"/>
    <w:rsid w:val="00E40D2C"/>
    <w:rsid w:val="00E5409F"/>
    <w:rsid w:val="00E6235F"/>
    <w:rsid w:val="00E74816"/>
    <w:rsid w:val="00EA4B3C"/>
    <w:rsid w:val="00EE6488"/>
    <w:rsid w:val="00EF18D5"/>
    <w:rsid w:val="00F021FA"/>
    <w:rsid w:val="00F219BE"/>
    <w:rsid w:val="00F5222F"/>
    <w:rsid w:val="00F62E97"/>
    <w:rsid w:val="00F64209"/>
    <w:rsid w:val="00F93BF5"/>
    <w:rsid w:val="00F94F69"/>
    <w:rsid w:val="00FC6949"/>
    <w:rsid w:val="00FD3E92"/>
    <w:rsid w:val="00FF3C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C4736D"/>
  <w15:chartTrackingRefBased/>
  <w15:docId w15:val="{40F8A692-FEF3-47E7-984A-07F5DACD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3326A"/>
    <w:pPr>
      <w:widowControl w:val="0"/>
    </w:pPr>
    <w:rPr>
      <w:snapToGrid w:val="0"/>
      <w:kern w:val="28"/>
      <w:sz w:val="22"/>
    </w:rPr>
  </w:style>
  <w:style w:type="paragraph" w:styleId="Heading1">
    <w:name w:val="heading 1"/>
    <w:basedOn w:val="Normal"/>
    <w:next w:val="ParaNum"/>
    <w:qFormat/>
    <w:rsid w:val="000332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3326A"/>
    <w:pPr>
      <w:keepNext/>
      <w:numPr>
        <w:ilvl w:val="1"/>
        <w:numId w:val="3"/>
      </w:numPr>
      <w:spacing w:after="120"/>
      <w:outlineLvl w:val="1"/>
    </w:pPr>
    <w:rPr>
      <w:b/>
    </w:rPr>
  </w:style>
  <w:style w:type="paragraph" w:styleId="Heading3">
    <w:name w:val="heading 3"/>
    <w:basedOn w:val="Normal"/>
    <w:next w:val="ParaNum"/>
    <w:qFormat/>
    <w:rsid w:val="0003326A"/>
    <w:pPr>
      <w:keepNext/>
      <w:numPr>
        <w:ilvl w:val="2"/>
        <w:numId w:val="3"/>
      </w:numPr>
      <w:tabs>
        <w:tab w:val="left" w:pos="2160"/>
      </w:tabs>
      <w:spacing w:after="120"/>
      <w:outlineLvl w:val="2"/>
    </w:pPr>
    <w:rPr>
      <w:b/>
    </w:rPr>
  </w:style>
  <w:style w:type="paragraph" w:styleId="Heading4">
    <w:name w:val="heading 4"/>
    <w:basedOn w:val="Normal"/>
    <w:next w:val="ParaNum"/>
    <w:qFormat/>
    <w:rsid w:val="0003326A"/>
    <w:pPr>
      <w:keepNext/>
      <w:numPr>
        <w:ilvl w:val="3"/>
        <w:numId w:val="3"/>
      </w:numPr>
      <w:tabs>
        <w:tab w:val="left" w:pos="2880"/>
      </w:tabs>
      <w:spacing w:after="120"/>
      <w:outlineLvl w:val="3"/>
    </w:pPr>
    <w:rPr>
      <w:b/>
    </w:rPr>
  </w:style>
  <w:style w:type="paragraph" w:styleId="Heading5">
    <w:name w:val="heading 5"/>
    <w:basedOn w:val="Normal"/>
    <w:next w:val="ParaNum"/>
    <w:qFormat/>
    <w:rsid w:val="0003326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326A"/>
    <w:pPr>
      <w:numPr>
        <w:ilvl w:val="5"/>
        <w:numId w:val="3"/>
      </w:numPr>
      <w:tabs>
        <w:tab w:val="left" w:pos="4320"/>
      </w:tabs>
      <w:spacing w:after="120"/>
      <w:outlineLvl w:val="5"/>
    </w:pPr>
    <w:rPr>
      <w:b/>
    </w:rPr>
  </w:style>
  <w:style w:type="paragraph" w:styleId="Heading7">
    <w:name w:val="heading 7"/>
    <w:basedOn w:val="Normal"/>
    <w:next w:val="ParaNum"/>
    <w:qFormat/>
    <w:rsid w:val="0003326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3326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0332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32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326A"/>
  </w:style>
  <w:style w:type="paragraph" w:customStyle="1" w:styleId="ParaNum">
    <w:name w:val="ParaNum"/>
    <w:basedOn w:val="Normal"/>
    <w:link w:val="ParaNumChar1"/>
    <w:rsid w:val="0003326A"/>
    <w:pPr>
      <w:numPr>
        <w:numId w:val="2"/>
      </w:numPr>
      <w:tabs>
        <w:tab w:val="clear" w:pos="1080"/>
        <w:tab w:val="num" w:pos="1440"/>
      </w:tabs>
      <w:spacing w:after="120"/>
    </w:pPr>
  </w:style>
  <w:style w:type="paragraph" w:styleId="EndnoteText">
    <w:name w:val="endnote text"/>
    <w:basedOn w:val="Normal"/>
    <w:semiHidden/>
    <w:rsid w:val="0003326A"/>
    <w:rPr>
      <w:sz w:val="20"/>
    </w:rPr>
  </w:style>
  <w:style w:type="character" w:styleId="EndnoteReference">
    <w:name w:val="endnote reference"/>
    <w:semiHidden/>
    <w:rsid w:val="0003326A"/>
    <w:rPr>
      <w:vertAlign w:val="superscript"/>
    </w:rPr>
  </w:style>
  <w:style w:type="paragraph" w:styleId="FootnoteText">
    <w:name w:val="footnote text"/>
    <w:link w:val="FootnoteTextChar"/>
    <w:rsid w:val="0003326A"/>
    <w:pPr>
      <w:spacing w:after="120"/>
    </w:pPr>
  </w:style>
  <w:style w:type="character" w:styleId="FootnoteReference">
    <w:name w:val="footnote reference"/>
    <w:rsid w:val="0003326A"/>
    <w:rPr>
      <w:rFonts w:ascii="Times New Roman" w:hAnsi="Times New Roman"/>
      <w:dstrike w:val="0"/>
      <w:color w:val="auto"/>
      <w:sz w:val="20"/>
      <w:vertAlign w:val="superscript"/>
    </w:rPr>
  </w:style>
  <w:style w:type="paragraph" w:styleId="TOC1">
    <w:name w:val="toc 1"/>
    <w:basedOn w:val="Normal"/>
    <w:next w:val="Normal"/>
    <w:semiHidden/>
    <w:rsid w:val="000332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3326A"/>
    <w:pPr>
      <w:tabs>
        <w:tab w:val="left" w:pos="720"/>
        <w:tab w:val="right" w:leader="dot" w:pos="9360"/>
      </w:tabs>
      <w:suppressAutoHyphens/>
      <w:ind w:left="720" w:right="720" w:hanging="360"/>
    </w:pPr>
    <w:rPr>
      <w:noProof/>
    </w:rPr>
  </w:style>
  <w:style w:type="paragraph" w:styleId="TOC3">
    <w:name w:val="toc 3"/>
    <w:basedOn w:val="Normal"/>
    <w:next w:val="Normal"/>
    <w:semiHidden/>
    <w:rsid w:val="000332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332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332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332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332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332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332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3326A"/>
    <w:pPr>
      <w:tabs>
        <w:tab w:val="right" w:pos="9360"/>
      </w:tabs>
      <w:suppressAutoHyphens/>
    </w:pPr>
  </w:style>
  <w:style w:type="character" w:customStyle="1" w:styleId="EquationCaption">
    <w:name w:val="_Equation Caption"/>
    <w:rsid w:val="0003326A"/>
  </w:style>
  <w:style w:type="paragraph" w:styleId="Header">
    <w:name w:val="header"/>
    <w:basedOn w:val="Normal"/>
    <w:autoRedefine/>
    <w:rsid w:val="0003326A"/>
    <w:pPr>
      <w:tabs>
        <w:tab w:val="center" w:pos="4680"/>
        <w:tab w:val="right" w:pos="9360"/>
      </w:tabs>
    </w:pPr>
    <w:rPr>
      <w:b/>
    </w:rPr>
  </w:style>
  <w:style w:type="paragraph" w:styleId="Footer">
    <w:name w:val="footer"/>
    <w:basedOn w:val="Normal"/>
    <w:link w:val="FooterChar"/>
    <w:uiPriority w:val="99"/>
    <w:rsid w:val="0003326A"/>
    <w:pPr>
      <w:tabs>
        <w:tab w:val="center" w:pos="4320"/>
        <w:tab w:val="right" w:pos="8640"/>
      </w:tabs>
    </w:pPr>
  </w:style>
  <w:style w:type="character" w:styleId="PageNumber">
    <w:name w:val="page number"/>
    <w:basedOn w:val="DefaultParagraphFont"/>
    <w:rsid w:val="0003326A"/>
  </w:style>
  <w:style w:type="paragraph" w:styleId="BlockText">
    <w:name w:val="Block Text"/>
    <w:basedOn w:val="Normal"/>
    <w:rsid w:val="0003326A"/>
    <w:pPr>
      <w:spacing w:after="240"/>
      <w:ind w:left="1440" w:right="1440"/>
    </w:pPr>
  </w:style>
  <w:style w:type="paragraph" w:customStyle="1" w:styleId="Paratitle">
    <w:name w:val="Para title"/>
    <w:basedOn w:val="Normal"/>
    <w:rsid w:val="0003326A"/>
    <w:pPr>
      <w:tabs>
        <w:tab w:val="center" w:pos="9270"/>
      </w:tabs>
      <w:spacing w:after="240"/>
    </w:pPr>
    <w:rPr>
      <w:spacing w:val="-2"/>
    </w:rPr>
  </w:style>
  <w:style w:type="paragraph" w:customStyle="1" w:styleId="Bullet">
    <w:name w:val="Bullet"/>
    <w:basedOn w:val="Normal"/>
    <w:rsid w:val="0003326A"/>
    <w:pPr>
      <w:tabs>
        <w:tab w:val="left" w:pos="2160"/>
      </w:tabs>
      <w:spacing w:after="220"/>
      <w:ind w:left="2160" w:hanging="720"/>
    </w:pPr>
  </w:style>
  <w:style w:type="paragraph" w:customStyle="1" w:styleId="TableFormat">
    <w:name w:val="TableFormat"/>
    <w:basedOn w:val="Bullet"/>
    <w:rsid w:val="0003326A"/>
    <w:pPr>
      <w:tabs>
        <w:tab w:val="clear" w:pos="2160"/>
        <w:tab w:val="left" w:pos="5040"/>
      </w:tabs>
      <w:ind w:left="5040" w:hanging="3600"/>
    </w:pPr>
  </w:style>
  <w:style w:type="paragraph" w:customStyle="1" w:styleId="TOCTitle">
    <w:name w:val="TOC Title"/>
    <w:basedOn w:val="Normal"/>
    <w:rsid w:val="000332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326A"/>
    <w:pPr>
      <w:jc w:val="center"/>
    </w:pPr>
    <w:rPr>
      <w:rFonts w:ascii="Times New Roman Bold" w:hAnsi="Times New Roman Bold"/>
      <w:b/>
      <w:bCs/>
      <w:caps/>
      <w:szCs w:val="22"/>
    </w:rPr>
  </w:style>
  <w:style w:type="character" w:styleId="Hyperlink">
    <w:name w:val="Hyperlink"/>
    <w:rsid w:val="0003326A"/>
    <w:rPr>
      <w:color w:val="0000FF"/>
      <w:u w:val="single"/>
    </w:rPr>
  </w:style>
  <w:style w:type="character" w:customStyle="1" w:styleId="FooterChar">
    <w:name w:val="Footer Char"/>
    <w:link w:val="Footer"/>
    <w:uiPriority w:val="99"/>
    <w:rsid w:val="0003326A"/>
    <w:rPr>
      <w:snapToGrid w:val="0"/>
      <w:kern w:val="28"/>
      <w:sz w:val="22"/>
    </w:rPr>
  </w:style>
  <w:style w:type="character" w:customStyle="1" w:styleId="FootnoteTextChar">
    <w:name w:val="Footnote Text Char"/>
    <w:link w:val="FootnoteText"/>
    <w:rsid w:val="00E00106"/>
  </w:style>
  <w:style w:type="character" w:customStyle="1" w:styleId="UnresolvedMention1">
    <w:name w:val="Unresolved Mention1"/>
    <w:basedOn w:val="DefaultParagraphFont"/>
    <w:uiPriority w:val="99"/>
    <w:semiHidden/>
    <w:unhideWhenUsed/>
    <w:rsid w:val="00F94F69"/>
    <w:rPr>
      <w:color w:val="605E5C"/>
      <w:shd w:val="clear" w:color="auto" w:fill="E1DFDD"/>
    </w:rPr>
  </w:style>
  <w:style w:type="paragraph" w:styleId="Revision">
    <w:name w:val="Revision"/>
    <w:hidden/>
    <w:uiPriority w:val="99"/>
    <w:semiHidden/>
    <w:rsid w:val="00AE0610"/>
    <w:rPr>
      <w:snapToGrid w:val="0"/>
      <w:kern w:val="28"/>
      <w:sz w:val="22"/>
    </w:rPr>
  </w:style>
  <w:style w:type="character" w:customStyle="1" w:styleId="ParaNumChar1">
    <w:name w:val="ParaNum Char1"/>
    <w:link w:val="ParaNum"/>
    <w:rsid w:val="008A72C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10358792919" TargetMode="External" /><Relationship Id="rId2" Type="http://schemas.openxmlformats.org/officeDocument/2006/relationships/hyperlink" Target="https://wireless2.fcc.gov/UlsApp/ApplicationSearch/applMain.jsp?applID=14102475"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