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B99648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6B36B28" w14:textId="77777777">
      <w:pPr>
        <w:pStyle w:val="StyleBoldCentered"/>
      </w:pPr>
      <w:r>
        <w:t>F</w:t>
      </w:r>
      <w:r>
        <w:rPr>
          <w:caps w:val="0"/>
        </w:rPr>
        <w:t>ederal Communications Commission</w:t>
      </w:r>
    </w:p>
    <w:p w:rsidR="004C2EE3" w:rsidP="00096D8C" w14:paraId="5C22DA23" w14:textId="77777777">
      <w:pPr>
        <w:pStyle w:val="StyleBoldCentered"/>
      </w:pPr>
      <w:r>
        <w:rPr>
          <w:caps w:val="0"/>
        </w:rPr>
        <w:t>Washington, D.C. 20554</w:t>
      </w:r>
    </w:p>
    <w:p w:rsidR="004C2EE3" w:rsidP="0070224F" w14:paraId="40174D40" w14:textId="77777777"/>
    <w:p w:rsidR="004C2EE3" w:rsidP="0070224F" w14:paraId="58FB769A" w14:textId="77777777"/>
    <w:tbl>
      <w:tblPr>
        <w:tblW w:w="0" w:type="auto"/>
        <w:tblLayout w:type="fixed"/>
        <w:tblLook w:val="0000"/>
      </w:tblPr>
      <w:tblGrid>
        <w:gridCol w:w="4698"/>
        <w:gridCol w:w="630"/>
        <w:gridCol w:w="4248"/>
      </w:tblGrid>
      <w:tr w14:paraId="19F2AD0A" w14:textId="77777777">
        <w:tblPrEx>
          <w:tblW w:w="0" w:type="auto"/>
          <w:tblLayout w:type="fixed"/>
          <w:tblLook w:val="0000"/>
        </w:tblPrEx>
        <w:tc>
          <w:tcPr>
            <w:tcW w:w="4698" w:type="dxa"/>
          </w:tcPr>
          <w:p w:rsidR="004C2EE3" w14:paraId="4201D06E" w14:textId="77777777">
            <w:pPr>
              <w:tabs>
                <w:tab w:val="center" w:pos="4680"/>
              </w:tabs>
              <w:suppressAutoHyphens/>
              <w:rPr>
                <w:spacing w:val="-2"/>
              </w:rPr>
            </w:pPr>
            <w:r>
              <w:rPr>
                <w:spacing w:val="-2"/>
              </w:rPr>
              <w:t>In the Matter of</w:t>
            </w:r>
          </w:p>
          <w:p w:rsidR="004C2EE3" w14:paraId="5AA5E7AC" w14:textId="77777777">
            <w:pPr>
              <w:tabs>
                <w:tab w:val="center" w:pos="4680"/>
              </w:tabs>
              <w:suppressAutoHyphens/>
              <w:rPr>
                <w:spacing w:val="-2"/>
              </w:rPr>
            </w:pPr>
          </w:p>
          <w:p w:rsidR="004C2EE3" w:rsidRPr="007115F7" w:rsidP="007115F7" w14:paraId="29B597EA" w14:textId="198391B5">
            <w:pPr>
              <w:tabs>
                <w:tab w:val="center" w:pos="4680"/>
              </w:tabs>
              <w:suppressAutoHyphens/>
              <w:rPr>
                <w:spacing w:val="-2"/>
              </w:rPr>
            </w:pPr>
            <w:r w:rsidRPr="00730AAC">
              <w:rPr>
                <w:spacing w:val="-2"/>
              </w:rPr>
              <w:t>Amendment of section 73.202(b), Table of Allotments, FM Broadcast Stations (</w:t>
            </w:r>
            <w:r>
              <w:rPr>
                <w:spacing w:val="-2"/>
              </w:rPr>
              <w:t>Puhi</w:t>
            </w:r>
            <w:r>
              <w:rPr>
                <w:spacing w:val="-2"/>
              </w:rPr>
              <w:t xml:space="preserve"> and </w:t>
            </w:r>
            <w:r>
              <w:rPr>
                <w:spacing w:val="-2"/>
              </w:rPr>
              <w:t>Kekaha</w:t>
            </w:r>
            <w:r>
              <w:rPr>
                <w:spacing w:val="-2"/>
              </w:rPr>
              <w:t>, Hawaii)</w:t>
            </w:r>
          </w:p>
        </w:tc>
        <w:tc>
          <w:tcPr>
            <w:tcW w:w="630" w:type="dxa"/>
          </w:tcPr>
          <w:p w:rsidR="004C2EE3" w14:paraId="3691AB19" w14:textId="77777777">
            <w:pPr>
              <w:tabs>
                <w:tab w:val="center" w:pos="4680"/>
              </w:tabs>
              <w:suppressAutoHyphens/>
              <w:rPr>
                <w:b/>
                <w:spacing w:val="-2"/>
              </w:rPr>
            </w:pPr>
            <w:r>
              <w:rPr>
                <w:b/>
                <w:spacing w:val="-2"/>
              </w:rPr>
              <w:t>)</w:t>
            </w:r>
          </w:p>
          <w:p w:rsidR="004C2EE3" w14:paraId="0D5DB5AD" w14:textId="77777777">
            <w:pPr>
              <w:tabs>
                <w:tab w:val="center" w:pos="4680"/>
              </w:tabs>
              <w:suppressAutoHyphens/>
              <w:rPr>
                <w:b/>
                <w:spacing w:val="-2"/>
              </w:rPr>
            </w:pPr>
            <w:r>
              <w:rPr>
                <w:b/>
                <w:spacing w:val="-2"/>
              </w:rPr>
              <w:t>)</w:t>
            </w:r>
          </w:p>
          <w:p w:rsidR="004C2EE3" w14:paraId="5F0F6E49" w14:textId="77777777">
            <w:pPr>
              <w:tabs>
                <w:tab w:val="center" w:pos="4680"/>
              </w:tabs>
              <w:suppressAutoHyphens/>
              <w:rPr>
                <w:b/>
                <w:spacing w:val="-2"/>
              </w:rPr>
            </w:pPr>
            <w:r>
              <w:rPr>
                <w:b/>
                <w:spacing w:val="-2"/>
              </w:rPr>
              <w:t>)</w:t>
            </w:r>
          </w:p>
          <w:p w:rsidR="004C2EE3" w14:paraId="6E06C873" w14:textId="77777777">
            <w:pPr>
              <w:tabs>
                <w:tab w:val="center" w:pos="4680"/>
              </w:tabs>
              <w:suppressAutoHyphens/>
              <w:rPr>
                <w:b/>
                <w:spacing w:val="-2"/>
              </w:rPr>
            </w:pPr>
            <w:r>
              <w:rPr>
                <w:b/>
                <w:spacing w:val="-2"/>
              </w:rPr>
              <w:t>)</w:t>
            </w:r>
          </w:p>
          <w:p w:rsidR="004C2EE3" w:rsidRPr="004B4593" w14:paraId="5B24747B" w14:textId="7ED04314">
            <w:pPr>
              <w:tabs>
                <w:tab w:val="center" w:pos="4680"/>
              </w:tabs>
              <w:suppressAutoHyphens/>
              <w:rPr>
                <w:b/>
                <w:spacing w:val="-2"/>
              </w:rPr>
            </w:pPr>
            <w:r>
              <w:rPr>
                <w:b/>
                <w:spacing w:val="-2"/>
              </w:rPr>
              <w:t>)</w:t>
            </w:r>
          </w:p>
        </w:tc>
        <w:tc>
          <w:tcPr>
            <w:tcW w:w="4248" w:type="dxa"/>
          </w:tcPr>
          <w:p w:rsidR="004C2EE3" w14:paraId="209567A8" w14:textId="77777777">
            <w:pPr>
              <w:tabs>
                <w:tab w:val="center" w:pos="4680"/>
              </w:tabs>
              <w:suppressAutoHyphens/>
              <w:rPr>
                <w:spacing w:val="-2"/>
              </w:rPr>
            </w:pPr>
          </w:p>
          <w:p w:rsidR="004C2EE3" w14:paraId="1EB64AC3" w14:textId="77777777">
            <w:pPr>
              <w:pStyle w:val="TOAHeading"/>
              <w:tabs>
                <w:tab w:val="center" w:pos="4680"/>
                <w:tab w:val="clear" w:pos="9360"/>
              </w:tabs>
              <w:rPr>
                <w:spacing w:val="-2"/>
              </w:rPr>
            </w:pPr>
          </w:p>
          <w:p w:rsidR="00C8497B" w:rsidRPr="00730AAC" w:rsidP="00C8497B" w14:paraId="7391CA1F" w14:textId="77777777">
            <w:pPr>
              <w:tabs>
                <w:tab w:val="center" w:pos="4680"/>
              </w:tabs>
              <w:suppressAutoHyphens/>
              <w:rPr>
                <w:spacing w:val="-2"/>
              </w:rPr>
            </w:pPr>
            <w:r w:rsidRPr="00730AAC">
              <w:rPr>
                <w:spacing w:val="-2"/>
              </w:rPr>
              <w:t>MB Docket No. 2</w:t>
            </w:r>
            <w:r>
              <w:rPr>
                <w:spacing w:val="-2"/>
              </w:rPr>
              <w:t>3-197</w:t>
            </w:r>
          </w:p>
          <w:p w:rsidR="00C8497B" w:rsidRPr="00730AAC" w:rsidP="00C8497B" w14:paraId="3B03E9CB" w14:textId="77777777">
            <w:pPr>
              <w:tabs>
                <w:tab w:val="center" w:pos="4680"/>
              </w:tabs>
              <w:suppressAutoHyphens/>
              <w:rPr>
                <w:spacing w:val="-2"/>
              </w:rPr>
            </w:pPr>
            <w:r w:rsidRPr="00730AAC">
              <w:rPr>
                <w:spacing w:val="-2"/>
              </w:rPr>
              <w:t>RM-119</w:t>
            </w:r>
            <w:r>
              <w:rPr>
                <w:spacing w:val="-2"/>
              </w:rPr>
              <w:t>49</w:t>
            </w:r>
          </w:p>
          <w:p w:rsidR="00C8497B" w:rsidRPr="00730AAC" w:rsidP="00C8497B" w14:paraId="202CE531" w14:textId="77777777">
            <w:pPr>
              <w:tabs>
                <w:tab w:val="center" w:pos="4680"/>
              </w:tabs>
              <w:suppressAutoHyphens/>
              <w:rPr>
                <w:spacing w:val="-2"/>
              </w:rPr>
            </w:pPr>
            <w:r>
              <w:rPr>
                <w:spacing w:val="-2"/>
              </w:rPr>
              <w:t>RM-11973</w:t>
            </w:r>
          </w:p>
          <w:p w:rsidR="004C2EE3" w:rsidP="00C8497B" w14:paraId="525ECD31" w14:textId="03FA6F87">
            <w:pPr>
              <w:tabs>
                <w:tab w:val="center" w:pos="4680"/>
              </w:tabs>
              <w:suppressAutoHyphens/>
              <w:rPr>
                <w:spacing w:val="-2"/>
              </w:rPr>
            </w:pPr>
          </w:p>
        </w:tc>
      </w:tr>
    </w:tbl>
    <w:p w:rsidR="004C2EE3" w:rsidP="0070224F" w14:paraId="0DE5231D" w14:textId="77777777"/>
    <w:p w:rsidR="00841AB1" w:rsidP="00F021FA" w14:paraId="2A80D824" w14:textId="6412853F">
      <w:pPr>
        <w:pStyle w:val="StyleBoldCentered"/>
      </w:pPr>
      <w:r>
        <w:t>REPORT AND ORDER</w:t>
      </w:r>
    </w:p>
    <w:p w:rsidR="004C2EE3" w14:paraId="2BF0B74B" w14:textId="77777777">
      <w:pPr>
        <w:tabs>
          <w:tab w:val="left" w:pos="-720"/>
        </w:tabs>
        <w:suppressAutoHyphens/>
        <w:spacing w:line="227" w:lineRule="auto"/>
        <w:rPr>
          <w:spacing w:val="-2"/>
        </w:rPr>
      </w:pPr>
    </w:p>
    <w:p w:rsidR="00A61284" w:rsidRPr="00A61284" w:rsidP="00133F79" w14:paraId="50F06939" w14:textId="6C6AB3FF">
      <w:pPr>
        <w:tabs>
          <w:tab w:val="left" w:pos="720"/>
          <w:tab w:val="right" w:pos="9360"/>
        </w:tabs>
        <w:suppressAutoHyphens/>
        <w:spacing w:line="227" w:lineRule="auto"/>
        <w:rPr>
          <w:b/>
          <w:spacing w:val="-2"/>
        </w:rPr>
      </w:pPr>
      <w:r>
        <w:rPr>
          <w:b/>
          <w:spacing w:val="-2"/>
        </w:rPr>
        <w:t xml:space="preserve">Adopted: </w:t>
      </w:r>
      <w:r>
        <w:rPr>
          <w:b/>
          <w:spacing w:val="-2"/>
        </w:rPr>
        <w:t>February 26,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February 26, 2024</w:t>
      </w:r>
    </w:p>
    <w:p w:rsidR="00822CE0" w14:paraId="4494BBD7" w14:textId="77777777"/>
    <w:p w:rsidR="00341173" w:rsidP="00341173" w14:paraId="30E93697" w14:textId="3054F797">
      <w:pPr>
        <w:rPr>
          <w:spacing w:val="-2"/>
        </w:rPr>
      </w:pPr>
      <w:r>
        <w:t xml:space="preserve">By the </w:t>
      </w:r>
      <w:r w:rsidRPr="00730AAC">
        <w:rPr>
          <w:spacing w:val="-2"/>
        </w:rPr>
        <w:t>Assistant Chief, Audio Division, Media Bureau</w:t>
      </w:r>
      <w:r>
        <w:rPr>
          <w:spacing w:val="-2"/>
        </w:rPr>
        <w:t>:</w:t>
      </w:r>
    </w:p>
    <w:p w:rsidR="00822CE0" w14:paraId="55766666" w14:textId="77777777">
      <w:pPr>
        <w:rPr>
          <w:spacing w:val="-2"/>
        </w:rPr>
      </w:pPr>
    </w:p>
    <w:p w:rsidR="00341173" w:rsidP="00341173" w14:paraId="4FB640B0" w14:textId="77777777">
      <w:pPr>
        <w:pStyle w:val="Heading1"/>
      </w:pPr>
      <w:bookmarkStart w:id="0" w:name="_Hlk159428091"/>
      <w:r>
        <w:t>INTRODUCTION</w:t>
      </w:r>
      <w:bookmarkEnd w:id="0"/>
    </w:p>
    <w:p w:rsidR="00341173" w:rsidRPr="00341173" w:rsidP="00341173" w14:paraId="31353691" w14:textId="0A6C78DC">
      <w:pPr>
        <w:pStyle w:val="ParaNum"/>
        <w:widowControl/>
        <w:spacing w:after="240"/>
        <w:rPr>
          <w:szCs w:val="22"/>
        </w:rPr>
      </w:pPr>
      <w:r w:rsidRPr="00730AAC">
        <w:t xml:space="preserve">The </w:t>
      </w:r>
      <w:r w:rsidRPr="009E24BD" w:rsidR="00855A1F">
        <w:rPr>
          <w:bCs/>
          <w:szCs w:val="22"/>
        </w:rPr>
        <w:t>Audio Division has before it</w:t>
      </w:r>
      <w:r w:rsidR="00855A1F">
        <w:rPr>
          <w:bCs/>
          <w:szCs w:val="22"/>
        </w:rPr>
        <w:t xml:space="preserve"> (1) a</w:t>
      </w:r>
      <w:r w:rsidRPr="009E24BD" w:rsidR="00855A1F">
        <w:rPr>
          <w:bCs/>
          <w:szCs w:val="22"/>
        </w:rPr>
        <w:t xml:space="preserve"> </w:t>
      </w:r>
      <w:r w:rsidRPr="00E87E1C" w:rsidR="00855A1F">
        <w:rPr>
          <w:bCs/>
          <w:i/>
          <w:szCs w:val="22"/>
        </w:rPr>
        <w:t>Notice of Proposed Rule</w:t>
      </w:r>
      <w:r w:rsidR="00855A1F">
        <w:rPr>
          <w:bCs/>
          <w:i/>
          <w:szCs w:val="22"/>
        </w:rPr>
        <w:t>m</w:t>
      </w:r>
      <w:r w:rsidRPr="00E87E1C" w:rsidR="00855A1F">
        <w:rPr>
          <w:bCs/>
          <w:i/>
          <w:szCs w:val="22"/>
        </w:rPr>
        <w:t>aking</w:t>
      </w:r>
      <w:r w:rsidRPr="0066517D" w:rsidR="00855A1F">
        <w:rPr>
          <w:bCs/>
          <w:iCs/>
          <w:szCs w:val="22"/>
        </w:rPr>
        <w:t xml:space="preserve"> (</w:t>
      </w:r>
      <w:r w:rsidRPr="00E87E1C" w:rsidR="00855A1F">
        <w:rPr>
          <w:bCs/>
          <w:i/>
          <w:szCs w:val="22"/>
        </w:rPr>
        <w:t>Notice</w:t>
      </w:r>
      <w:r w:rsidRPr="0066517D" w:rsidR="00855A1F">
        <w:rPr>
          <w:bCs/>
          <w:iCs/>
          <w:szCs w:val="22"/>
        </w:rPr>
        <w:t>) issued</w:t>
      </w:r>
      <w:r w:rsidRPr="009E24BD" w:rsidR="00855A1F">
        <w:rPr>
          <w:bCs/>
          <w:szCs w:val="22"/>
        </w:rPr>
        <w:t xml:space="preserve"> in response to a Petition for Rule</w:t>
      </w:r>
      <w:r w:rsidR="00855A1F">
        <w:rPr>
          <w:bCs/>
          <w:szCs w:val="22"/>
        </w:rPr>
        <w:t>m</w:t>
      </w:r>
      <w:r w:rsidRPr="009E24BD" w:rsidR="00855A1F">
        <w:rPr>
          <w:bCs/>
          <w:szCs w:val="22"/>
        </w:rPr>
        <w:t xml:space="preserve">aking (Petition) filed by </w:t>
      </w:r>
      <w:r w:rsidR="00855A1F">
        <w:rPr>
          <w:bCs/>
          <w:szCs w:val="22"/>
        </w:rPr>
        <w:t xml:space="preserve">SSR Communications, Inc. (SSR or </w:t>
      </w:r>
      <w:r w:rsidRPr="009E24BD" w:rsidR="00855A1F">
        <w:rPr>
          <w:bCs/>
          <w:szCs w:val="22"/>
        </w:rPr>
        <w:t>Petitioner)</w:t>
      </w:r>
      <w:r w:rsidR="00855A1F">
        <w:rPr>
          <w:bCs/>
          <w:szCs w:val="22"/>
        </w:rPr>
        <w:t>;</w:t>
      </w:r>
      <w:r>
        <w:rPr>
          <w:bCs/>
          <w:szCs w:val="22"/>
          <w:vertAlign w:val="superscript"/>
        </w:rPr>
        <w:footnoteReference w:id="3"/>
      </w:r>
      <w:r w:rsidR="00855A1F">
        <w:rPr>
          <w:bCs/>
          <w:szCs w:val="22"/>
        </w:rPr>
        <w:t xml:space="preserve"> (2)</w:t>
      </w:r>
      <w:r w:rsidRPr="009E24BD" w:rsidR="00855A1F">
        <w:rPr>
          <w:bCs/>
          <w:szCs w:val="22"/>
        </w:rPr>
        <w:t xml:space="preserve"> </w:t>
      </w:r>
      <w:r w:rsidR="00855A1F">
        <w:rPr>
          <w:bCs/>
          <w:szCs w:val="22"/>
        </w:rPr>
        <w:t xml:space="preserve">Petitioner’s Comments filed in response to the </w:t>
      </w:r>
      <w:r w:rsidRPr="00E3175A" w:rsidR="00855A1F">
        <w:rPr>
          <w:bCs/>
          <w:i/>
          <w:iCs/>
          <w:szCs w:val="22"/>
        </w:rPr>
        <w:t>Notice</w:t>
      </w:r>
      <w:r w:rsidR="00855A1F">
        <w:rPr>
          <w:bCs/>
          <w:szCs w:val="22"/>
        </w:rPr>
        <w:t>;</w:t>
      </w:r>
      <w:r>
        <w:rPr>
          <w:rStyle w:val="FootnoteReference"/>
          <w:bCs/>
          <w:szCs w:val="22"/>
        </w:rPr>
        <w:footnoteReference w:id="4"/>
      </w:r>
      <w:r w:rsidR="00855A1F">
        <w:rPr>
          <w:bCs/>
          <w:szCs w:val="22"/>
        </w:rPr>
        <w:t xml:space="preserve"> (3) Counterproposal filed by Pacific Radio Group, Inc. (PRG);</w:t>
      </w:r>
      <w:r>
        <w:rPr>
          <w:rStyle w:val="FootnoteReference"/>
          <w:bCs/>
          <w:szCs w:val="22"/>
        </w:rPr>
        <w:footnoteReference w:id="5"/>
      </w:r>
      <w:r w:rsidR="00855A1F">
        <w:rPr>
          <w:bCs/>
          <w:szCs w:val="22"/>
        </w:rPr>
        <w:t xml:space="preserve"> (4) Petitioner’s “Consolidated Reply Comments and Opposition to Counterproposals</w:t>
      </w:r>
      <w:r w:rsidR="00812307">
        <w:rPr>
          <w:bCs/>
          <w:szCs w:val="22"/>
        </w:rPr>
        <w:t>;</w:t>
      </w:r>
      <w:r w:rsidR="00855A1F">
        <w:rPr>
          <w:bCs/>
          <w:szCs w:val="22"/>
        </w:rPr>
        <w:t>”</w:t>
      </w:r>
      <w:r>
        <w:rPr>
          <w:rStyle w:val="FootnoteReference"/>
          <w:bCs/>
          <w:szCs w:val="22"/>
        </w:rPr>
        <w:footnoteReference w:id="6"/>
      </w:r>
      <w:r w:rsidR="00855A1F">
        <w:rPr>
          <w:bCs/>
          <w:szCs w:val="22"/>
        </w:rPr>
        <w:t xml:space="preserve"> and (5) various related pleadings.</w:t>
      </w:r>
      <w:r>
        <w:rPr>
          <w:rStyle w:val="FootnoteReference"/>
          <w:bCs/>
          <w:szCs w:val="22"/>
        </w:rPr>
        <w:footnoteReference w:id="7"/>
      </w:r>
      <w:r w:rsidR="00855A1F">
        <w:rPr>
          <w:bCs/>
          <w:szCs w:val="22"/>
        </w:rPr>
        <w:t xml:space="preserve">  </w:t>
      </w:r>
      <w:r w:rsidRPr="00431A10" w:rsidR="00855A1F">
        <w:rPr>
          <w:bCs/>
          <w:szCs w:val="22"/>
        </w:rPr>
        <w:t>No other comments or counterproposals were received</w:t>
      </w:r>
      <w:r w:rsidR="00855A1F">
        <w:rPr>
          <w:bCs/>
          <w:szCs w:val="22"/>
        </w:rPr>
        <w:t xml:space="preserve"> in response to this proceeding</w:t>
      </w:r>
      <w:r w:rsidRPr="00CD0C0A" w:rsidR="00855A1F">
        <w:rPr>
          <w:bCs/>
          <w:szCs w:val="22"/>
        </w:rPr>
        <w:t>.</w:t>
      </w:r>
      <w:r w:rsidRPr="00431A10" w:rsidR="00855A1F">
        <w:rPr>
          <w:bCs/>
          <w:szCs w:val="22"/>
        </w:rPr>
        <w:t xml:space="preserve">  </w:t>
      </w:r>
      <w:r w:rsidR="00855A1F">
        <w:rPr>
          <w:szCs w:val="22"/>
        </w:rPr>
        <w:t xml:space="preserve">For the reasons discussed below, </w:t>
      </w:r>
      <w:r w:rsidRPr="009A60B2" w:rsidR="00855A1F">
        <w:rPr>
          <w:szCs w:val="22"/>
        </w:rPr>
        <w:t xml:space="preserve">we grant the Petition by allotting an alternate channel at </w:t>
      </w:r>
      <w:r w:rsidRPr="009A60B2" w:rsidR="00855A1F">
        <w:rPr>
          <w:szCs w:val="22"/>
        </w:rPr>
        <w:t>Puhi</w:t>
      </w:r>
      <w:r w:rsidRPr="009A60B2" w:rsidR="00855A1F">
        <w:rPr>
          <w:szCs w:val="22"/>
        </w:rPr>
        <w:t xml:space="preserve">, Hawaii, and also grant the Counterproposal for a new allotment at </w:t>
      </w:r>
      <w:r w:rsidRPr="009A60B2" w:rsidR="00855A1F">
        <w:rPr>
          <w:szCs w:val="22"/>
        </w:rPr>
        <w:t>Kekaha</w:t>
      </w:r>
      <w:r w:rsidR="00393015">
        <w:rPr>
          <w:szCs w:val="22"/>
        </w:rPr>
        <w:t>,</w:t>
      </w:r>
      <w:r w:rsidRPr="009A60B2" w:rsidR="00855A1F">
        <w:rPr>
          <w:szCs w:val="22"/>
        </w:rPr>
        <w:t xml:space="preserve"> </w:t>
      </w:r>
      <w:r w:rsidRPr="00341173">
        <w:rPr>
          <w:szCs w:val="22"/>
        </w:rPr>
        <w:t>Hawaii.</w:t>
      </w:r>
    </w:p>
    <w:p w:rsidR="00341173" w:rsidP="00341173" w14:paraId="617B1C09" w14:textId="77777777">
      <w:pPr>
        <w:pStyle w:val="Heading1"/>
        <w:keepNext w:val="0"/>
        <w:tabs>
          <w:tab w:val="num" w:pos="1440"/>
        </w:tabs>
        <w:suppressAutoHyphens w:val="0"/>
        <w:spacing w:after="240"/>
      </w:pPr>
      <w:bookmarkStart w:id="2" w:name="_Hlk117504964"/>
      <w:r>
        <w:t>Background</w:t>
      </w:r>
    </w:p>
    <w:bookmarkEnd w:id="2"/>
    <w:p w:rsidR="00341173" w:rsidRPr="009E7F20" w:rsidP="00341173" w14:paraId="4AEF6A6C" w14:textId="3540321A">
      <w:pPr>
        <w:pStyle w:val="ParaNum"/>
        <w:spacing w:after="0"/>
        <w:rPr>
          <w:szCs w:val="22"/>
        </w:rPr>
      </w:pPr>
      <w:r>
        <w:t xml:space="preserve">The </w:t>
      </w:r>
      <w:r w:rsidRPr="00752D84" w:rsidR="006C2938">
        <w:rPr>
          <w:i/>
          <w:iCs/>
        </w:rPr>
        <w:t>Notice</w:t>
      </w:r>
      <w:r w:rsidR="006C2938">
        <w:t xml:space="preserve"> proposed the allotment of Channel 284A at </w:t>
      </w:r>
      <w:r w:rsidR="006C2938">
        <w:t>Puhi</w:t>
      </w:r>
      <w:r w:rsidR="006C2938">
        <w:t>, Hawaii, as the community’s first local service under Priority (3).</w:t>
      </w:r>
      <w:r>
        <w:rPr>
          <w:rStyle w:val="FootnoteReference"/>
        </w:rPr>
        <w:footnoteReference w:id="8"/>
      </w:r>
      <w:r w:rsidR="006C2938">
        <w:t xml:space="preserve">  </w:t>
      </w:r>
      <w:r w:rsidR="006C2938">
        <w:t>Puhi</w:t>
      </w:r>
      <w:r w:rsidR="006C2938">
        <w:t xml:space="preserve"> </w:t>
      </w:r>
      <w:r w:rsidR="006C2938">
        <w:rPr>
          <w:szCs w:val="22"/>
        </w:rPr>
        <w:t xml:space="preserve">is a census </w:t>
      </w:r>
      <w:r w:rsidRPr="005C3E0E" w:rsidR="006C2938">
        <w:rPr>
          <w:szCs w:val="22"/>
        </w:rPr>
        <w:t xml:space="preserve">designated place </w:t>
      </w:r>
      <w:r w:rsidR="006C2938">
        <w:rPr>
          <w:szCs w:val="22"/>
        </w:rPr>
        <w:t xml:space="preserve">(CDP) </w:t>
      </w:r>
      <w:r w:rsidRPr="005C3E0E" w:rsidR="006C2938">
        <w:rPr>
          <w:szCs w:val="22"/>
        </w:rPr>
        <w:t>with a 20</w:t>
      </w:r>
      <w:r w:rsidR="006C2938">
        <w:rPr>
          <w:szCs w:val="22"/>
        </w:rPr>
        <w:t>2</w:t>
      </w:r>
      <w:r w:rsidRPr="005C3E0E" w:rsidR="006C2938">
        <w:rPr>
          <w:szCs w:val="22"/>
        </w:rPr>
        <w:t xml:space="preserve">0 U.S. Census </w:t>
      </w:r>
      <w:r w:rsidR="006C2938">
        <w:rPr>
          <w:szCs w:val="22"/>
        </w:rPr>
        <w:t xml:space="preserve">(Census) </w:t>
      </w:r>
      <w:r w:rsidRPr="005C3E0E" w:rsidR="006C2938">
        <w:rPr>
          <w:szCs w:val="22"/>
        </w:rPr>
        <w:t xml:space="preserve">population of </w:t>
      </w:r>
      <w:r w:rsidR="006C2938">
        <w:rPr>
          <w:szCs w:val="22"/>
        </w:rPr>
        <w:t xml:space="preserve">3,380 </w:t>
      </w:r>
      <w:r w:rsidRPr="005C3E0E" w:rsidR="006C2938">
        <w:rPr>
          <w:szCs w:val="22"/>
        </w:rPr>
        <w:t>persons</w:t>
      </w:r>
      <w:r w:rsidR="006C2938">
        <w:rPr>
          <w:szCs w:val="22"/>
        </w:rPr>
        <w:t>.</w:t>
      </w:r>
      <w:r>
        <w:rPr>
          <w:rStyle w:val="FootnoteReference"/>
          <w:szCs w:val="22"/>
        </w:rPr>
        <w:footnoteReference w:id="9"/>
      </w:r>
      <w:r w:rsidR="006C2938">
        <w:rPr>
          <w:szCs w:val="22"/>
        </w:rPr>
        <w:t xml:space="preserve">  </w:t>
      </w:r>
      <w:r w:rsidR="006C2938">
        <w:rPr>
          <w:szCs w:val="22"/>
        </w:rPr>
        <w:t>Puhi</w:t>
      </w:r>
      <w:r w:rsidR="006C2938">
        <w:rPr>
          <w:szCs w:val="22"/>
        </w:rPr>
        <w:t xml:space="preserve"> has its own public charter school, community college, community cemetery, park, churches, and businesses that incorporate the “</w:t>
      </w:r>
      <w:r w:rsidR="006C2938">
        <w:rPr>
          <w:szCs w:val="22"/>
        </w:rPr>
        <w:t>Puhi</w:t>
      </w:r>
      <w:r w:rsidR="006C2938">
        <w:rPr>
          <w:szCs w:val="22"/>
        </w:rPr>
        <w:t xml:space="preserve">” </w:t>
      </w:r>
      <w:r>
        <w:rPr>
          <w:szCs w:val="22"/>
        </w:rPr>
        <w:t>name</w:t>
      </w:r>
      <w:r>
        <w:t>.</w:t>
      </w:r>
      <w:r>
        <w:rPr>
          <w:rStyle w:val="FootnoteReference"/>
        </w:rPr>
        <w:footnoteReference w:id="10"/>
      </w:r>
      <w:r>
        <w:t xml:space="preserve">  </w:t>
      </w:r>
      <w:r w:rsidRPr="006E29BD">
        <w:t xml:space="preserve"> </w:t>
      </w:r>
      <w:r>
        <w:rPr>
          <w:rFonts w:ascii="TimesNewRoman" w:hAnsi="TimesNewRoman" w:cs="TimesNewRoman"/>
          <w:snapToGrid/>
          <w:kern w:val="0"/>
          <w:szCs w:val="22"/>
        </w:rPr>
        <w:t xml:space="preserve">  </w:t>
      </w:r>
    </w:p>
    <w:p w:rsidR="00341173" w:rsidP="00341173" w14:paraId="5DD29350" w14:textId="77777777">
      <w:pPr>
        <w:pStyle w:val="ParaNum"/>
        <w:numPr>
          <w:ilvl w:val="0"/>
          <w:numId w:val="0"/>
        </w:numPr>
        <w:spacing w:after="0"/>
        <w:ind w:left="720"/>
        <w:rPr>
          <w:szCs w:val="22"/>
        </w:rPr>
      </w:pPr>
    </w:p>
    <w:p w:rsidR="00341173" w:rsidRPr="00197CC1" w:rsidP="00841D81" w14:paraId="726A5B58" w14:textId="701776A3">
      <w:pPr>
        <w:pStyle w:val="ParaNum"/>
        <w:spacing w:after="0"/>
        <w:rPr>
          <w:szCs w:val="22"/>
        </w:rPr>
      </w:pPr>
      <w:r>
        <w:t>In</w:t>
      </w:r>
      <w:r w:rsidRPr="0091751E">
        <w:t xml:space="preserve"> </w:t>
      </w:r>
      <w:r>
        <w:rPr>
          <w:szCs w:val="22"/>
        </w:rPr>
        <w:t xml:space="preserve">response to the </w:t>
      </w:r>
      <w:r w:rsidRPr="00255103">
        <w:rPr>
          <w:i/>
          <w:iCs/>
          <w:szCs w:val="22"/>
        </w:rPr>
        <w:t>Notice</w:t>
      </w:r>
      <w:r>
        <w:rPr>
          <w:szCs w:val="22"/>
        </w:rPr>
        <w:t xml:space="preserve">, </w:t>
      </w:r>
      <w:r>
        <w:rPr>
          <w:rFonts w:ascii="TimesNewRoman" w:hAnsi="TimesNewRoman" w:cs="TimesNewRoman"/>
          <w:snapToGrid/>
          <w:kern w:val="0"/>
          <w:szCs w:val="22"/>
        </w:rPr>
        <w:t>Petitioner submitted timely comments reiterating its interest in the proposed allotment.</w:t>
      </w:r>
      <w:r>
        <w:rPr>
          <w:rStyle w:val="FootnoteReference"/>
        </w:rPr>
        <w:footnoteReference w:id="11"/>
      </w:r>
      <w:r w:rsidRPr="006E29BD">
        <w:t xml:space="preserve"> </w:t>
      </w:r>
      <w:r>
        <w:rPr>
          <w:rFonts w:ascii="TimesNewRoman" w:hAnsi="TimesNewRoman" w:cs="TimesNewRoman"/>
          <w:snapToGrid/>
          <w:kern w:val="0"/>
          <w:szCs w:val="22"/>
        </w:rPr>
        <w:t xml:space="preserve"> </w:t>
      </w:r>
      <w:r>
        <w:rPr>
          <w:szCs w:val="22"/>
        </w:rPr>
        <w:t>PRG timely filed a Counterproposal</w:t>
      </w:r>
      <w:r w:rsidRPr="00F9543D">
        <w:rPr>
          <w:szCs w:val="22"/>
        </w:rPr>
        <w:t xml:space="preserve"> request</w:t>
      </w:r>
      <w:r>
        <w:rPr>
          <w:szCs w:val="22"/>
        </w:rPr>
        <w:t>ing</w:t>
      </w:r>
      <w:r w:rsidRPr="00F9543D">
        <w:rPr>
          <w:szCs w:val="22"/>
        </w:rPr>
        <w:t xml:space="preserve"> the allotment of Channel 2</w:t>
      </w:r>
      <w:r>
        <w:rPr>
          <w:szCs w:val="22"/>
        </w:rPr>
        <w:t>84</w:t>
      </w:r>
      <w:r w:rsidRPr="00F9543D">
        <w:rPr>
          <w:szCs w:val="22"/>
        </w:rPr>
        <w:t xml:space="preserve">C3 </w:t>
      </w:r>
      <w:r>
        <w:rPr>
          <w:szCs w:val="22"/>
        </w:rPr>
        <w:t>at</w:t>
      </w:r>
      <w:r w:rsidRPr="00F9543D">
        <w:rPr>
          <w:szCs w:val="22"/>
        </w:rPr>
        <w:t xml:space="preserve"> </w:t>
      </w:r>
      <w:r>
        <w:rPr>
          <w:szCs w:val="22"/>
        </w:rPr>
        <w:t>Kekaha</w:t>
      </w:r>
      <w:r w:rsidRPr="00F9543D">
        <w:rPr>
          <w:szCs w:val="22"/>
        </w:rPr>
        <w:t>, Hawaii</w:t>
      </w:r>
      <w:r>
        <w:rPr>
          <w:szCs w:val="22"/>
        </w:rPr>
        <w:t>,</w:t>
      </w:r>
      <w:r w:rsidRPr="00F9543D">
        <w:rPr>
          <w:szCs w:val="22"/>
        </w:rPr>
        <w:t xml:space="preserve"> </w:t>
      </w:r>
      <w:r>
        <w:rPr>
          <w:szCs w:val="22"/>
        </w:rPr>
        <w:t xml:space="preserve">in lieu of the allotment of Channel 284A at </w:t>
      </w:r>
      <w:r>
        <w:rPr>
          <w:szCs w:val="22"/>
        </w:rPr>
        <w:t>Puhi</w:t>
      </w:r>
      <w:r w:rsidRPr="00F9543D">
        <w:rPr>
          <w:szCs w:val="22"/>
        </w:rPr>
        <w:t>.</w:t>
      </w:r>
      <w:r>
        <w:rPr>
          <w:rStyle w:val="FootnoteReference"/>
          <w:szCs w:val="22"/>
        </w:rPr>
        <w:footnoteReference w:id="12"/>
      </w:r>
      <w:r>
        <w:rPr>
          <w:szCs w:val="22"/>
        </w:rPr>
        <w:t xml:space="preserve">  </w:t>
      </w:r>
      <w:r>
        <w:rPr>
          <w:szCs w:val="22"/>
        </w:rPr>
        <w:t>Kekaha</w:t>
      </w:r>
      <w:r w:rsidRPr="00F9543D">
        <w:rPr>
          <w:szCs w:val="22"/>
        </w:rPr>
        <w:t xml:space="preserve"> is not incorporated but is listed in the Census as a CDP with a population of </w:t>
      </w:r>
      <w:r>
        <w:rPr>
          <w:szCs w:val="22"/>
        </w:rPr>
        <w:t>3,715</w:t>
      </w:r>
      <w:r w:rsidRPr="00F9543D">
        <w:rPr>
          <w:szCs w:val="22"/>
        </w:rPr>
        <w:t xml:space="preserve"> persons.</w:t>
      </w:r>
      <w:r>
        <w:rPr>
          <w:rStyle w:val="FootnoteReference"/>
          <w:szCs w:val="22"/>
        </w:rPr>
        <w:footnoteReference w:id="13"/>
      </w:r>
      <w:r w:rsidRPr="00F9543D">
        <w:rPr>
          <w:szCs w:val="22"/>
        </w:rPr>
        <w:t xml:space="preserve"> </w:t>
      </w:r>
      <w:r>
        <w:rPr>
          <w:szCs w:val="22"/>
        </w:rPr>
        <w:t xml:space="preserve"> </w:t>
      </w:r>
      <w:r w:rsidRPr="00F9543D">
        <w:rPr>
          <w:szCs w:val="22"/>
          <w:shd w:val="clear" w:color="auto" w:fill="FFFFFF"/>
        </w:rPr>
        <w:t xml:space="preserve">PRG </w:t>
      </w:r>
      <w:r>
        <w:rPr>
          <w:szCs w:val="22"/>
          <w:shd w:val="clear" w:color="auto" w:fill="FFFFFF"/>
        </w:rPr>
        <w:t>states</w:t>
      </w:r>
      <w:r w:rsidRPr="00F9543D">
        <w:rPr>
          <w:szCs w:val="22"/>
          <w:shd w:val="clear" w:color="auto" w:fill="FFFFFF"/>
        </w:rPr>
        <w:t xml:space="preserve"> that the allotment of Channel 2</w:t>
      </w:r>
      <w:r>
        <w:rPr>
          <w:szCs w:val="22"/>
          <w:shd w:val="clear" w:color="auto" w:fill="FFFFFF"/>
        </w:rPr>
        <w:t>84</w:t>
      </w:r>
      <w:r w:rsidRPr="00F9543D">
        <w:rPr>
          <w:szCs w:val="22"/>
          <w:shd w:val="clear" w:color="auto" w:fill="FFFFFF"/>
        </w:rPr>
        <w:t xml:space="preserve">C3 at </w:t>
      </w:r>
      <w:r>
        <w:rPr>
          <w:szCs w:val="22"/>
          <w:shd w:val="clear" w:color="auto" w:fill="FFFFFF"/>
        </w:rPr>
        <w:t>Kekaha</w:t>
      </w:r>
      <w:r w:rsidRPr="00F9543D">
        <w:rPr>
          <w:szCs w:val="22"/>
          <w:shd w:val="clear" w:color="auto" w:fill="FFFFFF"/>
        </w:rPr>
        <w:t xml:space="preserve"> </w:t>
      </w:r>
      <w:r>
        <w:rPr>
          <w:szCs w:val="22"/>
          <w:shd w:val="clear" w:color="auto" w:fill="FFFFFF"/>
        </w:rPr>
        <w:t>as the community’s first local service would result in a preferential arrangement of allotments because t</w:t>
      </w:r>
      <w:r w:rsidRPr="00F9543D">
        <w:rPr>
          <w:szCs w:val="22"/>
          <w:shd w:val="clear" w:color="auto" w:fill="FFFFFF"/>
        </w:rPr>
        <w:t xml:space="preserve">he proposed </w:t>
      </w:r>
      <w:r>
        <w:rPr>
          <w:szCs w:val="22"/>
          <w:shd w:val="clear" w:color="auto" w:fill="FFFFFF"/>
        </w:rPr>
        <w:t>Kekaha</w:t>
      </w:r>
      <w:r>
        <w:rPr>
          <w:szCs w:val="22"/>
          <w:shd w:val="clear" w:color="auto" w:fill="FFFFFF"/>
        </w:rPr>
        <w:t xml:space="preserve"> </w:t>
      </w:r>
      <w:r w:rsidRPr="00F9543D">
        <w:rPr>
          <w:szCs w:val="22"/>
          <w:shd w:val="clear" w:color="auto" w:fill="FFFFFF"/>
        </w:rPr>
        <w:t>facility w</w:t>
      </w:r>
      <w:r>
        <w:rPr>
          <w:szCs w:val="22"/>
          <w:shd w:val="clear" w:color="auto" w:fill="FFFFFF"/>
        </w:rPr>
        <w:t>ould</w:t>
      </w:r>
      <w:r w:rsidRPr="00F9543D">
        <w:rPr>
          <w:szCs w:val="22"/>
          <w:shd w:val="clear" w:color="auto" w:fill="FFFFFF"/>
        </w:rPr>
        <w:t xml:space="preserve"> </w:t>
      </w:r>
      <w:r>
        <w:rPr>
          <w:szCs w:val="22"/>
          <w:shd w:val="clear" w:color="auto" w:fill="FFFFFF"/>
        </w:rPr>
        <w:t>serve</w:t>
      </w:r>
      <w:r w:rsidRPr="00F9543D">
        <w:rPr>
          <w:szCs w:val="22"/>
        </w:rPr>
        <w:t xml:space="preserve"> 73,298 persons within the projected 60 dBµ service contour in contrast to </w:t>
      </w:r>
      <w:r>
        <w:rPr>
          <w:szCs w:val="22"/>
        </w:rPr>
        <w:t>Petitioner</w:t>
      </w:r>
      <w:r w:rsidRPr="00F9543D">
        <w:rPr>
          <w:szCs w:val="22"/>
        </w:rPr>
        <w:t xml:space="preserve">’s proposal which would provide 60 dBµ service to </w:t>
      </w:r>
      <w:r>
        <w:rPr>
          <w:szCs w:val="22"/>
        </w:rPr>
        <w:t>64</w:t>
      </w:r>
      <w:r w:rsidRPr="00F9543D">
        <w:rPr>
          <w:szCs w:val="22"/>
        </w:rPr>
        <w:t>,</w:t>
      </w:r>
      <w:r>
        <w:rPr>
          <w:szCs w:val="22"/>
        </w:rPr>
        <w:t>144</w:t>
      </w:r>
      <w:r w:rsidRPr="00F9543D">
        <w:rPr>
          <w:szCs w:val="22"/>
        </w:rPr>
        <w:t xml:space="preserve"> persons.</w:t>
      </w:r>
      <w:r>
        <w:rPr>
          <w:rStyle w:val="FootnoteReference"/>
          <w:szCs w:val="22"/>
        </w:rPr>
        <w:footnoteReference w:id="14"/>
      </w:r>
      <w:r w:rsidRPr="00F9543D">
        <w:rPr>
          <w:szCs w:val="22"/>
        </w:rPr>
        <w:t xml:space="preserve">  PRG </w:t>
      </w:r>
      <w:r>
        <w:rPr>
          <w:szCs w:val="22"/>
        </w:rPr>
        <w:t xml:space="preserve">further </w:t>
      </w:r>
      <w:r w:rsidRPr="00F9543D">
        <w:rPr>
          <w:szCs w:val="22"/>
        </w:rPr>
        <w:t xml:space="preserve">states that its proposal would </w:t>
      </w:r>
      <w:r>
        <w:rPr>
          <w:szCs w:val="22"/>
        </w:rPr>
        <w:t xml:space="preserve">provide service to significant </w:t>
      </w:r>
      <w:r w:rsidRPr="00F9543D">
        <w:rPr>
          <w:szCs w:val="22"/>
        </w:rPr>
        <w:t xml:space="preserve">underserved </w:t>
      </w:r>
      <w:r>
        <w:rPr>
          <w:szCs w:val="22"/>
        </w:rPr>
        <w:t xml:space="preserve">areas within the proposed </w:t>
      </w:r>
      <w:r w:rsidRPr="00F9543D">
        <w:rPr>
          <w:szCs w:val="22"/>
        </w:rPr>
        <w:t xml:space="preserve">60 dBµ </w:t>
      </w:r>
      <w:r>
        <w:rPr>
          <w:szCs w:val="22"/>
        </w:rPr>
        <w:t>allotment service area</w:t>
      </w:r>
      <w:r w:rsidRPr="00F9543D">
        <w:rPr>
          <w:szCs w:val="22"/>
        </w:rPr>
        <w:t>.</w:t>
      </w:r>
      <w:r>
        <w:rPr>
          <w:rStyle w:val="FootnoteReference"/>
          <w:szCs w:val="22"/>
        </w:rPr>
        <w:footnoteReference w:id="15"/>
      </w:r>
      <w:r w:rsidRPr="00F9543D">
        <w:rPr>
          <w:szCs w:val="22"/>
        </w:rPr>
        <w:t xml:space="preserve">  Concurrent with </w:t>
      </w:r>
      <w:r>
        <w:rPr>
          <w:szCs w:val="22"/>
        </w:rPr>
        <w:t>the</w:t>
      </w:r>
      <w:r w:rsidRPr="00F9543D">
        <w:rPr>
          <w:szCs w:val="22"/>
        </w:rPr>
        <w:t xml:space="preserve"> Counterproposal, PRG filed a construction permit application</w:t>
      </w:r>
      <w:r>
        <w:rPr>
          <w:rStyle w:val="FootnoteReference"/>
          <w:szCs w:val="22"/>
        </w:rPr>
        <w:footnoteReference w:id="16"/>
      </w:r>
      <w:r w:rsidRPr="00F9543D">
        <w:rPr>
          <w:szCs w:val="22"/>
        </w:rPr>
        <w:t xml:space="preserve"> for the </w:t>
      </w:r>
      <w:r>
        <w:rPr>
          <w:szCs w:val="22"/>
        </w:rPr>
        <w:t>Kek</w:t>
      </w:r>
      <w:r w:rsidR="00A22617">
        <w:rPr>
          <w:szCs w:val="22"/>
        </w:rPr>
        <w:t>a</w:t>
      </w:r>
      <w:r>
        <w:rPr>
          <w:szCs w:val="22"/>
        </w:rPr>
        <w:t>ha</w:t>
      </w:r>
      <w:r w:rsidRPr="00F9543D">
        <w:rPr>
          <w:szCs w:val="22"/>
        </w:rPr>
        <w:t xml:space="preserve"> allotment </w:t>
      </w:r>
      <w:r>
        <w:rPr>
          <w:szCs w:val="22"/>
        </w:rPr>
        <w:t xml:space="preserve">and </w:t>
      </w:r>
      <w:r w:rsidRPr="00F9543D">
        <w:rPr>
          <w:szCs w:val="22"/>
        </w:rPr>
        <w:t>certif</w:t>
      </w:r>
      <w:r>
        <w:rPr>
          <w:szCs w:val="22"/>
        </w:rPr>
        <w:t>ied</w:t>
      </w:r>
      <w:r w:rsidRPr="00F9543D">
        <w:rPr>
          <w:szCs w:val="22"/>
        </w:rPr>
        <w:t xml:space="preserve"> </w:t>
      </w:r>
      <w:r>
        <w:rPr>
          <w:szCs w:val="22"/>
        </w:rPr>
        <w:t xml:space="preserve">that </w:t>
      </w:r>
      <w:r w:rsidRPr="00F9543D">
        <w:rPr>
          <w:szCs w:val="22"/>
        </w:rPr>
        <w:t xml:space="preserve">it will participate in a future FM auction, and if it is the winning bidder, </w:t>
      </w:r>
      <w:r>
        <w:rPr>
          <w:szCs w:val="22"/>
        </w:rPr>
        <w:t xml:space="preserve">it </w:t>
      </w:r>
      <w:r w:rsidRPr="00F9543D">
        <w:rPr>
          <w:szCs w:val="22"/>
        </w:rPr>
        <w:t>will construct the station</w:t>
      </w:r>
      <w:r>
        <w:rPr>
          <w:szCs w:val="22"/>
        </w:rPr>
        <w:t xml:space="preserve"> </w:t>
      </w:r>
      <w:r>
        <w:rPr>
          <w:szCs w:val="22"/>
        </w:rPr>
        <w:t>promptly.</w:t>
      </w:r>
    </w:p>
    <w:p w:rsidR="00341173" w:rsidRPr="00EC51EF" w:rsidP="00EC51EF" w14:paraId="753F45C3" w14:textId="77777777">
      <w:pPr>
        <w:pStyle w:val="ParaNum"/>
        <w:numPr>
          <w:ilvl w:val="0"/>
          <w:numId w:val="0"/>
        </w:numPr>
        <w:spacing w:after="0"/>
        <w:ind w:left="720"/>
        <w:rPr>
          <w:szCs w:val="22"/>
        </w:rPr>
      </w:pPr>
    </w:p>
    <w:p w:rsidR="00341173" w:rsidP="0094438D" w14:paraId="1764415A" w14:textId="6B19E258">
      <w:pPr>
        <w:pStyle w:val="ParaNum"/>
        <w:spacing w:after="0"/>
        <w:rPr>
          <w:szCs w:val="22"/>
        </w:rPr>
      </w:pPr>
      <w:bookmarkStart w:id="3" w:name="_Hlk153530062"/>
      <w:r w:rsidRPr="00197CC1">
        <w:rPr>
          <w:szCs w:val="22"/>
        </w:rPr>
        <w:t xml:space="preserve">In </w:t>
      </w:r>
      <w:r w:rsidR="00DD4BAE">
        <w:t>its Reply, Petitioner acknowledges that the Counterproposal would result in service to slightly greater populations and seemingly would be preferred to SSR’s proposal.  However, Petitioner argues that the Counterproposal would violate the Commission’s multiple ownership rules and therefore must be dismissed as defective.</w:t>
      </w:r>
      <w:r>
        <w:rPr>
          <w:rStyle w:val="FootnoteReference"/>
        </w:rPr>
        <w:footnoteReference w:id="17"/>
      </w:r>
      <w:r w:rsidR="00DD4BAE">
        <w:t xml:space="preserve">  Petitioner maintains that there is no reason for PRG to have filed a Counterproposal other than to delay Petitioner’s proposals and that such action may not be treated as a </w:t>
      </w:r>
      <w:r w:rsidRPr="00800A89" w:rsidR="00DD4BAE">
        <w:rPr>
          <w:i/>
          <w:iCs/>
        </w:rPr>
        <w:t>bona fide</w:t>
      </w:r>
      <w:r w:rsidR="00DD4BAE">
        <w:t xml:space="preserve"> </w:t>
      </w:r>
      <w:r w:rsidRPr="00AA2435" w:rsidR="00DD4BAE">
        <w:t xml:space="preserve">expression of </w:t>
      </w:r>
      <w:r w:rsidRPr="00AA2435" w:rsidR="00DD4BAE">
        <w:rPr>
          <w:szCs w:val="22"/>
        </w:rPr>
        <w:t>interest.  Petitioner</w:t>
      </w:r>
      <w:r w:rsidRPr="00AA2435" w:rsidR="00DD4BAE">
        <w:rPr>
          <w:szCs w:val="22"/>
          <w:shd w:val="clear" w:color="auto" w:fill="FFFFFF"/>
        </w:rPr>
        <w:t xml:space="preserve"> repeats these arguments </w:t>
      </w:r>
      <w:r w:rsidRPr="00AA2435" w:rsidR="00DD4BAE">
        <w:rPr>
          <w:szCs w:val="22"/>
        </w:rPr>
        <w:t xml:space="preserve">in its Opposition </w:t>
      </w:r>
      <w:r w:rsidRPr="006237FD" w:rsidR="00DD4BAE">
        <w:rPr>
          <w:szCs w:val="22"/>
        </w:rPr>
        <w:t>Statement</w:t>
      </w:r>
      <w:r w:rsidR="00DD4BAE">
        <w:rPr>
          <w:szCs w:val="22"/>
        </w:rPr>
        <w:t xml:space="preserve"> filed in response to the </w:t>
      </w:r>
      <w:r w:rsidRPr="001741DB" w:rsidR="00DD4BAE">
        <w:rPr>
          <w:i/>
          <w:iCs/>
          <w:szCs w:val="22"/>
        </w:rPr>
        <w:t xml:space="preserve">December </w:t>
      </w:r>
      <w:r w:rsidRPr="001741DB">
        <w:rPr>
          <w:i/>
          <w:iCs/>
          <w:szCs w:val="22"/>
        </w:rPr>
        <w:t>Notice</w:t>
      </w:r>
      <w:r w:rsidRPr="006237FD">
        <w:rPr>
          <w:szCs w:val="22"/>
        </w:rPr>
        <w:t>.</w:t>
      </w:r>
      <w:r>
        <w:rPr>
          <w:rStyle w:val="FootnoteReference"/>
          <w:szCs w:val="22"/>
        </w:rPr>
        <w:footnoteReference w:id="18"/>
      </w:r>
      <w:r w:rsidRPr="006237FD">
        <w:rPr>
          <w:szCs w:val="22"/>
        </w:rPr>
        <w:t xml:space="preserve">   </w:t>
      </w:r>
      <w:bookmarkStart w:id="4" w:name="_Hlk127349921"/>
      <w:bookmarkEnd w:id="3"/>
    </w:p>
    <w:p w:rsidR="00341173" w:rsidP="00341173" w14:paraId="7C2BE8BE" w14:textId="77777777">
      <w:pPr>
        <w:pStyle w:val="ListParagraph"/>
        <w:rPr>
          <w:szCs w:val="22"/>
        </w:rPr>
      </w:pPr>
    </w:p>
    <w:p w:rsidR="00341173" w:rsidRPr="006237FD" w:rsidP="00341173" w14:paraId="3B8CB311" w14:textId="0CD97117">
      <w:pPr>
        <w:pStyle w:val="ParaNum"/>
        <w:spacing w:after="360"/>
        <w:rPr>
          <w:szCs w:val="22"/>
        </w:rPr>
      </w:pPr>
      <w:r>
        <w:rPr>
          <w:szCs w:val="22"/>
        </w:rPr>
        <w:t xml:space="preserve">In </w:t>
      </w:r>
      <w:r w:rsidR="00715E41">
        <w:rPr>
          <w:szCs w:val="22"/>
        </w:rPr>
        <w:t>response to SSR’s Opposition Statement, PRG argues that it</w:t>
      </w:r>
      <w:r w:rsidR="00715E41">
        <w:t xml:space="preserve"> is not barred from owning additional stations on the Island of Kauai because the requested allotments would be assigned to a non-</w:t>
      </w:r>
      <w:r w:rsidR="00715E41">
        <w:t>Nielson radio market where the number of stations that may be owned by a licensee is determined by the overlapping 70 dBµ contours of a proponent’s stations.</w:t>
      </w:r>
      <w:r>
        <w:rPr>
          <w:rStyle w:val="FootnoteReference"/>
        </w:rPr>
        <w:footnoteReference w:id="19"/>
      </w:r>
      <w:r w:rsidR="00715E41">
        <w:t xml:space="preserve">  Additionally, PRG states that the argument advanced by SSR deals with the “</w:t>
      </w:r>
      <w:r w:rsidR="00715E41">
        <w:t>grantability</w:t>
      </w:r>
      <w:r w:rsidR="00715E41">
        <w:t>” of the construction permit application filed by PRG, and does not address the “acceptability” of PRG’s allotment request contained in the Counterproposal.</w:t>
      </w:r>
      <w:r>
        <w:rPr>
          <w:rStyle w:val="FootnoteReference"/>
        </w:rPr>
        <w:footnoteReference w:id="20"/>
      </w:r>
      <w:r w:rsidR="00715E41">
        <w:t xml:space="preserve">  PRG argues that the instant proceeding is at the allotment stage, not the construction permit stage, and all that is being examined is whether PRG’s Counterproposal will provide for a preferential arrangement of </w:t>
      </w:r>
      <w:r>
        <w:t>allotments.</w:t>
      </w:r>
      <w:r>
        <w:rPr>
          <w:rStyle w:val="FootnoteReference"/>
        </w:rPr>
        <w:footnoteReference w:id="21"/>
      </w:r>
      <w:r>
        <w:t xml:space="preserve">  </w:t>
      </w:r>
    </w:p>
    <w:bookmarkEnd w:id="4"/>
    <w:p w:rsidR="00341173" w:rsidRPr="00CC7313" w:rsidP="00341173" w14:paraId="1FBE5856" w14:textId="77777777">
      <w:pPr>
        <w:pStyle w:val="Heading1"/>
        <w:tabs>
          <w:tab w:val="num" w:pos="1440"/>
        </w:tabs>
        <w:spacing w:after="240"/>
      </w:pPr>
      <w:r>
        <w:t>DISCUSSION</w:t>
      </w:r>
    </w:p>
    <w:p w:rsidR="00341173" w:rsidRPr="008A6152" w:rsidP="00341173" w14:paraId="644FA7D1" w14:textId="65766900">
      <w:pPr>
        <w:pStyle w:val="ParaNum"/>
        <w:spacing w:after="240"/>
      </w:pPr>
      <w:r>
        <w:t xml:space="preserve">Generally, </w:t>
      </w:r>
      <w:r w:rsidR="00E62586">
        <w:t>conflicting proposals are considered on a comparative basis consistent with the FM allotment priorities where no alternate channels are available.</w:t>
      </w:r>
      <w:r>
        <w:rPr>
          <w:rStyle w:val="FootnoteReference"/>
        </w:rPr>
        <w:footnoteReference w:id="22"/>
      </w:r>
      <w:r w:rsidR="00E62586">
        <w:t xml:space="preserve">  In this instance, however, we have determined that there are alternate channels available to accommodate the </w:t>
      </w:r>
      <w:r w:rsidR="00E62586">
        <w:t>Puhi</w:t>
      </w:r>
      <w:r w:rsidR="00E62586">
        <w:t xml:space="preserve"> and </w:t>
      </w:r>
      <w:r w:rsidR="00E62586">
        <w:t>Kekaha</w:t>
      </w:r>
      <w:r w:rsidR="00E62586">
        <w:t xml:space="preserve"> allotment requests without the need for a comparative evaluation.</w:t>
      </w:r>
      <w:r>
        <w:rPr>
          <w:rStyle w:val="FootnoteReference"/>
        </w:rPr>
        <w:footnoteReference w:id="23"/>
      </w:r>
      <w:r w:rsidR="00E62586">
        <w:t xml:space="preserve">  Specifically, a staff engineering analysis has revealed that </w:t>
      </w:r>
      <w:r w:rsidRPr="00500AE1" w:rsidR="00E62586">
        <w:t xml:space="preserve">Channel 280A can be allotted at </w:t>
      </w:r>
      <w:r w:rsidRPr="00500AE1" w:rsidR="00E62586">
        <w:t>Puhi</w:t>
      </w:r>
      <w:r w:rsidRPr="00500AE1" w:rsidR="00E62586">
        <w:t xml:space="preserve"> in lieu of Channel 284A, which was proposed in the </w:t>
      </w:r>
      <w:r w:rsidRPr="00500AE1" w:rsidR="00E62586">
        <w:rPr>
          <w:i/>
          <w:iCs/>
        </w:rPr>
        <w:t>Notice</w:t>
      </w:r>
      <w:r w:rsidRPr="00500AE1" w:rsidR="00E62586">
        <w:t>.  We find that the public interest would be served by allotting Channel 280A as a first local service to the community.</w:t>
      </w:r>
      <w:r>
        <w:rPr>
          <w:rStyle w:val="FootnoteReference"/>
        </w:rPr>
        <w:footnoteReference w:id="24"/>
      </w:r>
      <w:r w:rsidRPr="00500AE1" w:rsidR="00E62586">
        <w:t xml:space="preserve">  Because the conflict between the </w:t>
      </w:r>
      <w:r w:rsidRPr="00500AE1" w:rsidR="00E62586">
        <w:t>Puhi</w:t>
      </w:r>
      <w:r w:rsidRPr="00500AE1" w:rsidR="00E62586">
        <w:t xml:space="preserve"> and </w:t>
      </w:r>
      <w:r w:rsidRPr="00500AE1" w:rsidR="00E62586">
        <w:t>Kekaha</w:t>
      </w:r>
      <w:r w:rsidRPr="00500AE1" w:rsidR="00E62586">
        <w:t xml:space="preserve"> proposals is eliminated with the allotment of Channel 280A at </w:t>
      </w:r>
      <w:r w:rsidRPr="00500AE1" w:rsidR="00E62586">
        <w:t>Puhi</w:t>
      </w:r>
      <w:r w:rsidRPr="00500AE1" w:rsidR="00E62586">
        <w:t xml:space="preserve">, we find that the public interest also would be served by allotting Channel 298C3 at </w:t>
      </w:r>
      <w:r w:rsidRPr="00500AE1" w:rsidR="00E62586">
        <w:t>Kekaha</w:t>
      </w:r>
      <w:r w:rsidRPr="00500AE1" w:rsidR="00E62586">
        <w:t xml:space="preserve"> as a first local service.</w:t>
      </w:r>
      <w:r>
        <w:rPr>
          <w:rStyle w:val="FootnoteReference"/>
        </w:rPr>
        <w:footnoteReference w:id="25"/>
      </w:r>
      <w:r w:rsidR="00E62586">
        <w:t xml:space="preserve">  As discussed above, </w:t>
      </w:r>
      <w:r w:rsidRPr="006C1E95" w:rsidR="00E62586">
        <w:t>Kekaha</w:t>
      </w:r>
      <w:r w:rsidRPr="006C1E95" w:rsidR="00E62586">
        <w:t xml:space="preserve"> is listed as a CDP</w:t>
      </w:r>
      <w:r w:rsidR="00E62586">
        <w:t xml:space="preserve"> in the Census, and thus satisfies a minimum requirement for being considered a community for allotment purposes.</w:t>
      </w:r>
      <w:r>
        <w:rPr>
          <w:rStyle w:val="FootnoteReference"/>
        </w:rPr>
        <w:footnoteReference w:id="26"/>
      </w:r>
      <w:r w:rsidR="00E62586">
        <w:t xml:space="preserve">  Additionally, </w:t>
      </w:r>
      <w:r w:rsidR="00E62586">
        <w:t>Kekaha</w:t>
      </w:r>
      <w:r w:rsidR="00E62586">
        <w:t xml:space="preserve"> </w:t>
      </w:r>
      <w:r w:rsidRPr="006C1E95" w:rsidR="00E62586">
        <w:t>has a post office, at least two charter schools, numerous retail establishments and restaurants, two banks, and grocery s</w:t>
      </w:r>
      <w:r w:rsidR="00E62586">
        <w:t>tores.</w:t>
      </w:r>
    </w:p>
    <w:p w:rsidR="00341173" w:rsidP="00341173" w14:paraId="5EE5EF31" w14:textId="0BEA7B3A">
      <w:pPr>
        <w:pStyle w:val="ParaNum"/>
        <w:spacing w:after="240"/>
      </w:pPr>
      <w:r>
        <w:rPr>
          <w:szCs w:val="22"/>
          <w:shd w:val="clear" w:color="auto" w:fill="FFFFFF"/>
        </w:rPr>
        <w:t xml:space="preserve">We </w:t>
      </w:r>
      <w:r w:rsidRPr="00A4279E" w:rsidR="00E42FD3">
        <w:rPr>
          <w:szCs w:val="22"/>
          <w:shd w:val="clear" w:color="auto" w:fill="FFFFFF"/>
        </w:rPr>
        <w:t xml:space="preserve">reject </w:t>
      </w:r>
      <w:r w:rsidR="00E42FD3">
        <w:rPr>
          <w:szCs w:val="22"/>
          <w:shd w:val="clear" w:color="auto" w:fill="FFFFFF"/>
        </w:rPr>
        <w:t xml:space="preserve">Petitioner’s </w:t>
      </w:r>
      <w:r w:rsidRPr="00A4279E" w:rsidR="00E42FD3">
        <w:rPr>
          <w:szCs w:val="22"/>
          <w:shd w:val="clear" w:color="auto" w:fill="FFFFFF"/>
        </w:rPr>
        <w:t xml:space="preserve">argument that the </w:t>
      </w:r>
      <w:r w:rsidR="00E42FD3">
        <w:rPr>
          <w:szCs w:val="22"/>
          <w:shd w:val="clear" w:color="auto" w:fill="FFFFFF"/>
        </w:rPr>
        <w:t>Kekaha</w:t>
      </w:r>
      <w:r w:rsidR="00E42FD3">
        <w:rPr>
          <w:szCs w:val="22"/>
          <w:shd w:val="clear" w:color="auto" w:fill="FFFFFF"/>
        </w:rPr>
        <w:t xml:space="preserve"> </w:t>
      </w:r>
      <w:r w:rsidRPr="00A4279E" w:rsidR="00E42FD3">
        <w:rPr>
          <w:szCs w:val="22"/>
          <w:shd w:val="clear" w:color="auto" w:fill="FFFFFF"/>
        </w:rPr>
        <w:t xml:space="preserve">proposal should not be entertained because it would contravene </w:t>
      </w:r>
      <w:r w:rsidR="00E42FD3">
        <w:rPr>
          <w:szCs w:val="22"/>
          <w:shd w:val="clear" w:color="auto" w:fill="FFFFFF"/>
        </w:rPr>
        <w:t>the Commission’s</w:t>
      </w:r>
      <w:r w:rsidRPr="00A4279E" w:rsidR="00E42FD3">
        <w:rPr>
          <w:szCs w:val="22"/>
          <w:shd w:val="clear" w:color="auto" w:fill="FFFFFF"/>
        </w:rPr>
        <w:t xml:space="preserve"> multiple ownership requirements</w:t>
      </w:r>
      <w:r w:rsidR="00E42FD3">
        <w:rPr>
          <w:szCs w:val="22"/>
          <w:shd w:val="clear" w:color="auto" w:fill="FFFFFF"/>
        </w:rPr>
        <w:t>.</w:t>
      </w:r>
      <w:r>
        <w:rPr>
          <w:rStyle w:val="FootnoteReference"/>
          <w:szCs w:val="22"/>
          <w:shd w:val="clear" w:color="auto" w:fill="FFFFFF"/>
        </w:rPr>
        <w:footnoteReference w:id="27"/>
      </w:r>
      <w:r w:rsidRPr="00A4279E" w:rsidR="00E42FD3">
        <w:rPr>
          <w:szCs w:val="22"/>
          <w:shd w:val="clear" w:color="auto" w:fill="FFFFFF"/>
        </w:rPr>
        <w:t xml:space="preserve">  It</w:t>
      </w:r>
      <w:r w:rsidRPr="00A4279E" w:rsidR="00E42FD3">
        <w:rPr>
          <w:spacing w:val="-3"/>
          <w:szCs w:val="22"/>
        </w:rPr>
        <w:t xml:space="preserve"> is established policy that we do not consider multiple ownership issues in conjunction with an allotment rulemaking proceeding.</w:t>
      </w:r>
      <w:r w:rsidRPr="00A4279E" w:rsidR="00E42FD3">
        <w:rPr>
          <w:rFonts w:eastAsiaTheme="minorHAnsi"/>
          <w:kern w:val="2"/>
          <w:szCs w:val="22"/>
          <w:shd w:val="clear" w:color="auto" w:fill="FFFFFF"/>
          <w14:ligatures w14:val="standardContextual"/>
        </w:rPr>
        <w:t xml:space="preserve">  Rather, any </w:t>
      </w:r>
      <w:r w:rsidRPr="00A4279E" w:rsidR="00E42FD3">
        <w:rPr>
          <w:rFonts w:eastAsiaTheme="minorHAnsi"/>
          <w:kern w:val="2"/>
          <w:szCs w:val="22"/>
          <w:shd w:val="clear" w:color="auto" w:fill="FFFFFF"/>
          <w14:ligatures w14:val="standardContextual"/>
        </w:rPr>
        <w:t>potential multiple ownership issues are addressed after the allotment is subject to competitive bidding and a construction permit application is filed.</w:t>
      </w:r>
      <w:r>
        <w:rPr>
          <w:rStyle w:val="FootnoteReference"/>
          <w:rFonts w:eastAsiaTheme="minorHAnsi"/>
          <w:kern w:val="2"/>
          <w:szCs w:val="22"/>
          <w:shd w:val="clear" w:color="auto" w:fill="FFFFFF"/>
          <w14:ligatures w14:val="standardContextual"/>
        </w:rPr>
        <w:footnoteReference w:id="28"/>
      </w:r>
      <w:r w:rsidRPr="00A4279E" w:rsidR="00E42FD3">
        <w:rPr>
          <w:rFonts w:eastAsiaTheme="minorHAnsi"/>
          <w:kern w:val="2"/>
          <w:szCs w:val="22"/>
          <w:shd w:val="clear" w:color="auto" w:fill="FFFFFF"/>
          <w14:ligatures w14:val="standardContextual"/>
        </w:rPr>
        <w:t xml:space="preserve">  </w:t>
      </w:r>
      <w:r w:rsidR="00E42FD3">
        <w:rPr>
          <w:rFonts w:eastAsiaTheme="minorHAnsi"/>
          <w:kern w:val="2"/>
          <w:szCs w:val="22"/>
          <w:shd w:val="clear" w:color="auto" w:fill="FFFFFF"/>
          <w14:ligatures w14:val="standardContextual"/>
        </w:rPr>
        <w:t xml:space="preserve">We also reject Petitioner’s argument that the Counterproposal does not represent a </w:t>
      </w:r>
      <w:r w:rsidRPr="001213B9" w:rsidR="00E42FD3">
        <w:rPr>
          <w:rFonts w:eastAsiaTheme="minorHAnsi"/>
          <w:i/>
          <w:iCs/>
          <w:kern w:val="2"/>
          <w:szCs w:val="22"/>
          <w:shd w:val="clear" w:color="auto" w:fill="FFFFFF"/>
          <w14:ligatures w14:val="standardContextual"/>
        </w:rPr>
        <w:t>bona fide</w:t>
      </w:r>
      <w:r w:rsidR="00E42FD3">
        <w:rPr>
          <w:rFonts w:eastAsiaTheme="minorHAnsi"/>
          <w:kern w:val="2"/>
          <w:szCs w:val="22"/>
          <w:shd w:val="clear" w:color="auto" w:fill="FFFFFF"/>
          <w14:ligatures w14:val="standardContextual"/>
        </w:rPr>
        <w:t xml:space="preserve"> expression of interest.</w:t>
      </w:r>
      <w:r>
        <w:rPr>
          <w:rStyle w:val="FootnoteReference"/>
          <w:rFonts w:eastAsiaTheme="minorHAnsi"/>
          <w:kern w:val="2"/>
          <w:szCs w:val="22"/>
          <w:shd w:val="clear" w:color="auto" w:fill="FFFFFF"/>
          <w14:ligatures w14:val="standardContextual"/>
        </w:rPr>
        <w:footnoteReference w:id="29"/>
      </w:r>
      <w:r w:rsidR="00E42FD3">
        <w:rPr>
          <w:rFonts w:eastAsiaTheme="minorHAnsi"/>
          <w:kern w:val="2"/>
          <w:szCs w:val="22"/>
          <w:shd w:val="clear" w:color="auto" w:fill="FFFFFF"/>
          <w14:ligatures w14:val="standardContextual"/>
        </w:rPr>
        <w:t xml:space="preserve">  PRG</w:t>
      </w:r>
      <w:r w:rsidRPr="00602A4B" w:rsidR="00E42FD3">
        <w:rPr>
          <w:rFonts w:eastAsiaTheme="minorHAnsi"/>
          <w:kern w:val="2"/>
          <w:szCs w:val="22"/>
          <w:shd w:val="clear" w:color="auto" w:fill="FFFFFF"/>
          <w14:ligatures w14:val="standardContextual"/>
        </w:rPr>
        <w:t xml:space="preserve"> is an interested part</w:t>
      </w:r>
      <w:r w:rsidR="00E42FD3">
        <w:rPr>
          <w:rFonts w:eastAsiaTheme="minorHAnsi"/>
          <w:kern w:val="2"/>
          <w:szCs w:val="22"/>
          <w:shd w:val="clear" w:color="auto" w:fill="FFFFFF"/>
          <w14:ligatures w14:val="standardContextual"/>
        </w:rPr>
        <w:t>y</w:t>
      </w:r>
      <w:r w:rsidRPr="00602A4B" w:rsidR="00E42FD3">
        <w:rPr>
          <w:rFonts w:eastAsiaTheme="minorHAnsi"/>
          <w:kern w:val="2"/>
          <w:szCs w:val="22"/>
          <w:shd w:val="clear" w:color="auto" w:fill="FFFFFF"/>
          <w14:ligatures w14:val="standardContextual"/>
        </w:rPr>
        <w:t xml:space="preserve"> in this proceeding in that it has filed a counterproposal</w:t>
      </w:r>
      <w:r w:rsidR="00E42FD3">
        <w:rPr>
          <w:rFonts w:eastAsiaTheme="minorHAnsi"/>
          <w:kern w:val="2"/>
          <w:szCs w:val="22"/>
          <w:shd w:val="clear" w:color="auto" w:fill="FFFFFF"/>
          <w14:ligatures w14:val="standardContextual"/>
        </w:rPr>
        <w:t xml:space="preserve"> </w:t>
      </w:r>
      <w:r w:rsidRPr="00602A4B" w:rsidR="00E42FD3">
        <w:rPr>
          <w:rFonts w:eastAsiaTheme="minorHAnsi"/>
          <w:kern w:val="2"/>
          <w:szCs w:val="22"/>
          <w:shd w:val="clear" w:color="auto" w:fill="FFFFFF"/>
          <w14:ligatures w14:val="standardContextual"/>
        </w:rPr>
        <w:t>suggest</w:t>
      </w:r>
      <w:r w:rsidR="00E42FD3">
        <w:rPr>
          <w:rFonts w:eastAsiaTheme="minorHAnsi"/>
          <w:kern w:val="2"/>
          <w:szCs w:val="22"/>
          <w:shd w:val="clear" w:color="auto" w:fill="FFFFFF"/>
          <w14:ligatures w14:val="standardContextual"/>
        </w:rPr>
        <w:t>ing</w:t>
      </w:r>
      <w:r w:rsidRPr="00602A4B" w:rsidR="00E42FD3">
        <w:rPr>
          <w:rFonts w:eastAsiaTheme="minorHAnsi"/>
          <w:kern w:val="2"/>
          <w:szCs w:val="22"/>
          <w:shd w:val="clear" w:color="auto" w:fill="FFFFFF"/>
          <w14:ligatures w14:val="standardContextual"/>
        </w:rPr>
        <w:t xml:space="preserve"> a mutually exclusive use for the channel proposed for </w:t>
      </w:r>
      <w:r w:rsidR="00E42FD3">
        <w:rPr>
          <w:rFonts w:eastAsiaTheme="minorHAnsi"/>
          <w:kern w:val="2"/>
          <w:szCs w:val="22"/>
          <w:shd w:val="clear" w:color="auto" w:fill="FFFFFF"/>
          <w14:ligatures w14:val="standardContextual"/>
        </w:rPr>
        <w:t>Puhi</w:t>
      </w:r>
      <w:r w:rsidR="00E42FD3">
        <w:rPr>
          <w:rFonts w:eastAsiaTheme="minorHAnsi"/>
          <w:kern w:val="2"/>
          <w:szCs w:val="22"/>
          <w:shd w:val="clear" w:color="auto" w:fill="FFFFFF"/>
          <w14:ligatures w14:val="standardContextual"/>
        </w:rPr>
        <w:t xml:space="preserve"> and submitted the required filing fee</w:t>
      </w:r>
      <w:r w:rsidRPr="00602A4B" w:rsidR="00E42FD3">
        <w:rPr>
          <w:rFonts w:eastAsiaTheme="minorHAnsi"/>
          <w:kern w:val="2"/>
          <w:szCs w:val="22"/>
          <w:shd w:val="clear" w:color="auto" w:fill="FFFFFF"/>
          <w14:ligatures w14:val="standardContextual"/>
        </w:rPr>
        <w:t xml:space="preserve">. </w:t>
      </w:r>
      <w:r w:rsidR="00E42FD3">
        <w:rPr>
          <w:rFonts w:eastAsiaTheme="minorHAnsi"/>
          <w:kern w:val="2"/>
          <w:szCs w:val="22"/>
          <w:shd w:val="clear" w:color="auto" w:fill="FFFFFF"/>
          <w14:ligatures w14:val="standardContextual"/>
        </w:rPr>
        <w:t xml:space="preserve"> PRG</w:t>
      </w:r>
      <w:r w:rsidRPr="00602A4B" w:rsidR="00E42FD3">
        <w:rPr>
          <w:rFonts w:eastAsiaTheme="minorHAnsi"/>
          <w:kern w:val="2"/>
          <w:szCs w:val="22"/>
          <w:shd w:val="clear" w:color="auto" w:fill="FFFFFF"/>
          <w14:ligatures w14:val="standardContextual"/>
        </w:rPr>
        <w:t xml:space="preserve"> </w:t>
      </w:r>
      <w:r w:rsidR="00E42FD3">
        <w:rPr>
          <w:rFonts w:eastAsiaTheme="minorHAnsi"/>
          <w:kern w:val="2"/>
          <w:szCs w:val="22"/>
          <w:shd w:val="clear" w:color="auto" w:fill="FFFFFF"/>
          <w14:ligatures w14:val="standardContextual"/>
        </w:rPr>
        <w:t xml:space="preserve">also </w:t>
      </w:r>
      <w:r w:rsidRPr="00602A4B" w:rsidR="00E42FD3">
        <w:rPr>
          <w:rFonts w:eastAsiaTheme="minorHAnsi"/>
          <w:kern w:val="2"/>
          <w:szCs w:val="22"/>
          <w:shd w:val="clear" w:color="auto" w:fill="FFFFFF"/>
          <w14:ligatures w14:val="standardContextual"/>
        </w:rPr>
        <w:t>has stated i</w:t>
      </w:r>
      <w:r w:rsidR="00E42FD3">
        <w:rPr>
          <w:rFonts w:eastAsiaTheme="minorHAnsi"/>
          <w:kern w:val="2"/>
          <w:szCs w:val="22"/>
          <w:shd w:val="clear" w:color="auto" w:fill="FFFFFF"/>
          <w14:ligatures w14:val="standardContextual"/>
        </w:rPr>
        <w:t>ts intent in the C</w:t>
      </w:r>
      <w:r w:rsidRPr="00602A4B" w:rsidR="00E42FD3">
        <w:rPr>
          <w:rFonts w:eastAsiaTheme="minorHAnsi"/>
          <w:kern w:val="2"/>
          <w:szCs w:val="22"/>
          <w:shd w:val="clear" w:color="auto" w:fill="FFFFFF"/>
          <w14:ligatures w14:val="standardContextual"/>
        </w:rPr>
        <w:t xml:space="preserve">ounterproposal to apply for the channel if it is allotted and, if authorized, to build a station promptly. </w:t>
      </w:r>
      <w:r w:rsidR="00E42FD3">
        <w:rPr>
          <w:rFonts w:eastAsiaTheme="minorHAnsi"/>
          <w:kern w:val="2"/>
          <w:szCs w:val="22"/>
          <w:shd w:val="clear" w:color="auto" w:fill="FFFFFF"/>
          <w14:ligatures w14:val="standardContextual"/>
        </w:rPr>
        <w:t xml:space="preserve"> </w:t>
      </w:r>
      <w:r w:rsidRPr="00602A4B" w:rsidR="00E42FD3">
        <w:rPr>
          <w:rFonts w:eastAsiaTheme="minorHAnsi"/>
          <w:kern w:val="2"/>
          <w:szCs w:val="22"/>
          <w:shd w:val="clear" w:color="auto" w:fill="FFFFFF"/>
          <w14:ligatures w14:val="standardContextual"/>
        </w:rPr>
        <w:t>This is sufficient for acceptance of the</w:t>
      </w:r>
      <w:r w:rsidR="00E42FD3">
        <w:rPr>
          <w:rFonts w:eastAsiaTheme="minorHAnsi"/>
          <w:kern w:val="2"/>
          <w:szCs w:val="22"/>
          <w:shd w:val="clear" w:color="auto" w:fill="FFFFFF"/>
          <w14:ligatures w14:val="standardContextual"/>
        </w:rPr>
        <w:t xml:space="preserve"> Counterproposal.  </w:t>
      </w:r>
      <w:r w:rsidRPr="002B1EB5" w:rsidR="00E42FD3">
        <w:rPr>
          <w:rFonts w:eastAsiaTheme="minorHAnsi"/>
          <w:kern w:val="2"/>
          <w:szCs w:val="22"/>
          <w:shd w:val="clear" w:color="auto" w:fill="FFFFFF"/>
          <w14:ligatures w14:val="standardContextual"/>
        </w:rPr>
        <w:t xml:space="preserve">Accordingly, and </w:t>
      </w:r>
      <w:r w:rsidRPr="002B1EB5" w:rsidR="00E42FD3">
        <w:t xml:space="preserve">in light of the foregoing, we will grant the Petition by allotting </w:t>
      </w:r>
      <w:r w:rsidRPr="00500AE1" w:rsidR="00E42FD3">
        <w:t xml:space="preserve">Channel 280A at </w:t>
      </w:r>
      <w:r w:rsidRPr="00500AE1" w:rsidR="00E42FD3">
        <w:t>Puhi</w:t>
      </w:r>
      <w:r w:rsidRPr="00500AE1" w:rsidR="00E42FD3">
        <w:t xml:space="preserve"> and the Counterproposal by allotting Channel 298C3 at </w:t>
      </w:r>
      <w:r w:rsidR="00E42FD3">
        <w:t>Kekaha</w:t>
      </w:r>
      <w:r w:rsidRPr="00176E73">
        <w:t>.</w:t>
      </w:r>
      <w:r>
        <w:t xml:space="preserve">   </w:t>
      </w:r>
    </w:p>
    <w:p w:rsidR="00341173" w:rsidP="00341173" w14:paraId="361604B7" w14:textId="77777777">
      <w:pPr>
        <w:pStyle w:val="ParaNum"/>
        <w:spacing w:after="240"/>
      </w:pPr>
      <w:r w:rsidRPr="008959C7">
        <w:rPr>
          <w:i/>
          <w:iCs/>
        </w:rPr>
        <w:t>Paperwork Reduction and Regulatory Flexibility</w:t>
      </w:r>
      <w:r w:rsidRPr="00D201A4">
        <w:t xml:space="preserve">.  The Commission has determined that the relevant provisions of the Regulatory Flexibility Act of 1980, as amended, do not apply to a rulemaking proceeding to amend the FM Table of Allotments, section 73.202(b) of the </w:t>
      </w:r>
      <w:r>
        <w:t>Commission’s r</w:t>
      </w:r>
      <w:r w:rsidRPr="00D201A4">
        <w:t xml:space="preserve">ules.  This document does not contain information collection requirements subject to the Paperwork Reduction Act of 1995.  In addition, therefore, it does not contain any proposed information collection burden “for small business concerns with fewer than 25 employees,” pursuant to the Small Business Paperwork Relief Act of 2002. </w:t>
      </w:r>
    </w:p>
    <w:p w:rsidR="00341173" w:rsidRPr="00D201A4" w:rsidP="00341173" w14:paraId="05BFB920" w14:textId="77777777">
      <w:pPr>
        <w:pStyle w:val="Heading1"/>
        <w:tabs>
          <w:tab w:val="num" w:pos="1440"/>
        </w:tabs>
        <w:spacing w:after="240"/>
      </w:pPr>
      <w:r w:rsidRPr="00D201A4">
        <w:t>ORDERING CLAUSES</w:t>
      </w:r>
    </w:p>
    <w:p w:rsidR="00341173" w:rsidRPr="008A6152" w:rsidP="00341173" w14:paraId="272DAF88" w14:textId="1854964D">
      <w:pPr>
        <w:pStyle w:val="ParaNum"/>
        <w:rPr>
          <w:snapToGrid/>
        </w:rPr>
      </w:pPr>
      <w:r w:rsidRPr="008A6152">
        <w:rPr>
          <w:snapToGrid/>
        </w:rPr>
        <w:t>Accordingly, IT IS ORDERED, that pursuant to authority found in 47 U.S.C. sections 4(</w:t>
      </w:r>
      <w:r w:rsidRPr="008A6152">
        <w:rPr>
          <w:snapToGrid/>
        </w:rPr>
        <w:t>i</w:t>
      </w:r>
      <w:r w:rsidRPr="008A6152">
        <w:rPr>
          <w:snapToGrid/>
        </w:rPr>
        <w:t>), 5(c)(1), 303(g) and (r), and 307(b) of the Communications Act of 1934, as amended, 47 U.S.C. §§ 154(</w:t>
      </w:r>
      <w:r w:rsidRPr="008A6152">
        <w:rPr>
          <w:snapToGrid/>
        </w:rPr>
        <w:t>i</w:t>
      </w:r>
      <w:r w:rsidRPr="008A6152">
        <w:rPr>
          <w:snapToGrid/>
        </w:rPr>
        <w:t xml:space="preserve">), 155(c)(1), 303(g), (r), and 307(b) and sections 0.61, 0.204(b), and 0.283 of the Rules, 47 CFR §§ 0.61, 0.204(b), and 0.283, effective </w:t>
      </w:r>
      <w:r w:rsidRPr="00A61284" w:rsidR="00A61284">
        <w:rPr>
          <w:b/>
          <w:bCs/>
          <w:snapToGrid/>
        </w:rPr>
        <w:t>April 11, 2024</w:t>
      </w:r>
      <w:r w:rsidRPr="008A6152">
        <w:rPr>
          <w:snapToGrid/>
        </w:rPr>
        <w:t>, the FM Table of Allotments, 47 CFR § 73.202(b), IS AMENDED, with respect to the community listed below, to read as follows:</w:t>
      </w:r>
    </w:p>
    <w:p w:rsidR="00341173" w:rsidP="00341173" w14:paraId="1EB3C302" w14:textId="77777777">
      <w:pPr>
        <w:pStyle w:val="ParaNum"/>
        <w:numPr>
          <w:ilvl w:val="0"/>
          <w:numId w:val="0"/>
        </w:numPr>
        <w:tabs>
          <w:tab w:val="num" w:pos="1440"/>
        </w:tabs>
        <w:ind w:left="720" w:firstLine="720"/>
        <w:rPr>
          <w:b/>
          <w:snapToGrid/>
          <w:kern w:val="0"/>
          <w:szCs w:val="22"/>
          <w:u w:val="words"/>
        </w:rPr>
      </w:pPr>
      <w:r w:rsidRPr="00690CF5">
        <w:rPr>
          <w:b/>
          <w:snapToGrid/>
          <w:kern w:val="0"/>
          <w:szCs w:val="22"/>
          <w:u w:val="words"/>
        </w:rPr>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r>
      <w:r>
        <w:rPr>
          <w:b/>
          <w:snapToGrid/>
          <w:kern w:val="0"/>
          <w:szCs w:val="22"/>
          <w:u w:val="words"/>
        </w:rPr>
        <w:t xml:space="preserve">Channel No. </w:t>
      </w:r>
      <w:r w:rsidRPr="00690CF5">
        <w:rPr>
          <w:b/>
          <w:snapToGrid/>
          <w:kern w:val="0"/>
          <w:szCs w:val="22"/>
          <w:u w:val="words"/>
        </w:rPr>
        <w:t xml:space="preserve"> </w:t>
      </w:r>
    </w:p>
    <w:p w:rsidR="00341173" w:rsidRPr="00C25701" w:rsidP="00341173" w14:paraId="714CEBF4" w14:textId="365E984C">
      <w:pPr>
        <w:tabs>
          <w:tab w:val="left" w:pos="-720"/>
          <w:tab w:val="left" w:pos="720"/>
          <w:tab w:val="num" w:pos="1440"/>
        </w:tabs>
        <w:spacing w:after="120"/>
        <w:ind w:firstLine="360"/>
        <w:rPr>
          <w:snapToGrid/>
          <w:spacing w:val="-3"/>
          <w:kern w:val="0"/>
          <w:szCs w:val="22"/>
        </w:rPr>
      </w:pPr>
      <w:r w:rsidRPr="00690CF5">
        <w:rPr>
          <w:b/>
          <w:snapToGrid/>
          <w:kern w:val="0"/>
          <w:szCs w:val="22"/>
          <w:u w:val="words"/>
        </w:rPr>
        <w:tab/>
      </w:r>
      <w:r>
        <w:rPr>
          <w:b/>
          <w:snapToGrid/>
          <w:kern w:val="0"/>
          <w:szCs w:val="22"/>
          <w:u w:val="words"/>
        </w:rPr>
        <w:tab/>
      </w:r>
      <w:r w:rsidR="002C1E66">
        <w:rPr>
          <w:bCs/>
          <w:snapToGrid/>
          <w:kern w:val="0"/>
          <w:szCs w:val="22"/>
        </w:rPr>
        <w:t>Puhi</w:t>
      </w:r>
      <w:r>
        <w:rPr>
          <w:bCs/>
          <w:snapToGrid/>
          <w:kern w:val="0"/>
          <w:szCs w:val="22"/>
        </w:rPr>
        <w:t>, Hawaii</w:t>
      </w:r>
      <w:r>
        <w:rPr>
          <w:bCs/>
          <w:snapToGrid/>
          <w:kern w:val="0"/>
          <w:szCs w:val="22"/>
        </w:rPr>
        <w:tab/>
      </w:r>
      <w:r w:rsidRPr="00690CF5">
        <w:rPr>
          <w:snapToGrid/>
          <w:kern w:val="0"/>
          <w:szCs w:val="22"/>
        </w:rPr>
        <w:tab/>
      </w:r>
      <w:r w:rsidRPr="00690CF5">
        <w:rPr>
          <w:snapToGrid/>
          <w:kern w:val="0"/>
          <w:szCs w:val="22"/>
        </w:rPr>
        <w:tab/>
        <w:t xml:space="preserve">   </w:t>
      </w:r>
      <w:r w:rsidRPr="00690CF5">
        <w:rPr>
          <w:snapToGrid/>
          <w:spacing w:val="-3"/>
          <w:kern w:val="0"/>
          <w:szCs w:val="22"/>
        </w:rPr>
        <w:tab/>
      </w:r>
      <w:r w:rsidRPr="00C25701">
        <w:rPr>
          <w:snapToGrid/>
          <w:spacing w:val="-3"/>
          <w:kern w:val="0"/>
          <w:szCs w:val="22"/>
        </w:rPr>
        <w:t>2</w:t>
      </w:r>
      <w:r w:rsidR="002C1E66">
        <w:rPr>
          <w:snapToGrid/>
          <w:spacing w:val="-3"/>
          <w:kern w:val="0"/>
          <w:szCs w:val="22"/>
        </w:rPr>
        <w:t>80</w:t>
      </w:r>
      <w:r w:rsidRPr="00C25701">
        <w:rPr>
          <w:snapToGrid/>
          <w:spacing w:val="-3"/>
          <w:kern w:val="0"/>
          <w:szCs w:val="22"/>
        </w:rPr>
        <w:t>A</w:t>
      </w:r>
    </w:p>
    <w:p w:rsidR="00341173" w:rsidRPr="008A6152" w:rsidP="00341173" w14:paraId="2F04F3BE" w14:textId="33B624A9">
      <w:pPr>
        <w:tabs>
          <w:tab w:val="left" w:pos="-720"/>
          <w:tab w:val="left" w:pos="720"/>
          <w:tab w:val="num" w:pos="1440"/>
        </w:tabs>
        <w:spacing w:after="240"/>
        <w:ind w:firstLine="360"/>
        <w:rPr>
          <w:bCs/>
          <w:snapToGrid/>
          <w:kern w:val="0"/>
          <w:szCs w:val="22"/>
        </w:rPr>
      </w:pPr>
      <w:r w:rsidRPr="00C25701">
        <w:rPr>
          <w:snapToGrid/>
          <w:spacing w:val="-3"/>
          <w:kern w:val="0"/>
          <w:szCs w:val="22"/>
        </w:rPr>
        <w:tab/>
      </w:r>
      <w:r w:rsidRPr="00C25701">
        <w:rPr>
          <w:snapToGrid/>
          <w:spacing w:val="-3"/>
          <w:kern w:val="0"/>
          <w:szCs w:val="22"/>
        </w:rPr>
        <w:tab/>
      </w:r>
      <w:r w:rsidR="002C1E66">
        <w:rPr>
          <w:snapToGrid/>
          <w:spacing w:val="-3"/>
          <w:kern w:val="0"/>
          <w:szCs w:val="22"/>
        </w:rPr>
        <w:t>Kekaha</w:t>
      </w:r>
      <w:r w:rsidRPr="00C25701">
        <w:rPr>
          <w:snapToGrid/>
          <w:spacing w:val="-3"/>
          <w:kern w:val="0"/>
          <w:szCs w:val="22"/>
        </w:rPr>
        <w:t>, Hawaii</w:t>
      </w:r>
      <w:r w:rsidRPr="00C25701">
        <w:rPr>
          <w:snapToGrid/>
          <w:spacing w:val="-3"/>
          <w:kern w:val="0"/>
          <w:szCs w:val="22"/>
        </w:rPr>
        <w:tab/>
      </w:r>
      <w:r w:rsidRPr="00C25701">
        <w:rPr>
          <w:snapToGrid/>
          <w:spacing w:val="-3"/>
          <w:kern w:val="0"/>
          <w:szCs w:val="22"/>
        </w:rPr>
        <w:tab/>
      </w:r>
      <w:r w:rsidRPr="00C25701">
        <w:rPr>
          <w:snapToGrid/>
          <w:spacing w:val="-3"/>
          <w:kern w:val="0"/>
          <w:szCs w:val="22"/>
        </w:rPr>
        <w:tab/>
      </w:r>
      <w:r w:rsidRPr="00C25701">
        <w:rPr>
          <w:snapToGrid/>
          <w:spacing w:val="-3"/>
          <w:kern w:val="0"/>
          <w:szCs w:val="22"/>
        </w:rPr>
        <w:tab/>
        <w:t>2</w:t>
      </w:r>
      <w:r w:rsidR="002C1E66">
        <w:rPr>
          <w:snapToGrid/>
          <w:spacing w:val="-3"/>
          <w:kern w:val="0"/>
          <w:szCs w:val="22"/>
        </w:rPr>
        <w:t>98</w:t>
      </w:r>
      <w:r w:rsidRPr="00C25701">
        <w:rPr>
          <w:snapToGrid/>
          <w:spacing w:val="-3"/>
          <w:kern w:val="0"/>
          <w:szCs w:val="22"/>
        </w:rPr>
        <w:t>C3</w:t>
      </w:r>
    </w:p>
    <w:p w:rsidR="00341173" w:rsidP="00341173" w14:paraId="6C077C7D" w14:textId="1BBFF236">
      <w:pPr>
        <w:pStyle w:val="ParaNum"/>
        <w:spacing w:after="240"/>
      </w:pPr>
      <w:bookmarkStart w:id="5" w:name="_Ref342151565"/>
      <w:r w:rsidRPr="00D201A4">
        <w:t xml:space="preserve">The </w:t>
      </w:r>
      <w:r w:rsidRPr="00D201A4" w:rsidR="004D3621">
        <w:t xml:space="preserve">window period for filing applications for Channel </w:t>
      </w:r>
      <w:r w:rsidR="004D3621">
        <w:t xml:space="preserve">280A at </w:t>
      </w:r>
      <w:r w:rsidR="004D3621">
        <w:t>Puhi</w:t>
      </w:r>
      <w:r w:rsidR="004D3621">
        <w:t xml:space="preserve">, Hawaii, and Channel 298C3 at </w:t>
      </w:r>
      <w:r w:rsidR="004D3621">
        <w:t>Kekaha</w:t>
      </w:r>
      <w:r w:rsidR="004D3621">
        <w:t>, Hawaii</w:t>
      </w:r>
      <w:r w:rsidRPr="00D201A4" w:rsidR="004D3621">
        <w:t xml:space="preserve"> will not be opened at this time.  Instead, the issue of opening this allotment for filing will be addressed by the Commission in </w:t>
      </w:r>
      <w:r w:rsidR="004D3621">
        <w:t xml:space="preserve">a </w:t>
      </w:r>
      <w:r w:rsidRPr="00D201A4" w:rsidR="004D3621">
        <w:t xml:space="preserve">subsequent </w:t>
      </w:r>
      <w:r w:rsidRPr="00D201A4">
        <w:t>order.</w:t>
      </w:r>
    </w:p>
    <w:p w:rsidR="00341173" w:rsidP="00341173" w14:paraId="763FB7A6" w14:textId="776CB92B">
      <w:pPr>
        <w:pStyle w:val="ParaNum"/>
        <w:spacing w:after="240"/>
      </w:pPr>
      <w:r>
        <w:t>IT IS FURTHER ORDERED, that the Petition for Rulemaking, RM-119</w:t>
      </w:r>
      <w:r w:rsidR="005E0310">
        <w:t>49</w:t>
      </w:r>
      <w:r>
        <w:t>, filed by SSR Communications, Inc., IS GRANTED to the extent indicated above.</w:t>
      </w:r>
    </w:p>
    <w:p w:rsidR="00341173" w:rsidP="00341173" w14:paraId="05755F68" w14:textId="6003CBB7">
      <w:pPr>
        <w:pStyle w:val="ParaNum"/>
        <w:spacing w:after="240"/>
      </w:pPr>
      <w:r>
        <w:t>IT IS FURTHER ORDERED, that the Counterproposal of Pacific Radio Group, Inc., subsequently accepted as RM-1197</w:t>
      </w:r>
      <w:r w:rsidR="005E0310">
        <w:t>3</w:t>
      </w:r>
      <w:r>
        <w:t>, IS GRANTED to the extent indicated above.</w:t>
      </w:r>
    </w:p>
    <w:p w:rsidR="00341173" w:rsidRPr="009F2562" w:rsidP="00341173" w14:paraId="02D9D541" w14:textId="77777777">
      <w:pPr>
        <w:pStyle w:val="ParaNum"/>
        <w:spacing w:after="240"/>
      </w:pPr>
      <w:r w:rsidRPr="00E90584">
        <w:t>IT IS FURTHER ORDERED</w:t>
      </w:r>
      <w:r>
        <w:t xml:space="preserve">, that the Commission will send a copy of this </w:t>
      </w:r>
      <w:r w:rsidRPr="007258BB">
        <w:rPr>
          <w:i/>
          <w:iCs/>
        </w:rPr>
        <w:t>Report and Order</w:t>
      </w:r>
      <w:r>
        <w:t xml:space="preserve"> in a report to Congress and the Government Accountability Office pursuant to the Congressional Review Act, </w:t>
      </w:r>
      <w:r w:rsidRPr="007258BB">
        <w:rPr>
          <w:i/>
          <w:iCs/>
        </w:rPr>
        <w:t>see</w:t>
      </w:r>
      <w:r>
        <w:t xml:space="preserve"> 5 U.S.C. § 801(a)(1)(A).</w:t>
      </w:r>
    </w:p>
    <w:bookmarkEnd w:id="5"/>
    <w:p w:rsidR="00B96FC1" w14:paraId="7E78771F" w14:textId="77777777">
      <w:pPr>
        <w:widowControl/>
      </w:pPr>
      <w:r>
        <w:br w:type="page"/>
      </w:r>
    </w:p>
    <w:p w:rsidR="0061782D" w:rsidP="0061782D" w14:paraId="37E00AAE" w14:textId="1C5831BA">
      <w:pPr>
        <w:pStyle w:val="ParaNum"/>
        <w:spacing w:after="240"/>
      </w:pPr>
      <w:r>
        <w:t>IT IS FURTHER ORDERED, that this proceeding IS TERMINATED.</w:t>
      </w:r>
    </w:p>
    <w:p w:rsidR="00341173" w:rsidP="0061782D" w14:paraId="0A2D783A" w14:textId="1E4E5082">
      <w:pPr>
        <w:pStyle w:val="ParaNum"/>
      </w:pPr>
      <w:r>
        <w:t>For further information concerning this proceeding, contact Dana Bradford, Media Bureau, (202) 418-2700.</w:t>
      </w:r>
    </w:p>
    <w:p w:rsidR="00341173" w:rsidRPr="00F632D6" w:rsidP="00341173" w14:paraId="0D6A0B29" w14:textId="77777777">
      <w:pPr>
        <w:pStyle w:val="ParaNum"/>
        <w:numPr>
          <w:ilvl w:val="0"/>
          <w:numId w:val="0"/>
        </w:numPr>
        <w:tabs>
          <w:tab w:val="num" w:pos="1440"/>
        </w:tabs>
        <w:ind w:left="720"/>
        <w:rPr>
          <w:szCs w:val="22"/>
        </w:rPr>
      </w:pPr>
    </w:p>
    <w:p w:rsidR="00341173" w:rsidP="00341173" w14:paraId="383ADF5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6"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341173" w:rsidP="00341173" w14:paraId="4595DB7A"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341173" w:rsidP="00341173" w14:paraId="2111A1E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341173" w:rsidP="00341173" w14:paraId="3C7BDDF3"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6"/>
    <w:p w:rsidR="00341173" w:rsidP="00341173" w14:paraId="76FE895E" w14:textId="77777777">
      <w:pPr>
        <w:ind w:left="3600" w:firstLine="720"/>
      </w:pPr>
      <w:r>
        <w:t>Nazifa Sawez</w:t>
      </w:r>
    </w:p>
    <w:p w:rsidR="00341173" w:rsidP="00341173" w14:paraId="1DE8D00A" w14:textId="77777777">
      <w:pPr>
        <w:ind w:left="3600" w:firstLine="720"/>
      </w:pPr>
      <w:r>
        <w:t xml:space="preserve">Assistant Chief, Audio Division </w:t>
      </w:r>
    </w:p>
    <w:p w:rsidR="00341173" w:rsidRPr="009F2562" w:rsidP="00341173" w14:paraId="0781D0E6" w14:textId="77777777">
      <w:pPr>
        <w:ind w:left="3600" w:firstLine="720"/>
      </w:pPr>
      <w:r>
        <w:t>Media Bureau</w:t>
      </w:r>
    </w:p>
    <w:p w:rsidR="00341173" w:rsidRPr="00730AAC" w:rsidP="00341173" w14:paraId="1A37C30D" w14:textId="77777777">
      <w:pPr>
        <w:pStyle w:val="ParaNum"/>
        <w:numPr>
          <w:ilvl w:val="0"/>
          <w:numId w:val="0"/>
        </w:numPr>
      </w:pPr>
    </w:p>
    <w:p w:rsidR="00D011AA" w:rsidP="002F4D6A" w14:paraId="1933164C" w14:textId="59763C2D">
      <w:pPr>
        <w:pStyle w:val="Heading1"/>
        <w:numPr>
          <w:ilvl w:val="0"/>
          <w:numId w:val="0"/>
        </w:numPr>
        <w:ind w:left="720"/>
      </w:pPr>
    </w:p>
    <w:sectPr w:rsidSect="002A7187">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DE05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914B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2594B2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6A3FC4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9AA38B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7187" w14:paraId="0C3DD066" w14:textId="77777777">
      <w:r>
        <w:separator/>
      </w:r>
    </w:p>
  </w:footnote>
  <w:footnote w:type="continuationSeparator" w:id="1">
    <w:p w:rsidR="002A7187" w:rsidP="00C721AC" w14:paraId="0AD1CED3" w14:textId="77777777">
      <w:pPr>
        <w:spacing w:before="120"/>
        <w:rPr>
          <w:sz w:val="20"/>
        </w:rPr>
      </w:pPr>
      <w:r>
        <w:rPr>
          <w:sz w:val="20"/>
        </w:rPr>
        <w:t xml:space="preserve">(Continued from previous page)  </w:t>
      </w:r>
      <w:r>
        <w:rPr>
          <w:sz w:val="20"/>
        </w:rPr>
        <w:separator/>
      </w:r>
    </w:p>
  </w:footnote>
  <w:footnote w:type="continuationNotice" w:id="2">
    <w:p w:rsidR="002A7187" w:rsidP="00C721AC" w14:paraId="22DADAAA" w14:textId="77777777">
      <w:pPr>
        <w:jc w:val="right"/>
        <w:rPr>
          <w:sz w:val="20"/>
        </w:rPr>
      </w:pPr>
      <w:r>
        <w:rPr>
          <w:sz w:val="20"/>
        </w:rPr>
        <w:t>(continued….)</w:t>
      </w:r>
    </w:p>
  </w:footnote>
  <w:footnote w:id="3">
    <w:p w:rsidR="00855A1F" w:rsidP="00855A1F" w14:paraId="722C1A29" w14:textId="1F85D54F">
      <w:pPr>
        <w:pStyle w:val="FootnoteText"/>
      </w:pPr>
      <w:r>
        <w:rPr>
          <w:rStyle w:val="FootnoteReference"/>
        </w:rPr>
        <w:footnoteRef/>
      </w:r>
      <w:r>
        <w:t xml:space="preserve"> </w:t>
      </w:r>
      <w:r>
        <w:rPr>
          <w:i/>
          <w:iCs/>
        </w:rPr>
        <w:t>Puhi</w:t>
      </w:r>
      <w:r>
        <w:t xml:space="preserve">, </w:t>
      </w:r>
      <w:r w:rsidRPr="006F5BF8">
        <w:rPr>
          <w:i/>
          <w:iCs/>
        </w:rPr>
        <w:t>Hawaii</w:t>
      </w:r>
      <w:r>
        <w:t>,</w:t>
      </w:r>
      <w:r>
        <w:rPr>
          <w:i/>
        </w:rPr>
        <w:t xml:space="preserve"> </w:t>
      </w:r>
      <w:r>
        <w:t xml:space="preserve">Notice of Proposed Rulemaking, DA 23-592, </w:t>
      </w:r>
      <w:bookmarkStart w:id="1" w:name="_Hlk159413278"/>
      <w:r w:rsidRPr="00572267">
        <w:t xml:space="preserve">2023 WL 4446527 </w:t>
      </w:r>
      <w:bookmarkEnd w:id="1"/>
      <w:r>
        <w:t xml:space="preserve">(MB July 7, 2023); </w:t>
      </w:r>
      <w:r>
        <w:rPr>
          <w:i/>
          <w:iCs/>
        </w:rPr>
        <w:t>see also Radio Broadcasting Services</w:t>
      </w:r>
      <w:r w:rsidRPr="002A0E14">
        <w:t>;</w:t>
      </w:r>
      <w:r>
        <w:rPr>
          <w:i/>
          <w:iCs/>
        </w:rPr>
        <w:t xml:space="preserve"> </w:t>
      </w:r>
      <w:r>
        <w:rPr>
          <w:i/>
          <w:iCs/>
        </w:rPr>
        <w:t>Puhi</w:t>
      </w:r>
      <w:r>
        <w:rPr>
          <w:i/>
          <w:iCs/>
        </w:rPr>
        <w:t>, Hawaii</w:t>
      </w:r>
      <w:r>
        <w:t>, 88 FR 45377 (published July 17, 2023</w:t>
      </w:r>
      <w:r w:rsidR="00E653FC">
        <w:t>)</w:t>
      </w:r>
      <w:r>
        <w:t xml:space="preserve">; Petition for Rulemaking of SSR Communications, Inc. (filed May 16, 2023).  Petitioner concurrently filed a construction permit application for the new allotment.  </w:t>
      </w:r>
      <w:r w:rsidRPr="00E16C59">
        <w:rPr>
          <w:i/>
          <w:iCs/>
        </w:rPr>
        <w:t>See</w:t>
      </w:r>
      <w:r>
        <w:t xml:space="preserve"> FCC Application File No. 0000214869 (filed May 16, 2023) (Application).  </w:t>
      </w:r>
    </w:p>
  </w:footnote>
  <w:footnote w:id="4">
    <w:p w:rsidR="00855A1F" w:rsidP="00855A1F" w14:paraId="20F49E38" w14:textId="77777777">
      <w:pPr>
        <w:pStyle w:val="FootnoteText"/>
      </w:pPr>
      <w:r>
        <w:rPr>
          <w:rStyle w:val="FootnoteReference"/>
        </w:rPr>
        <w:footnoteRef/>
      </w:r>
      <w:r>
        <w:t xml:space="preserve"> Comments of SSR Communications, Inc. (filed Aug. 14, 2023) (Comments).</w:t>
      </w:r>
    </w:p>
  </w:footnote>
  <w:footnote w:id="5">
    <w:p w:rsidR="00855A1F" w:rsidP="00855A1F" w14:paraId="63667F9E" w14:textId="77777777">
      <w:pPr>
        <w:pStyle w:val="FootnoteText"/>
      </w:pPr>
      <w:r>
        <w:rPr>
          <w:rStyle w:val="FootnoteReference"/>
        </w:rPr>
        <w:footnoteRef/>
      </w:r>
      <w:r>
        <w:t xml:space="preserve"> Counterproposal of Pacific Radio Group, Inc. (filed Aug. 28, 2023) (Counterproposal).  On December 19, 2023, the </w:t>
      </w:r>
      <w:r>
        <w:rPr>
          <w:shd w:val="clear" w:color="auto" w:fill="FFFFFF"/>
        </w:rPr>
        <w:t>Counterproposal</w:t>
      </w:r>
      <w:r w:rsidRPr="00A512F0">
        <w:rPr>
          <w:shd w:val="clear" w:color="auto" w:fill="FFFFFF"/>
        </w:rPr>
        <w:t> </w:t>
      </w:r>
      <w:r>
        <w:rPr>
          <w:shd w:val="clear" w:color="auto" w:fill="FFFFFF"/>
        </w:rPr>
        <w:t xml:space="preserve">was </w:t>
      </w:r>
      <w:r w:rsidRPr="00A512F0">
        <w:rPr>
          <w:shd w:val="clear" w:color="auto" w:fill="FFFFFF"/>
        </w:rPr>
        <w:t>accepted as a new Petition for Rulemaking (RM–1197</w:t>
      </w:r>
      <w:r>
        <w:rPr>
          <w:shd w:val="clear" w:color="auto" w:fill="FFFFFF"/>
        </w:rPr>
        <w:t>3</w:t>
      </w:r>
      <w:r w:rsidRPr="00A512F0">
        <w:rPr>
          <w:shd w:val="clear" w:color="auto" w:fill="FFFFFF"/>
        </w:rPr>
        <w:t>)</w:t>
      </w:r>
      <w:r>
        <w:rPr>
          <w:shd w:val="clear" w:color="auto" w:fill="FFFFFF"/>
        </w:rPr>
        <w:t xml:space="preserve">.  </w:t>
      </w:r>
      <w:r w:rsidRPr="00B41B9C">
        <w:rPr>
          <w:i/>
          <w:iCs/>
          <w:shd w:val="clear" w:color="auto" w:fill="FFFFFF"/>
        </w:rPr>
        <w:t>See</w:t>
      </w:r>
      <w:r>
        <w:rPr>
          <w:shd w:val="clear" w:color="auto" w:fill="FFFFFF"/>
        </w:rPr>
        <w:t xml:space="preserve"> </w:t>
      </w:r>
      <w:r w:rsidRPr="00EB3B2F">
        <w:rPr>
          <w:i/>
          <w:iCs/>
          <w:shd w:val="clear" w:color="auto" w:fill="FFFFFF"/>
        </w:rPr>
        <w:t>Office of Managing Director’s Bureau Reference Information Center Petition for Rulemakings Filed</w:t>
      </w:r>
      <w:r>
        <w:rPr>
          <w:shd w:val="clear" w:color="auto" w:fill="FFFFFF"/>
        </w:rPr>
        <w:t xml:space="preserve">, </w:t>
      </w:r>
      <w:r w:rsidRPr="00EB3B2F">
        <w:rPr>
          <w:shd w:val="clear" w:color="auto" w:fill="FFFFFF"/>
        </w:rPr>
        <w:t>Public Notice</w:t>
      </w:r>
      <w:r w:rsidRPr="00C50342">
        <w:rPr>
          <w:shd w:val="clear" w:color="auto" w:fill="FFFFFF"/>
        </w:rPr>
        <w:t>, Report No. 3</w:t>
      </w:r>
      <w:r>
        <w:rPr>
          <w:shd w:val="clear" w:color="auto" w:fill="FFFFFF"/>
        </w:rPr>
        <w:t xml:space="preserve">207, </w:t>
      </w:r>
      <w:r w:rsidRPr="000B4698">
        <w:rPr>
          <w:shd w:val="clear" w:color="auto" w:fill="FFFFFF"/>
        </w:rPr>
        <w:t>2023 WL 8826668</w:t>
      </w:r>
      <w:r w:rsidRPr="00C50342">
        <w:rPr>
          <w:shd w:val="clear" w:color="auto" w:fill="FFFFFF"/>
        </w:rPr>
        <w:t xml:space="preserve"> (</w:t>
      </w:r>
      <w:r>
        <w:rPr>
          <w:shd w:val="clear" w:color="auto" w:fill="FFFFFF"/>
        </w:rPr>
        <w:t>OMD Dec. 19, 2023</w:t>
      </w:r>
      <w:r w:rsidRPr="00C50342">
        <w:rPr>
          <w:shd w:val="clear" w:color="auto" w:fill="FFFFFF"/>
        </w:rPr>
        <w:t>)</w:t>
      </w:r>
      <w:r>
        <w:rPr>
          <w:shd w:val="clear" w:color="auto" w:fill="FFFFFF"/>
        </w:rPr>
        <w:t xml:space="preserve"> (</w:t>
      </w:r>
      <w:r w:rsidRPr="00066173">
        <w:rPr>
          <w:i/>
          <w:iCs/>
          <w:shd w:val="clear" w:color="auto" w:fill="FFFFFF"/>
        </w:rPr>
        <w:t>December Notice</w:t>
      </w:r>
      <w:r>
        <w:rPr>
          <w:shd w:val="clear" w:color="auto" w:fill="FFFFFF"/>
        </w:rPr>
        <w:t>)</w:t>
      </w:r>
      <w:r w:rsidRPr="00C50342">
        <w:rPr>
          <w:shd w:val="clear" w:color="auto" w:fill="FFFFFF"/>
        </w:rPr>
        <w:t>.</w:t>
      </w:r>
      <w:r>
        <w:t xml:space="preserve">  </w:t>
      </w:r>
      <w:r w:rsidRPr="007E0B6E">
        <w:t xml:space="preserve">  </w:t>
      </w:r>
    </w:p>
  </w:footnote>
  <w:footnote w:id="6">
    <w:p w:rsidR="00855A1F" w:rsidP="00855A1F" w14:paraId="6E3AAFDB" w14:textId="0613693D">
      <w:pPr>
        <w:pStyle w:val="FootnoteText"/>
      </w:pPr>
      <w:r>
        <w:rPr>
          <w:rStyle w:val="FootnoteReference"/>
        </w:rPr>
        <w:footnoteRef/>
      </w:r>
      <w:r>
        <w:t xml:space="preserve"> Consolidated Reply Comments and Opposition to Counterproposal, SSR Communications, Inc. (filed Sept. 12, 2023) (Reply).  SSR submitted the Reply in response to two other counterproposals filed by PRG in substantially identical allotment cases.  </w:t>
      </w:r>
      <w:r w:rsidRPr="00674054">
        <w:rPr>
          <w:i/>
          <w:iCs/>
        </w:rPr>
        <w:t xml:space="preserve">See </w:t>
      </w:r>
      <w:r>
        <w:rPr>
          <w:i/>
          <w:iCs/>
        </w:rPr>
        <w:t>Notice</w:t>
      </w:r>
      <w:r>
        <w:t xml:space="preserve">; </w:t>
      </w:r>
      <w:r>
        <w:rPr>
          <w:i/>
          <w:iCs/>
        </w:rPr>
        <w:t>Lihue</w:t>
      </w:r>
      <w:r>
        <w:t xml:space="preserve">, </w:t>
      </w:r>
      <w:r w:rsidRPr="006F5BF8">
        <w:rPr>
          <w:i/>
          <w:iCs/>
        </w:rPr>
        <w:t>Hawaii</w:t>
      </w:r>
      <w:r>
        <w:t>,</w:t>
      </w:r>
      <w:r>
        <w:rPr>
          <w:i/>
        </w:rPr>
        <w:t xml:space="preserve"> </w:t>
      </w:r>
      <w:r>
        <w:t xml:space="preserve">Notice of Proposed Rulemaking, DA 23-591, </w:t>
      </w:r>
      <w:r w:rsidRPr="009577BC">
        <w:t>2023 WL 4446524</w:t>
      </w:r>
      <w:r>
        <w:t xml:space="preserve"> (MB July 7, 2023); </w:t>
      </w:r>
      <w:r>
        <w:rPr>
          <w:i/>
          <w:iCs/>
        </w:rPr>
        <w:t>Koloa</w:t>
      </w:r>
      <w:r>
        <w:t xml:space="preserve">, </w:t>
      </w:r>
      <w:r w:rsidRPr="007E7831">
        <w:rPr>
          <w:i/>
          <w:iCs/>
        </w:rPr>
        <w:t>Hawaii</w:t>
      </w:r>
      <w:r>
        <w:t>,</w:t>
      </w:r>
      <w:r>
        <w:rPr>
          <w:i/>
        </w:rPr>
        <w:t xml:space="preserve"> </w:t>
      </w:r>
      <w:r>
        <w:t>Notice of Proposed Rulemaking, DA 23-590,</w:t>
      </w:r>
      <w:r w:rsidRPr="009577BC">
        <w:t xml:space="preserve"> 2023 WL 4446520</w:t>
      </w:r>
      <w:r>
        <w:t xml:space="preserve"> (MB July 7, 2023).  </w:t>
      </w:r>
    </w:p>
  </w:footnote>
  <w:footnote w:id="7">
    <w:p w:rsidR="00855A1F" w:rsidP="00855A1F" w14:paraId="5C794E22" w14:textId="77777777">
      <w:pPr>
        <w:pStyle w:val="FootnoteText"/>
      </w:pPr>
      <w:r>
        <w:rPr>
          <w:rStyle w:val="FootnoteReference"/>
        </w:rPr>
        <w:footnoteRef/>
      </w:r>
      <w:r>
        <w:t xml:space="preserve"> In response to the </w:t>
      </w:r>
      <w:r w:rsidRPr="003C1AD9">
        <w:rPr>
          <w:i/>
          <w:iCs/>
        </w:rPr>
        <w:t>December Notice</w:t>
      </w:r>
      <w:r>
        <w:t xml:space="preserve">, SSR filed a “Statement in Opposition to Counterproposals” reaffirming its interest in the Lihue, Koloa, and </w:t>
      </w:r>
      <w:r>
        <w:t>Puhi</w:t>
      </w:r>
      <w:r>
        <w:t xml:space="preserve"> allotments, as originally filed.  </w:t>
      </w:r>
      <w:r w:rsidRPr="003C1AD9">
        <w:rPr>
          <w:i/>
          <w:iCs/>
        </w:rPr>
        <w:t>See</w:t>
      </w:r>
      <w:r>
        <w:t xml:space="preserve"> Statement in Opposition to Counterproposals, SSR Communications, Inc. (filed Jan. 3, 2024) (Opposition Statement); </w:t>
      </w:r>
      <w:r w:rsidRPr="002160A3">
        <w:rPr>
          <w:i/>
          <w:iCs/>
        </w:rPr>
        <w:t>December Notice</w:t>
      </w:r>
      <w:r>
        <w:t>;</w:t>
      </w:r>
      <w:r w:rsidRPr="00674054">
        <w:rPr>
          <w:i/>
          <w:iCs/>
        </w:rPr>
        <w:t xml:space="preserve"> </w:t>
      </w:r>
      <w:r w:rsidRPr="00EB3B2F">
        <w:rPr>
          <w:i/>
          <w:iCs/>
          <w:shd w:val="clear" w:color="auto" w:fill="FFFFFF"/>
        </w:rPr>
        <w:t>Office of Managing Director’s Bureau Reference Information Center Petition for Rulemakings Filed</w:t>
      </w:r>
      <w:r>
        <w:rPr>
          <w:shd w:val="clear" w:color="auto" w:fill="FFFFFF"/>
        </w:rPr>
        <w:t xml:space="preserve">, </w:t>
      </w:r>
      <w:r w:rsidRPr="00EB3B2F">
        <w:rPr>
          <w:shd w:val="clear" w:color="auto" w:fill="FFFFFF"/>
        </w:rPr>
        <w:t>Public Notice</w:t>
      </w:r>
      <w:r w:rsidRPr="00C50342">
        <w:rPr>
          <w:shd w:val="clear" w:color="auto" w:fill="FFFFFF"/>
        </w:rPr>
        <w:t>, Report No. 3</w:t>
      </w:r>
      <w:r>
        <w:rPr>
          <w:shd w:val="clear" w:color="auto" w:fill="FFFFFF"/>
        </w:rPr>
        <w:t xml:space="preserve">205, </w:t>
      </w:r>
      <w:r w:rsidRPr="000B4698">
        <w:rPr>
          <w:shd w:val="clear" w:color="auto" w:fill="FFFFFF"/>
        </w:rPr>
        <w:t>2023 WL 8803780</w:t>
      </w:r>
      <w:r>
        <w:rPr>
          <w:shd w:val="clear" w:color="auto" w:fill="FFFFFF"/>
        </w:rPr>
        <w:t xml:space="preserve"> </w:t>
      </w:r>
      <w:r w:rsidRPr="00C50342">
        <w:rPr>
          <w:shd w:val="clear" w:color="auto" w:fill="FFFFFF"/>
        </w:rPr>
        <w:t>(</w:t>
      </w:r>
      <w:r>
        <w:rPr>
          <w:shd w:val="clear" w:color="auto" w:fill="FFFFFF"/>
        </w:rPr>
        <w:t>OMD Dec. 15, 2023</w:t>
      </w:r>
      <w:r w:rsidRPr="00C50342">
        <w:rPr>
          <w:shd w:val="clear" w:color="auto" w:fill="FFFFFF"/>
        </w:rPr>
        <w:t>)</w:t>
      </w:r>
      <w:r>
        <w:rPr>
          <w:shd w:val="clear" w:color="auto" w:fill="FFFFFF"/>
        </w:rPr>
        <w:t xml:space="preserve">; </w:t>
      </w:r>
      <w:r w:rsidRPr="00EB3B2F">
        <w:rPr>
          <w:i/>
          <w:iCs/>
          <w:shd w:val="clear" w:color="auto" w:fill="FFFFFF"/>
        </w:rPr>
        <w:t>Office of Managing Director’s Bureau Reference Information Center Petition for Rulemakings Filed</w:t>
      </w:r>
      <w:r>
        <w:rPr>
          <w:shd w:val="clear" w:color="auto" w:fill="FFFFFF"/>
        </w:rPr>
        <w:t xml:space="preserve">, </w:t>
      </w:r>
      <w:r w:rsidRPr="00EB3B2F">
        <w:rPr>
          <w:shd w:val="clear" w:color="auto" w:fill="FFFFFF"/>
        </w:rPr>
        <w:t>Public Notice</w:t>
      </w:r>
      <w:r w:rsidRPr="00C50342">
        <w:rPr>
          <w:shd w:val="clear" w:color="auto" w:fill="FFFFFF"/>
        </w:rPr>
        <w:t>, Report No. 3</w:t>
      </w:r>
      <w:r>
        <w:rPr>
          <w:shd w:val="clear" w:color="auto" w:fill="FFFFFF"/>
        </w:rPr>
        <w:t xml:space="preserve">206, </w:t>
      </w:r>
      <w:r w:rsidRPr="000B4698">
        <w:rPr>
          <w:shd w:val="clear" w:color="auto" w:fill="FFFFFF"/>
        </w:rPr>
        <w:t>2023 WL 8826666</w:t>
      </w:r>
      <w:r w:rsidRPr="00C50342">
        <w:rPr>
          <w:shd w:val="clear" w:color="auto" w:fill="FFFFFF"/>
        </w:rPr>
        <w:t xml:space="preserve"> (</w:t>
      </w:r>
      <w:r>
        <w:rPr>
          <w:shd w:val="clear" w:color="auto" w:fill="FFFFFF"/>
        </w:rPr>
        <w:t>OMD Dec. 19, 2023</w:t>
      </w:r>
      <w:r w:rsidRPr="00C50342">
        <w:rPr>
          <w:shd w:val="clear" w:color="auto" w:fill="FFFFFF"/>
        </w:rPr>
        <w:t>).</w:t>
      </w:r>
      <w:r>
        <w:t xml:space="preserve">  PRG then filed a “Reply to Statement in Opposition to Counterproposals” on January 16, 2024.  </w:t>
      </w:r>
      <w:r w:rsidRPr="00204CB2">
        <w:rPr>
          <w:i/>
          <w:iCs/>
        </w:rPr>
        <w:t>See</w:t>
      </w:r>
      <w:r>
        <w:t xml:space="preserve"> Reply to Statement in Opposition to Counterproposals, Pacific Radio Group, Inc. (filed Jan. 16, 2024) (Reply to Opposition Statement). </w:t>
      </w:r>
    </w:p>
  </w:footnote>
  <w:footnote w:id="8">
    <w:p w:rsidR="006C2938" w:rsidP="006C2938" w14:paraId="7ACEEF20" w14:textId="77777777">
      <w:pPr>
        <w:pStyle w:val="FootnoteText"/>
      </w:pPr>
      <w:r>
        <w:rPr>
          <w:rStyle w:val="FootnoteReference"/>
        </w:rPr>
        <w:footnoteRef/>
      </w:r>
      <w:r>
        <w:t xml:space="preserve"> </w:t>
      </w:r>
      <w:r w:rsidRPr="002B0742">
        <w:rPr>
          <w:i/>
          <w:iCs/>
        </w:rPr>
        <w:t>See Notice</w:t>
      </w:r>
      <w:r>
        <w:t xml:space="preserve">; </w:t>
      </w:r>
      <w:r w:rsidRPr="00890899">
        <w:rPr>
          <w:i/>
        </w:rPr>
        <w:t xml:space="preserve">Revision of FM Assignment Policies and Procedures, </w:t>
      </w:r>
      <w:r w:rsidRPr="00890899">
        <w:t>Second Report and Order, 90 FCC 2d 88 (1982)</w:t>
      </w:r>
      <w:r>
        <w:t xml:space="preserve"> (</w:t>
      </w:r>
      <w:r w:rsidRPr="00B77845">
        <w:rPr>
          <w:i/>
          <w:iCs/>
        </w:rPr>
        <w:t>FM Allotment Priorities</w:t>
      </w:r>
      <w:r>
        <w:t>)</w:t>
      </w:r>
      <w:r w:rsidRPr="00890899">
        <w:t>.  The FM allotment priorities are:</w:t>
      </w:r>
      <w:r>
        <w:t xml:space="preserve"> </w:t>
      </w:r>
      <w:r w:rsidRPr="00890899">
        <w:t xml:space="preserve"> (1) First fulltime aural service, (2) Second fulltime aural service, (3) First local service and (4) Other public interest matters.  Co-equal weight is given to Priorities (2) and (3).</w:t>
      </w:r>
      <w:r>
        <w:t xml:space="preserve">  </w:t>
      </w:r>
    </w:p>
  </w:footnote>
  <w:footnote w:id="9">
    <w:p w:rsidR="006C2938" w:rsidP="006C2938" w14:paraId="6FB89D1A" w14:textId="77777777">
      <w:pPr>
        <w:pStyle w:val="FootnoteText"/>
      </w:pPr>
      <w:r>
        <w:rPr>
          <w:rStyle w:val="FootnoteReference"/>
        </w:rPr>
        <w:footnoteRef/>
      </w:r>
      <w:r>
        <w:t xml:space="preserve"> </w:t>
      </w:r>
      <w:r w:rsidRPr="0038593B">
        <w:rPr>
          <w:i/>
          <w:iCs/>
        </w:rPr>
        <w:t>See</w:t>
      </w:r>
      <w:r>
        <w:t xml:space="preserve"> </w:t>
      </w:r>
      <w:r w:rsidRPr="00575E53">
        <w:t>https://data.census.gov/all?q=Puhi,%20Hawaii</w:t>
      </w:r>
      <w:r>
        <w:t>.</w:t>
      </w:r>
    </w:p>
  </w:footnote>
  <w:footnote w:id="10">
    <w:p w:rsidR="00341173" w:rsidP="00341173" w14:paraId="1D8230D4" w14:textId="77777777">
      <w:pPr>
        <w:pStyle w:val="FootnoteText"/>
      </w:pPr>
      <w:r>
        <w:rPr>
          <w:rStyle w:val="FootnoteReference"/>
        </w:rPr>
        <w:footnoteRef/>
      </w:r>
      <w:r>
        <w:t xml:space="preserve"> </w:t>
      </w:r>
      <w:r w:rsidRPr="0050771E">
        <w:rPr>
          <w:i/>
          <w:iCs/>
        </w:rPr>
        <w:t>See</w:t>
      </w:r>
      <w:r>
        <w:t xml:space="preserve"> </w:t>
      </w:r>
      <w:r w:rsidRPr="00157355">
        <w:rPr>
          <w:i/>
          <w:iCs/>
        </w:rPr>
        <w:t>Notice</w:t>
      </w:r>
      <w:r>
        <w:t xml:space="preserve">. </w:t>
      </w:r>
    </w:p>
  </w:footnote>
  <w:footnote w:id="11">
    <w:p w:rsidR="00514921" w:rsidP="00514921" w14:paraId="0B311F45" w14:textId="77777777">
      <w:pPr>
        <w:pStyle w:val="FootnoteText"/>
      </w:pPr>
      <w:r>
        <w:rPr>
          <w:rStyle w:val="FootnoteReference"/>
        </w:rPr>
        <w:footnoteRef/>
      </w:r>
      <w:r>
        <w:t xml:space="preserve"> </w:t>
      </w:r>
      <w:r w:rsidRPr="0050771E">
        <w:rPr>
          <w:i/>
          <w:iCs/>
        </w:rPr>
        <w:t>See</w:t>
      </w:r>
      <w:r>
        <w:t xml:space="preserve"> Comments.</w:t>
      </w:r>
    </w:p>
  </w:footnote>
  <w:footnote w:id="12">
    <w:p w:rsidR="00514921" w:rsidP="00514921" w14:paraId="76895E40" w14:textId="77777777">
      <w:pPr>
        <w:pStyle w:val="FootnoteText"/>
      </w:pPr>
      <w:r w:rsidRPr="007E0B6E">
        <w:rPr>
          <w:rStyle w:val="FootnoteReference"/>
        </w:rPr>
        <w:footnoteRef/>
      </w:r>
      <w:r w:rsidRPr="007E0B6E">
        <w:t xml:space="preserve"> </w:t>
      </w:r>
      <w:r w:rsidRPr="007E0B6E">
        <w:rPr>
          <w:i/>
          <w:iCs/>
        </w:rPr>
        <w:t>See</w:t>
      </w:r>
      <w:r w:rsidRPr="007E0B6E">
        <w:t xml:space="preserve"> Counterproposal.</w:t>
      </w:r>
      <w:r>
        <w:t xml:space="preserve">  </w:t>
      </w:r>
    </w:p>
  </w:footnote>
  <w:footnote w:id="13">
    <w:p w:rsidR="00514921" w:rsidP="00514921" w14:paraId="0EF1A255" w14:textId="77777777">
      <w:pPr>
        <w:pStyle w:val="FootnoteText"/>
      </w:pPr>
      <w:r>
        <w:rPr>
          <w:rStyle w:val="FootnoteReference"/>
        </w:rPr>
        <w:footnoteRef/>
      </w:r>
      <w:r>
        <w:t xml:space="preserve"> </w:t>
      </w:r>
      <w:r w:rsidRPr="0038593B">
        <w:rPr>
          <w:i/>
          <w:iCs/>
        </w:rPr>
        <w:t>See</w:t>
      </w:r>
      <w:r w:rsidRPr="009D05AC">
        <w:t xml:space="preserve"> </w:t>
      </w:r>
      <w:r w:rsidRPr="00603225">
        <w:t>https://data.census.gov/all?q=Kekaha%20CDP,%20Hawaii</w:t>
      </w:r>
      <w:r>
        <w:t>.</w:t>
      </w:r>
    </w:p>
  </w:footnote>
  <w:footnote w:id="14">
    <w:p w:rsidR="00514921" w:rsidRPr="00401D38" w:rsidP="00514921" w14:paraId="66ED4BB4" w14:textId="77777777">
      <w:pPr>
        <w:pStyle w:val="FootnoteText"/>
      </w:pPr>
      <w:r>
        <w:rPr>
          <w:rStyle w:val="FootnoteReference"/>
        </w:rPr>
        <w:footnoteRef/>
      </w:r>
      <w:r>
        <w:t xml:space="preserve"> Counterproposal at 2.</w:t>
      </w:r>
      <w:r w:rsidRPr="007E0B6E">
        <w:t xml:space="preserve">  </w:t>
      </w:r>
    </w:p>
  </w:footnote>
  <w:footnote w:id="15">
    <w:p w:rsidR="00514921" w:rsidP="00514921" w14:paraId="387E1467" w14:textId="77777777">
      <w:pPr>
        <w:pStyle w:val="FootnoteText"/>
      </w:pPr>
      <w:r>
        <w:rPr>
          <w:rStyle w:val="FootnoteReference"/>
        </w:rPr>
        <w:footnoteRef/>
      </w:r>
      <w:r>
        <w:t xml:space="preserve"> </w:t>
      </w:r>
      <w:r w:rsidRPr="00CB4EAB">
        <w:rPr>
          <w:i/>
          <w:iCs/>
        </w:rPr>
        <w:t>Id</w:t>
      </w:r>
      <w:r>
        <w:t>.</w:t>
      </w:r>
    </w:p>
  </w:footnote>
  <w:footnote w:id="16">
    <w:p w:rsidR="00514921" w:rsidRPr="00AF33DB" w:rsidP="00514921" w14:paraId="57E18F5B" w14:textId="77777777">
      <w:pPr>
        <w:pStyle w:val="FootnoteText"/>
      </w:pPr>
      <w:r>
        <w:rPr>
          <w:rStyle w:val="FootnoteReference"/>
        </w:rPr>
        <w:footnoteRef/>
      </w:r>
      <w:r>
        <w:t xml:space="preserve"> </w:t>
      </w:r>
      <w:r>
        <w:rPr>
          <w:i/>
          <w:iCs/>
        </w:rPr>
        <w:t xml:space="preserve">See </w:t>
      </w:r>
      <w:r>
        <w:t xml:space="preserve">FCC Application File No. </w:t>
      </w:r>
      <w:r w:rsidRPr="00AF33DB">
        <w:t>0000220006</w:t>
      </w:r>
      <w:r>
        <w:t>.</w:t>
      </w:r>
    </w:p>
  </w:footnote>
  <w:footnote w:id="17">
    <w:p w:rsidR="00DD4BAE" w:rsidP="00DD4BAE" w14:paraId="3FD574C5" w14:textId="20755BEE">
      <w:pPr>
        <w:pStyle w:val="FootnoteText"/>
      </w:pPr>
      <w:r>
        <w:rPr>
          <w:rStyle w:val="FootnoteReference"/>
        </w:rPr>
        <w:footnoteRef/>
      </w:r>
      <w:r>
        <w:t xml:space="preserve"> </w:t>
      </w:r>
      <w:r w:rsidRPr="00271EA9">
        <w:rPr>
          <w:i/>
          <w:iCs/>
        </w:rPr>
        <w:t>See</w:t>
      </w:r>
      <w:r>
        <w:t xml:space="preserve"> Reply (arguing that PRG already owns four full-service FM facilities on the island of Kaua</w:t>
      </w:r>
      <w:r w:rsidR="00BF7598">
        <w:t>i</w:t>
      </w:r>
      <w:r>
        <w:t xml:space="preserve"> and may not own any more FM stations without violating section 73.3555(a)(1)(iii) of the Commission’s rules); 47 CFR § 73.3555(a)(1)(iii) (limiting ownership in a radio market with between 15 and 29 (inclusive) full-power, commercial and noncommercial radio stations, to not more than 6 commercial radio stations in total and not more than 4 commercial stations in the same service (AM or FM)).  </w:t>
      </w:r>
    </w:p>
  </w:footnote>
  <w:footnote w:id="18">
    <w:p w:rsidR="00341173" w:rsidP="00341173" w14:paraId="535BF7F1" w14:textId="77777777">
      <w:pPr>
        <w:pStyle w:val="FootnoteText"/>
      </w:pPr>
      <w:r>
        <w:rPr>
          <w:rStyle w:val="FootnoteReference"/>
        </w:rPr>
        <w:footnoteRef/>
      </w:r>
      <w:r>
        <w:t xml:space="preserve"> </w:t>
      </w:r>
      <w:r w:rsidRPr="0078609C">
        <w:rPr>
          <w:i/>
          <w:iCs/>
        </w:rPr>
        <w:t xml:space="preserve">See </w:t>
      </w:r>
      <w:r>
        <w:t>Opposition Statement.</w:t>
      </w:r>
    </w:p>
  </w:footnote>
  <w:footnote w:id="19">
    <w:p w:rsidR="00715E41" w:rsidP="00715E41" w14:paraId="08F07835" w14:textId="77777777">
      <w:pPr>
        <w:pStyle w:val="FootnoteText"/>
      </w:pPr>
      <w:r>
        <w:rPr>
          <w:rStyle w:val="FootnoteReference"/>
        </w:rPr>
        <w:footnoteRef/>
      </w:r>
      <w:r>
        <w:t xml:space="preserve"> Reply to Opposition Statement at 2-3.</w:t>
      </w:r>
    </w:p>
  </w:footnote>
  <w:footnote w:id="20">
    <w:p w:rsidR="00715E41" w:rsidP="00715E41" w14:paraId="0C402CB3" w14:textId="77777777">
      <w:pPr>
        <w:pStyle w:val="FootnoteText"/>
      </w:pPr>
      <w:r>
        <w:rPr>
          <w:rStyle w:val="FootnoteReference"/>
        </w:rPr>
        <w:footnoteRef/>
      </w:r>
      <w:r>
        <w:t xml:space="preserve"> </w:t>
      </w:r>
      <w:r w:rsidRPr="00CF4920">
        <w:rPr>
          <w:i/>
          <w:iCs/>
        </w:rPr>
        <w:t>Id</w:t>
      </w:r>
      <w:r>
        <w:t>. at 2.</w:t>
      </w:r>
    </w:p>
  </w:footnote>
  <w:footnote w:id="21">
    <w:p w:rsidR="00341173" w:rsidP="00341173" w14:paraId="217833B8" w14:textId="77777777">
      <w:pPr>
        <w:pStyle w:val="FootnoteText"/>
      </w:pPr>
      <w:r>
        <w:rPr>
          <w:rStyle w:val="FootnoteReference"/>
        </w:rPr>
        <w:footnoteRef/>
      </w:r>
      <w:r>
        <w:t xml:space="preserve"> </w:t>
      </w:r>
      <w:r w:rsidRPr="005C6A53">
        <w:rPr>
          <w:i/>
          <w:iCs/>
        </w:rPr>
        <w:t>Id</w:t>
      </w:r>
      <w:r>
        <w:t>. at 2-3.</w:t>
      </w:r>
    </w:p>
  </w:footnote>
  <w:footnote w:id="22">
    <w:p w:rsidR="00E62586" w:rsidP="00E62586" w14:paraId="15E1F9C7" w14:textId="6A59CFF2">
      <w:pPr>
        <w:pStyle w:val="FootnoteText"/>
      </w:pPr>
      <w:r>
        <w:rPr>
          <w:rStyle w:val="FootnoteReference"/>
        </w:rPr>
        <w:footnoteRef/>
      </w:r>
      <w:r>
        <w:t xml:space="preserve"> </w:t>
      </w:r>
      <w:r w:rsidRPr="006170FB">
        <w:rPr>
          <w:i/>
          <w:iCs/>
        </w:rPr>
        <w:t>See supra</w:t>
      </w:r>
      <w:r>
        <w:t xml:space="preserve"> note </w:t>
      </w:r>
      <w:r w:rsidR="00AA6807">
        <w:t>6</w:t>
      </w:r>
      <w:r>
        <w:t>.</w:t>
      </w:r>
    </w:p>
  </w:footnote>
  <w:footnote w:id="23">
    <w:p w:rsidR="00E62586" w:rsidP="00E62586" w14:paraId="1937F407" w14:textId="77777777">
      <w:pPr>
        <w:widowControl/>
        <w:autoSpaceDE w:val="0"/>
        <w:autoSpaceDN w:val="0"/>
        <w:adjustRightInd w:val="0"/>
        <w:rPr>
          <w:rFonts w:ascii="TimesNewRoman" w:hAnsi="TimesNewRoman" w:cs="TimesNewRoman"/>
          <w:snapToGrid/>
          <w:color w:val="010101"/>
          <w:kern w:val="0"/>
          <w:sz w:val="20"/>
        </w:rPr>
      </w:pPr>
      <w:r>
        <w:rPr>
          <w:rStyle w:val="FootnoteReference"/>
        </w:rPr>
        <w:footnoteRef/>
      </w:r>
      <w:r>
        <w:t xml:space="preserve"> </w:t>
      </w:r>
      <w:r w:rsidRPr="00CB1265">
        <w:rPr>
          <w:i/>
          <w:iCs/>
          <w:sz w:val="20"/>
        </w:rPr>
        <w:t>See</w:t>
      </w:r>
      <w:r>
        <w:rPr>
          <w:sz w:val="20"/>
        </w:rPr>
        <w:t>,</w:t>
      </w:r>
      <w:r w:rsidRPr="00CB1265">
        <w:rPr>
          <w:i/>
          <w:iCs/>
          <w:sz w:val="20"/>
        </w:rPr>
        <w:t xml:space="preserve"> </w:t>
      </w:r>
      <w:r w:rsidRPr="00CB1265">
        <w:rPr>
          <w:rFonts w:ascii="TimesNewRoman,Italic" w:hAnsi="TimesNewRoman,Italic" w:cs="TimesNewRoman,Italic"/>
          <w:i/>
          <w:iCs/>
          <w:snapToGrid/>
          <w:color w:val="010101"/>
          <w:kern w:val="0"/>
          <w:sz w:val="20"/>
        </w:rPr>
        <w:t>e</w:t>
      </w:r>
      <w:r>
        <w:rPr>
          <w:rFonts w:ascii="TimesNewRoman,Italic" w:hAnsi="TimesNewRoman,Italic" w:cs="TimesNewRoman,Italic"/>
          <w:i/>
          <w:iCs/>
          <w:snapToGrid/>
          <w:color w:val="010101"/>
          <w:kern w:val="0"/>
          <w:sz w:val="20"/>
        </w:rPr>
        <w:t>.g</w:t>
      </w:r>
      <w:r w:rsidRPr="00FB6E6A">
        <w:rPr>
          <w:rFonts w:ascii="TimesNewRoman,Italic" w:hAnsi="TimesNewRoman,Italic" w:cs="TimesNewRoman,Italic"/>
          <w:snapToGrid/>
          <w:color w:val="010101"/>
          <w:kern w:val="0"/>
          <w:sz w:val="20"/>
        </w:rPr>
        <w:t>.,</w:t>
      </w:r>
      <w:r>
        <w:rPr>
          <w:rFonts w:ascii="TimesNewRoman,Italic" w:hAnsi="TimesNewRoman,Italic" w:cs="TimesNewRoman,Italic"/>
          <w:i/>
          <w:iCs/>
          <w:snapToGrid/>
          <w:color w:val="010101"/>
          <w:kern w:val="0"/>
          <w:sz w:val="20"/>
        </w:rPr>
        <w:t xml:space="preserve"> Pinewood, South Carolina, </w:t>
      </w:r>
      <w:r>
        <w:rPr>
          <w:rFonts w:ascii="TimesNewRoman" w:hAnsi="TimesNewRoman" w:cs="TimesNewRoman"/>
          <w:snapToGrid/>
          <w:color w:val="010101"/>
          <w:kern w:val="0"/>
          <w:sz w:val="20"/>
        </w:rPr>
        <w:t xml:space="preserve">Memorandum Opinion and Order, 5 FCC </w:t>
      </w:r>
      <w:r>
        <w:rPr>
          <w:rFonts w:ascii="TimesNewRoman" w:hAnsi="TimesNewRoman" w:cs="TimesNewRoman"/>
          <w:snapToGrid/>
          <w:color w:val="010101"/>
          <w:kern w:val="0"/>
          <w:sz w:val="20"/>
        </w:rPr>
        <w:t>Rcd</w:t>
      </w:r>
      <w:r>
        <w:rPr>
          <w:rFonts w:ascii="TimesNewRoman" w:hAnsi="TimesNewRoman" w:cs="TimesNewRoman"/>
          <w:snapToGrid/>
          <w:color w:val="010101"/>
          <w:kern w:val="0"/>
          <w:sz w:val="20"/>
        </w:rPr>
        <w:t xml:space="preserve"> 7609 (1990) (explaining that</w:t>
      </w:r>
    </w:p>
    <w:p w:rsidR="00E62586" w:rsidP="00E62586" w14:paraId="129974E1" w14:textId="77777777">
      <w:pPr>
        <w:widowControl/>
        <w:autoSpaceDE w:val="0"/>
        <w:autoSpaceDN w:val="0"/>
        <w:adjustRightInd w:val="0"/>
        <w:rPr>
          <w:rFonts w:ascii="TimesNewRoman" w:hAnsi="TimesNewRoman" w:cs="TimesNewRoman"/>
          <w:snapToGrid/>
          <w:color w:val="010101"/>
          <w:kern w:val="0"/>
          <w:sz w:val="20"/>
        </w:rPr>
      </w:pPr>
      <w:r>
        <w:rPr>
          <w:rFonts w:ascii="TimesNewRoman" w:hAnsi="TimesNewRoman" w:cs="TimesNewRoman"/>
          <w:snapToGrid/>
          <w:color w:val="010101"/>
          <w:kern w:val="0"/>
          <w:sz w:val="20"/>
        </w:rPr>
        <w:t>the Commission may consider alternate channels suggested by the parties or by the Commission staff to resolve</w:t>
      </w:r>
    </w:p>
    <w:p w:rsidR="00E62586" w:rsidP="00E62586" w14:paraId="2425A864" w14:textId="77777777">
      <w:pPr>
        <w:widowControl/>
        <w:autoSpaceDE w:val="0"/>
        <w:autoSpaceDN w:val="0"/>
        <w:adjustRightInd w:val="0"/>
        <w:rPr>
          <w:rFonts w:ascii="TimesNewRoman" w:hAnsi="TimesNewRoman" w:cs="TimesNewRoman"/>
          <w:snapToGrid/>
          <w:color w:val="010101"/>
          <w:kern w:val="0"/>
          <w:sz w:val="20"/>
        </w:rPr>
      </w:pPr>
      <w:r>
        <w:rPr>
          <w:rFonts w:ascii="TimesNewRoman" w:hAnsi="TimesNewRoman" w:cs="TimesNewRoman"/>
          <w:snapToGrid/>
          <w:color w:val="010101"/>
          <w:kern w:val="0"/>
          <w:sz w:val="20"/>
        </w:rPr>
        <w:t xml:space="preserve">conflicts between mutually exclusive proposals).  Additionally, the </w:t>
      </w:r>
      <w:r>
        <w:rPr>
          <w:rFonts w:ascii="TimesNewRoman,Italic" w:hAnsi="TimesNewRoman,Italic" w:cs="TimesNewRoman,Italic"/>
          <w:i/>
          <w:iCs/>
          <w:snapToGrid/>
          <w:color w:val="010101"/>
          <w:kern w:val="0"/>
          <w:sz w:val="20"/>
        </w:rPr>
        <w:t xml:space="preserve">Notice </w:t>
      </w:r>
      <w:r>
        <w:rPr>
          <w:rFonts w:ascii="TimesNewRoman" w:hAnsi="TimesNewRoman" w:cs="TimesNewRoman"/>
          <w:snapToGrid/>
          <w:color w:val="010101"/>
          <w:kern w:val="0"/>
          <w:sz w:val="20"/>
        </w:rPr>
        <w:t>in this proceeding alerts interested parties</w:t>
      </w:r>
    </w:p>
    <w:p w:rsidR="00E62586" w:rsidP="00E62586" w14:paraId="53B9D733" w14:textId="77777777">
      <w:pPr>
        <w:widowControl/>
        <w:autoSpaceDE w:val="0"/>
        <w:autoSpaceDN w:val="0"/>
        <w:adjustRightInd w:val="0"/>
        <w:spacing w:after="120"/>
      </w:pPr>
      <w:r>
        <w:rPr>
          <w:rFonts w:ascii="TimesNewRoman" w:hAnsi="TimesNewRoman" w:cs="TimesNewRoman"/>
          <w:snapToGrid/>
          <w:color w:val="010101"/>
          <w:kern w:val="0"/>
          <w:sz w:val="20"/>
        </w:rPr>
        <w:t xml:space="preserve">that the filing of a counterproposal may lead the Commission to allot a different channel than was requested in the Petition.  </w:t>
      </w:r>
      <w:r>
        <w:rPr>
          <w:rFonts w:ascii="TimesNewRoman,Italic" w:hAnsi="TimesNewRoman,Italic" w:cs="TimesNewRoman,Italic"/>
          <w:i/>
          <w:iCs/>
          <w:snapToGrid/>
          <w:color w:val="010101"/>
          <w:kern w:val="0"/>
          <w:sz w:val="20"/>
        </w:rPr>
        <w:t>See Notice</w:t>
      </w:r>
      <w:r>
        <w:rPr>
          <w:rFonts w:ascii="TimesNewRoman,Italic" w:hAnsi="TimesNewRoman,Italic" w:cs="TimesNewRoman,Italic"/>
          <w:snapToGrid/>
          <w:color w:val="010101"/>
          <w:kern w:val="0"/>
          <w:sz w:val="20"/>
        </w:rPr>
        <w:t xml:space="preserve"> at para. 5.</w:t>
      </w:r>
    </w:p>
  </w:footnote>
  <w:footnote w:id="24">
    <w:p w:rsidR="00E62586" w:rsidP="00E62586" w14:paraId="1B819553" w14:textId="77777777">
      <w:pPr>
        <w:widowControl/>
        <w:autoSpaceDE w:val="0"/>
        <w:autoSpaceDN w:val="0"/>
        <w:adjustRightInd w:val="0"/>
        <w:spacing w:after="120"/>
      </w:pPr>
      <w:r>
        <w:rPr>
          <w:rStyle w:val="FootnoteReference"/>
        </w:rPr>
        <w:footnoteRef/>
      </w:r>
      <w:r>
        <w:t xml:space="preserve"> </w:t>
      </w:r>
      <w:r w:rsidRPr="00EF1246">
        <w:rPr>
          <w:sz w:val="20"/>
        </w:rPr>
        <w:t xml:space="preserve">A staff engineering analysis determines that </w:t>
      </w:r>
      <w:r w:rsidRPr="00AE2AF4">
        <w:rPr>
          <w:sz w:val="20"/>
        </w:rPr>
        <w:t xml:space="preserve">Channel </w:t>
      </w:r>
      <w:r>
        <w:rPr>
          <w:sz w:val="20"/>
        </w:rPr>
        <w:t>280A</w:t>
      </w:r>
      <w:r w:rsidRPr="00AE2AF4">
        <w:rPr>
          <w:sz w:val="20"/>
        </w:rPr>
        <w:t xml:space="preserve"> </w:t>
      </w:r>
      <w:r w:rsidRPr="00792E28">
        <w:rPr>
          <w:sz w:val="20"/>
        </w:rPr>
        <w:t xml:space="preserve">at </w:t>
      </w:r>
      <w:r>
        <w:rPr>
          <w:sz w:val="20"/>
        </w:rPr>
        <w:t>Puhi</w:t>
      </w:r>
      <w:r w:rsidRPr="00792E28">
        <w:rPr>
          <w:sz w:val="20"/>
        </w:rPr>
        <w:t xml:space="preserve"> can be allotted consistent with the minimum distance separation requirements of the Commission’s rules with a site restriction </w:t>
      </w:r>
      <w:r>
        <w:rPr>
          <w:sz w:val="20"/>
        </w:rPr>
        <w:t>of 10.8</w:t>
      </w:r>
      <w:r w:rsidRPr="00792E28">
        <w:rPr>
          <w:sz w:val="20"/>
        </w:rPr>
        <w:t xml:space="preserve"> kilometers </w:t>
      </w:r>
      <w:r>
        <w:rPr>
          <w:sz w:val="20"/>
        </w:rPr>
        <w:t xml:space="preserve">(6.7 miles) west </w:t>
      </w:r>
      <w:r w:rsidRPr="00792E28">
        <w:rPr>
          <w:sz w:val="20"/>
        </w:rPr>
        <w:t xml:space="preserve">of the community.  The reference coordinates </w:t>
      </w:r>
      <w:r>
        <w:rPr>
          <w:rFonts w:ascii="TimesNewRoman" w:hAnsi="TimesNewRoman" w:cs="TimesNewRoman"/>
          <w:snapToGrid/>
          <w:color w:val="010101"/>
          <w:kern w:val="0"/>
          <w:sz w:val="20"/>
        </w:rPr>
        <w:t xml:space="preserve">are </w:t>
      </w:r>
      <w:r w:rsidRPr="00482FC2">
        <w:rPr>
          <w:rFonts w:ascii="TimesNewRoman" w:hAnsi="TimesNewRoman" w:cs="TimesNewRoman"/>
          <w:snapToGrid/>
          <w:color w:val="010101"/>
          <w:kern w:val="0"/>
          <w:sz w:val="20"/>
        </w:rPr>
        <w:t>2</w:t>
      </w:r>
      <w:r>
        <w:rPr>
          <w:rFonts w:ascii="TimesNewRoman" w:hAnsi="TimesNewRoman" w:cs="TimesNewRoman"/>
          <w:snapToGrid/>
          <w:color w:val="010101"/>
          <w:kern w:val="0"/>
          <w:sz w:val="20"/>
        </w:rPr>
        <w:t>1</w:t>
      </w:r>
      <w:r w:rsidRPr="00482FC2">
        <w:rPr>
          <w:rFonts w:ascii="TimesNewRoman" w:hAnsi="TimesNewRoman" w:cs="TimesNewRoman"/>
          <w:snapToGrid/>
          <w:color w:val="010101"/>
          <w:kern w:val="0"/>
          <w:sz w:val="20"/>
        </w:rPr>
        <w:t>-</w:t>
      </w:r>
      <w:r>
        <w:rPr>
          <w:rFonts w:ascii="TimesNewRoman" w:hAnsi="TimesNewRoman" w:cs="TimesNewRoman"/>
          <w:snapToGrid/>
          <w:color w:val="010101"/>
          <w:kern w:val="0"/>
          <w:sz w:val="20"/>
        </w:rPr>
        <w:t>58</w:t>
      </w:r>
      <w:r w:rsidRPr="00482FC2">
        <w:rPr>
          <w:rFonts w:ascii="TimesNewRoman" w:hAnsi="TimesNewRoman" w:cs="TimesNewRoman"/>
          <w:snapToGrid/>
          <w:color w:val="010101"/>
          <w:kern w:val="0"/>
          <w:sz w:val="20"/>
        </w:rPr>
        <w:t>-</w:t>
      </w:r>
      <w:r>
        <w:rPr>
          <w:rFonts w:ascii="TimesNewRoman" w:hAnsi="TimesNewRoman" w:cs="TimesNewRoman"/>
          <w:snapToGrid/>
          <w:color w:val="010101"/>
          <w:kern w:val="0"/>
          <w:sz w:val="20"/>
        </w:rPr>
        <w:t>24</w:t>
      </w:r>
      <w:r w:rsidRPr="00482FC2">
        <w:rPr>
          <w:rFonts w:ascii="TimesNewRoman" w:hAnsi="TimesNewRoman" w:cs="TimesNewRoman"/>
          <w:snapToGrid/>
          <w:color w:val="010101"/>
          <w:kern w:val="0"/>
          <w:sz w:val="20"/>
        </w:rPr>
        <w:t xml:space="preserve"> NL and 159-2</w:t>
      </w:r>
      <w:r>
        <w:rPr>
          <w:rFonts w:ascii="TimesNewRoman" w:hAnsi="TimesNewRoman" w:cs="TimesNewRoman"/>
          <w:snapToGrid/>
          <w:color w:val="010101"/>
          <w:kern w:val="0"/>
          <w:sz w:val="20"/>
        </w:rPr>
        <w:t>9</w:t>
      </w:r>
      <w:r w:rsidRPr="00482FC2">
        <w:rPr>
          <w:rFonts w:ascii="TimesNewRoman" w:hAnsi="TimesNewRoman" w:cs="TimesNewRoman"/>
          <w:snapToGrid/>
          <w:color w:val="010101"/>
          <w:kern w:val="0"/>
          <w:sz w:val="20"/>
        </w:rPr>
        <w:t>-</w:t>
      </w:r>
      <w:r>
        <w:rPr>
          <w:rFonts w:ascii="TimesNewRoman" w:hAnsi="TimesNewRoman" w:cs="TimesNewRoman"/>
          <w:snapToGrid/>
          <w:color w:val="010101"/>
          <w:kern w:val="0"/>
          <w:sz w:val="20"/>
        </w:rPr>
        <w:t>45</w:t>
      </w:r>
      <w:r w:rsidRPr="00482FC2">
        <w:rPr>
          <w:rFonts w:ascii="TimesNewRoman" w:hAnsi="TimesNewRoman" w:cs="TimesNewRoman"/>
          <w:snapToGrid/>
          <w:color w:val="010101"/>
          <w:kern w:val="0"/>
          <w:sz w:val="20"/>
        </w:rPr>
        <w:t xml:space="preserve"> WL</w:t>
      </w:r>
      <w:r>
        <w:rPr>
          <w:rFonts w:ascii="TimesNewRoman" w:hAnsi="TimesNewRoman" w:cs="TimesNewRoman"/>
          <w:snapToGrid/>
          <w:color w:val="010101"/>
          <w:kern w:val="0"/>
          <w:sz w:val="20"/>
        </w:rPr>
        <w:t xml:space="preserve">. </w:t>
      </w:r>
    </w:p>
  </w:footnote>
  <w:footnote w:id="25">
    <w:p w:rsidR="00E62586" w:rsidP="00E62586" w14:paraId="554A43CE" w14:textId="0472823C">
      <w:pPr>
        <w:pStyle w:val="FootnoteText"/>
      </w:pPr>
      <w:r>
        <w:rPr>
          <w:rStyle w:val="FootnoteReference"/>
        </w:rPr>
        <w:footnoteRef/>
      </w:r>
      <w:r>
        <w:t xml:space="preserve"> A staff engineering analysis determines that </w:t>
      </w:r>
      <w:r w:rsidRPr="00792E28">
        <w:t xml:space="preserve">Channel </w:t>
      </w:r>
      <w:r>
        <w:t>298C3</w:t>
      </w:r>
      <w:r w:rsidRPr="00792E28">
        <w:t xml:space="preserve"> at </w:t>
      </w:r>
      <w:r>
        <w:t>Kekaha</w:t>
      </w:r>
      <w:r w:rsidRPr="00792E28">
        <w:t xml:space="preserve"> can be allotted consistent with the minimum distance separation requirements of the Commission’s rules with </w:t>
      </w:r>
      <w:r>
        <w:t>no</w:t>
      </w:r>
      <w:r w:rsidRPr="00792E28">
        <w:t xml:space="preserve"> site restriction</w:t>
      </w:r>
      <w:r>
        <w:t>.</w:t>
      </w:r>
      <w:r w:rsidRPr="00792E28">
        <w:t xml:space="preserve">  </w:t>
      </w:r>
      <w:r>
        <w:t xml:space="preserve">The reference coordinates </w:t>
      </w:r>
      <w:r>
        <w:rPr>
          <w:szCs w:val="22"/>
        </w:rPr>
        <w:t xml:space="preserve">are </w:t>
      </w:r>
      <w:r w:rsidRPr="00D464AA">
        <w:rPr>
          <w:szCs w:val="22"/>
          <w:shd w:val="clear" w:color="auto" w:fill="FFFFFF"/>
        </w:rPr>
        <w:t>22-</w:t>
      </w:r>
      <w:r>
        <w:rPr>
          <w:szCs w:val="22"/>
          <w:shd w:val="clear" w:color="auto" w:fill="FFFFFF"/>
        </w:rPr>
        <w:t>0</w:t>
      </w:r>
      <w:r w:rsidRPr="00D464AA">
        <w:rPr>
          <w:szCs w:val="22"/>
          <w:shd w:val="clear" w:color="auto" w:fill="FFFFFF"/>
        </w:rPr>
        <w:t>2-00 NL and 159-3</w:t>
      </w:r>
      <w:r>
        <w:rPr>
          <w:szCs w:val="22"/>
          <w:shd w:val="clear" w:color="auto" w:fill="FFFFFF"/>
        </w:rPr>
        <w:t>8</w:t>
      </w:r>
      <w:r w:rsidRPr="00D464AA">
        <w:rPr>
          <w:szCs w:val="22"/>
          <w:shd w:val="clear" w:color="auto" w:fill="FFFFFF"/>
        </w:rPr>
        <w:t>-00 WL</w:t>
      </w:r>
      <w:r>
        <w:rPr>
          <w:szCs w:val="22"/>
          <w:shd w:val="clear" w:color="auto" w:fill="FFFFFF"/>
        </w:rPr>
        <w:t>.  Additionally, the staff engineering analysis determined that t</w:t>
      </w:r>
      <w:r w:rsidRPr="00FE4F5A">
        <w:t xml:space="preserve">he </w:t>
      </w:r>
      <w:r w:rsidRPr="00FE4F5A">
        <w:t>Kekaha</w:t>
      </w:r>
      <w:r w:rsidRPr="00FE4F5A">
        <w:t xml:space="preserve"> proposal’s distinct 60 </w:t>
      </w:r>
      <w:r w:rsidRPr="00FE4F5A">
        <w:t>dBu</w:t>
      </w:r>
      <w:r w:rsidRPr="00FE4F5A">
        <w:t xml:space="preserve"> contour would </w:t>
      </w:r>
      <w:r w:rsidRPr="00864F78">
        <w:t>provide a new aural service</w:t>
      </w:r>
      <w:r w:rsidRPr="00FE4F5A">
        <w:t xml:space="preserve"> to 996 persons that are considered “underserved” by fewer than 5 full-time aural stations.</w:t>
      </w:r>
      <w:r w:rsidR="005B0D28">
        <w:t xml:space="preserve">  Specifically, 9</w:t>
      </w:r>
      <w:r w:rsidR="009D0F42">
        <w:t>68 persons would receive a 4</w:t>
      </w:r>
      <w:r w:rsidRPr="009D0F42" w:rsidR="009D0F42">
        <w:rPr>
          <w:vertAlign w:val="superscript"/>
        </w:rPr>
        <w:t>th</w:t>
      </w:r>
      <w:r w:rsidR="009D0F42">
        <w:t xml:space="preserve"> </w:t>
      </w:r>
      <w:r w:rsidR="00E506FD">
        <w:t xml:space="preserve">aural service, 19 persons would receive a </w:t>
      </w:r>
      <w:r w:rsidR="00484FC9">
        <w:t>3</w:t>
      </w:r>
      <w:r w:rsidRPr="00484FC9" w:rsidR="00484FC9">
        <w:rPr>
          <w:vertAlign w:val="superscript"/>
        </w:rPr>
        <w:t>rd</w:t>
      </w:r>
      <w:r w:rsidR="00484FC9">
        <w:t xml:space="preserve"> aural service, and nine persons would receive a 5</w:t>
      </w:r>
      <w:r w:rsidRPr="00484FC9" w:rsidR="00484FC9">
        <w:rPr>
          <w:vertAlign w:val="superscript"/>
        </w:rPr>
        <w:t>th</w:t>
      </w:r>
      <w:r w:rsidR="00484FC9">
        <w:t xml:space="preserve"> aural service.</w:t>
      </w:r>
      <w:r>
        <w:t xml:space="preserve">  </w:t>
      </w:r>
      <w:r>
        <w:rPr>
          <w:szCs w:val="22"/>
          <w:shd w:val="clear" w:color="auto" w:fill="FFFFFF"/>
        </w:rPr>
        <w:t xml:space="preserve"> </w:t>
      </w:r>
    </w:p>
  </w:footnote>
  <w:footnote w:id="26">
    <w:p w:rsidR="00E62586" w:rsidP="00E62586" w14:paraId="1D180796" w14:textId="77777777">
      <w:pPr>
        <w:pStyle w:val="FootnoteText"/>
      </w:pPr>
      <w:r>
        <w:rPr>
          <w:rStyle w:val="FootnoteReference"/>
        </w:rPr>
        <w:footnoteRef/>
      </w:r>
      <w:r>
        <w:t xml:space="preserve"> </w:t>
      </w:r>
      <w:r>
        <w:rPr>
          <w:i/>
          <w:iCs/>
        </w:rPr>
        <w:t xml:space="preserve">See </w:t>
      </w:r>
      <w:r>
        <w:rPr>
          <w:i/>
        </w:rPr>
        <w:t>Revision of FM Assignment Policies and Procedures</w:t>
      </w:r>
      <w:r>
        <w:t xml:space="preserve">, Second Report and Order, 90 FCC 2d 88, 101, para. 33 (1982) (stating that the Commission has normally considered any incorporated place or any other place listed in the census reports as a community under section 307(b) of the Act). </w:t>
      </w:r>
    </w:p>
  </w:footnote>
  <w:footnote w:id="27">
    <w:p w:rsidR="00E42FD3" w:rsidP="00E42FD3" w14:paraId="067F600D" w14:textId="77777777">
      <w:pPr>
        <w:pStyle w:val="FootnoteText"/>
      </w:pPr>
      <w:r>
        <w:rPr>
          <w:rStyle w:val="FootnoteReference"/>
        </w:rPr>
        <w:footnoteRef/>
      </w:r>
      <w:r>
        <w:t xml:space="preserve"> </w:t>
      </w:r>
      <w:r w:rsidRPr="00451C2E">
        <w:rPr>
          <w:i/>
          <w:iCs/>
        </w:rPr>
        <w:t xml:space="preserve">See </w:t>
      </w:r>
      <w:r w:rsidRPr="00451C2E">
        <w:t>47 CFR § 73.3555(a)(1)(iii); Reply at 2-3; Opposition Statement at 2-3.</w:t>
      </w:r>
    </w:p>
  </w:footnote>
  <w:footnote w:id="28">
    <w:p w:rsidR="00E42FD3" w:rsidP="00E42FD3" w14:paraId="5F948B24" w14:textId="77777777">
      <w:pPr>
        <w:pStyle w:val="FootnoteText"/>
      </w:pPr>
      <w:r>
        <w:rPr>
          <w:rStyle w:val="FootnoteReference"/>
        </w:rPr>
        <w:footnoteRef/>
      </w:r>
      <w:r>
        <w:t xml:space="preserve"> </w:t>
      </w:r>
      <w:r w:rsidRPr="006E5B0B">
        <w:rPr>
          <w:i/>
          <w:iCs/>
        </w:rPr>
        <w:t>See</w:t>
      </w:r>
      <w:r w:rsidRPr="00DB633D">
        <w:t>,</w:t>
      </w:r>
      <w:r>
        <w:rPr>
          <w:i/>
          <w:iCs/>
        </w:rPr>
        <w:t xml:space="preserve"> e.g</w:t>
      </w:r>
      <w:r w:rsidRPr="00DB633D">
        <w:t>.,</w:t>
      </w:r>
      <w:r w:rsidRPr="006E5B0B">
        <w:rPr>
          <w:i/>
          <w:iCs/>
        </w:rPr>
        <w:t> </w:t>
      </w:r>
      <w:hyperlink r:id="rId1" w:history="1">
        <w:r w:rsidRPr="002E4F43">
          <w:rPr>
            <w:rStyle w:val="Hyperlink"/>
            <w:i/>
            <w:iCs/>
            <w:color w:val="auto"/>
            <w:u w:val="none"/>
          </w:rPr>
          <w:t>Detroit Lakes and Barnesville</w:t>
        </w:r>
        <w:r w:rsidRPr="002E4F43">
          <w:rPr>
            <w:rStyle w:val="Hyperlink"/>
            <w:color w:val="auto"/>
            <w:u w:val="none"/>
          </w:rPr>
          <w:t xml:space="preserve">, </w:t>
        </w:r>
        <w:r w:rsidRPr="002E4F43">
          <w:rPr>
            <w:rStyle w:val="Hyperlink"/>
            <w:i/>
            <w:iCs/>
            <w:color w:val="auto"/>
            <w:u w:val="none"/>
          </w:rPr>
          <w:t>Minnesota</w:t>
        </w:r>
        <w:r w:rsidRPr="002E4F43">
          <w:rPr>
            <w:rStyle w:val="Hyperlink"/>
            <w:color w:val="auto"/>
            <w:u w:val="none"/>
          </w:rPr>
          <w:t>,</w:t>
        </w:r>
        <w:r w:rsidRPr="002E4F43">
          <w:rPr>
            <w:rStyle w:val="Hyperlink"/>
            <w:i/>
            <w:iCs/>
            <w:color w:val="auto"/>
            <w:u w:val="none"/>
          </w:rPr>
          <w:t xml:space="preserve"> and Enderlin</w:t>
        </w:r>
        <w:r w:rsidRPr="002E4F43">
          <w:rPr>
            <w:rStyle w:val="Hyperlink"/>
            <w:color w:val="auto"/>
            <w:u w:val="none"/>
          </w:rPr>
          <w:t xml:space="preserve">, </w:t>
        </w:r>
        <w:r w:rsidRPr="002E4F43">
          <w:rPr>
            <w:rStyle w:val="Hyperlink"/>
            <w:i/>
            <w:iCs/>
            <w:color w:val="auto"/>
            <w:u w:val="none"/>
          </w:rPr>
          <w:t>North Dakota,</w:t>
        </w:r>
        <w:r w:rsidRPr="002E4F43">
          <w:rPr>
            <w:rStyle w:val="Hyperlink"/>
            <w:color w:val="auto"/>
            <w:u w:val="none"/>
          </w:rPr>
          <w:t xml:space="preserve"> Memorandum Opinion and Order, 17 FCC </w:t>
        </w:r>
        <w:r w:rsidRPr="002E4F43">
          <w:rPr>
            <w:rStyle w:val="Hyperlink"/>
            <w:color w:val="auto"/>
            <w:u w:val="none"/>
          </w:rPr>
          <w:t>Rcd</w:t>
        </w:r>
        <w:r w:rsidRPr="002E4F43">
          <w:rPr>
            <w:rStyle w:val="Hyperlink"/>
            <w:color w:val="auto"/>
            <w:u w:val="none"/>
          </w:rPr>
          <w:t xml:space="preserve"> 25055 (MB Dec. 16, 2002)</w:t>
        </w:r>
      </w:hyperlink>
      <w:r w:rsidRPr="002E4F43">
        <w:rPr>
          <w:rStyle w:val="Hyperlink"/>
          <w:color w:val="auto"/>
          <w:u w:val="none"/>
        </w:rPr>
        <w:t>.</w:t>
      </w:r>
      <w:r w:rsidRPr="002E4F43">
        <w:rPr>
          <w:rFonts w:eastAsiaTheme="minorHAnsi"/>
          <w:kern w:val="2"/>
          <w:szCs w:val="22"/>
          <w:shd w:val="clear" w:color="auto" w:fill="FFFFFF"/>
          <w14:ligatures w14:val="standardContextual"/>
        </w:rPr>
        <w:t xml:space="preserve">  </w:t>
      </w:r>
    </w:p>
  </w:footnote>
  <w:footnote w:id="29">
    <w:p w:rsidR="00E42FD3" w:rsidP="00E42FD3" w14:paraId="60AADBA9" w14:textId="77777777">
      <w:pPr>
        <w:pStyle w:val="FootnoteText"/>
      </w:pPr>
      <w:r>
        <w:rPr>
          <w:rStyle w:val="FootnoteReference"/>
        </w:rPr>
        <w:footnoteRef/>
      </w:r>
      <w:r>
        <w:t xml:space="preserve"> Reply at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694D7B" w14:textId="6FCE0780">
    <w:pPr>
      <w:pStyle w:val="Header"/>
      <w:rPr>
        <w:b w:val="0"/>
      </w:rPr>
    </w:pPr>
    <w:r>
      <w:tab/>
      <w:t>Federal Communications Commission</w:t>
    </w:r>
    <w:r>
      <w:tab/>
    </w:r>
    <w:r w:rsidR="00341173">
      <w:t>DA 24-</w:t>
    </w:r>
    <w:r w:rsidR="009C04B1">
      <w:t>172</w:t>
    </w:r>
  </w:p>
  <w:p w:rsidR="00D25FB5" w14:paraId="0FCE1911" w14:textId="2CCB9EB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0A4492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41173" w14:paraId="7F6F698A" w14:textId="294ED9A1">
    <w:pPr>
      <w:pStyle w:val="Header"/>
      <w:tabs>
        <w:tab w:val="left" w:pos="7000"/>
      </w:tabs>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41173">
      <w:tab/>
    </w:r>
    <w:r w:rsidR="00341173">
      <w:rPr>
        <w:spacing w:val="-2"/>
      </w:rPr>
      <w:t>DA 24-</w:t>
    </w:r>
    <w:r w:rsidR="0010779B">
      <w:rPr>
        <w:spacing w:val="-2"/>
      </w:rPr>
      <w:t>172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80"/>
    <w:rsid w:val="00036039"/>
    <w:rsid w:val="00037F90"/>
    <w:rsid w:val="00050FC8"/>
    <w:rsid w:val="00066173"/>
    <w:rsid w:val="000875BF"/>
    <w:rsid w:val="00096D8C"/>
    <w:rsid w:val="000B4698"/>
    <w:rsid w:val="000C0B65"/>
    <w:rsid w:val="000E05FE"/>
    <w:rsid w:val="000E3D42"/>
    <w:rsid w:val="00105E45"/>
    <w:rsid w:val="0010779B"/>
    <w:rsid w:val="001213B9"/>
    <w:rsid w:val="00122BD5"/>
    <w:rsid w:val="00133F79"/>
    <w:rsid w:val="00157355"/>
    <w:rsid w:val="0017079B"/>
    <w:rsid w:val="001741DB"/>
    <w:rsid w:val="00176E73"/>
    <w:rsid w:val="00194A66"/>
    <w:rsid w:val="00197CC1"/>
    <w:rsid w:val="001D6BCF"/>
    <w:rsid w:val="001E01CA"/>
    <w:rsid w:val="00204CB2"/>
    <w:rsid w:val="002160A3"/>
    <w:rsid w:val="00233626"/>
    <w:rsid w:val="00237B1E"/>
    <w:rsid w:val="00255103"/>
    <w:rsid w:val="00271EA9"/>
    <w:rsid w:val="00275CF5"/>
    <w:rsid w:val="0028301F"/>
    <w:rsid w:val="00285017"/>
    <w:rsid w:val="002A0E14"/>
    <w:rsid w:val="002A2D2E"/>
    <w:rsid w:val="002A7187"/>
    <w:rsid w:val="002B0742"/>
    <w:rsid w:val="002B1EB5"/>
    <w:rsid w:val="002C00E8"/>
    <w:rsid w:val="002C1E66"/>
    <w:rsid w:val="002E4F43"/>
    <w:rsid w:val="002F4D6A"/>
    <w:rsid w:val="00341173"/>
    <w:rsid w:val="00343749"/>
    <w:rsid w:val="003660ED"/>
    <w:rsid w:val="0038593B"/>
    <w:rsid w:val="00393015"/>
    <w:rsid w:val="003B0550"/>
    <w:rsid w:val="003B694F"/>
    <w:rsid w:val="003C1AD9"/>
    <w:rsid w:val="003F171C"/>
    <w:rsid w:val="00401D38"/>
    <w:rsid w:val="00412FC5"/>
    <w:rsid w:val="00422276"/>
    <w:rsid w:val="004242F1"/>
    <w:rsid w:val="00426631"/>
    <w:rsid w:val="00431A10"/>
    <w:rsid w:val="00445A00"/>
    <w:rsid w:val="00451B0F"/>
    <w:rsid w:val="00451C2E"/>
    <w:rsid w:val="00482FC2"/>
    <w:rsid w:val="00484FC9"/>
    <w:rsid w:val="004B4593"/>
    <w:rsid w:val="004C2EE3"/>
    <w:rsid w:val="004D3621"/>
    <w:rsid w:val="004E4A22"/>
    <w:rsid w:val="00500AE1"/>
    <w:rsid w:val="0050771E"/>
    <w:rsid w:val="00511968"/>
    <w:rsid w:val="00513866"/>
    <w:rsid w:val="00514921"/>
    <w:rsid w:val="0055614C"/>
    <w:rsid w:val="00566D06"/>
    <w:rsid w:val="00572267"/>
    <w:rsid w:val="00575E53"/>
    <w:rsid w:val="005B0D28"/>
    <w:rsid w:val="005C3E0E"/>
    <w:rsid w:val="005C6A53"/>
    <w:rsid w:val="005E0310"/>
    <w:rsid w:val="005E14C2"/>
    <w:rsid w:val="005F6C92"/>
    <w:rsid w:val="00602A4B"/>
    <w:rsid w:val="00603225"/>
    <w:rsid w:val="00607BA5"/>
    <w:rsid w:val="0061180A"/>
    <w:rsid w:val="006170FB"/>
    <w:rsid w:val="0061782D"/>
    <w:rsid w:val="006237FD"/>
    <w:rsid w:val="00626EB6"/>
    <w:rsid w:val="00655D03"/>
    <w:rsid w:val="0066517D"/>
    <w:rsid w:val="00674054"/>
    <w:rsid w:val="00683388"/>
    <w:rsid w:val="00683F84"/>
    <w:rsid w:val="00690CF5"/>
    <w:rsid w:val="006A6A81"/>
    <w:rsid w:val="006C1E95"/>
    <w:rsid w:val="006C2938"/>
    <w:rsid w:val="006C41C9"/>
    <w:rsid w:val="006E29BD"/>
    <w:rsid w:val="006E5B0B"/>
    <w:rsid w:val="006F5BF8"/>
    <w:rsid w:val="006F7393"/>
    <w:rsid w:val="0070224F"/>
    <w:rsid w:val="007115F7"/>
    <w:rsid w:val="00715E41"/>
    <w:rsid w:val="00715E67"/>
    <w:rsid w:val="007258BB"/>
    <w:rsid w:val="00730AAC"/>
    <w:rsid w:val="00743C5E"/>
    <w:rsid w:val="00752D84"/>
    <w:rsid w:val="00785689"/>
    <w:rsid w:val="0078609C"/>
    <w:rsid w:val="00792E28"/>
    <w:rsid w:val="0079754B"/>
    <w:rsid w:val="007A1E6D"/>
    <w:rsid w:val="007B0EB2"/>
    <w:rsid w:val="007D40B4"/>
    <w:rsid w:val="007E0B6E"/>
    <w:rsid w:val="007E7831"/>
    <w:rsid w:val="00800A89"/>
    <w:rsid w:val="00810B6F"/>
    <w:rsid w:val="00812307"/>
    <w:rsid w:val="00822CE0"/>
    <w:rsid w:val="00841AB1"/>
    <w:rsid w:val="00841D81"/>
    <w:rsid w:val="00855A1F"/>
    <w:rsid w:val="00864F78"/>
    <w:rsid w:val="00890899"/>
    <w:rsid w:val="008959C7"/>
    <w:rsid w:val="008A5180"/>
    <w:rsid w:val="008A6152"/>
    <w:rsid w:val="008C68F1"/>
    <w:rsid w:val="0091751E"/>
    <w:rsid w:val="00921803"/>
    <w:rsid w:val="00926503"/>
    <w:rsid w:val="0094438D"/>
    <w:rsid w:val="009577BC"/>
    <w:rsid w:val="009726D8"/>
    <w:rsid w:val="009809CF"/>
    <w:rsid w:val="009A60B2"/>
    <w:rsid w:val="009C04B1"/>
    <w:rsid w:val="009D05AC"/>
    <w:rsid w:val="009D0F42"/>
    <w:rsid w:val="009D7308"/>
    <w:rsid w:val="009E24BD"/>
    <w:rsid w:val="009E7F20"/>
    <w:rsid w:val="009F2562"/>
    <w:rsid w:val="009F76DB"/>
    <w:rsid w:val="00A22617"/>
    <w:rsid w:val="00A32C3B"/>
    <w:rsid w:val="00A4279E"/>
    <w:rsid w:val="00A45F4F"/>
    <w:rsid w:val="00A512F0"/>
    <w:rsid w:val="00A600A9"/>
    <w:rsid w:val="00A61284"/>
    <w:rsid w:val="00AA2435"/>
    <w:rsid w:val="00AA55B7"/>
    <w:rsid w:val="00AA5B9E"/>
    <w:rsid w:val="00AA6807"/>
    <w:rsid w:val="00AB2407"/>
    <w:rsid w:val="00AB53DF"/>
    <w:rsid w:val="00AE2AF4"/>
    <w:rsid w:val="00AF33DB"/>
    <w:rsid w:val="00B07E5C"/>
    <w:rsid w:val="00B41B9C"/>
    <w:rsid w:val="00B731F9"/>
    <w:rsid w:val="00B77845"/>
    <w:rsid w:val="00B811F7"/>
    <w:rsid w:val="00B96FC1"/>
    <w:rsid w:val="00BA5DC6"/>
    <w:rsid w:val="00BA6196"/>
    <w:rsid w:val="00BC6D8C"/>
    <w:rsid w:val="00BC7C25"/>
    <w:rsid w:val="00BF7598"/>
    <w:rsid w:val="00C03EA7"/>
    <w:rsid w:val="00C25701"/>
    <w:rsid w:val="00C34006"/>
    <w:rsid w:val="00C36B4C"/>
    <w:rsid w:val="00C426B1"/>
    <w:rsid w:val="00C50342"/>
    <w:rsid w:val="00C66160"/>
    <w:rsid w:val="00C721AC"/>
    <w:rsid w:val="00C8497B"/>
    <w:rsid w:val="00C90D6A"/>
    <w:rsid w:val="00CA247E"/>
    <w:rsid w:val="00CA6D21"/>
    <w:rsid w:val="00CB1265"/>
    <w:rsid w:val="00CB4EAB"/>
    <w:rsid w:val="00CC72B6"/>
    <w:rsid w:val="00CC7313"/>
    <w:rsid w:val="00CD0C0A"/>
    <w:rsid w:val="00CF4920"/>
    <w:rsid w:val="00D011AA"/>
    <w:rsid w:val="00D0218D"/>
    <w:rsid w:val="00D201A4"/>
    <w:rsid w:val="00D25FB5"/>
    <w:rsid w:val="00D44223"/>
    <w:rsid w:val="00D464AA"/>
    <w:rsid w:val="00DA2529"/>
    <w:rsid w:val="00DB130A"/>
    <w:rsid w:val="00DB2EBB"/>
    <w:rsid w:val="00DB633D"/>
    <w:rsid w:val="00DC10A1"/>
    <w:rsid w:val="00DC453A"/>
    <w:rsid w:val="00DC655F"/>
    <w:rsid w:val="00DD0B59"/>
    <w:rsid w:val="00DD4BAE"/>
    <w:rsid w:val="00DD7EBD"/>
    <w:rsid w:val="00DF62B6"/>
    <w:rsid w:val="00E07225"/>
    <w:rsid w:val="00E16C59"/>
    <w:rsid w:val="00E3175A"/>
    <w:rsid w:val="00E42FD3"/>
    <w:rsid w:val="00E506FD"/>
    <w:rsid w:val="00E5409F"/>
    <w:rsid w:val="00E62586"/>
    <w:rsid w:val="00E653FC"/>
    <w:rsid w:val="00E87E1C"/>
    <w:rsid w:val="00E90584"/>
    <w:rsid w:val="00EB3B2F"/>
    <w:rsid w:val="00EC51EF"/>
    <w:rsid w:val="00EE6488"/>
    <w:rsid w:val="00EE6C23"/>
    <w:rsid w:val="00EF1246"/>
    <w:rsid w:val="00F021FA"/>
    <w:rsid w:val="00F04FA1"/>
    <w:rsid w:val="00F62E97"/>
    <w:rsid w:val="00F632D6"/>
    <w:rsid w:val="00F64209"/>
    <w:rsid w:val="00F92A94"/>
    <w:rsid w:val="00F93BF5"/>
    <w:rsid w:val="00F9543D"/>
    <w:rsid w:val="00FB6E6A"/>
    <w:rsid w:val="00FE4F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52857C"/>
  <w15:chartTrackingRefBased/>
  <w15:docId w15:val="{40CC9B84-4848-4087-9F99-BB643CD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1 Char,Footnote Text Char Char1 Char Char Char1,Footnote Text Char1,Footnote Text Char1 Char,Footnote Text Char1 Char Char Char1 Char Char,Footnote Text Char2 Char1 Char Char,f,fn,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link w:val="Heading1"/>
    <w:rsid w:val="00D011AA"/>
    <w:rPr>
      <w:rFonts w:ascii="Times New Roman Bold" w:hAnsi="Times New Roman Bold"/>
      <w:b/>
      <w:caps/>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D011AA"/>
  </w:style>
  <w:style w:type="character" w:customStyle="1" w:styleId="ParaNumChar1">
    <w:name w:val="ParaNum Char1"/>
    <w:link w:val="ParaNum"/>
    <w:locked/>
    <w:rsid w:val="00D011AA"/>
    <w:rPr>
      <w:snapToGrid w:val="0"/>
      <w:kern w:val="28"/>
      <w:sz w:val="22"/>
    </w:rPr>
  </w:style>
  <w:style w:type="paragraph" w:styleId="ListParagraph">
    <w:name w:val="List Paragraph"/>
    <w:basedOn w:val="Normal"/>
    <w:uiPriority w:val="34"/>
    <w:qFormat/>
    <w:rsid w:val="00D011AA"/>
    <w:pPr>
      <w:ind w:left="720"/>
      <w:contextualSpacing/>
    </w:pPr>
  </w:style>
  <w:style w:type="character" w:styleId="CommentReference">
    <w:name w:val="annotation reference"/>
    <w:basedOn w:val="DefaultParagraphFont"/>
    <w:rsid w:val="00E62586"/>
    <w:rPr>
      <w:sz w:val="16"/>
      <w:szCs w:val="16"/>
    </w:rPr>
  </w:style>
  <w:style w:type="paragraph" w:styleId="CommentText">
    <w:name w:val="annotation text"/>
    <w:basedOn w:val="Normal"/>
    <w:link w:val="CommentTextChar"/>
    <w:rsid w:val="00E62586"/>
    <w:rPr>
      <w:sz w:val="20"/>
    </w:rPr>
  </w:style>
  <w:style w:type="character" w:customStyle="1" w:styleId="CommentTextChar">
    <w:name w:val="Comment Text Char"/>
    <w:basedOn w:val="DefaultParagraphFont"/>
    <w:link w:val="CommentText"/>
    <w:rsid w:val="00E62586"/>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02780241&amp;pubNum=4493&amp;originatingDoc=I8fda41ab4a9d11de9988d233d23fe599&amp;refType=CA&amp;originationContext=document&amp;transitionType=DocumentItem&amp;ppcid=75e5e23c92bd4c2293957f4f1492e8eb&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