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28BC" w:rsidRPr="00756DDD" w:rsidP="007D28BC" w14:paraId="4863D1C9" w14:textId="1D053455">
      <w:pPr>
        <w:jc w:val="right"/>
        <w:rPr>
          <w:b/>
          <w:bCs/>
        </w:rPr>
      </w:pPr>
      <w:r w:rsidRPr="03340E7E">
        <w:rPr>
          <w:b/>
          <w:bCs/>
        </w:rPr>
        <w:t>DA</w:t>
      </w:r>
      <w:r w:rsidR="006413E7">
        <w:rPr>
          <w:b/>
          <w:bCs/>
        </w:rPr>
        <w:t xml:space="preserve"> </w:t>
      </w:r>
      <w:r w:rsidRPr="03340E7E">
        <w:rPr>
          <w:b/>
          <w:bCs/>
        </w:rPr>
        <w:t>24-</w:t>
      </w:r>
      <w:r w:rsidR="00433E9E">
        <w:rPr>
          <w:b/>
          <w:bCs/>
        </w:rPr>
        <w:t>181</w:t>
      </w:r>
    </w:p>
    <w:p w:rsidR="007D28BC" w:rsidRPr="00756DDD" w:rsidP="007D28BC" w14:paraId="3873DBF8" w14:textId="5E87BB6E">
      <w:pPr>
        <w:spacing w:before="60"/>
        <w:jc w:val="right"/>
        <w:rPr>
          <w:b/>
          <w:bCs/>
        </w:rPr>
      </w:pPr>
      <w:r w:rsidRPr="03340E7E">
        <w:rPr>
          <w:b/>
          <w:bCs/>
        </w:rPr>
        <w:t xml:space="preserve">Released: </w:t>
      </w:r>
      <w:r>
        <w:rPr>
          <w:b/>
          <w:bCs/>
        </w:rPr>
        <w:t xml:space="preserve">February 28, </w:t>
      </w:r>
      <w:r w:rsidRPr="03340E7E">
        <w:rPr>
          <w:b/>
          <w:bCs/>
        </w:rPr>
        <w:t>2024</w:t>
      </w:r>
    </w:p>
    <w:p w:rsidR="007D28BC" w:rsidRPr="00756DDD" w:rsidP="007D28BC" w14:paraId="4FCA8BAA" w14:textId="77777777">
      <w:pPr>
        <w:jc w:val="right"/>
        <w:rPr>
          <w:szCs w:val="22"/>
        </w:rPr>
      </w:pPr>
    </w:p>
    <w:p w:rsidR="007D28BC" w:rsidRPr="00756DDD" w:rsidP="007D28BC" w14:paraId="285CD90B" w14:textId="77777777">
      <w:pPr>
        <w:spacing w:after="240"/>
        <w:jc w:val="center"/>
        <w:rPr>
          <w:rFonts w:ascii="Times New Roman Bold" w:hAnsi="Times New Roman Bold"/>
          <w:b/>
          <w:caps/>
          <w:szCs w:val="22"/>
        </w:rPr>
      </w:pPr>
      <w:r w:rsidRPr="00756DDD">
        <w:rPr>
          <w:rFonts w:ascii="Times New Roman Bold" w:hAnsi="Times New Roman Bold"/>
          <w:b/>
          <w:caps/>
          <w:szCs w:val="22"/>
        </w:rPr>
        <w:t xml:space="preserve">Wireline competition Bureau Announces </w:t>
      </w:r>
      <w:r>
        <w:rPr>
          <w:rFonts w:ascii="Times New Roman Bold" w:hAnsi="Times New Roman Bold"/>
          <w:b/>
          <w:caps/>
          <w:szCs w:val="22"/>
        </w:rPr>
        <w:t xml:space="preserve">certain RDOF and CAF II Auction census block groups are eligible for other funding programs </w:t>
      </w:r>
    </w:p>
    <w:p w:rsidR="007D28BC" w:rsidRPr="00756DDD" w:rsidP="007D28BC" w14:paraId="0CFF3E23" w14:textId="77777777">
      <w:pPr>
        <w:jc w:val="center"/>
        <w:rPr>
          <w:b/>
          <w:szCs w:val="22"/>
        </w:rPr>
      </w:pPr>
      <w:r w:rsidRPr="00756DDD">
        <w:rPr>
          <w:b/>
          <w:szCs w:val="22"/>
        </w:rPr>
        <w:t>AU Docket No. 20-34</w:t>
      </w:r>
    </w:p>
    <w:p w:rsidR="007D28BC" w:rsidRPr="00756DDD" w:rsidP="007D28BC" w14:paraId="36FF6E9A" w14:textId="77777777">
      <w:pPr>
        <w:jc w:val="center"/>
        <w:rPr>
          <w:b/>
          <w:szCs w:val="22"/>
        </w:rPr>
      </w:pPr>
      <w:r w:rsidRPr="00756DDD">
        <w:rPr>
          <w:b/>
          <w:szCs w:val="22"/>
        </w:rPr>
        <w:t>AU Docket No. 17-182</w:t>
      </w:r>
    </w:p>
    <w:p w:rsidR="007D28BC" w:rsidRPr="00756DDD" w:rsidP="007D28BC" w14:paraId="0042D208" w14:textId="77777777">
      <w:pPr>
        <w:jc w:val="center"/>
        <w:rPr>
          <w:b/>
          <w:szCs w:val="22"/>
        </w:rPr>
      </w:pPr>
      <w:r w:rsidRPr="00756DDD">
        <w:rPr>
          <w:b/>
          <w:szCs w:val="22"/>
        </w:rPr>
        <w:t>WC Docket No. 19-126</w:t>
      </w:r>
    </w:p>
    <w:p w:rsidR="007D28BC" w:rsidRPr="00756DDD" w:rsidP="007D28BC" w14:paraId="1E802658" w14:textId="77777777">
      <w:pPr>
        <w:jc w:val="center"/>
        <w:rPr>
          <w:b/>
          <w:szCs w:val="22"/>
        </w:rPr>
      </w:pPr>
      <w:r w:rsidRPr="00756DDD">
        <w:rPr>
          <w:b/>
          <w:szCs w:val="22"/>
        </w:rPr>
        <w:t>WC Docket No. 10-90</w:t>
      </w:r>
      <w:bookmarkStart w:id="0" w:name="TOChere"/>
    </w:p>
    <w:p w:rsidR="007D28BC" w:rsidRPr="00756DDD" w:rsidP="007D28BC" w14:paraId="354BC29B" w14:textId="77777777">
      <w:pPr>
        <w:jc w:val="center"/>
        <w:rPr>
          <w:b/>
          <w:szCs w:val="22"/>
        </w:rPr>
      </w:pPr>
    </w:p>
    <w:p w:rsidR="007D28BC" w:rsidP="007D28BC" w14:paraId="367584DB" w14:textId="77777777">
      <w:pPr>
        <w:spacing w:after="120" w:line="259" w:lineRule="auto"/>
      </w:pPr>
      <w:r w:rsidRPr="00756DDD">
        <w:rPr>
          <w:b/>
          <w:szCs w:val="22"/>
        </w:rPr>
        <w:tab/>
      </w:r>
      <w:r w:rsidRPr="03340E7E">
        <w:t xml:space="preserve">By this Public Notice, the Wireline Competition Bureau (WCB) announces that </w:t>
      </w:r>
      <w:r w:rsidRPr="03340E7E">
        <w:t>BARConnects</w:t>
      </w:r>
      <w:r w:rsidRPr="03340E7E">
        <w:t>, LLC (</w:t>
      </w:r>
      <w:r w:rsidRPr="03340E7E">
        <w:t>BARConnects</w:t>
      </w:r>
      <w:r w:rsidRPr="03340E7E">
        <w:t xml:space="preserve">) </w:t>
      </w:r>
      <w:r>
        <w:t xml:space="preserve">(Study Area Code (SAC) 199026) </w:t>
      </w:r>
      <w:r w:rsidRPr="03340E7E">
        <w:t xml:space="preserve">and North Alabama Electric Cooperative (NAEC) </w:t>
      </w:r>
      <w:r>
        <w:t>(SAC</w:t>
      </w:r>
      <w:r w:rsidRPr="03340E7E">
        <w:t xml:space="preserve"> </w:t>
      </w:r>
      <w:r>
        <w:t>259057)</w:t>
      </w:r>
      <w:r w:rsidRPr="03340E7E">
        <w:t xml:space="preserve"> have notified the Commission that they will not</w:t>
      </w:r>
      <w:r w:rsidRPr="00756DDD">
        <w:rPr>
          <w:bCs/>
          <w:szCs w:val="22"/>
        </w:rPr>
        <w:t xml:space="preserve"> </w:t>
      </w:r>
      <w:r w:rsidRPr="03340E7E">
        <w:t>fulfill their commitment to</w:t>
      </w:r>
      <w:r w:rsidRPr="00756DDD">
        <w:rPr>
          <w:bCs/>
          <w:szCs w:val="22"/>
        </w:rPr>
        <w:t xml:space="preserve"> </w:t>
      </w:r>
      <w:r w:rsidRPr="03340E7E">
        <w:t>offer voice and broadband service to certain census block groups (CBGs)</w:t>
      </w:r>
      <w:r w:rsidRPr="00756DDD">
        <w:rPr>
          <w:bCs/>
          <w:szCs w:val="22"/>
        </w:rPr>
        <w:t xml:space="preserve"> </w:t>
      </w:r>
      <w:r w:rsidRPr="03340E7E">
        <w:t>within their Rural Digital Opportunity Fund (RDOF) and/or Connect America Fund (CAF) Phase II auction</w:t>
      </w:r>
      <w:r>
        <w:rPr>
          <w:bCs/>
          <w:szCs w:val="22"/>
        </w:rPr>
        <w:t xml:space="preserve"> </w:t>
      </w:r>
      <w:r w:rsidRPr="03340E7E">
        <w:t>supported service areas.</w:t>
      </w:r>
      <w:r>
        <w:rPr>
          <w:rStyle w:val="FootnoteReference"/>
        </w:rPr>
        <w:footnoteReference w:id="3"/>
      </w:r>
      <w:r w:rsidRPr="00756DDD">
        <w:rPr>
          <w:bCs/>
          <w:szCs w:val="22"/>
        </w:rPr>
        <w:t xml:space="preserve">  </w:t>
      </w:r>
      <w:r>
        <w:t>These providers will be subject to penalties, as described below, for the CBGs where they are defaulting.</w:t>
      </w:r>
      <w:r>
        <w:rPr>
          <w:rStyle w:val="FootnoteReference"/>
        </w:rPr>
        <w:footnoteReference w:id="4"/>
      </w:r>
      <w:r>
        <w:t xml:space="preserve"> </w:t>
      </w:r>
    </w:p>
    <w:p w:rsidR="007D28BC" w:rsidRPr="00756DDD" w:rsidP="007D28BC" w14:paraId="5576A983" w14:textId="77777777">
      <w:pPr>
        <w:spacing w:after="120" w:line="259" w:lineRule="auto"/>
        <w:ind w:firstLine="720"/>
        <w:rPr>
          <w:bCs/>
          <w:szCs w:val="22"/>
        </w:rPr>
      </w:pPr>
      <w:r w:rsidRPr="00756DDD">
        <w:rPr>
          <w:bCs/>
          <w:szCs w:val="22"/>
        </w:rPr>
        <w:t xml:space="preserve">By announcing that these providers will not serve the identified </w:t>
      </w:r>
      <w:r>
        <w:rPr>
          <w:bCs/>
          <w:szCs w:val="22"/>
        </w:rPr>
        <w:t xml:space="preserve">eligible </w:t>
      </w:r>
      <w:r w:rsidRPr="00756DDD">
        <w:rPr>
          <w:bCs/>
          <w:szCs w:val="22"/>
        </w:rPr>
        <w:t>census blocks</w:t>
      </w:r>
      <w:r>
        <w:rPr>
          <w:bCs/>
          <w:szCs w:val="22"/>
        </w:rPr>
        <w:t xml:space="preserve"> within these CBGs</w:t>
      </w:r>
      <w:r w:rsidRPr="00756DDD">
        <w:rPr>
          <w:bCs/>
          <w:szCs w:val="22"/>
        </w:rPr>
        <w:t xml:space="preserve">, we notify stakeholders that the census blocks </w:t>
      </w:r>
      <w:r>
        <w:rPr>
          <w:bCs/>
          <w:szCs w:val="22"/>
        </w:rPr>
        <w:t>are</w:t>
      </w:r>
      <w:r w:rsidRPr="00756DDD">
        <w:rPr>
          <w:bCs/>
          <w:szCs w:val="22"/>
        </w:rPr>
        <w:t xml:space="preserve"> eligible for funding from other federal and state funding programs</w:t>
      </w:r>
      <w:r>
        <w:rPr>
          <w:bCs/>
          <w:szCs w:val="22"/>
        </w:rPr>
        <w:t xml:space="preserve"> subject to the rules of the other programs</w:t>
      </w:r>
      <w:r w:rsidRPr="00756DDD">
        <w:rPr>
          <w:bCs/>
          <w:szCs w:val="22"/>
        </w:rPr>
        <w:t>, furthering our responsibility to coordinate with other agencies to maximize the deployment of high-quality broadband service across the United States.</w:t>
      </w:r>
      <w:r>
        <w:rPr>
          <w:rStyle w:val="FootnoteReference"/>
          <w:bCs/>
          <w:szCs w:val="22"/>
        </w:rPr>
        <w:footnoteReference w:id="5"/>
      </w:r>
      <w:r w:rsidRPr="00756DDD">
        <w:rPr>
          <w:bCs/>
          <w:szCs w:val="22"/>
        </w:rPr>
        <w:t xml:space="preserve">  To promote the efficient use of broadband funding, a number of funding programs make</w:t>
      </w:r>
      <w:r>
        <w:rPr>
          <w:bCs/>
          <w:szCs w:val="22"/>
        </w:rPr>
        <w:t xml:space="preserve"> </w:t>
      </w:r>
      <w:r>
        <w:rPr>
          <w:bCs/>
          <w:szCs w:val="22"/>
        </w:rPr>
        <w:t>areas</w:t>
      </w:r>
      <w:r w:rsidRPr="00756DDD">
        <w:rPr>
          <w:bCs/>
          <w:szCs w:val="22"/>
        </w:rPr>
        <w:t xml:space="preserve"> ineligible for broadband deployment funding </w:t>
      </w:r>
      <w:r>
        <w:rPr>
          <w:bCs/>
          <w:szCs w:val="22"/>
        </w:rPr>
        <w:t>where</w:t>
      </w:r>
      <w:r w:rsidRPr="00756DDD">
        <w:rPr>
          <w:bCs/>
          <w:szCs w:val="22"/>
        </w:rPr>
        <w:t xml:space="preserve"> a </w:t>
      </w:r>
      <w:r>
        <w:rPr>
          <w:bCs/>
          <w:szCs w:val="22"/>
        </w:rPr>
        <w:t>service provider</w:t>
      </w:r>
      <w:r w:rsidRPr="00756DDD">
        <w:rPr>
          <w:bCs/>
          <w:szCs w:val="22"/>
        </w:rPr>
        <w:t xml:space="preserve"> is already subject to an enforceable commitment to serve.</w:t>
      </w:r>
      <w:r>
        <w:rPr>
          <w:rStyle w:val="FootnoteReference"/>
          <w:bCs/>
          <w:szCs w:val="22"/>
        </w:rPr>
        <w:footnoteReference w:id="6"/>
      </w:r>
      <w:r w:rsidRPr="00756DDD">
        <w:rPr>
          <w:bCs/>
          <w:szCs w:val="22"/>
        </w:rPr>
        <w:t xml:space="preserve">  </w:t>
      </w:r>
      <w:r>
        <w:rPr>
          <w:bCs/>
          <w:szCs w:val="22"/>
        </w:rPr>
        <w:t xml:space="preserve">Our announcement avoids leaving these areas unserved </w:t>
      </w:r>
      <w:r w:rsidRPr="00756DDD">
        <w:rPr>
          <w:bCs/>
          <w:szCs w:val="22"/>
        </w:rPr>
        <w:t xml:space="preserve">for the duration of the RDOF or CAF Phase II auction </w:t>
      </w:r>
      <w:r>
        <w:rPr>
          <w:bCs/>
          <w:szCs w:val="22"/>
        </w:rPr>
        <w:t>deployment</w:t>
      </w:r>
      <w:r w:rsidRPr="00756DDD">
        <w:rPr>
          <w:bCs/>
          <w:szCs w:val="22"/>
        </w:rPr>
        <w:t xml:space="preserve"> terms,</w:t>
      </w:r>
      <w:r>
        <w:rPr>
          <w:rStyle w:val="FootnoteReference"/>
          <w:bCs/>
          <w:szCs w:val="22"/>
        </w:rPr>
        <w:footnoteReference w:id="7"/>
      </w:r>
      <w:r w:rsidRPr="00756DDD">
        <w:rPr>
          <w:bCs/>
          <w:szCs w:val="22"/>
        </w:rPr>
        <w:t xml:space="preserve"> </w:t>
      </w:r>
      <w:r>
        <w:rPr>
          <w:bCs/>
          <w:szCs w:val="22"/>
        </w:rPr>
        <w:t xml:space="preserve">because providers may now have access to alternative funding to serve these areas.  </w:t>
      </w:r>
    </w:p>
    <w:p w:rsidR="007D28BC" w:rsidRPr="00C3015A" w:rsidP="007D28BC" w14:paraId="4451EC45" w14:textId="77777777">
      <w:pPr>
        <w:spacing w:after="120" w:line="259" w:lineRule="auto"/>
        <w:ind w:firstLine="720"/>
      </w:pPr>
      <w:r w:rsidRPr="03340E7E">
        <w:t>In A</w:t>
      </w:r>
      <w:r>
        <w:t xml:space="preserve">ppendix </w:t>
      </w:r>
      <w:r w:rsidRPr="03340E7E">
        <w:t>A, we provide a list of</w:t>
      </w:r>
      <w:r w:rsidRPr="00756DDD">
        <w:rPr>
          <w:bCs/>
          <w:szCs w:val="22"/>
        </w:rPr>
        <w:t xml:space="preserve"> </w:t>
      </w:r>
      <w:r w:rsidRPr="03340E7E">
        <w:t>all the CAF Phase II auction and RDOF eligible census blocks contained within the CBGs that the</w:t>
      </w:r>
      <w:r>
        <w:t>se carriers</w:t>
      </w:r>
      <w:r w:rsidRPr="03340E7E">
        <w:t xml:space="preserve"> </w:t>
      </w:r>
      <w:r>
        <w:t xml:space="preserve">will not </w:t>
      </w:r>
      <w:r w:rsidRPr="03340E7E">
        <w:t>serve.</w:t>
      </w:r>
      <w:r>
        <w:rPr>
          <w:rStyle w:val="FootnoteReference"/>
        </w:rPr>
        <w:footnoteReference w:id="8"/>
      </w:r>
      <w:r w:rsidRPr="03340E7E">
        <w:t xml:space="preserve">  </w:t>
      </w:r>
      <w:r>
        <w:t xml:space="preserve">In addition, we will also update the </w:t>
      </w:r>
      <w:r w:rsidRPr="03340E7E">
        <w:t>Broadband Funding Map to remove the census blocks from the support recipients’ service areas.</w:t>
      </w:r>
      <w:r>
        <w:rPr>
          <w:rStyle w:val="FootnoteReference"/>
        </w:rPr>
        <w:footnoteReference w:id="9"/>
      </w:r>
      <w:r w:rsidRPr="00756DDD">
        <w:rPr>
          <w:bCs/>
          <w:szCs w:val="22"/>
        </w:rPr>
        <w:t xml:space="preserve">  </w:t>
      </w:r>
      <w:r>
        <w:t>Below, w</w:t>
      </w:r>
      <w:r w:rsidRPr="03340E7E">
        <w:t xml:space="preserve">e </w:t>
      </w:r>
      <w:r>
        <w:t xml:space="preserve">provide a limited waiver of the Commission’s non-compliance rules to adjust support to reflect that these areas will not be served. </w:t>
      </w:r>
      <w:r>
        <w:t xml:space="preserve"> </w:t>
      </w:r>
      <w:r w:rsidRPr="03340E7E">
        <w:t>BARConnects</w:t>
      </w:r>
      <w:r w:rsidRPr="03340E7E">
        <w:t xml:space="preserve"> and NAEC </w:t>
      </w:r>
      <w:r>
        <w:t xml:space="preserve">otherwise </w:t>
      </w:r>
      <w:r w:rsidRPr="03340E7E">
        <w:t xml:space="preserve">remain subject to RDOF and CAF Phase II auction non-compliance measures for failure to meet the terms and conditions of support, including support recovery for </w:t>
      </w:r>
      <w:r>
        <w:t>all unserved locations at the end of the deployment term</w:t>
      </w:r>
      <w:r w:rsidRPr="00756DDD">
        <w:rPr>
          <w:bCs/>
          <w:szCs w:val="22"/>
        </w:rPr>
        <w:t>.</w:t>
      </w:r>
      <w:r>
        <w:rPr>
          <w:rStyle w:val="FootnoteReference"/>
        </w:rPr>
        <w:footnoteReference w:id="10"/>
      </w:r>
      <w:r w:rsidRPr="00756DDD">
        <w:rPr>
          <w:bCs/>
          <w:szCs w:val="22"/>
        </w:rPr>
        <w:t xml:space="preserve">  </w:t>
      </w:r>
      <w:r>
        <w:t>We will continue to use the available tools to monitor these carriers’ compliance with the applicable deployment obligations in their respective remaining supported service areas.</w:t>
      </w:r>
      <w:r>
        <w:rPr>
          <w:rStyle w:val="FootnoteReference"/>
          <w:bCs/>
          <w:szCs w:val="22"/>
        </w:rPr>
        <w:footnoteReference w:id="11"/>
      </w:r>
      <w:r>
        <w:t xml:space="preserve">  </w:t>
      </w:r>
    </w:p>
    <w:p w:rsidR="007D28BC" w:rsidRPr="00C3015A" w:rsidP="007D28BC" w14:paraId="15E1D934" w14:textId="77777777">
      <w:pPr>
        <w:spacing w:after="120" w:line="259" w:lineRule="auto"/>
        <w:ind w:firstLine="720"/>
      </w:pPr>
      <w:r w:rsidRPr="413888AE">
        <w:t xml:space="preserve">While </w:t>
      </w:r>
      <w:r w:rsidRPr="413888AE">
        <w:t>BARConnects</w:t>
      </w:r>
      <w:r w:rsidRPr="413888AE">
        <w:t xml:space="preserve"> and NAEC notified the Commission that they will not serve the identified census blocks, they are not withdrawing from RDOF and/or the CAF Phase II auction programs</w:t>
      </w:r>
      <w:r w:rsidRPr="00756DDD">
        <w:rPr>
          <w:bCs/>
          <w:szCs w:val="22"/>
        </w:rPr>
        <w:t xml:space="preserve">.  </w:t>
      </w:r>
      <w:r w:rsidRPr="413888AE">
        <w:t xml:space="preserve">The RDOF and CAF Phase II auction support program rules do not provide for partial withdrawals from the program.  The Commission takes </w:t>
      </w:r>
      <w:r>
        <w:t>compliance with the terms and conditions of the CAF Phase II auction and RDOF programs seriously and imposes non-compliance measures if the requirements are not met</w:t>
      </w:r>
      <w:r w:rsidRPr="00756DDD">
        <w:rPr>
          <w:bCs/>
          <w:szCs w:val="22"/>
        </w:rPr>
        <w:t>.</w:t>
      </w:r>
      <w:r>
        <w:rPr>
          <w:rStyle w:val="FootnoteReference"/>
        </w:rPr>
        <w:footnoteReference w:id="12"/>
      </w:r>
      <w:r w:rsidRPr="00756DDD">
        <w:rPr>
          <w:bCs/>
          <w:szCs w:val="22"/>
        </w:rPr>
        <w:t xml:space="preserve">  </w:t>
      </w:r>
      <w:r w:rsidRPr="413888AE">
        <w:t>BARConnects</w:t>
      </w:r>
      <w:r w:rsidRPr="413888AE">
        <w:t xml:space="preserve"> and</w:t>
      </w:r>
      <w:r>
        <w:rPr>
          <w:bCs/>
          <w:szCs w:val="22"/>
        </w:rPr>
        <w:t xml:space="preserve"> </w:t>
      </w:r>
      <w:r w:rsidRPr="413888AE">
        <w:t>NAEC</w:t>
      </w:r>
      <w:r w:rsidRPr="00756DDD">
        <w:rPr>
          <w:bCs/>
          <w:szCs w:val="22"/>
        </w:rPr>
        <w:t xml:space="preserve"> </w:t>
      </w:r>
      <w:r w:rsidRPr="413888AE">
        <w:t>remain subject to program rules</w:t>
      </w:r>
      <w:r w:rsidRPr="00756DDD">
        <w:rPr>
          <w:bCs/>
          <w:szCs w:val="22"/>
        </w:rPr>
        <w:t>,</w:t>
      </w:r>
      <w:r w:rsidRPr="413888AE">
        <w:t xml:space="preserve"> including the applicable non-compliance measures</w:t>
      </w:r>
      <w:r>
        <w:rPr>
          <w:bCs/>
          <w:szCs w:val="22"/>
        </w:rPr>
        <w:t>,</w:t>
      </w:r>
      <w:r>
        <w:rPr>
          <w:rStyle w:val="FootnoteReference"/>
        </w:rPr>
        <w:footnoteReference w:id="13"/>
      </w:r>
      <w:r w:rsidRPr="413888AE">
        <w:t xml:space="preserve"> for the duration of the support term except as explained below</w:t>
      </w:r>
      <w:r w:rsidRPr="00756DDD">
        <w:rPr>
          <w:bCs/>
          <w:szCs w:val="22"/>
        </w:rPr>
        <w:t>,</w:t>
      </w:r>
      <w:r w:rsidRPr="413888AE">
        <w:t xml:space="preserve"> and they remain committed to serve the eligible census blocks within the remaining CBGs in their supported service areas with voice and broadband service meeting program requirements</w:t>
      </w:r>
      <w:r w:rsidRPr="00756DDD">
        <w:rPr>
          <w:bCs/>
          <w:szCs w:val="22"/>
        </w:rPr>
        <w:t>.</w:t>
      </w:r>
      <w:r>
        <w:rPr>
          <w:bCs/>
          <w:szCs w:val="22"/>
        </w:rPr>
        <w:t xml:space="preserve">  </w:t>
      </w:r>
      <w:r w:rsidRPr="007818CC">
        <w:rPr>
          <w:bCs/>
          <w:szCs w:val="22"/>
        </w:rPr>
        <w:t>BARConnects</w:t>
      </w:r>
      <w:r w:rsidRPr="007818CC">
        <w:rPr>
          <w:bCs/>
          <w:szCs w:val="22"/>
        </w:rPr>
        <w:t xml:space="preserve"> and NAEC </w:t>
      </w:r>
      <w:r>
        <w:rPr>
          <w:bCs/>
          <w:szCs w:val="22"/>
        </w:rPr>
        <w:t xml:space="preserve">also </w:t>
      </w:r>
      <w:r w:rsidRPr="007818CC">
        <w:rPr>
          <w:bCs/>
          <w:szCs w:val="22"/>
        </w:rPr>
        <w:t>remain subject to all</w:t>
      </w:r>
      <w:r>
        <w:rPr>
          <w:bCs/>
          <w:szCs w:val="22"/>
        </w:rPr>
        <w:t xml:space="preserve"> eligible telecommunication carrier</w:t>
      </w:r>
      <w:r w:rsidRPr="007818CC">
        <w:rPr>
          <w:bCs/>
          <w:szCs w:val="22"/>
        </w:rPr>
        <w:t xml:space="preserve"> </w:t>
      </w:r>
      <w:r>
        <w:rPr>
          <w:bCs/>
          <w:szCs w:val="22"/>
        </w:rPr>
        <w:t>(</w:t>
      </w:r>
      <w:r w:rsidRPr="007818CC">
        <w:rPr>
          <w:bCs/>
          <w:szCs w:val="22"/>
        </w:rPr>
        <w:t>ETC</w:t>
      </w:r>
      <w:r>
        <w:rPr>
          <w:bCs/>
          <w:szCs w:val="22"/>
        </w:rPr>
        <w:t>)</w:t>
      </w:r>
      <w:r w:rsidRPr="007818CC">
        <w:rPr>
          <w:bCs/>
          <w:szCs w:val="22"/>
        </w:rPr>
        <w:t xml:space="preserve"> obligations unless and until they follow the relevant procedures to relinquish their designations in the areas where they will not meet their RDOF and/or CAF Phase II auction obligations.</w:t>
      </w:r>
      <w:r>
        <w:rPr>
          <w:rStyle w:val="FootnoteReference"/>
          <w:bCs/>
          <w:szCs w:val="22"/>
        </w:rPr>
        <w:footnoteReference w:id="14"/>
      </w:r>
      <w:r w:rsidRPr="007818CC">
        <w:rPr>
          <w:bCs/>
          <w:szCs w:val="22"/>
        </w:rPr>
        <w:t xml:space="preserve">  Additionally, </w:t>
      </w:r>
      <w:r w:rsidRPr="007818CC">
        <w:rPr>
          <w:bCs/>
          <w:szCs w:val="22"/>
        </w:rPr>
        <w:t>BARConnects</w:t>
      </w:r>
      <w:r w:rsidRPr="007818CC">
        <w:rPr>
          <w:bCs/>
          <w:szCs w:val="22"/>
        </w:rPr>
        <w:t xml:space="preserve"> and NAEC cannot discontinue voice service without Commission approval.</w:t>
      </w:r>
      <w:r>
        <w:rPr>
          <w:rStyle w:val="FootnoteReference"/>
          <w:bCs/>
          <w:szCs w:val="22"/>
        </w:rPr>
        <w:footnoteReference w:id="15"/>
      </w:r>
    </w:p>
    <w:p w:rsidR="007D28BC" w:rsidP="007D28BC" w14:paraId="145653F8" w14:textId="77777777">
      <w:pPr>
        <w:pStyle w:val="ParaNum"/>
        <w:numPr>
          <w:ilvl w:val="0"/>
          <w:numId w:val="0"/>
        </w:numPr>
        <w:spacing w:line="259" w:lineRule="auto"/>
        <w:ind w:firstLine="720"/>
        <w:rPr>
          <w:szCs w:val="22"/>
        </w:rPr>
      </w:pPr>
      <w:r w:rsidRPr="00756DDD">
        <w:rPr>
          <w:bCs/>
          <w:szCs w:val="22"/>
        </w:rPr>
        <w:t>On our own motion, we waive in part section</w:t>
      </w:r>
      <w:r>
        <w:rPr>
          <w:bCs/>
          <w:szCs w:val="22"/>
        </w:rPr>
        <w:t>s</w:t>
      </w:r>
      <w:r w:rsidRPr="00756DDD">
        <w:rPr>
          <w:bCs/>
          <w:szCs w:val="22"/>
        </w:rPr>
        <w:t xml:space="preserve"> 54.320(d)</w:t>
      </w:r>
      <w:r>
        <w:rPr>
          <w:bCs/>
          <w:szCs w:val="22"/>
        </w:rPr>
        <w:t xml:space="preserve"> and 54.806(c)(1)</w:t>
      </w:r>
      <w:r w:rsidRPr="00756DDD">
        <w:rPr>
          <w:bCs/>
          <w:szCs w:val="22"/>
        </w:rPr>
        <w:t xml:space="preserve"> of the Commission’s rules for the census blocks identified in </w:t>
      </w:r>
      <w:r>
        <w:rPr>
          <w:bCs/>
          <w:szCs w:val="22"/>
        </w:rPr>
        <w:t>Appendix</w:t>
      </w:r>
      <w:r w:rsidRPr="00756DDD">
        <w:rPr>
          <w:bCs/>
          <w:szCs w:val="22"/>
        </w:rPr>
        <w:t xml:space="preserve"> A and instruct USAC to stop paying support for </w:t>
      </w:r>
      <w:r>
        <w:rPr>
          <w:bCs/>
          <w:szCs w:val="22"/>
        </w:rPr>
        <w:t>the identified census blocks</w:t>
      </w:r>
      <w:r w:rsidRPr="00756DDD">
        <w:rPr>
          <w:bCs/>
          <w:szCs w:val="22"/>
        </w:rPr>
        <w:t xml:space="preserve"> pursuant to section 54.320(c) of the Commission’s rules.</w:t>
      </w:r>
      <w:r>
        <w:rPr>
          <w:rStyle w:val="FootnoteReference"/>
          <w:bCs/>
          <w:szCs w:val="22"/>
        </w:rPr>
        <w:footnoteReference w:id="16"/>
      </w:r>
      <w:r w:rsidRPr="00756DDD">
        <w:rPr>
          <w:bCs/>
          <w:szCs w:val="22"/>
        </w:rPr>
        <w:t xml:space="preserve">  </w:t>
      </w:r>
      <w:r w:rsidRPr="00756DDD">
        <w:rPr>
          <w:szCs w:val="22"/>
        </w:rPr>
        <w:t>Generally, the Commission’s rules may be waived for good cause shown.</w:t>
      </w:r>
      <w:r>
        <w:rPr>
          <w:rStyle w:val="FootnoteReference"/>
          <w:szCs w:val="22"/>
        </w:rPr>
        <w:footnoteReference w:id="17"/>
      </w:r>
      <w:r w:rsidRPr="00756DDD">
        <w:rPr>
          <w:szCs w:val="22"/>
        </w:rPr>
        <w:t xml:space="preserve">  Waiver of the Commission’s rules is appropriate only if both: (1) special circumstances warrant a deviation from the general rule, and (2) such deviation will serve the public interest.</w:t>
      </w:r>
      <w:r>
        <w:rPr>
          <w:rStyle w:val="FootnoteReference"/>
          <w:spacing w:val="-2"/>
          <w:szCs w:val="22"/>
        </w:rPr>
        <w:footnoteReference w:id="18"/>
      </w:r>
      <w:r w:rsidRPr="00756DDD">
        <w:rPr>
          <w:szCs w:val="22"/>
        </w:rPr>
        <w:t xml:space="preserve">  </w:t>
      </w:r>
    </w:p>
    <w:p w:rsidR="007D28BC" w:rsidRPr="00756DDD" w:rsidP="007D28BC" w14:paraId="4EE00DC9" w14:textId="77777777">
      <w:pPr>
        <w:pStyle w:val="ParaNum"/>
        <w:numPr>
          <w:ilvl w:val="0"/>
          <w:numId w:val="0"/>
        </w:numPr>
        <w:spacing w:line="259" w:lineRule="auto"/>
        <w:ind w:firstLine="720"/>
        <w:rPr>
          <w:bCs/>
          <w:szCs w:val="22"/>
        </w:rPr>
      </w:pPr>
      <w:r w:rsidRPr="6C3B50EF">
        <w:t>Sections 54.320(d) and 54.806(c)(1) of the Commission’s rules set forth a non-compliance framework for RDOF and the CAF Phase II auction.</w:t>
      </w:r>
      <w:r>
        <w:rPr>
          <w:rStyle w:val="FootnoteReference"/>
        </w:rPr>
        <w:footnoteReference w:id="19"/>
      </w:r>
      <w:r>
        <w:rPr>
          <w:szCs w:val="22"/>
        </w:rPr>
        <w:t xml:space="preserve">  </w:t>
      </w:r>
      <w:r w:rsidRPr="6C3B50EF">
        <w:t>RDOF and CAF Phase II auction support recipients are subject to interim service milestones by which they must serve a set number of locations across all of the eligible census blocks in the state each year.</w:t>
      </w:r>
      <w:r>
        <w:rPr>
          <w:rStyle w:val="FootnoteReference"/>
        </w:rPr>
        <w:footnoteReference w:id="20"/>
      </w:r>
      <w:r w:rsidRPr="00756DDD">
        <w:rPr>
          <w:bCs/>
          <w:szCs w:val="22"/>
        </w:rPr>
        <w:t xml:space="preserve">  </w:t>
      </w:r>
      <w:r w:rsidRPr="6C3B50EF">
        <w:t>If a support recipient does not meet an interim</w:t>
      </w:r>
      <w:r w:rsidRPr="00756DDD">
        <w:rPr>
          <w:bCs/>
          <w:szCs w:val="22"/>
        </w:rPr>
        <w:t xml:space="preserve"> </w:t>
      </w:r>
      <w:r w:rsidRPr="6C3B50EF">
        <w:t>service milestone, the support recipient is subject to the non-compliance measures associated with the relevant non-compliance tiers that scale with the size of the compliance gap</w:t>
      </w:r>
      <w:r>
        <w:rPr>
          <w:bCs/>
          <w:szCs w:val="22"/>
        </w:rPr>
        <w:t xml:space="preserve">, </w:t>
      </w:r>
      <w:r w:rsidRPr="6C3B50EF">
        <w:t>and which include reporting and the withholding of an increasing percentage of support.</w:t>
      </w:r>
      <w:r>
        <w:rPr>
          <w:rStyle w:val="FootnoteReference"/>
        </w:rPr>
        <w:footnoteReference w:id="21"/>
      </w:r>
      <w:r w:rsidRPr="00756DDD">
        <w:rPr>
          <w:bCs/>
          <w:szCs w:val="22"/>
        </w:rPr>
        <w:t xml:space="preserve"> </w:t>
      </w:r>
      <w:r>
        <w:rPr>
          <w:bCs/>
          <w:szCs w:val="22"/>
        </w:rPr>
        <w:t xml:space="preserve"> </w:t>
      </w:r>
      <w:r w:rsidRPr="6C3B50EF">
        <w:t>At the end of the deployment period</w:t>
      </w:r>
      <w:r>
        <w:rPr>
          <w:bCs/>
          <w:szCs w:val="22"/>
        </w:rPr>
        <w:t xml:space="preserve">, </w:t>
      </w:r>
      <w:r w:rsidRPr="6C3B50EF">
        <w:t>if the support recipient has not served the required number of locations after an opportunity to cure, we will</w:t>
      </w:r>
      <w:r>
        <w:rPr>
          <w:bCs/>
          <w:szCs w:val="22"/>
        </w:rPr>
        <w:t xml:space="preserve"> </w:t>
      </w:r>
      <w:r w:rsidRPr="6C3B50EF">
        <w:t>recover support received for all defaulted locations on an average support per location basis across CBGs in the support recipient’s service area in a state as required by the Commission’s rules</w:t>
      </w:r>
      <w:r>
        <w:rPr>
          <w:bCs/>
          <w:szCs w:val="22"/>
        </w:rPr>
        <w:t>.</w:t>
      </w:r>
      <w:r>
        <w:rPr>
          <w:rStyle w:val="FootnoteReference"/>
        </w:rPr>
        <w:footnoteReference w:id="22"/>
      </w:r>
      <w:r w:rsidRPr="6C3B50EF">
        <w:t xml:space="preserve">  We also will recover average support received for the unserved locations times a multiplier to reflect that the areas being defaulted on are likely some of the higher cost areas in the support recipient’s service area, plus, in most circumstances,</w:t>
      </w:r>
      <w:r>
        <w:rPr>
          <w:bCs/>
          <w:szCs w:val="22"/>
        </w:rPr>
        <w:t xml:space="preserve"> </w:t>
      </w:r>
      <w:r w:rsidRPr="6C3B50EF">
        <w:t>an additional percentage of</w:t>
      </w:r>
      <w:r>
        <w:rPr>
          <w:bCs/>
          <w:szCs w:val="22"/>
        </w:rPr>
        <w:t xml:space="preserve"> </w:t>
      </w:r>
      <w:r w:rsidRPr="6C3B50EF">
        <w:t>support</w:t>
      </w:r>
      <w:r>
        <w:rPr>
          <w:bCs/>
          <w:szCs w:val="22"/>
        </w:rPr>
        <w:t xml:space="preserve"> </w:t>
      </w:r>
      <w:r w:rsidRPr="6C3B50EF">
        <w:t>that the Commission imposed to discourage non-compliance</w:t>
      </w:r>
      <w:r>
        <w:rPr>
          <w:bCs/>
          <w:szCs w:val="22"/>
        </w:rPr>
        <w:t>.</w:t>
      </w:r>
      <w:r>
        <w:rPr>
          <w:rStyle w:val="FootnoteReference"/>
        </w:rPr>
        <w:footnoteReference w:id="23"/>
      </w:r>
      <w:r>
        <w:rPr>
          <w:bCs/>
          <w:szCs w:val="22"/>
        </w:rPr>
        <w:t xml:space="preserve">  </w:t>
      </w:r>
      <w:r w:rsidRPr="6C3B50EF">
        <w:t>Support is recovered sooner for support recipients in Tier 4</w:t>
      </w:r>
      <w:r>
        <w:rPr>
          <w:bCs/>
          <w:szCs w:val="22"/>
        </w:rPr>
        <w:t xml:space="preserve"> </w:t>
      </w:r>
      <w:r w:rsidRPr="6C3B50EF">
        <w:t>that have failed to serve more than 50% of the required number of locations and</w:t>
      </w:r>
      <w:r>
        <w:rPr>
          <w:bCs/>
          <w:szCs w:val="22"/>
        </w:rPr>
        <w:t xml:space="preserve"> </w:t>
      </w:r>
      <w:r w:rsidRPr="6C3B50EF">
        <w:t>after having 50% of their support withheld for six months</w:t>
      </w:r>
      <w:r>
        <w:rPr>
          <w:bCs/>
          <w:szCs w:val="22"/>
        </w:rPr>
        <w:t>.</w:t>
      </w:r>
      <w:r>
        <w:rPr>
          <w:rStyle w:val="FootnoteReference"/>
        </w:rPr>
        <w:footnoteReference w:id="24"/>
      </w:r>
      <w:r>
        <w:rPr>
          <w:bCs/>
          <w:szCs w:val="22"/>
        </w:rPr>
        <w:t xml:space="preserve">  </w:t>
      </w:r>
      <w:r w:rsidRPr="00756DDD">
        <w:rPr>
          <w:bCs/>
          <w:szCs w:val="22"/>
        </w:rPr>
        <w:t xml:space="preserve"> </w:t>
      </w:r>
    </w:p>
    <w:p w:rsidR="007D28BC" w:rsidP="007D28BC" w14:paraId="047DB6CF" w14:textId="77777777">
      <w:pPr>
        <w:spacing w:after="120" w:line="259" w:lineRule="auto"/>
        <w:ind w:firstLine="720"/>
        <w:rPr>
          <w:bCs/>
          <w:szCs w:val="22"/>
        </w:rPr>
      </w:pPr>
      <w:r>
        <w:rPr>
          <w:bCs/>
          <w:szCs w:val="22"/>
        </w:rPr>
        <w:t xml:space="preserve">We </w:t>
      </w:r>
      <w:r w:rsidRPr="00756DDD">
        <w:rPr>
          <w:bCs/>
          <w:szCs w:val="22"/>
        </w:rPr>
        <w:t xml:space="preserve">find good cause to </w:t>
      </w:r>
      <w:r>
        <w:rPr>
          <w:bCs/>
          <w:szCs w:val="22"/>
        </w:rPr>
        <w:t xml:space="preserve">stop </w:t>
      </w:r>
      <w:r w:rsidRPr="00756DDD">
        <w:rPr>
          <w:bCs/>
          <w:szCs w:val="22"/>
        </w:rPr>
        <w:t>payments for the identified census blocks for the remainder of the support term</w:t>
      </w:r>
      <w:r>
        <w:rPr>
          <w:bCs/>
          <w:szCs w:val="22"/>
        </w:rPr>
        <w:t xml:space="preserve"> with no opportunity to cure, r</w:t>
      </w:r>
      <w:r w:rsidRPr="00756DDD">
        <w:rPr>
          <w:bCs/>
          <w:szCs w:val="22"/>
        </w:rPr>
        <w:t xml:space="preserve">ather than withhold </w:t>
      </w:r>
      <w:r>
        <w:rPr>
          <w:bCs/>
          <w:szCs w:val="22"/>
        </w:rPr>
        <w:t xml:space="preserve">and recover future </w:t>
      </w:r>
      <w:r w:rsidRPr="00756DDD">
        <w:rPr>
          <w:bCs/>
          <w:szCs w:val="22"/>
        </w:rPr>
        <w:t>support</w:t>
      </w:r>
      <w:r>
        <w:rPr>
          <w:bCs/>
          <w:szCs w:val="22"/>
        </w:rPr>
        <w:t xml:space="preserve"> for the census blocks</w:t>
      </w:r>
      <w:r w:rsidRPr="00756DDD">
        <w:rPr>
          <w:bCs/>
          <w:szCs w:val="22"/>
        </w:rPr>
        <w:t xml:space="preserve"> in accordance with the non-compliance </w:t>
      </w:r>
      <w:r>
        <w:rPr>
          <w:bCs/>
          <w:szCs w:val="22"/>
        </w:rPr>
        <w:t>t</w:t>
      </w:r>
      <w:r w:rsidRPr="00756DDD">
        <w:rPr>
          <w:bCs/>
          <w:szCs w:val="22"/>
        </w:rPr>
        <w:t xml:space="preserve">iers </w:t>
      </w:r>
      <w:r>
        <w:rPr>
          <w:bCs/>
          <w:szCs w:val="22"/>
        </w:rPr>
        <w:t xml:space="preserve">and support recovery process </w:t>
      </w:r>
      <w:r w:rsidRPr="00756DDD">
        <w:rPr>
          <w:bCs/>
          <w:szCs w:val="22"/>
        </w:rPr>
        <w:t>set forth in section</w:t>
      </w:r>
      <w:r>
        <w:rPr>
          <w:bCs/>
          <w:szCs w:val="22"/>
        </w:rPr>
        <w:t>s</w:t>
      </w:r>
      <w:r w:rsidRPr="00756DDD">
        <w:rPr>
          <w:bCs/>
          <w:szCs w:val="22"/>
        </w:rPr>
        <w:t xml:space="preserve"> 54.320(d)</w:t>
      </w:r>
      <w:r>
        <w:rPr>
          <w:bCs/>
          <w:szCs w:val="22"/>
        </w:rPr>
        <w:t xml:space="preserve"> and 54.806(c)(1) of the Commission’s rules</w:t>
      </w:r>
      <w:r w:rsidRPr="00756DDD">
        <w:rPr>
          <w:bCs/>
          <w:szCs w:val="22"/>
        </w:rPr>
        <w:t>.</w:t>
      </w:r>
      <w:r>
        <w:rPr>
          <w:rStyle w:val="FootnoteReference"/>
          <w:bCs/>
          <w:szCs w:val="22"/>
        </w:rPr>
        <w:footnoteReference w:id="25"/>
      </w:r>
      <w:r w:rsidRPr="00756DDD">
        <w:rPr>
          <w:bCs/>
          <w:szCs w:val="22"/>
        </w:rPr>
        <w:t xml:space="preserve">  </w:t>
      </w:r>
      <w:r>
        <w:rPr>
          <w:bCs/>
          <w:szCs w:val="22"/>
        </w:rPr>
        <w:t>The Commission specifically adopted the non-compliance tiers and support recovery rules to incent carriers to come back into compliance with the service milestones.</w:t>
      </w:r>
      <w:r>
        <w:rPr>
          <w:rStyle w:val="FootnoteReference"/>
          <w:bCs/>
          <w:szCs w:val="22"/>
        </w:rPr>
        <w:footnoteReference w:id="26"/>
      </w:r>
      <w:r>
        <w:rPr>
          <w:bCs/>
          <w:szCs w:val="22"/>
        </w:rPr>
        <w:t xml:space="preserve">  Here, we find there are special circumstances because the support recipients have notified the Commission that they will not serve these census blocks and thus have no intention of coming back into compliance by serving the locations within these census blocks later on in the deployment term.  Moreover, we find that it serves the public interest to stop paying support for these census blocks immediately.  As stewards of the public’s funding, it is our responsibility to implement safeguards to ensure that these funds are being used for their intended purpose.</w:t>
      </w:r>
      <w:r>
        <w:rPr>
          <w:rStyle w:val="FootnoteReference"/>
          <w:bCs/>
          <w:szCs w:val="22"/>
        </w:rPr>
        <w:footnoteReference w:id="27"/>
      </w:r>
      <w:r>
        <w:rPr>
          <w:bCs/>
          <w:szCs w:val="22"/>
        </w:rPr>
        <w:t xml:space="preserve">  By stopping payments to these areas, we will ensure that we are not spending limited funds on locations that support recipients have no intention of serving and will reduce the risk that the Commission would not be able to recover support at the end of the support term for such locations.</w:t>
      </w:r>
    </w:p>
    <w:p w:rsidR="007D28BC" w:rsidRPr="00756DDD" w:rsidP="007D28BC" w14:paraId="65DACE0E" w14:textId="77777777">
      <w:pPr>
        <w:spacing w:after="120" w:line="259" w:lineRule="auto"/>
        <w:ind w:firstLine="720"/>
      </w:pPr>
      <w:r w:rsidRPr="6C3B50EF">
        <w:t xml:space="preserve">Despite our </w:t>
      </w:r>
      <w:r>
        <w:t>limited</w:t>
      </w:r>
      <w:r w:rsidRPr="6C3B50EF">
        <w:t xml:space="preserve"> waiver</w:t>
      </w:r>
      <w:r>
        <w:rPr>
          <w:bCs/>
          <w:szCs w:val="22"/>
        </w:rPr>
        <w:t>,</w:t>
      </w:r>
      <w:r w:rsidRPr="6C3B50EF">
        <w:t xml:space="preserve"> which as we describe above is narrowly limited to stopping payments of future support for the identified census blocks</w:t>
      </w:r>
      <w:r>
        <w:rPr>
          <w:bCs/>
          <w:szCs w:val="22"/>
        </w:rPr>
        <w:t xml:space="preserve">, </w:t>
      </w:r>
      <w:r w:rsidRPr="6C3B50EF">
        <w:t>BARConnects</w:t>
      </w:r>
      <w:r w:rsidRPr="6C3B50EF">
        <w:t xml:space="preserve"> and NAEC</w:t>
      </w:r>
      <w:r>
        <w:rPr>
          <w:bCs/>
          <w:szCs w:val="22"/>
        </w:rPr>
        <w:t xml:space="preserve"> </w:t>
      </w:r>
      <w:r w:rsidRPr="6C3B50EF">
        <w:t>otherwise remain subject to sections 54.320(d) and 54.806(c)(1) of the Commission’s rules</w:t>
      </w:r>
      <w:r>
        <w:rPr>
          <w:bCs/>
          <w:szCs w:val="22"/>
        </w:rPr>
        <w:t>.</w:t>
      </w:r>
      <w:r>
        <w:rPr>
          <w:rStyle w:val="FootnoteReference"/>
        </w:rPr>
        <w:footnoteReference w:id="28"/>
      </w:r>
      <w:r w:rsidRPr="6C3B50EF">
        <w:t xml:space="preserve">  If the support recipients fail to meet their interim service milestones by not serving the required number of locations based on their original</w:t>
      </w:r>
      <w:r>
        <w:rPr>
          <w:bCs/>
          <w:szCs w:val="22"/>
        </w:rPr>
        <w:t xml:space="preserve"> </w:t>
      </w:r>
      <w:r w:rsidRPr="6C3B50EF">
        <w:t>authorized location total, they will be placed in the associated non-compliance tier</w:t>
      </w:r>
      <w:r>
        <w:rPr>
          <w:bCs/>
          <w:szCs w:val="22"/>
        </w:rPr>
        <w:t>.</w:t>
      </w:r>
      <w:r>
        <w:rPr>
          <w:rStyle w:val="FootnoteReference"/>
        </w:rPr>
        <w:footnoteReference w:id="29"/>
      </w:r>
      <w:r>
        <w:rPr>
          <w:bCs/>
          <w:szCs w:val="22"/>
        </w:rPr>
        <w:t xml:space="preserve">  </w:t>
      </w:r>
      <w:r w:rsidRPr="6C3B50EF">
        <w:t xml:space="preserve">If the applicable non-compliance tier requires that we withhold </w:t>
      </w:r>
      <w:r>
        <w:t xml:space="preserve">an amount of support </w:t>
      </w:r>
      <w:r w:rsidRPr="6C3B50EF">
        <w:t xml:space="preserve">that exceeds the amount of support we </w:t>
      </w:r>
      <w:r>
        <w:t>have stopped paying</w:t>
      </w:r>
      <w:r w:rsidRPr="6C3B50EF">
        <w:t xml:space="preserve"> for the identified census blocks, we will withhold </w:t>
      </w:r>
      <w:r>
        <w:t xml:space="preserve">an amount of additional support that equals </w:t>
      </w:r>
      <w:r w:rsidRPr="6C3B50EF">
        <w:t>the difference between</w:t>
      </w:r>
      <w:r>
        <w:t xml:space="preserve">: </w:t>
      </w:r>
      <w:r w:rsidRPr="6C3B50EF">
        <w:t xml:space="preserve"> </w:t>
      </w:r>
      <w:r>
        <w:t xml:space="preserve">1) </w:t>
      </w:r>
      <w:r w:rsidRPr="6C3B50EF">
        <w:t xml:space="preserve">the amount </w:t>
      </w:r>
      <w:r>
        <w:t>of</w:t>
      </w:r>
      <w:r w:rsidRPr="6C3B50EF">
        <w:t xml:space="preserve"> support required to be withheld pursuant to section 54.320(d)(1)</w:t>
      </w:r>
      <w:r>
        <w:t>,</w:t>
      </w:r>
      <w:r w:rsidRPr="6C3B50EF">
        <w:t xml:space="preserve"> and </w:t>
      </w:r>
      <w:r>
        <w:t>2)</w:t>
      </w:r>
      <w:r w:rsidRPr="6C3B50EF">
        <w:t xml:space="preserve"> the amount of support we stopped paying for the identified census blocks.</w:t>
      </w:r>
      <w:r>
        <w:rPr>
          <w:rStyle w:val="FootnoteReference"/>
        </w:rPr>
        <w:footnoteReference w:id="30"/>
      </w:r>
      <w:r>
        <w:rPr>
          <w:bCs/>
          <w:szCs w:val="22"/>
        </w:rPr>
        <w:t xml:space="preserve">  </w:t>
      </w:r>
      <w:r w:rsidRPr="6C3B50EF">
        <w:t xml:space="preserve">If the applicable non-compliance tier requires that we withhold less support than the amount of support we have stopped paying </w:t>
      </w:r>
      <w:r>
        <w:t xml:space="preserve">for the identified census blocks </w:t>
      </w:r>
      <w:r w:rsidRPr="6C3B50EF">
        <w:t>pursuant to our limited waiver, we will make no further adjustments to the support recipient’s monthly disbursement</w:t>
      </w:r>
      <w:r>
        <w:t>, i.e., we will withhold no support other than the support we stopped paying for the identified census blocks</w:t>
      </w:r>
      <w:r w:rsidRPr="6C3B50EF">
        <w:t>.</w:t>
      </w:r>
      <w:r>
        <w:rPr>
          <w:rStyle w:val="FootnoteReference"/>
        </w:rPr>
        <w:footnoteReference w:id="31"/>
      </w:r>
      <w:r w:rsidRPr="6C3B50EF">
        <w:t xml:space="preserve">  At the end of the deployment period, we will apply section 54.320(d)(2) or 54.806(c)(1</w:t>
      </w:r>
      <w:r>
        <w:rPr>
          <w:bCs/>
          <w:szCs w:val="22"/>
        </w:rPr>
        <w:t>)</w:t>
      </w:r>
      <w:r w:rsidRPr="6C3B50EF">
        <w:t xml:space="preserve"> to recover support for all unserved locations, including the locations covered by the identified census blocks</w:t>
      </w:r>
      <w:r>
        <w:rPr>
          <w:bCs/>
          <w:szCs w:val="22"/>
        </w:rPr>
        <w:t>.</w:t>
      </w:r>
      <w:r>
        <w:rPr>
          <w:rStyle w:val="FootnoteReference"/>
        </w:rPr>
        <w:footnoteReference w:id="32"/>
      </w:r>
      <w:r>
        <w:rPr>
          <w:bCs/>
          <w:szCs w:val="22"/>
        </w:rPr>
        <w:t xml:space="preserve">  </w:t>
      </w:r>
      <w:r w:rsidRPr="6C3B50EF">
        <w:t>Any additional issues related to the support recovery required by sections 54.320(d)(2) and 54.806(c)(1) of the Commission’s rules will be addressed in a separate release.</w:t>
      </w:r>
      <w:r>
        <w:rPr>
          <w:rStyle w:val="FootnoteReference"/>
        </w:rPr>
        <w:footnoteReference w:id="33"/>
      </w:r>
    </w:p>
    <w:p w:rsidR="007D28BC" w:rsidP="007D28BC" w14:paraId="161FEB65" w14:textId="77777777">
      <w:pPr>
        <w:ind w:firstLine="720"/>
        <w:rPr>
          <w:bCs/>
          <w:sz w:val="24"/>
        </w:rPr>
      </w:pPr>
    </w:p>
    <w:p w:rsidR="007D28BC" w:rsidRPr="00893B45" w:rsidP="007D28BC" w14:paraId="61964247" w14:textId="77777777">
      <w:pPr>
        <w:widowControl/>
        <w:jc w:val="center"/>
        <w:rPr>
          <w:szCs w:val="22"/>
        </w:rPr>
      </w:pPr>
      <w:r w:rsidRPr="00077C10">
        <w:rPr>
          <w:b/>
        </w:rPr>
        <w:t>-FCC-</w:t>
      </w:r>
    </w:p>
    <w:p w:rsidR="007D28BC" w:rsidP="007D28BC" w14:paraId="5C798DA9" w14:textId="77777777">
      <w:pPr>
        <w:ind w:firstLine="720"/>
        <w:rPr>
          <w:bCs/>
          <w:sz w:val="24"/>
        </w:rPr>
      </w:pPr>
    </w:p>
    <w:p w:rsidR="007D28BC" w:rsidP="007D28BC" w14:paraId="3E3C6D81" w14:textId="77777777">
      <w:pPr>
        <w:ind w:firstLine="720"/>
        <w:rPr>
          <w:bCs/>
          <w:sz w:val="24"/>
        </w:rPr>
      </w:pPr>
    </w:p>
    <w:p w:rsidR="007D28BC" w:rsidRPr="001528B4" w:rsidP="007D28BC" w14:paraId="2F41B0ED" w14:textId="77777777">
      <w:pPr>
        <w:ind w:firstLine="720"/>
        <w:rPr>
          <w:bCs/>
          <w:sz w:val="24"/>
        </w:rPr>
      </w:pPr>
    </w:p>
    <w:p w:rsidR="007D28BC" w:rsidP="007D28BC" w14:paraId="062D3D62" w14:textId="77777777"/>
    <w:p w:rsidR="007D28BC" w:rsidP="007D28BC" w14:paraId="10987E72" w14:textId="77777777"/>
    <w:bookmarkEnd w:id="0"/>
    <w:p w:rsidR="007D28BC" w:rsidP="007D28BC" w14:paraId="4537847A" w14:textId="77777777">
      <w:pPr>
        <w:jc w:val="center"/>
        <w:rPr>
          <w:b/>
          <w:bCs/>
        </w:rPr>
      </w:pPr>
      <w:r>
        <w:br w:type="page"/>
      </w:r>
      <w:r>
        <w:rPr>
          <w:b/>
          <w:bCs/>
        </w:rPr>
        <w:t>Appendix</w:t>
      </w:r>
      <w:r w:rsidRPr="00D276E0">
        <w:rPr>
          <w:b/>
          <w:bCs/>
        </w:rPr>
        <w:t xml:space="preserve"> A</w:t>
      </w:r>
    </w:p>
    <w:p w:rsidR="007D28BC" w:rsidP="007D28BC" w14:paraId="7DE20479" w14:textId="77777777">
      <w:pPr>
        <w:jc w:val="center"/>
        <w:rPr>
          <w:b/>
          <w:bCs/>
        </w:rPr>
      </w:pPr>
    </w:p>
    <w:p w:rsidR="007D28BC" w:rsidP="007D28BC" w14:paraId="62D29316" w14:textId="77777777">
      <w:pPr>
        <w:jc w:val="center"/>
        <w:rPr>
          <w:b/>
          <w:bCs/>
        </w:rPr>
      </w:pPr>
    </w:p>
    <w:p w:rsidR="007D28BC" w:rsidP="007D28BC" w14:paraId="43619A05" w14:textId="77777777">
      <w:pPr>
        <w:rPr>
          <w:b/>
          <w:bCs/>
        </w:rPr>
      </w:pPr>
      <w:r>
        <w:rPr>
          <w:b/>
          <w:bCs/>
        </w:rPr>
        <w:t>BARConnects</w:t>
      </w:r>
      <w:r>
        <w:rPr>
          <w:b/>
          <w:bCs/>
        </w:rPr>
        <w:t>, LLC</w:t>
      </w:r>
    </w:p>
    <w:p w:rsidR="007D28BC" w:rsidP="007D28BC" w14:paraId="125E824B" w14:textId="77777777">
      <w:pPr>
        <w:rPr>
          <w:b/>
          <w:bCs/>
        </w:rPr>
      </w:pPr>
    </w:p>
    <w:p w:rsidR="007D28BC" w:rsidP="007D28BC" w14:paraId="4EB92DDE" w14:textId="77777777">
      <w:pPr>
        <w:rPr>
          <w:i/>
          <w:iCs/>
        </w:rPr>
      </w:pPr>
      <w:r w:rsidRPr="00D276E0">
        <w:rPr>
          <w:i/>
          <w:iCs/>
        </w:rPr>
        <w:t>RDOF Defaulted Census Blocks</w:t>
      </w:r>
    </w:p>
    <w:p w:rsidR="007D28BC" w:rsidRPr="00494E06" w:rsidP="007D28BC" w14:paraId="31218773" w14:textId="77777777">
      <w:pPr>
        <w:rPr>
          <w:i/>
          <w:iCs/>
        </w:rPr>
      </w:pPr>
    </w:p>
    <w:tbl>
      <w:tblPr>
        <w:tblW w:w="10400" w:type="dxa"/>
        <w:tblInd w:w="118" w:type="dxa"/>
        <w:tblLook w:val="04A0"/>
      </w:tblPr>
      <w:tblGrid>
        <w:gridCol w:w="2380"/>
        <w:gridCol w:w="1600"/>
        <w:gridCol w:w="1040"/>
        <w:gridCol w:w="1180"/>
        <w:gridCol w:w="1520"/>
        <w:gridCol w:w="2680"/>
      </w:tblGrid>
      <w:tr w14:paraId="7DA76D4B" w14:textId="77777777" w:rsidTr="002860A6">
        <w:tblPrEx>
          <w:tblW w:w="10400" w:type="dxa"/>
          <w:tblInd w:w="118" w:type="dxa"/>
          <w:tblLook w:val="04A0"/>
        </w:tblPrEx>
        <w:trPr>
          <w:trHeight w:val="480"/>
        </w:trPr>
        <w:tc>
          <w:tcPr>
            <w:tcW w:w="2380"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7D28BC" w:rsidRPr="00306B99" w:rsidP="002860A6" w14:paraId="6E560C88" w14:textId="77777777">
            <w:pPr>
              <w:widowControl/>
              <w:rPr>
                <w:b/>
                <w:bCs/>
                <w:snapToGrid/>
                <w:color w:val="000000"/>
                <w:kern w:val="0"/>
                <w:szCs w:val="22"/>
              </w:rPr>
            </w:pPr>
            <w:r w:rsidRPr="00306B99">
              <w:rPr>
                <w:b/>
                <w:bCs/>
                <w:snapToGrid/>
                <w:color w:val="000000"/>
                <w:kern w:val="0"/>
                <w:szCs w:val="22"/>
              </w:rPr>
              <w:t>Applicant</w:t>
            </w:r>
          </w:p>
        </w:tc>
        <w:tc>
          <w:tcPr>
            <w:tcW w:w="1600" w:type="dxa"/>
            <w:tcBorders>
              <w:top w:val="single" w:sz="8" w:space="0" w:color="auto"/>
              <w:left w:val="nil"/>
              <w:bottom w:val="double" w:sz="6" w:space="0" w:color="auto"/>
              <w:right w:val="single" w:sz="4" w:space="0" w:color="auto"/>
            </w:tcBorders>
            <w:shd w:val="clear" w:color="auto" w:fill="auto"/>
            <w:noWrap/>
            <w:vAlign w:val="center"/>
            <w:hideMark/>
          </w:tcPr>
          <w:p w:rsidR="007D28BC" w:rsidRPr="00306B99" w:rsidP="002860A6" w14:paraId="762BC1BA" w14:textId="77777777">
            <w:pPr>
              <w:widowControl/>
              <w:jc w:val="center"/>
              <w:rPr>
                <w:b/>
                <w:bCs/>
                <w:snapToGrid/>
                <w:color w:val="000000"/>
                <w:kern w:val="0"/>
                <w:szCs w:val="22"/>
              </w:rPr>
            </w:pPr>
            <w:r w:rsidRPr="00306B99">
              <w:rPr>
                <w:b/>
                <w:bCs/>
                <w:snapToGrid/>
                <w:color w:val="000000"/>
                <w:kern w:val="0"/>
                <w:szCs w:val="22"/>
              </w:rPr>
              <w:t>FRN</w:t>
            </w:r>
          </w:p>
        </w:tc>
        <w:tc>
          <w:tcPr>
            <w:tcW w:w="1040" w:type="dxa"/>
            <w:tcBorders>
              <w:top w:val="single" w:sz="8" w:space="0" w:color="auto"/>
              <w:left w:val="nil"/>
              <w:bottom w:val="double" w:sz="6" w:space="0" w:color="auto"/>
              <w:right w:val="single" w:sz="4" w:space="0" w:color="auto"/>
            </w:tcBorders>
            <w:shd w:val="clear" w:color="auto" w:fill="auto"/>
            <w:vAlign w:val="center"/>
            <w:hideMark/>
          </w:tcPr>
          <w:p w:rsidR="007D28BC" w:rsidRPr="00306B99" w:rsidP="002860A6" w14:paraId="07B3F462" w14:textId="77777777">
            <w:pPr>
              <w:widowControl/>
              <w:rPr>
                <w:b/>
                <w:bCs/>
                <w:snapToGrid/>
                <w:color w:val="000000"/>
                <w:kern w:val="0"/>
                <w:szCs w:val="22"/>
              </w:rPr>
            </w:pPr>
            <w:r w:rsidRPr="00306B99">
              <w:rPr>
                <w:b/>
                <w:bCs/>
                <w:snapToGrid/>
                <w:color w:val="000000"/>
                <w:kern w:val="0"/>
                <w:szCs w:val="22"/>
              </w:rPr>
              <w:t>State</w:t>
            </w:r>
          </w:p>
        </w:tc>
        <w:tc>
          <w:tcPr>
            <w:tcW w:w="1180" w:type="dxa"/>
            <w:tcBorders>
              <w:top w:val="single" w:sz="8" w:space="0" w:color="auto"/>
              <w:left w:val="nil"/>
              <w:bottom w:val="double" w:sz="6" w:space="0" w:color="auto"/>
              <w:right w:val="single" w:sz="4" w:space="0" w:color="auto"/>
            </w:tcBorders>
            <w:shd w:val="clear" w:color="auto" w:fill="auto"/>
            <w:noWrap/>
            <w:vAlign w:val="center"/>
            <w:hideMark/>
          </w:tcPr>
          <w:p w:rsidR="007D28BC" w:rsidRPr="00306B99" w:rsidP="002860A6" w14:paraId="1DB3182A" w14:textId="77777777">
            <w:pPr>
              <w:widowControl/>
              <w:jc w:val="center"/>
              <w:rPr>
                <w:b/>
                <w:bCs/>
                <w:snapToGrid/>
                <w:color w:val="000000"/>
                <w:kern w:val="0"/>
                <w:szCs w:val="22"/>
              </w:rPr>
            </w:pPr>
            <w:r w:rsidRPr="00306B99">
              <w:rPr>
                <w:b/>
                <w:bCs/>
                <w:snapToGrid/>
                <w:color w:val="000000"/>
                <w:kern w:val="0"/>
                <w:szCs w:val="22"/>
              </w:rPr>
              <w:t>Study Area Code</w:t>
            </w:r>
          </w:p>
        </w:tc>
        <w:tc>
          <w:tcPr>
            <w:tcW w:w="1520" w:type="dxa"/>
            <w:tcBorders>
              <w:top w:val="single" w:sz="8" w:space="0" w:color="auto"/>
              <w:left w:val="nil"/>
              <w:bottom w:val="double" w:sz="6" w:space="0" w:color="auto"/>
              <w:right w:val="single" w:sz="4" w:space="0" w:color="auto"/>
            </w:tcBorders>
            <w:shd w:val="clear" w:color="auto" w:fill="auto"/>
            <w:noWrap/>
            <w:vAlign w:val="center"/>
            <w:hideMark/>
          </w:tcPr>
          <w:p w:rsidR="007D28BC" w:rsidRPr="00306B99" w:rsidP="002860A6" w14:paraId="7AB2BE73" w14:textId="77777777">
            <w:pPr>
              <w:widowControl/>
              <w:rPr>
                <w:b/>
                <w:bCs/>
                <w:snapToGrid/>
                <w:color w:val="000000"/>
                <w:kern w:val="0"/>
                <w:szCs w:val="22"/>
              </w:rPr>
            </w:pPr>
            <w:r w:rsidRPr="00306B99">
              <w:rPr>
                <w:b/>
                <w:bCs/>
                <w:snapToGrid/>
                <w:color w:val="000000"/>
                <w:kern w:val="0"/>
                <w:szCs w:val="22"/>
              </w:rPr>
              <w:t>County</w:t>
            </w:r>
          </w:p>
        </w:tc>
        <w:tc>
          <w:tcPr>
            <w:tcW w:w="2680" w:type="dxa"/>
            <w:tcBorders>
              <w:top w:val="single" w:sz="8" w:space="0" w:color="auto"/>
              <w:left w:val="nil"/>
              <w:bottom w:val="double" w:sz="6" w:space="0" w:color="auto"/>
              <w:right w:val="single" w:sz="8" w:space="0" w:color="auto"/>
            </w:tcBorders>
            <w:shd w:val="clear" w:color="auto" w:fill="auto"/>
            <w:vAlign w:val="center"/>
            <w:hideMark/>
          </w:tcPr>
          <w:p w:rsidR="007D28BC" w:rsidRPr="00306B99" w:rsidP="002860A6" w14:paraId="36412EA6" w14:textId="77777777">
            <w:pPr>
              <w:widowControl/>
              <w:jc w:val="center"/>
              <w:rPr>
                <w:b/>
                <w:bCs/>
                <w:snapToGrid/>
                <w:color w:val="000000"/>
                <w:kern w:val="0"/>
                <w:szCs w:val="22"/>
              </w:rPr>
            </w:pPr>
            <w:r w:rsidRPr="00306B99">
              <w:rPr>
                <w:b/>
                <w:bCs/>
                <w:snapToGrid/>
                <w:color w:val="000000"/>
                <w:kern w:val="0"/>
                <w:szCs w:val="22"/>
              </w:rPr>
              <w:t>Census Block Number</w:t>
            </w:r>
          </w:p>
        </w:tc>
      </w:tr>
      <w:tr w14:paraId="2F74205D" w14:textId="77777777" w:rsidTr="002860A6">
        <w:tblPrEx>
          <w:tblW w:w="10400" w:type="dxa"/>
          <w:tblInd w:w="118" w:type="dxa"/>
          <w:tblLook w:val="04A0"/>
        </w:tblPrEx>
        <w:trPr>
          <w:trHeight w:val="315"/>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B18D20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3E331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3A6C9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65C7E3"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B204D1"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66F85FD" w14:textId="77777777">
            <w:pPr>
              <w:widowControl/>
              <w:jc w:val="center"/>
              <w:rPr>
                <w:snapToGrid/>
                <w:color w:val="000000"/>
                <w:kern w:val="0"/>
                <w:szCs w:val="22"/>
              </w:rPr>
            </w:pPr>
            <w:r w:rsidRPr="00306B99">
              <w:rPr>
                <w:snapToGrid/>
                <w:color w:val="000000"/>
                <w:kern w:val="0"/>
                <w:szCs w:val="22"/>
              </w:rPr>
              <w:t>510150701001006</w:t>
            </w:r>
          </w:p>
        </w:tc>
      </w:tr>
      <w:tr w14:paraId="1984548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50A678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32746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A9068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6D860D"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BC5BFE"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D21ECBF" w14:textId="77777777">
            <w:pPr>
              <w:widowControl/>
              <w:jc w:val="center"/>
              <w:rPr>
                <w:snapToGrid/>
                <w:color w:val="000000"/>
                <w:kern w:val="0"/>
                <w:szCs w:val="22"/>
              </w:rPr>
            </w:pPr>
            <w:r w:rsidRPr="00306B99">
              <w:rPr>
                <w:snapToGrid/>
                <w:color w:val="000000"/>
                <w:kern w:val="0"/>
                <w:szCs w:val="22"/>
              </w:rPr>
              <w:t>510150701001014</w:t>
            </w:r>
          </w:p>
        </w:tc>
      </w:tr>
      <w:tr w14:paraId="2FE28B2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4AC4DC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2FEF9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06F46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DA117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DDE9F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655E61" w14:textId="77777777">
            <w:pPr>
              <w:widowControl/>
              <w:jc w:val="center"/>
              <w:rPr>
                <w:snapToGrid/>
                <w:color w:val="000000"/>
                <w:kern w:val="0"/>
                <w:szCs w:val="22"/>
              </w:rPr>
            </w:pPr>
            <w:r w:rsidRPr="00306B99">
              <w:rPr>
                <w:snapToGrid/>
                <w:color w:val="000000"/>
                <w:kern w:val="0"/>
                <w:szCs w:val="22"/>
              </w:rPr>
              <w:t>510150701001016</w:t>
            </w:r>
          </w:p>
        </w:tc>
      </w:tr>
      <w:tr w14:paraId="238981E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102125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85868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864EA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84D25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86DDE7"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5FBAF87" w14:textId="77777777">
            <w:pPr>
              <w:widowControl/>
              <w:jc w:val="center"/>
              <w:rPr>
                <w:snapToGrid/>
                <w:color w:val="000000"/>
                <w:kern w:val="0"/>
                <w:szCs w:val="22"/>
              </w:rPr>
            </w:pPr>
            <w:r w:rsidRPr="00306B99">
              <w:rPr>
                <w:snapToGrid/>
                <w:color w:val="000000"/>
                <w:kern w:val="0"/>
                <w:szCs w:val="22"/>
              </w:rPr>
              <w:t>510150701001017</w:t>
            </w:r>
          </w:p>
        </w:tc>
      </w:tr>
      <w:tr w14:paraId="4AB231F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D48FC5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0580C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293C5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FD83D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B8AB7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196366A" w14:textId="77777777">
            <w:pPr>
              <w:widowControl/>
              <w:jc w:val="center"/>
              <w:rPr>
                <w:snapToGrid/>
                <w:color w:val="000000"/>
                <w:kern w:val="0"/>
                <w:szCs w:val="22"/>
              </w:rPr>
            </w:pPr>
            <w:r w:rsidRPr="00306B99">
              <w:rPr>
                <w:snapToGrid/>
                <w:color w:val="000000"/>
                <w:kern w:val="0"/>
                <w:szCs w:val="22"/>
              </w:rPr>
              <w:t>510150701001021</w:t>
            </w:r>
          </w:p>
        </w:tc>
      </w:tr>
      <w:tr w14:paraId="67F1F82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1337FB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B73EB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ECAA0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446C7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0216D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83297B0" w14:textId="77777777">
            <w:pPr>
              <w:widowControl/>
              <w:jc w:val="center"/>
              <w:rPr>
                <w:snapToGrid/>
                <w:color w:val="000000"/>
                <w:kern w:val="0"/>
                <w:szCs w:val="22"/>
              </w:rPr>
            </w:pPr>
            <w:r w:rsidRPr="00306B99">
              <w:rPr>
                <w:snapToGrid/>
                <w:color w:val="000000"/>
                <w:kern w:val="0"/>
                <w:szCs w:val="22"/>
              </w:rPr>
              <w:t>510150701001022</w:t>
            </w:r>
          </w:p>
        </w:tc>
      </w:tr>
      <w:tr w14:paraId="06F9CD6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8C9D95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A4C5E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486E09"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B1F736"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6595F7"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D372100" w14:textId="77777777">
            <w:pPr>
              <w:widowControl/>
              <w:jc w:val="center"/>
              <w:rPr>
                <w:snapToGrid/>
                <w:color w:val="000000"/>
                <w:kern w:val="0"/>
                <w:szCs w:val="22"/>
              </w:rPr>
            </w:pPr>
            <w:r w:rsidRPr="00306B99">
              <w:rPr>
                <w:snapToGrid/>
                <w:color w:val="000000"/>
                <w:kern w:val="0"/>
                <w:szCs w:val="22"/>
              </w:rPr>
              <w:t>510150701001029</w:t>
            </w:r>
          </w:p>
        </w:tc>
      </w:tr>
      <w:tr w14:paraId="751CC12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849981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5BD87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8BEC4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F334E3"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408F94"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2D0F391" w14:textId="77777777">
            <w:pPr>
              <w:widowControl/>
              <w:jc w:val="center"/>
              <w:rPr>
                <w:snapToGrid/>
                <w:color w:val="000000"/>
                <w:kern w:val="0"/>
                <w:szCs w:val="22"/>
              </w:rPr>
            </w:pPr>
            <w:r w:rsidRPr="00306B99">
              <w:rPr>
                <w:snapToGrid/>
                <w:color w:val="000000"/>
                <w:kern w:val="0"/>
                <w:szCs w:val="22"/>
              </w:rPr>
              <w:t>510150701001031</w:t>
            </w:r>
          </w:p>
        </w:tc>
      </w:tr>
      <w:tr w14:paraId="24EB837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B2A562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37C22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201D9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1D333B"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43297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D9980B6" w14:textId="77777777">
            <w:pPr>
              <w:widowControl/>
              <w:jc w:val="center"/>
              <w:rPr>
                <w:snapToGrid/>
                <w:color w:val="000000"/>
                <w:kern w:val="0"/>
                <w:szCs w:val="22"/>
              </w:rPr>
            </w:pPr>
            <w:r w:rsidRPr="00306B99">
              <w:rPr>
                <w:snapToGrid/>
                <w:color w:val="000000"/>
                <w:kern w:val="0"/>
                <w:szCs w:val="22"/>
              </w:rPr>
              <w:t>510150701001032</w:t>
            </w:r>
          </w:p>
        </w:tc>
      </w:tr>
      <w:tr w14:paraId="6A7D103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A1FFCD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32D6C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66B66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70A85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F8104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F94CCAE" w14:textId="77777777">
            <w:pPr>
              <w:widowControl/>
              <w:jc w:val="center"/>
              <w:rPr>
                <w:snapToGrid/>
                <w:color w:val="000000"/>
                <w:kern w:val="0"/>
                <w:szCs w:val="22"/>
              </w:rPr>
            </w:pPr>
            <w:r w:rsidRPr="00306B99">
              <w:rPr>
                <w:snapToGrid/>
                <w:color w:val="000000"/>
                <w:kern w:val="0"/>
                <w:szCs w:val="22"/>
              </w:rPr>
              <w:t>510150701001033</w:t>
            </w:r>
          </w:p>
        </w:tc>
      </w:tr>
      <w:tr w14:paraId="6D5DC71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AE4FCF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C9F69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05A45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7DB0B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F1F90E"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0EC8957" w14:textId="77777777">
            <w:pPr>
              <w:widowControl/>
              <w:jc w:val="center"/>
              <w:rPr>
                <w:snapToGrid/>
                <w:color w:val="000000"/>
                <w:kern w:val="0"/>
                <w:szCs w:val="22"/>
              </w:rPr>
            </w:pPr>
            <w:r w:rsidRPr="00306B99">
              <w:rPr>
                <w:snapToGrid/>
                <w:color w:val="000000"/>
                <w:kern w:val="0"/>
                <w:szCs w:val="22"/>
              </w:rPr>
              <w:t>510150701001035</w:t>
            </w:r>
          </w:p>
        </w:tc>
      </w:tr>
      <w:tr w14:paraId="6FA4559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1AB9A3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4725B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7F98A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0F31BB"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F3933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563C5B3" w14:textId="77777777">
            <w:pPr>
              <w:widowControl/>
              <w:jc w:val="center"/>
              <w:rPr>
                <w:snapToGrid/>
                <w:color w:val="000000"/>
                <w:kern w:val="0"/>
                <w:szCs w:val="22"/>
              </w:rPr>
            </w:pPr>
            <w:r w:rsidRPr="00306B99">
              <w:rPr>
                <w:snapToGrid/>
                <w:color w:val="000000"/>
                <w:kern w:val="0"/>
                <w:szCs w:val="22"/>
              </w:rPr>
              <w:t>510150701001036</w:t>
            </w:r>
          </w:p>
        </w:tc>
      </w:tr>
      <w:tr w14:paraId="4B98D87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E758D5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BB9DF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A7ED6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4AD4F1"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D8038E"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A0D4EE7" w14:textId="77777777">
            <w:pPr>
              <w:widowControl/>
              <w:jc w:val="center"/>
              <w:rPr>
                <w:snapToGrid/>
                <w:color w:val="000000"/>
                <w:kern w:val="0"/>
                <w:szCs w:val="22"/>
              </w:rPr>
            </w:pPr>
            <w:r w:rsidRPr="00306B99">
              <w:rPr>
                <w:snapToGrid/>
                <w:color w:val="000000"/>
                <w:kern w:val="0"/>
                <w:szCs w:val="22"/>
              </w:rPr>
              <w:t>510150701001042</w:t>
            </w:r>
          </w:p>
        </w:tc>
      </w:tr>
      <w:tr w14:paraId="15B9845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1B56AA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C97A8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6F9D6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FF5A5D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E8493B"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34E1647" w14:textId="77777777">
            <w:pPr>
              <w:widowControl/>
              <w:jc w:val="center"/>
              <w:rPr>
                <w:snapToGrid/>
                <w:color w:val="000000"/>
                <w:kern w:val="0"/>
                <w:szCs w:val="22"/>
              </w:rPr>
            </w:pPr>
            <w:r w:rsidRPr="00306B99">
              <w:rPr>
                <w:snapToGrid/>
                <w:color w:val="000000"/>
                <w:kern w:val="0"/>
                <w:szCs w:val="22"/>
              </w:rPr>
              <w:t>510150701001043</w:t>
            </w:r>
          </w:p>
        </w:tc>
      </w:tr>
      <w:tr w14:paraId="20804AC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916389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86144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C3F72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EE52F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FF18A8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05B0FF6" w14:textId="77777777">
            <w:pPr>
              <w:widowControl/>
              <w:jc w:val="center"/>
              <w:rPr>
                <w:snapToGrid/>
                <w:color w:val="000000"/>
                <w:kern w:val="0"/>
                <w:szCs w:val="22"/>
              </w:rPr>
            </w:pPr>
            <w:r w:rsidRPr="00306B99">
              <w:rPr>
                <w:snapToGrid/>
                <w:color w:val="000000"/>
                <w:kern w:val="0"/>
                <w:szCs w:val="22"/>
              </w:rPr>
              <w:t>510150701001046</w:t>
            </w:r>
          </w:p>
        </w:tc>
      </w:tr>
      <w:tr w14:paraId="1129A81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4C26CA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CFBFE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02BED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600C7B"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CBA48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8737A5A" w14:textId="77777777">
            <w:pPr>
              <w:widowControl/>
              <w:jc w:val="center"/>
              <w:rPr>
                <w:snapToGrid/>
                <w:color w:val="000000"/>
                <w:kern w:val="0"/>
                <w:szCs w:val="22"/>
              </w:rPr>
            </w:pPr>
            <w:r w:rsidRPr="00306B99">
              <w:rPr>
                <w:snapToGrid/>
                <w:color w:val="000000"/>
                <w:kern w:val="0"/>
                <w:szCs w:val="22"/>
              </w:rPr>
              <w:t>510150701001055</w:t>
            </w:r>
          </w:p>
        </w:tc>
      </w:tr>
      <w:tr w14:paraId="7EC883F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622223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878A1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C9AD0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00F954"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6A067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A872CA6" w14:textId="77777777">
            <w:pPr>
              <w:widowControl/>
              <w:jc w:val="center"/>
              <w:rPr>
                <w:snapToGrid/>
                <w:color w:val="000000"/>
                <w:kern w:val="0"/>
                <w:szCs w:val="22"/>
              </w:rPr>
            </w:pPr>
            <w:r w:rsidRPr="00306B99">
              <w:rPr>
                <w:snapToGrid/>
                <w:color w:val="000000"/>
                <w:kern w:val="0"/>
                <w:szCs w:val="22"/>
              </w:rPr>
              <w:t>510150701001072</w:t>
            </w:r>
          </w:p>
        </w:tc>
      </w:tr>
      <w:tr w14:paraId="43B6CE5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D7A91C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36BE2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2ACA8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A91C8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B90FD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1A14A94" w14:textId="77777777">
            <w:pPr>
              <w:widowControl/>
              <w:jc w:val="center"/>
              <w:rPr>
                <w:snapToGrid/>
                <w:color w:val="000000"/>
                <w:kern w:val="0"/>
                <w:szCs w:val="22"/>
              </w:rPr>
            </w:pPr>
            <w:r w:rsidRPr="00306B99">
              <w:rPr>
                <w:snapToGrid/>
                <w:color w:val="000000"/>
                <w:kern w:val="0"/>
                <w:szCs w:val="22"/>
              </w:rPr>
              <w:t>510150701001073</w:t>
            </w:r>
          </w:p>
        </w:tc>
      </w:tr>
      <w:tr w14:paraId="403E4C1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716600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6FD66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7FD9D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D428E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32EB8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6839029" w14:textId="77777777">
            <w:pPr>
              <w:widowControl/>
              <w:jc w:val="center"/>
              <w:rPr>
                <w:snapToGrid/>
                <w:color w:val="000000"/>
                <w:kern w:val="0"/>
                <w:szCs w:val="22"/>
              </w:rPr>
            </w:pPr>
            <w:r w:rsidRPr="00306B99">
              <w:rPr>
                <w:snapToGrid/>
                <w:color w:val="000000"/>
                <w:kern w:val="0"/>
                <w:szCs w:val="22"/>
              </w:rPr>
              <w:t>510150701001075</w:t>
            </w:r>
          </w:p>
        </w:tc>
      </w:tr>
      <w:tr w14:paraId="103402A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0FAB87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84B05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6CAE2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62C84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A9C35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5B73332" w14:textId="77777777">
            <w:pPr>
              <w:widowControl/>
              <w:jc w:val="center"/>
              <w:rPr>
                <w:snapToGrid/>
                <w:color w:val="000000"/>
                <w:kern w:val="0"/>
                <w:szCs w:val="22"/>
              </w:rPr>
            </w:pPr>
            <w:r w:rsidRPr="00306B99">
              <w:rPr>
                <w:snapToGrid/>
                <w:color w:val="000000"/>
                <w:kern w:val="0"/>
                <w:szCs w:val="22"/>
              </w:rPr>
              <w:t>510150701001079</w:t>
            </w:r>
          </w:p>
        </w:tc>
      </w:tr>
      <w:tr w14:paraId="65BD0F3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6573D8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E1257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67E90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63895D"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9963C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0952BC6" w14:textId="77777777">
            <w:pPr>
              <w:widowControl/>
              <w:jc w:val="center"/>
              <w:rPr>
                <w:snapToGrid/>
                <w:color w:val="000000"/>
                <w:kern w:val="0"/>
                <w:szCs w:val="22"/>
              </w:rPr>
            </w:pPr>
            <w:r w:rsidRPr="00306B99">
              <w:rPr>
                <w:snapToGrid/>
                <w:color w:val="000000"/>
                <w:kern w:val="0"/>
                <w:szCs w:val="22"/>
              </w:rPr>
              <w:t>510150701001080</w:t>
            </w:r>
          </w:p>
        </w:tc>
      </w:tr>
      <w:tr w14:paraId="7CF0DC9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0FC907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3FBC0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1DA10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B84C42"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52666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82F62DE" w14:textId="77777777">
            <w:pPr>
              <w:widowControl/>
              <w:jc w:val="center"/>
              <w:rPr>
                <w:snapToGrid/>
                <w:color w:val="000000"/>
                <w:kern w:val="0"/>
                <w:szCs w:val="22"/>
              </w:rPr>
            </w:pPr>
            <w:r w:rsidRPr="00306B99">
              <w:rPr>
                <w:snapToGrid/>
                <w:color w:val="000000"/>
                <w:kern w:val="0"/>
                <w:szCs w:val="22"/>
              </w:rPr>
              <w:t>510150701001092</w:t>
            </w:r>
          </w:p>
        </w:tc>
      </w:tr>
      <w:tr w14:paraId="67EAC15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F4BE6B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E00F5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B87FC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0AB79A"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3285B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74046D9" w14:textId="77777777">
            <w:pPr>
              <w:widowControl/>
              <w:jc w:val="center"/>
              <w:rPr>
                <w:snapToGrid/>
                <w:color w:val="000000"/>
                <w:kern w:val="0"/>
                <w:szCs w:val="22"/>
              </w:rPr>
            </w:pPr>
            <w:r w:rsidRPr="00306B99">
              <w:rPr>
                <w:snapToGrid/>
                <w:color w:val="000000"/>
                <w:kern w:val="0"/>
                <w:szCs w:val="22"/>
              </w:rPr>
              <w:t>510150701001093</w:t>
            </w:r>
          </w:p>
        </w:tc>
      </w:tr>
      <w:tr w14:paraId="711D0C2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408A7A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15C66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6A4C5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FF926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A0495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42B6DB8" w14:textId="77777777">
            <w:pPr>
              <w:widowControl/>
              <w:jc w:val="center"/>
              <w:rPr>
                <w:snapToGrid/>
                <w:color w:val="000000"/>
                <w:kern w:val="0"/>
                <w:szCs w:val="22"/>
              </w:rPr>
            </w:pPr>
            <w:r w:rsidRPr="00306B99">
              <w:rPr>
                <w:snapToGrid/>
                <w:color w:val="000000"/>
                <w:kern w:val="0"/>
                <w:szCs w:val="22"/>
              </w:rPr>
              <w:t>510150701001095</w:t>
            </w:r>
          </w:p>
        </w:tc>
      </w:tr>
      <w:tr w14:paraId="205AEB6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267112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08C8E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0F017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B7CC4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25AE4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B9B500D" w14:textId="77777777">
            <w:pPr>
              <w:widowControl/>
              <w:jc w:val="center"/>
              <w:rPr>
                <w:snapToGrid/>
                <w:color w:val="000000"/>
                <w:kern w:val="0"/>
                <w:szCs w:val="22"/>
              </w:rPr>
            </w:pPr>
            <w:r w:rsidRPr="00306B99">
              <w:rPr>
                <w:snapToGrid/>
                <w:color w:val="000000"/>
                <w:kern w:val="0"/>
                <w:szCs w:val="22"/>
              </w:rPr>
              <w:t>510150701001119</w:t>
            </w:r>
          </w:p>
        </w:tc>
      </w:tr>
      <w:tr w14:paraId="782D146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B05786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E7F04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FA129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A6E37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71658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5104AD" w14:textId="77777777">
            <w:pPr>
              <w:widowControl/>
              <w:jc w:val="center"/>
              <w:rPr>
                <w:snapToGrid/>
                <w:color w:val="000000"/>
                <w:kern w:val="0"/>
                <w:szCs w:val="22"/>
              </w:rPr>
            </w:pPr>
            <w:r w:rsidRPr="00306B99">
              <w:rPr>
                <w:snapToGrid/>
                <w:color w:val="000000"/>
                <w:kern w:val="0"/>
                <w:szCs w:val="22"/>
              </w:rPr>
              <w:t>510150701001120</w:t>
            </w:r>
          </w:p>
        </w:tc>
      </w:tr>
      <w:tr w14:paraId="2D7F3C6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47465B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6E330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A7A95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196C97"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67B6D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0DE5C14" w14:textId="77777777">
            <w:pPr>
              <w:widowControl/>
              <w:jc w:val="center"/>
              <w:rPr>
                <w:snapToGrid/>
                <w:color w:val="000000"/>
                <w:kern w:val="0"/>
                <w:szCs w:val="22"/>
              </w:rPr>
            </w:pPr>
            <w:r w:rsidRPr="00306B99">
              <w:rPr>
                <w:snapToGrid/>
                <w:color w:val="000000"/>
                <w:kern w:val="0"/>
                <w:szCs w:val="22"/>
              </w:rPr>
              <w:t>510150701001125</w:t>
            </w:r>
          </w:p>
        </w:tc>
      </w:tr>
      <w:tr w14:paraId="3919D29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53D7D7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03C2C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53559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07FFF0"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F271D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B06A5F8" w14:textId="77777777">
            <w:pPr>
              <w:widowControl/>
              <w:jc w:val="center"/>
              <w:rPr>
                <w:snapToGrid/>
                <w:color w:val="000000"/>
                <w:kern w:val="0"/>
                <w:szCs w:val="22"/>
              </w:rPr>
            </w:pPr>
            <w:r w:rsidRPr="00306B99">
              <w:rPr>
                <w:snapToGrid/>
                <w:color w:val="000000"/>
                <w:kern w:val="0"/>
                <w:szCs w:val="22"/>
              </w:rPr>
              <w:t>510150701001126</w:t>
            </w:r>
          </w:p>
        </w:tc>
      </w:tr>
      <w:tr w14:paraId="06B447B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EB1C1B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61DD9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7F3F6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B01FF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C746DB"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3F630A0" w14:textId="77777777">
            <w:pPr>
              <w:widowControl/>
              <w:jc w:val="center"/>
              <w:rPr>
                <w:snapToGrid/>
                <w:color w:val="000000"/>
                <w:kern w:val="0"/>
                <w:szCs w:val="22"/>
              </w:rPr>
            </w:pPr>
            <w:r w:rsidRPr="00306B99">
              <w:rPr>
                <w:snapToGrid/>
                <w:color w:val="000000"/>
                <w:kern w:val="0"/>
                <w:szCs w:val="22"/>
              </w:rPr>
              <w:t>510150701001127</w:t>
            </w:r>
          </w:p>
        </w:tc>
      </w:tr>
      <w:tr w14:paraId="3B42BFD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D2FE5E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94F35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48319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A23CC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03560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806E316" w14:textId="77777777">
            <w:pPr>
              <w:widowControl/>
              <w:jc w:val="center"/>
              <w:rPr>
                <w:snapToGrid/>
                <w:color w:val="000000"/>
                <w:kern w:val="0"/>
                <w:szCs w:val="22"/>
              </w:rPr>
            </w:pPr>
            <w:r w:rsidRPr="00306B99">
              <w:rPr>
                <w:snapToGrid/>
                <w:color w:val="000000"/>
                <w:kern w:val="0"/>
                <w:szCs w:val="22"/>
              </w:rPr>
              <w:t>510150701001132</w:t>
            </w:r>
          </w:p>
        </w:tc>
      </w:tr>
      <w:tr w14:paraId="4460D0C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AC5D83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03C82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21B59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412C23"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472E54"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FC930C5" w14:textId="77777777">
            <w:pPr>
              <w:widowControl/>
              <w:jc w:val="center"/>
              <w:rPr>
                <w:snapToGrid/>
                <w:color w:val="000000"/>
                <w:kern w:val="0"/>
                <w:szCs w:val="22"/>
              </w:rPr>
            </w:pPr>
            <w:r w:rsidRPr="00306B99">
              <w:rPr>
                <w:snapToGrid/>
                <w:color w:val="000000"/>
                <w:kern w:val="0"/>
                <w:szCs w:val="22"/>
              </w:rPr>
              <w:t>510150701001136</w:t>
            </w:r>
          </w:p>
        </w:tc>
      </w:tr>
      <w:tr w14:paraId="78FC718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135582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829F9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302C4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1F9F3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2D0C9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A494C2F" w14:textId="77777777">
            <w:pPr>
              <w:widowControl/>
              <w:jc w:val="center"/>
              <w:rPr>
                <w:snapToGrid/>
                <w:color w:val="000000"/>
                <w:kern w:val="0"/>
                <w:szCs w:val="22"/>
              </w:rPr>
            </w:pPr>
            <w:r w:rsidRPr="00306B99">
              <w:rPr>
                <w:snapToGrid/>
                <w:color w:val="000000"/>
                <w:kern w:val="0"/>
                <w:szCs w:val="22"/>
              </w:rPr>
              <w:t>510150701001137</w:t>
            </w:r>
          </w:p>
        </w:tc>
      </w:tr>
      <w:tr w14:paraId="4E47C04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79D1D3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175BB1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97367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11A6F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3FE20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CEB6CE" w14:textId="77777777">
            <w:pPr>
              <w:widowControl/>
              <w:jc w:val="center"/>
              <w:rPr>
                <w:snapToGrid/>
                <w:color w:val="000000"/>
                <w:kern w:val="0"/>
                <w:szCs w:val="22"/>
              </w:rPr>
            </w:pPr>
            <w:r w:rsidRPr="00306B99">
              <w:rPr>
                <w:snapToGrid/>
                <w:color w:val="000000"/>
                <w:kern w:val="0"/>
                <w:szCs w:val="22"/>
              </w:rPr>
              <w:t>510150701001138</w:t>
            </w:r>
          </w:p>
        </w:tc>
      </w:tr>
      <w:tr w14:paraId="5145349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1A8033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8F266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FC0E85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9EA19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EAA9A2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1E820F5" w14:textId="77777777">
            <w:pPr>
              <w:widowControl/>
              <w:jc w:val="center"/>
              <w:rPr>
                <w:snapToGrid/>
                <w:color w:val="000000"/>
                <w:kern w:val="0"/>
                <w:szCs w:val="22"/>
              </w:rPr>
            </w:pPr>
            <w:r w:rsidRPr="00306B99">
              <w:rPr>
                <w:snapToGrid/>
                <w:color w:val="000000"/>
                <w:kern w:val="0"/>
                <w:szCs w:val="22"/>
              </w:rPr>
              <w:t>510150701001139</w:t>
            </w:r>
          </w:p>
        </w:tc>
      </w:tr>
      <w:tr w14:paraId="141009E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6FF59A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200D0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9F99F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E227A4"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179E0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A16B44F" w14:textId="77777777">
            <w:pPr>
              <w:widowControl/>
              <w:jc w:val="center"/>
              <w:rPr>
                <w:snapToGrid/>
                <w:color w:val="000000"/>
                <w:kern w:val="0"/>
                <w:szCs w:val="22"/>
              </w:rPr>
            </w:pPr>
            <w:r w:rsidRPr="00306B99">
              <w:rPr>
                <w:snapToGrid/>
                <w:color w:val="000000"/>
                <w:kern w:val="0"/>
                <w:szCs w:val="22"/>
              </w:rPr>
              <w:t>510150701001140</w:t>
            </w:r>
          </w:p>
        </w:tc>
      </w:tr>
      <w:tr w14:paraId="31E687A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658962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F85D2C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F2F58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C122F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67340D"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04493CB" w14:textId="77777777">
            <w:pPr>
              <w:widowControl/>
              <w:jc w:val="center"/>
              <w:rPr>
                <w:snapToGrid/>
                <w:color w:val="000000"/>
                <w:kern w:val="0"/>
                <w:szCs w:val="22"/>
              </w:rPr>
            </w:pPr>
            <w:r w:rsidRPr="00306B99">
              <w:rPr>
                <w:snapToGrid/>
                <w:color w:val="000000"/>
                <w:kern w:val="0"/>
                <w:szCs w:val="22"/>
              </w:rPr>
              <w:t>510150701001141</w:t>
            </w:r>
          </w:p>
        </w:tc>
      </w:tr>
      <w:tr w14:paraId="417B708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3EEA7E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ACE08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2F569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18CE3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AD0B2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291767D" w14:textId="77777777">
            <w:pPr>
              <w:widowControl/>
              <w:jc w:val="center"/>
              <w:rPr>
                <w:snapToGrid/>
                <w:color w:val="000000"/>
                <w:kern w:val="0"/>
                <w:szCs w:val="22"/>
              </w:rPr>
            </w:pPr>
            <w:r w:rsidRPr="00306B99">
              <w:rPr>
                <w:snapToGrid/>
                <w:color w:val="000000"/>
                <w:kern w:val="0"/>
                <w:szCs w:val="22"/>
              </w:rPr>
              <w:t>510150701001144</w:t>
            </w:r>
          </w:p>
        </w:tc>
      </w:tr>
      <w:tr w14:paraId="236D106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99B49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B1661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A5348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DDDCAA"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673EA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FDA43EF" w14:textId="77777777">
            <w:pPr>
              <w:widowControl/>
              <w:jc w:val="center"/>
              <w:rPr>
                <w:snapToGrid/>
                <w:color w:val="000000"/>
                <w:kern w:val="0"/>
                <w:szCs w:val="22"/>
              </w:rPr>
            </w:pPr>
            <w:r w:rsidRPr="00306B99">
              <w:rPr>
                <w:snapToGrid/>
                <w:color w:val="000000"/>
                <w:kern w:val="0"/>
                <w:szCs w:val="22"/>
              </w:rPr>
              <w:t>510150701001149</w:t>
            </w:r>
          </w:p>
        </w:tc>
      </w:tr>
      <w:tr w14:paraId="3777B81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A1BEEF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AAD9D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72CBD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03CC2D"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BCD3F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F1C305A" w14:textId="77777777">
            <w:pPr>
              <w:widowControl/>
              <w:jc w:val="center"/>
              <w:rPr>
                <w:snapToGrid/>
                <w:color w:val="000000"/>
                <w:kern w:val="0"/>
                <w:szCs w:val="22"/>
              </w:rPr>
            </w:pPr>
            <w:r w:rsidRPr="00306B99">
              <w:rPr>
                <w:snapToGrid/>
                <w:color w:val="000000"/>
                <w:kern w:val="0"/>
                <w:szCs w:val="22"/>
              </w:rPr>
              <w:t>510150701001150</w:t>
            </w:r>
          </w:p>
        </w:tc>
      </w:tr>
      <w:tr w14:paraId="7F02AFA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6DD806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93BE8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01AD2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5C256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13CCC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CA347B4" w14:textId="77777777">
            <w:pPr>
              <w:widowControl/>
              <w:jc w:val="center"/>
              <w:rPr>
                <w:snapToGrid/>
                <w:color w:val="000000"/>
                <w:kern w:val="0"/>
                <w:szCs w:val="22"/>
              </w:rPr>
            </w:pPr>
            <w:r w:rsidRPr="00306B99">
              <w:rPr>
                <w:snapToGrid/>
                <w:color w:val="000000"/>
                <w:kern w:val="0"/>
                <w:szCs w:val="22"/>
              </w:rPr>
              <w:t>510150701001152</w:t>
            </w:r>
          </w:p>
        </w:tc>
      </w:tr>
      <w:tr w14:paraId="3E26033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51AD0F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CFB8C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F149D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ABA8B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74FB07"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8CF275D" w14:textId="77777777">
            <w:pPr>
              <w:widowControl/>
              <w:jc w:val="center"/>
              <w:rPr>
                <w:snapToGrid/>
                <w:color w:val="000000"/>
                <w:kern w:val="0"/>
                <w:szCs w:val="22"/>
              </w:rPr>
            </w:pPr>
            <w:r w:rsidRPr="00306B99">
              <w:rPr>
                <w:snapToGrid/>
                <w:color w:val="000000"/>
                <w:kern w:val="0"/>
                <w:szCs w:val="22"/>
              </w:rPr>
              <w:t>510150701001153</w:t>
            </w:r>
          </w:p>
        </w:tc>
      </w:tr>
      <w:tr w14:paraId="3CA4D6D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356F6B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4426E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395EE0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DA12A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E0B929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D04CFCD" w14:textId="77777777">
            <w:pPr>
              <w:widowControl/>
              <w:jc w:val="center"/>
              <w:rPr>
                <w:snapToGrid/>
                <w:color w:val="000000"/>
                <w:kern w:val="0"/>
                <w:szCs w:val="22"/>
              </w:rPr>
            </w:pPr>
            <w:r w:rsidRPr="00306B99">
              <w:rPr>
                <w:snapToGrid/>
                <w:color w:val="000000"/>
                <w:kern w:val="0"/>
                <w:szCs w:val="22"/>
              </w:rPr>
              <w:t>510150701001155</w:t>
            </w:r>
          </w:p>
        </w:tc>
      </w:tr>
      <w:tr w14:paraId="3BC0DD2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AD3018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EF32F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834F8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8DC18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475F8C"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429341D" w14:textId="77777777">
            <w:pPr>
              <w:widowControl/>
              <w:jc w:val="center"/>
              <w:rPr>
                <w:snapToGrid/>
                <w:color w:val="000000"/>
                <w:kern w:val="0"/>
                <w:szCs w:val="22"/>
              </w:rPr>
            </w:pPr>
            <w:r w:rsidRPr="00306B99">
              <w:rPr>
                <w:snapToGrid/>
                <w:color w:val="000000"/>
                <w:kern w:val="0"/>
                <w:szCs w:val="22"/>
              </w:rPr>
              <w:t>510150701001156</w:t>
            </w:r>
          </w:p>
        </w:tc>
      </w:tr>
      <w:tr w14:paraId="6A87698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0F0155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6FF9C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CE50A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CF8550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E2E93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51B11D2" w14:textId="77777777">
            <w:pPr>
              <w:widowControl/>
              <w:jc w:val="center"/>
              <w:rPr>
                <w:snapToGrid/>
                <w:color w:val="000000"/>
                <w:kern w:val="0"/>
                <w:szCs w:val="22"/>
              </w:rPr>
            </w:pPr>
            <w:r w:rsidRPr="00306B99">
              <w:rPr>
                <w:snapToGrid/>
                <w:color w:val="000000"/>
                <w:kern w:val="0"/>
                <w:szCs w:val="22"/>
              </w:rPr>
              <w:t>510150701001157</w:t>
            </w:r>
          </w:p>
        </w:tc>
      </w:tr>
      <w:tr w14:paraId="4F26404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7E90BE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7A9A4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7D44D9"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C7155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8B9D8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B2615FD" w14:textId="77777777">
            <w:pPr>
              <w:widowControl/>
              <w:jc w:val="center"/>
              <w:rPr>
                <w:snapToGrid/>
                <w:color w:val="000000"/>
                <w:kern w:val="0"/>
                <w:szCs w:val="22"/>
              </w:rPr>
            </w:pPr>
            <w:r w:rsidRPr="00306B99">
              <w:rPr>
                <w:snapToGrid/>
                <w:color w:val="000000"/>
                <w:kern w:val="0"/>
                <w:szCs w:val="22"/>
              </w:rPr>
              <w:t>510150701001160</w:t>
            </w:r>
          </w:p>
        </w:tc>
      </w:tr>
      <w:tr w14:paraId="09A80BD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97C0A6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A7F6D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B6A09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3C1AD3"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DDD33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9FBBDAB" w14:textId="77777777">
            <w:pPr>
              <w:widowControl/>
              <w:jc w:val="center"/>
              <w:rPr>
                <w:snapToGrid/>
                <w:color w:val="000000"/>
                <w:kern w:val="0"/>
                <w:szCs w:val="22"/>
              </w:rPr>
            </w:pPr>
            <w:r w:rsidRPr="00306B99">
              <w:rPr>
                <w:snapToGrid/>
                <w:color w:val="000000"/>
                <w:kern w:val="0"/>
                <w:szCs w:val="22"/>
              </w:rPr>
              <w:t>510150710001030</w:t>
            </w:r>
          </w:p>
        </w:tc>
      </w:tr>
      <w:tr w14:paraId="4E993C5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ED9D10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33CDC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6B4BC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45DE84"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7638A9"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B68628A" w14:textId="77777777">
            <w:pPr>
              <w:widowControl/>
              <w:jc w:val="center"/>
              <w:rPr>
                <w:snapToGrid/>
                <w:color w:val="000000"/>
                <w:kern w:val="0"/>
                <w:szCs w:val="22"/>
              </w:rPr>
            </w:pPr>
            <w:r w:rsidRPr="00306B99">
              <w:rPr>
                <w:snapToGrid/>
                <w:color w:val="000000"/>
                <w:kern w:val="0"/>
                <w:szCs w:val="22"/>
              </w:rPr>
              <w:t>510150710001037</w:t>
            </w:r>
          </w:p>
        </w:tc>
      </w:tr>
      <w:tr w14:paraId="210992D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7ACF19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BDA7E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DEB4D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CC5BD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ED4397"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346DFEF" w14:textId="77777777">
            <w:pPr>
              <w:widowControl/>
              <w:jc w:val="center"/>
              <w:rPr>
                <w:snapToGrid/>
                <w:color w:val="000000"/>
                <w:kern w:val="0"/>
                <w:szCs w:val="22"/>
              </w:rPr>
            </w:pPr>
            <w:r w:rsidRPr="00306B99">
              <w:rPr>
                <w:snapToGrid/>
                <w:color w:val="000000"/>
                <w:kern w:val="0"/>
                <w:szCs w:val="22"/>
              </w:rPr>
              <w:t>510230402002013</w:t>
            </w:r>
          </w:p>
        </w:tc>
      </w:tr>
      <w:tr w14:paraId="23670FE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75312B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02547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970475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36D4E63"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6502E3"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52C668D" w14:textId="77777777">
            <w:pPr>
              <w:widowControl/>
              <w:jc w:val="center"/>
              <w:rPr>
                <w:snapToGrid/>
                <w:color w:val="000000"/>
                <w:kern w:val="0"/>
                <w:szCs w:val="22"/>
              </w:rPr>
            </w:pPr>
            <w:r w:rsidRPr="00306B99">
              <w:rPr>
                <w:snapToGrid/>
                <w:color w:val="000000"/>
                <w:kern w:val="0"/>
                <w:szCs w:val="22"/>
              </w:rPr>
              <w:t>510230402002014</w:t>
            </w:r>
          </w:p>
        </w:tc>
      </w:tr>
      <w:tr w14:paraId="570EAF6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3D910B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631E7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A956B5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44B36B"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A3C12D"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C36A2C1" w14:textId="77777777">
            <w:pPr>
              <w:widowControl/>
              <w:jc w:val="center"/>
              <w:rPr>
                <w:snapToGrid/>
                <w:color w:val="000000"/>
                <w:kern w:val="0"/>
                <w:szCs w:val="22"/>
              </w:rPr>
            </w:pPr>
            <w:r w:rsidRPr="00306B99">
              <w:rPr>
                <w:snapToGrid/>
                <w:color w:val="000000"/>
                <w:kern w:val="0"/>
                <w:szCs w:val="22"/>
              </w:rPr>
              <w:t>510230402002018</w:t>
            </w:r>
          </w:p>
        </w:tc>
      </w:tr>
      <w:tr w14:paraId="71317EB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96B4AB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1F5CC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37EF0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6D9AF1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1FE7FE"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B13C9CC" w14:textId="77777777">
            <w:pPr>
              <w:widowControl/>
              <w:jc w:val="center"/>
              <w:rPr>
                <w:snapToGrid/>
                <w:color w:val="000000"/>
                <w:kern w:val="0"/>
                <w:szCs w:val="22"/>
              </w:rPr>
            </w:pPr>
            <w:r w:rsidRPr="00306B99">
              <w:rPr>
                <w:snapToGrid/>
                <w:color w:val="000000"/>
                <w:kern w:val="0"/>
                <w:szCs w:val="22"/>
              </w:rPr>
              <w:t>510230402002031</w:t>
            </w:r>
          </w:p>
        </w:tc>
      </w:tr>
      <w:tr w14:paraId="74F7DC8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2D7D43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F59E7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CE376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30D03A"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B0F826"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A2C6A53" w14:textId="77777777">
            <w:pPr>
              <w:widowControl/>
              <w:jc w:val="center"/>
              <w:rPr>
                <w:snapToGrid/>
                <w:color w:val="000000"/>
                <w:kern w:val="0"/>
                <w:szCs w:val="22"/>
              </w:rPr>
            </w:pPr>
            <w:r w:rsidRPr="00306B99">
              <w:rPr>
                <w:snapToGrid/>
                <w:color w:val="000000"/>
                <w:kern w:val="0"/>
                <w:szCs w:val="22"/>
              </w:rPr>
              <w:t>510230402002042</w:t>
            </w:r>
          </w:p>
        </w:tc>
      </w:tr>
      <w:tr w14:paraId="7860F75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3D4B65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64B69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BECB6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E8D0501"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05DD1D"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30094FF" w14:textId="77777777">
            <w:pPr>
              <w:widowControl/>
              <w:jc w:val="center"/>
              <w:rPr>
                <w:snapToGrid/>
                <w:color w:val="000000"/>
                <w:kern w:val="0"/>
                <w:szCs w:val="22"/>
              </w:rPr>
            </w:pPr>
            <w:r w:rsidRPr="00306B99">
              <w:rPr>
                <w:snapToGrid/>
                <w:color w:val="000000"/>
                <w:kern w:val="0"/>
                <w:szCs w:val="22"/>
              </w:rPr>
              <w:t>510230402002044</w:t>
            </w:r>
          </w:p>
        </w:tc>
      </w:tr>
      <w:tr w14:paraId="02529D9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AFCC1D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A5C9E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3F402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8C78C7"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0219A6"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C9EC75A" w14:textId="77777777">
            <w:pPr>
              <w:widowControl/>
              <w:jc w:val="center"/>
              <w:rPr>
                <w:snapToGrid/>
                <w:color w:val="000000"/>
                <w:kern w:val="0"/>
                <w:szCs w:val="22"/>
              </w:rPr>
            </w:pPr>
            <w:r w:rsidRPr="00306B99">
              <w:rPr>
                <w:snapToGrid/>
                <w:color w:val="000000"/>
                <w:kern w:val="0"/>
                <w:szCs w:val="22"/>
              </w:rPr>
              <w:t>510230402002045</w:t>
            </w:r>
          </w:p>
        </w:tc>
      </w:tr>
      <w:tr w14:paraId="28B42E0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6737D4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9A9A3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1BE78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8E304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DF3F3C"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A8984B1" w14:textId="77777777">
            <w:pPr>
              <w:widowControl/>
              <w:jc w:val="center"/>
              <w:rPr>
                <w:snapToGrid/>
                <w:color w:val="000000"/>
                <w:kern w:val="0"/>
                <w:szCs w:val="22"/>
              </w:rPr>
            </w:pPr>
            <w:r w:rsidRPr="00306B99">
              <w:rPr>
                <w:snapToGrid/>
                <w:color w:val="000000"/>
                <w:kern w:val="0"/>
                <w:szCs w:val="22"/>
              </w:rPr>
              <w:t>510230402002046</w:t>
            </w:r>
          </w:p>
        </w:tc>
      </w:tr>
      <w:tr w14:paraId="4B14324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3559C9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64A6C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5F891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1B454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3D431A"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84430E2" w14:textId="77777777">
            <w:pPr>
              <w:widowControl/>
              <w:jc w:val="center"/>
              <w:rPr>
                <w:snapToGrid/>
                <w:color w:val="000000"/>
                <w:kern w:val="0"/>
                <w:szCs w:val="22"/>
              </w:rPr>
            </w:pPr>
            <w:r w:rsidRPr="00306B99">
              <w:rPr>
                <w:snapToGrid/>
                <w:color w:val="000000"/>
                <w:kern w:val="0"/>
                <w:szCs w:val="22"/>
              </w:rPr>
              <w:t>510230402002051</w:t>
            </w:r>
          </w:p>
        </w:tc>
      </w:tr>
      <w:tr w14:paraId="42DE0A9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0D9C86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E8EB0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8C874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2EFA60"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47FC36"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6A3541A" w14:textId="77777777">
            <w:pPr>
              <w:widowControl/>
              <w:jc w:val="center"/>
              <w:rPr>
                <w:snapToGrid/>
                <w:color w:val="000000"/>
                <w:kern w:val="0"/>
                <w:szCs w:val="22"/>
              </w:rPr>
            </w:pPr>
            <w:r w:rsidRPr="00306B99">
              <w:rPr>
                <w:snapToGrid/>
                <w:color w:val="000000"/>
                <w:kern w:val="0"/>
                <w:szCs w:val="22"/>
              </w:rPr>
              <w:t>510230402002070</w:t>
            </w:r>
          </w:p>
        </w:tc>
      </w:tr>
      <w:tr w14:paraId="5066F28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B481B1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4426F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976A8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DEC20A"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C6E349"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50A1F7D" w14:textId="77777777">
            <w:pPr>
              <w:widowControl/>
              <w:jc w:val="center"/>
              <w:rPr>
                <w:snapToGrid/>
                <w:color w:val="000000"/>
                <w:kern w:val="0"/>
                <w:szCs w:val="22"/>
              </w:rPr>
            </w:pPr>
            <w:r w:rsidRPr="00306B99">
              <w:rPr>
                <w:snapToGrid/>
                <w:color w:val="000000"/>
                <w:kern w:val="0"/>
                <w:szCs w:val="22"/>
              </w:rPr>
              <w:t>510230402002105</w:t>
            </w:r>
          </w:p>
        </w:tc>
      </w:tr>
      <w:tr w14:paraId="7999C2A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873D38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86C6B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836C0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D3E577"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16E46A"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0459CB6" w14:textId="77777777">
            <w:pPr>
              <w:widowControl/>
              <w:jc w:val="center"/>
              <w:rPr>
                <w:snapToGrid/>
                <w:color w:val="000000"/>
                <w:kern w:val="0"/>
                <w:szCs w:val="22"/>
              </w:rPr>
            </w:pPr>
            <w:r w:rsidRPr="00306B99">
              <w:rPr>
                <w:snapToGrid/>
                <w:color w:val="000000"/>
                <w:kern w:val="0"/>
                <w:szCs w:val="22"/>
              </w:rPr>
              <w:t>510230402002114</w:t>
            </w:r>
          </w:p>
        </w:tc>
      </w:tr>
      <w:tr w14:paraId="363346D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ACDD7B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5D946F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8385F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B7E6B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1BEAD4"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30C9EC2" w14:textId="77777777">
            <w:pPr>
              <w:widowControl/>
              <w:jc w:val="center"/>
              <w:rPr>
                <w:snapToGrid/>
                <w:color w:val="000000"/>
                <w:kern w:val="0"/>
                <w:szCs w:val="22"/>
              </w:rPr>
            </w:pPr>
            <w:r w:rsidRPr="00306B99">
              <w:rPr>
                <w:snapToGrid/>
                <w:color w:val="000000"/>
                <w:kern w:val="0"/>
                <w:szCs w:val="22"/>
              </w:rPr>
              <w:t>510230402002133</w:t>
            </w:r>
          </w:p>
        </w:tc>
      </w:tr>
      <w:tr w14:paraId="67AE93D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831F2E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3FB23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A43029"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D8625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42A94E"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A660A86" w14:textId="77777777">
            <w:pPr>
              <w:widowControl/>
              <w:jc w:val="center"/>
              <w:rPr>
                <w:snapToGrid/>
                <w:color w:val="000000"/>
                <w:kern w:val="0"/>
                <w:szCs w:val="22"/>
              </w:rPr>
            </w:pPr>
            <w:r w:rsidRPr="00306B99">
              <w:rPr>
                <w:snapToGrid/>
                <w:color w:val="000000"/>
                <w:kern w:val="0"/>
                <w:szCs w:val="22"/>
              </w:rPr>
              <w:t>511639301001002</w:t>
            </w:r>
          </w:p>
        </w:tc>
      </w:tr>
      <w:tr w14:paraId="30128BC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F698A4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EB697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3ABF1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C2D283"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12EC03"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9F53C2E" w14:textId="77777777">
            <w:pPr>
              <w:widowControl/>
              <w:jc w:val="center"/>
              <w:rPr>
                <w:snapToGrid/>
                <w:color w:val="000000"/>
                <w:kern w:val="0"/>
                <w:szCs w:val="22"/>
              </w:rPr>
            </w:pPr>
            <w:r w:rsidRPr="00306B99">
              <w:rPr>
                <w:snapToGrid/>
                <w:color w:val="000000"/>
                <w:kern w:val="0"/>
                <w:szCs w:val="22"/>
              </w:rPr>
              <w:t>511639301001003</w:t>
            </w:r>
          </w:p>
        </w:tc>
      </w:tr>
      <w:tr w14:paraId="10B1DCD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28812D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470CD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C41B99"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F639CB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7FF40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6C2227C" w14:textId="77777777">
            <w:pPr>
              <w:widowControl/>
              <w:jc w:val="center"/>
              <w:rPr>
                <w:snapToGrid/>
                <w:color w:val="000000"/>
                <w:kern w:val="0"/>
                <w:szCs w:val="22"/>
              </w:rPr>
            </w:pPr>
            <w:r w:rsidRPr="00306B99">
              <w:rPr>
                <w:snapToGrid/>
                <w:color w:val="000000"/>
                <w:kern w:val="0"/>
                <w:szCs w:val="22"/>
              </w:rPr>
              <w:t>511639301001008</w:t>
            </w:r>
          </w:p>
        </w:tc>
      </w:tr>
      <w:tr w14:paraId="5B6222B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2711BD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44C4E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423FD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98BD62"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FA5FFA3"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E4D0268" w14:textId="77777777">
            <w:pPr>
              <w:widowControl/>
              <w:jc w:val="center"/>
              <w:rPr>
                <w:snapToGrid/>
                <w:color w:val="000000"/>
                <w:kern w:val="0"/>
                <w:szCs w:val="22"/>
              </w:rPr>
            </w:pPr>
            <w:r w:rsidRPr="00306B99">
              <w:rPr>
                <w:snapToGrid/>
                <w:color w:val="000000"/>
                <w:kern w:val="0"/>
                <w:szCs w:val="22"/>
              </w:rPr>
              <w:t>511639301001009</w:t>
            </w:r>
          </w:p>
        </w:tc>
      </w:tr>
      <w:tr w14:paraId="70B3838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EDB165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F48FC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3C710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C9DC8F"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1F35D0"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2603A8F" w14:textId="77777777">
            <w:pPr>
              <w:widowControl/>
              <w:jc w:val="center"/>
              <w:rPr>
                <w:snapToGrid/>
                <w:color w:val="000000"/>
                <w:kern w:val="0"/>
                <w:szCs w:val="22"/>
              </w:rPr>
            </w:pPr>
            <w:r w:rsidRPr="00306B99">
              <w:rPr>
                <w:snapToGrid/>
                <w:color w:val="000000"/>
                <w:kern w:val="0"/>
                <w:szCs w:val="22"/>
              </w:rPr>
              <w:t>511639301001010</w:t>
            </w:r>
          </w:p>
        </w:tc>
      </w:tr>
      <w:tr w14:paraId="49DD620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1C9840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DA93A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5F2D5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5BE50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46E501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703DA5F" w14:textId="77777777">
            <w:pPr>
              <w:widowControl/>
              <w:jc w:val="center"/>
              <w:rPr>
                <w:snapToGrid/>
                <w:color w:val="000000"/>
                <w:kern w:val="0"/>
                <w:szCs w:val="22"/>
              </w:rPr>
            </w:pPr>
            <w:r w:rsidRPr="00306B99">
              <w:rPr>
                <w:snapToGrid/>
                <w:color w:val="000000"/>
                <w:kern w:val="0"/>
                <w:szCs w:val="22"/>
              </w:rPr>
              <w:t>511639301001063</w:t>
            </w:r>
          </w:p>
        </w:tc>
      </w:tr>
      <w:tr w14:paraId="37FB471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D076A0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7AAE0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736AE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FD925BD"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89AD6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4CD6DD4" w14:textId="77777777">
            <w:pPr>
              <w:widowControl/>
              <w:jc w:val="center"/>
              <w:rPr>
                <w:snapToGrid/>
                <w:color w:val="000000"/>
                <w:kern w:val="0"/>
                <w:szCs w:val="22"/>
              </w:rPr>
            </w:pPr>
            <w:r w:rsidRPr="00306B99">
              <w:rPr>
                <w:snapToGrid/>
                <w:color w:val="000000"/>
                <w:kern w:val="0"/>
                <w:szCs w:val="22"/>
              </w:rPr>
              <w:t>511639301001090</w:t>
            </w:r>
          </w:p>
        </w:tc>
      </w:tr>
      <w:tr w14:paraId="7DB676C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DE223F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8B0EA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BD040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50CD66"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E48CC3"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2F8CBFC" w14:textId="77777777">
            <w:pPr>
              <w:widowControl/>
              <w:jc w:val="center"/>
              <w:rPr>
                <w:snapToGrid/>
                <w:color w:val="000000"/>
                <w:kern w:val="0"/>
                <w:szCs w:val="22"/>
              </w:rPr>
            </w:pPr>
            <w:r w:rsidRPr="00306B99">
              <w:rPr>
                <w:snapToGrid/>
                <w:color w:val="000000"/>
                <w:kern w:val="0"/>
                <w:szCs w:val="22"/>
              </w:rPr>
              <w:t>511639301001093</w:t>
            </w:r>
          </w:p>
        </w:tc>
      </w:tr>
      <w:tr w14:paraId="4342994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BF6E61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E6C74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7768A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F68631"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86D02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AEB6305" w14:textId="77777777">
            <w:pPr>
              <w:widowControl/>
              <w:jc w:val="center"/>
              <w:rPr>
                <w:snapToGrid/>
                <w:color w:val="000000"/>
                <w:kern w:val="0"/>
                <w:szCs w:val="22"/>
              </w:rPr>
            </w:pPr>
            <w:r w:rsidRPr="00306B99">
              <w:rPr>
                <w:snapToGrid/>
                <w:color w:val="000000"/>
                <w:kern w:val="0"/>
                <w:szCs w:val="22"/>
              </w:rPr>
              <w:t>511639301001094</w:t>
            </w:r>
          </w:p>
        </w:tc>
      </w:tr>
      <w:tr w14:paraId="5D17713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CFEDFD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DDBA3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3D563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20BF4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574EC8"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475FA7E" w14:textId="77777777">
            <w:pPr>
              <w:widowControl/>
              <w:jc w:val="center"/>
              <w:rPr>
                <w:snapToGrid/>
                <w:color w:val="000000"/>
                <w:kern w:val="0"/>
                <w:szCs w:val="22"/>
              </w:rPr>
            </w:pPr>
            <w:r w:rsidRPr="00306B99">
              <w:rPr>
                <w:snapToGrid/>
                <w:color w:val="000000"/>
                <w:kern w:val="0"/>
                <w:szCs w:val="22"/>
              </w:rPr>
              <w:t>511639301001095</w:t>
            </w:r>
          </w:p>
        </w:tc>
      </w:tr>
      <w:tr w14:paraId="14DD3C6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75F22B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C3E19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B1EAD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8A3E07"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67A4DD0"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D07F209" w14:textId="77777777">
            <w:pPr>
              <w:widowControl/>
              <w:jc w:val="center"/>
              <w:rPr>
                <w:snapToGrid/>
                <w:color w:val="000000"/>
                <w:kern w:val="0"/>
                <w:szCs w:val="22"/>
              </w:rPr>
            </w:pPr>
            <w:r w:rsidRPr="00306B99">
              <w:rPr>
                <w:snapToGrid/>
                <w:color w:val="000000"/>
                <w:kern w:val="0"/>
                <w:szCs w:val="22"/>
              </w:rPr>
              <w:t>511639301001096</w:t>
            </w:r>
          </w:p>
        </w:tc>
      </w:tr>
      <w:tr w14:paraId="65A78E8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66416C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CAFA2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EBA1E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AEFEC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71B6D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47F608B" w14:textId="77777777">
            <w:pPr>
              <w:widowControl/>
              <w:jc w:val="center"/>
              <w:rPr>
                <w:snapToGrid/>
                <w:color w:val="000000"/>
                <w:kern w:val="0"/>
                <w:szCs w:val="22"/>
              </w:rPr>
            </w:pPr>
            <w:r w:rsidRPr="00306B99">
              <w:rPr>
                <w:snapToGrid/>
                <w:color w:val="000000"/>
                <w:kern w:val="0"/>
                <w:szCs w:val="22"/>
              </w:rPr>
              <w:t>511639301001103</w:t>
            </w:r>
          </w:p>
        </w:tc>
      </w:tr>
      <w:tr w14:paraId="37CA6B3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814EA8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760A1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6D23E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06A30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A8AB57"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8C20F1C" w14:textId="77777777">
            <w:pPr>
              <w:widowControl/>
              <w:jc w:val="center"/>
              <w:rPr>
                <w:snapToGrid/>
                <w:color w:val="000000"/>
                <w:kern w:val="0"/>
                <w:szCs w:val="22"/>
              </w:rPr>
            </w:pPr>
            <w:r w:rsidRPr="00306B99">
              <w:rPr>
                <w:snapToGrid/>
                <w:color w:val="000000"/>
                <w:kern w:val="0"/>
                <w:szCs w:val="22"/>
              </w:rPr>
              <w:t>511639301001105</w:t>
            </w:r>
          </w:p>
        </w:tc>
      </w:tr>
      <w:tr w14:paraId="05B7E93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B8089E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374A1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22593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C4FB9A"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F52960"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C41070B" w14:textId="77777777">
            <w:pPr>
              <w:widowControl/>
              <w:jc w:val="center"/>
              <w:rPr>
                <w:snapToGrid/>
                <w:color w:val="000000"/>
                <w:kern w:val="0"/>
                <w:szCs w:val="22"/>
              </w:rPr>
            </w:pPr>
            <w:r w:rsidRPr="00306B99">
              <w:rPr>
                <w:snapToGrid/>
                <w:color w:val="000000"/>
                <w:kern w:val="0"/>
                <w:szCs w:val="22"/>
              </w:rPr>
              <w:t>511639301001111</w:t>
            </w:r>
          </w:p>
        </w:tc>
      </w:tr>
      <w:tr w14:paraId="27E2D07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B79DF7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7F53F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C5F6B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9784B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CBCC2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62F1CC" w14:textId="77777777">
            <w:pPr>
              <w:widowControl/>
              <w:jc w:val="center"/>
              <w:rPr>
                <w:snapToGrid/>
                <w:color w:val="000000"/>
                <w:kern w:val="0"/>
                <w:szCs w:val="22"/>
              </w:rPr>
            </w:pPr>
            <w:r w:rsidRPr="00306B99">
              <w:rPr>
                <w:snapToGrid/>
                <w:color w:val="000000"/>
                <w:kern w:val="0"/>
                <w:szCs w:val="22"/>
              </w:rPr>
              <w:t>511639301001113</w:t>
            </w:r>
          </w:p>
        </w:tc>
      </w:tr>
      <w:tr w14:paraId="39D0D3D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36519C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9B0DB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F69C2D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6506D3"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C3C07E"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5BC7491" w14:textId="77777777">
            <w:pPr>
              <w:widowControl/>
              <w:jc w:val="center"/>
              <w:rPr>
                <w:snapToGrid/>
                <w:color w:val="000000"/>
                <w:kern w:val="0"/>
                <w:szCs w:val="22"/>
              </w:rPr>
            </w:pPr>
            <w:r w:rsidRPr="00306B99">
              <w:rPr>
                <w:snapToGrid/>
                <w:color w:val="000000"/>
                <w:kern w:val="0"/>
                <w:szCs w:val="22"/>
              </w:rPr>
              <w:t>511639301001117</w:t>
            </w:r>
          </w:p>
        </w:tc>
      </w:tr>
      <w:tr w14:paraId="6E6D613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B5CA26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CFDA9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002503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CB202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9D1C0F"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04A535F" w14:textId="77777777">
            <w:pPr>
              <w:widowControl/>
              <w:jc w:val="center"/>
              <w:rPr>
                <w:snapToGrid/>
                <w:color w:val="000000"/>
                <w:kern w:val="0"/>
                <w:szCs w:val="22"/>
              </w:rPr>
            </w:pPr>
            <w:r w:rsidRPr="00306B99">
              <w:rPr>
                <w:snapToGrid/>
                <w:color w:val="000000"/>
                <w:kern w:val="0"/>
                <w:szCs w:val="22"/>
              </w:rPr>
              <w:t>511639301001126</w:t>
            </w:r>
          </w:p>
        </w:tc>
      </w:tr>
      <w:tr w14:paraId="6D5A248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538599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D10BF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C5833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477F17"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E37257"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A65D68" w14:textId="77777777">
            <w:pPr>
              <w:widowControl/>
              <w:jc w:val="center"/>
              <w:rPr>
                <w:snapToGrid/>
                <w:color w:val="000000"/>
                <w:kern w:val="0"/>
                <w:szCs w:val="22"/>
              </w:rPr>
            </w:pPr>
            <w:r w:rsidRPr="00306B99">
              <w:rPr>
                <w:snapToGrid/>
                <w:color w:val="000000"/>
                <w:kern w:val="0"/>
                <w:szCs w:val="22"/>
              </w:rPr>
              <w:t>511639301001132</w:t>
            </w:r>
          </w:p>
        </w:tc>
      </w:tr>
      <w:tr w14:paraId="6CB361F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638A01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628A2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5B581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B4FDE6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13B9AE"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9C7451D" w14:textId="77777777">
            <w:pPr>
              <w:widowControl/>
              <w:jc w:val="center"/>
              <w:rPr>
                <w:snapToGrid/>
                <w:color w:val="000000"/>
                <w:kern w:val="0"/>
                <w:szCs w:val="22"/>
              </w:rPr>
            </w:pPr>
            <w:r w:rsidRPr="00306B99">
              <w:rPr>
                <w:snapToGrid/>
                <w:color w:val="000000"/>
                <w:kern w:val="0"/>
                <w:szCs w:val="22"/>
              </w:rPr>
              <w:t>511639301001134</w:t>
            </w:r>
          </w:p>
        </w:tc>
      </w:tr>
      <w:tr w14:paraId="117E906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8C156D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2DF69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59A8F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B3E8D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F95E05"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598C9B2" w14:textId="77777777">
            <w:pPr>
              <w:widowControl/>
              <w:jc w:val="center"/>
              <w:rPr>
                <w:snapToGrid/>
                <w:color w:val="000000"/>
                <w:kern w:val="0"/>
                <w:szCs w:val="22"/>
              </w:rPr>
            </w:pPr>
            <w:r w:rsidRPr="00306B99">
              <w:rPr>
                <w:snapToGrid/>
                <w:color w:val="000000"/>
                <w:kern w:val="0"/>
                <w:szCs w:val="22"/>
              </w:rPr>
              <w:t>511639301001148</w:t>
            </w:r>
          </w:p>
        </w:tc>
      </w:tr>
      <w:tr w14:paraId="4ED9562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F757D2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4E350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561A4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3BC900"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9AD459"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8D141E2" w14:textId="77777777">
            <w:pPr>
              <w:widowControl/>
              <w:jc w:val="center"/>
              <w:rPr>
                <w:snapToGrid/>
                <w:color w:val="000000"/>
                <w:kern w:val="0"/>
                <w:szCs w:val="22"/>
              </w:rPr>
            </w:pPr>
            <w:r w:rsidRPr="00306B99">
              <w:rPr>
                <w:snapToGrid/>
                <w:color w:val="000000"/>
                <w:kern w:val="0"/>
                <w:szCs w:val="22"/>
              </w:rPr>
              <w:t>511639303004010</w:t>
            </w:r>
          </w:p>
        </w:tc>
      </w:tr>
      <w:tr w14:paraId="19F9813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2CA712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63C95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302F8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99D2B5D"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953AE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10222B0" w14:textId="77777777">
            <w:pPr>
              <w:widowControl/>
              <w:jc w:val="center"/>
              <w:rPr>
                <w:snapToGrid/>
                <w:color w:val="000000"/>
                <w:kern w:val="0"/>
                <w:szCs w:val="22"/>
              </w:rPr>
            </w:pPr>
            <w:r w:rsidRPr="00306B99">
              <w:rPr>
                <w:snapToGrid/>
                <w:color w:val="000000"/>
                <w:kern w:val="0"/>
                <w:szCs w:val="22"/>
              </w:rPr>
              <w:t>511639303004013</w:t>
            </w:r>
          </w:p>
        </w:tc>
      </w:tr>
      <w:tr w14:paraId="0B5430C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3DE2B0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25EA3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97E43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1A61A7"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211771"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B8D0060" w14:textId="77777777">
            <w:pPr>
              <w:widowControl/>
              <w:jc w:val="center"/>
              <w:rPr>
                <w:snapToGrid/>
                <w:color w:val="000000"/>
                <w:kern w:val="0"/>
                <w:szCs w:val="22"/>
              </w:rPr>
            </w:pPr>
            <w:r w:rsidRPr="00306B99">
              <w:rPr>
                <w:snapToGrid/>
                <w:color w:val="000000"/>
                <w:kern w:val="0"/>
                <w:szCs w:val="22"/>
              </w:rPr>
              <w:t>511639303004014</w:t>
            </w:r>
          </w:p>
        </w:tc>
      </w:tr>
      <w:tr w14:paraId="52593AC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E0FEB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988EF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B092E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01BD6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CD004C"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5914D8F" w14:textId="77777777">
            <w:pPr>
              <w:widowControl/>
              <w:jc w:val="center"/>
              <w:rPr>
                <w:snapToGrid/>
                <w:color w:val="000000"/>
                <w:kern w:val="0"/>
                <w:szCs w:val="22"/>
              </w:rPr>
            </w:pPr>
            <w:r w:rsidRPr="00306B99">
              <w:rPr>
                <w:snapToGrid/>
                <w:color w:val="000000"/>
                <w:kern w:val="0"/>
                <w:szCs w:val="22"/>
              </w:rPr>
              <w:t>511639303004017</w:t>
            </w:r>
          </w:p>
        </w:tc>
      </w:tr>
      <w:tr w14:paraId="73CD426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431616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72763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2E3F5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402C18"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E85F80"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5A4869E" w14:textId="77777777">
            <w:pPr>
              <w:widowControl/>
              <w:jc w:val="center"/>
              <w:rPr>
                <w:snapToGrid/>
                <w:color w:val="000000"/>
                <w:kern w:val="0"/>
                <w:szCs w:val="22"/>
              </w:rPr>
            </w:pPr>
            <w:r w:rsidRPr="00306B99">
              <w:rPr>
                <w:snapToGrid/>
                <w:color w:val="000000"/>
                <w:kern w:val="0"/>
                <w:szCs w:val="22"/>
              </w:rPr>
              <w:t>511639303004020</w:t>
            </w:r>
          </w:p>
        </w:tc>
      </w:tr>
      <w:tr w14:paraId="3125D0F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47A201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2D2FA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8AD13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893560"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D16A3C"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2E548C8" w14:textId="77777777">
            <w:pPr>
              <w:widowControl/>
              <w:jc w:val="center"/>
              <w:rPr>
                <w:snapToGrid/>
                <w:color w:val="000000"/>
                <w:kern w:val="0"/>
                <w:szCs w:val="22"/>
              </w:rPr>
            </w:pPr>
            <w:r w:rsidRPr="00306B99">
              <w:rPr>
                <w:snapToGrid/>
                <w:color w:val="000000"/>
                <w:kern w:val="0"/>
                <w:szCs w:val="22"/>
              </w:rPr>
              <w:t>511639303004021</w:t>
            </w:r>
          </w:p>
        </w:tc>
      </w:tr>
      <w:tr w14:paraId="1390EFB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2CF337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1F5ED2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98400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5DDD364"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0384A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4051F5C" w14:textId="77777777">
            <w:pPr>
              <w:widowControl/>
              <w:jc w:val="center"/>
              <w:rPr>
                <w:snapToGrid/>
                <w:color w:val="000000"/>
                <w:kern w:val="0"/>
                <w:szCs w:val="22"/>
              </w:rPr>
            </w:pPr>
            <w:r w:rsidRPr="00306B99">
              <w:rPr>
                <w:snapToGrid/>
                <w:color w:val="000000"/>
                <w:kern w:val="0"/>
                <w:szCs w:val="22"/>
              </w:rPr>
              <w:t>511639303004034</w:t>
            </w:r>
          </w:p>
        </w:tc>
      </w:tr>
      <w:tr w14:paraId="685F441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A4899B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3DECB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AE8C7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4F40E4"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79435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918681E" w14:textId="77777777">
            <w:pPr>
              <w:widowControl/>
              <w:jc w:val="center"/>
              <w:rPr>
                <w:snapToGrid/>
                <w:color w:val="000000"/>
                <w:kern w:val="0"/>
                <w:szCs w:val="22"/>
              </w:rPr>
            </w:pPr>
            <w:r w:rsidRPr="00306B99">
              <w:rPr>
                <w:snapToGrid/>
                <w:color w:val="000000"/>
                <w:kern w:val="0"/>
                <w:szCs w:val="22"/>
              </w:rPr>
              <w:t>511639303004035</w:t>
            </w:r>
          </w:p>
        </w:tc>
      </w:tr>
      <w:tr w14:paraId="4D3F1A9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9C4874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8706A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17670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D72A2B"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796BD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2A139C" w14:textId="77777777">
            <w:pPr>
              <w:widowControl/>
              <w:jc w:val="center"/>
              <w:rPr>
                <w:snapToGrid/>
                <w:color w:val="000000"/>
                <w:kern w:val="0"/>
                <w:szCs w:val="22"/>
              </w:rPr>
            </w:pPr>
            <w:r w:rsidRPr="00306B99">
              <w:rPr>
                <w:snapToGrid/>
                <w:color w:val="000000"/>
                <w:kern w:val="0"/>
                <w:szCs w:val="22"/>
              </w:rPr>
              <w:t>511639303004039</w:t>
            </w:r>
          </w:p>
        </w:tc>
      </w:tr>
      <w:tr w14:paraId="6E58F4F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8ECFC2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9285C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23688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6CF9B2"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B423E4"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3D1AFFB" w14:textId="77777777">
            <w:pPr>
              <w:widowControl/>
              <w:jc w:val="center"/>
              <w:rPr>
                <w:snapToGrid/>
                <w:color w:val="000000"/>
                <w:kern w:val="0"/>
                <w:szCs w:val="22"/>
              </w:rPr>
            </w:pPr>
            <w:r w:rsidRPr="00306B99">
              <w:rPr>
                <w:snapToGrid/>
                <w:color w:val="000000"/>
                <w:kern w:val="0"/>
                <w:szCs w:val="22"/>
              </w:rPr>
              <w:t>511639303004043</w:t>
            </w:r>
          </w:p>
        </w:tc>
      </w:tr>
      <w:tr w14:paraId="2CCDB74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5BA9E3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539E6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EFF49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87EAC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478420"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A4AEAB" w14:textId="77777777">
            <w:pPr>
              <w:widowControl/>
              <w:jc w:val="center"/>
              <w:rPr>
                <w:snapToGrid/>
                <w:color w:val="000000"/>
                <w:kern w:val="0"/>
                <w:szCs w:val="22"/>
              </w:rPr>
            </w:pPr>
            <w:r w:rsidRPr="00306B99">
              <w:rPr>
                <w:snapToGrid/>
                <w:color w:val="000000"/>
                <w:kern w:val="0"/>
                <w:szCs w:val="22"/>
              </w:rPr>
              <w:t>511639303004046</w:t>
            </w:r>
          </w:p>
        </w:tc>
      </w:tr>
      <w:tr w14:paraId="23BD906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AFDF55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BADC4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A28F5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9624292"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A08A79"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EECF69C" w14:textId="77777777">
            <w:pPr>
              <w:widowControl/>
              <w:jc w:val="center"/>
              <w:rPr>
                <w:snapToGrid/>
                <w:color w:val="000000"/>
                <w:kern w:val="0"/>
                <w:szCs w:val="22"/>
              </w:rPr>
            </w:pPr>
            <w:r w:rsidRPr="00306B99">
              <w:rPr>
                <w:snapToGrid/>
                <w:color w:val="000000"/>
                <w:kern w:val="0"/>
                <w:szCs w:val="22"/>
              </w:rPr>
              <w:t>511639303004049</w:t>
            </w:r>
          </w:p>
        </w:tc>
      </w:tr>
      <w:tr w14:paraId="5C71297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A5A393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52568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CEB84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7FAACB"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C82064"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88F4C5B" w14:textId="77777777">
            <w:pPr>
              <w:widowControl/>
              <w:jc w:val="center"/>
              <w:rPr>
                <w:snapToGrid/>
                <w:color w:val="000000"/>
                <w:kern w:val="0"/>
                <w:szCs w:val="22"/>
              </w:rPr>
            </w:pPr>
            <w:r w:rsidRPr="00306B99">
              <w:rPr>
                <w:snapToGrid/>
                <w:color w:val="000000"/>
                <w:kern w:val="0"/>
                <w:szCs w:val="22"/>
              </w:rPr>
              <w:t>511639303004056</w:t>
            </w:r>
          </w:p>
        </w:tc>
      </w:tr>
      <w:tr w14:paraId="78B308E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C5044A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66514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49A50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4DD8C2"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F81800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619D953" w14:textId="77777777">
            <w:pPr>
              <w:widowControl/>
              <w:jc w:val="center"/>
              <w:rPr>
                <w:snapToGrid/>
                <w:color w:val="000000"/>
                <w:kern w:val="0"/>
                <w:szCs w:val="22"/>
              </w:rPr>
            </w:pPr>
            <w:r w:rsidRPr="00306B99">
              <w:rPr>
                <w:snapToGrid/>
                <w:color w:val="000000"/>
                <w:kern w:val="0"/>
                <w:szCs w:val="22"/>
              </w:rPr>
              <w:t>511639303004057</w:t>
            </w:r>
          </w:p>
        </w:tc>
      </w:tr>
      <w:tr w14:paraId="7D8818D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768CE1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B762A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4FBA9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B70A1A"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0B64F5"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22CD8DB" w14:textId="77777777">
            <w:pPr>
              <w:widowControl/>
              <w:jc w:val="center"/>
              <w:rPr>
                <w:snapToGrid/>
                <w:color w:val="000000"/>
                <w:kern w:val="0"/>
                <w:szCs w:val="22"/>
              </w:rPr>
            </w:pPr>
            <w:r w:rsidRPr="00306B99">
              <w:rPr>
                <w:snapToGrid/>
                <w:color w:val="000000"/>
                <w:kern w:val="0"/>
                <w:szCs w:val="22"/>
              </w:rPr>
              <w:t>511639303004059</w:t>
            </w:r>
          </w:p>
        </w:tc>
      </w:tr>
      <w:tr w14:paraId="22CB938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92D83F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2C537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8A4FD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2709D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B118D5"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3125ECB" w14:textId="77777777">
            <w:pPr>
              <w:widowControl/>
              <w:jc w:val="center"/>
              <w:rPr>
                <w:snapToGrid/>
                <w:color w:val="000000"/>
                <w:kern w:val="0"/>
                <w:szCs w:val="22"/>
              </w:rPr>
            </w:pPr>
            <w:r w:rsidRPr="00306B99">
              <w:rPr>
                <w:snapToGrid/>
                <w:color w:val="000000"/>
                <w:kern w:val="0"/>
                <w:szCs w:val="22"/>
              </w:rPr>
              <w:t>511639303004060</w:t>
            </w:r>
          </w:p>
        </w:tc>
      </w:tr>
      <w:tr w14:paraId="242A79C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6E7463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7E3B5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B881C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56A592"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61AD7C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ED533A2" w14:textId="77777777">
            <w:pPr>
              <w:widowControl/>
              <w:jc w:val="center"/>
              <w:rPr>
                <w:snapToGrid/>
                <w:color w:val="000000"/>
                <w:kern w:val="0"/>
                <w:szCs w:val="22"/>
              </w:rPr>
            </w:pPr>
            <w:r w:rsidRPr="00306B99">
              <w:rPr>
                <w:snapToGrid/>
                <w:color w:val="000000"/>
                <w:kern w:val="0"/>
                <w:szCs w:val="22"/>
              </w:rPr>
              <w:t>511639303004061</w:t>
            </w:r>
          </w:p>
        </w:tc>
      </w:tr>
      <w:tr w14:paraId="4CB34FD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C8DF24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9354D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2BBDC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1BB802"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6EFA5F"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E87D997" w14:textId="77777777">
            <w:pPr>
              <w:widowControl/>
              <w:jc w:val="center"/>
              <w:rPr>
                <w:snapToGrid/>
                <w:color w:val="000000"/>
                <w:kern w:val="0"/>
                <w:szCs w:val="22"/>
              </w:rPr>
            </w:pPr>
            <w:r w:rsidRPr="00306B99">
              <w:rPr>
                <w:snapToGrid/>
                <w:color w:val="000000"/>
                <w:kern w:val="0"/>
                <w:szCs w:val="22"/>
              </w:rPr>
              <w:t>511639303004067</w:t>
            </w:r>
          </w:p>
        </w:tc>
      </w:tr>
      <w:tr w14:paraId="59A648B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60AF11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CF5D6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3F7A7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4AABC1"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ABFAAE"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FBCD0E3" w14:textId="77777777">
            <w:pPr>
              <w:widowControl/>
              <w:jc w:val="center"/>
              <w:rPr>
                <w:snapToGrid/>
                <w:color w:val="000000"/>
                <w:kern w:val="0"/>
                <w:szCs w:val="22"/>
              </w:rPr>
            </w:pPr>
            <w:r w:rsidRPr="00306B99">
              <w:rPr>
                <w:snapToGrid/>
                <w:color w:val="000000"/>
                <w:kern w:val="0"/>
                <w:szCs w:val="22"/>
              </w:rPr>
              <w:t>511639303004070</w:t>
            </w:r>
          </w:p>
        </w:tc>
      </w:tr>
      <w:tr w14:paraId="04E4346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B3F78E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0F190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3F0D5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EF6B25"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EE282E"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2886053" w14:textId="77777777">
            <w:pPr>
              <w:widowControl/>
              <w:jc w:val="center"/>
              <w:rPr>
                <w:snapToGrid/>
                <w:color w:val="000000"/>
                <w:kern w:val="0"/>
                <w:szCs w:val="22"/>
              </w:rPr>
            </w:pPr>
            <w:r w:rsidRPr="00306B99">
              <w:rPr>
                <w:snapToGrid/>
                <w:color w:val="000000"/>
                <w:kern w:val="0"/>
                <w:szCs w:val="22"/>
              </w:rPr>
              <w:t>511639303004072</w:t>
            </w:r>
          </w:p>
        </w:tc>
      </w:tr>
      <w:tr w14:paraId="74ACB95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1BB54F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B78A1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3A09B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94B95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97B14C"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5799744" w14:textId="77777777">
            <w:pPr>
              <w:widowControl/>
              <w:jc w:val="center"/>
              <w:rPr>
                <w:snapToGrid/>
                <w:color w:val="000000"/>
                <w:kern w:val="0"/>
                <w:szCs w:val="22"/>
              </w:rPr>
            </w:pPr>
            <w:r w:rsidRPr="00306B99">
              <w:rPr>
                <w:snapToGrid/>
                <w:color w:val="000000"/>
                <w:kern w:val="0"/>
                <w:szCs w:val="22"/>
              </w:rPr>
              <w:t>511639303004074</w:t>
            </w:r>
          </w:p>
        </w:tc>
      </w:tr>
      <w:tr w14:paraId="51545E2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14EE37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A795A8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C9277A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A06467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CA57E3"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69A87B0" w14:textId="77777777">
            <w:pPr>
              <w:widowControl/>
              <w:jc w:val="center"/>
              <w:rPr>
                <w:snapToGrid/>
                <w:color w:val="000000"/>
                <w:kern w:val="0"/>
                <w:szCs w:val="22"/>
              </w:rPr>
            </w:pPr>
            <w:r w:rsidRPr="00306B99">
              <w:rPr>
                <w:snapToGrid/>
                <w:color w:val="000000"/>
                <w:kern w:val="0"/>
                <w:szCs w:val="22"/>
              </w:rPr>
              <w:t>511639303004078</w:t>
            </w:r>
          </w:p>
        </w:tc>
      </w:tr>
      <w:tr w14:paraId="2F5537A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CADCC2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7CB10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A1403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29B840"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8E5E85"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0CCE40A" w14:textId="77777777">
            <w:pPr>
              <w:widowControl/>
              <w:jc w:val="center"/>
              <w:rPr>
                <w:snapToGrid/>
                <w:color w:val="000000"/>
                <w:kern w:val="0"/>
                <w:szCs w:val="22"/>
              </w:rPr>
            </w:pPr>
            <w:r w:rsidRPr="00306B99">
              <w:rPr>
                <w:snapToGrid/>
                <w:color w:val="000000"/>
                <w:kern w:val="0"/>
                <w:szCs w:val="22"/>
              </w:rPr>
              <w:t>511639303004079</w:t>
            </w:r>
          </w:p>
        </w:tc>
      </w:tr>
      <w:tr w14:paraId="0969F43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3453B0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F6D70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A3429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3F678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73DF31"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2462E45" w14:textId="77777777">
            <w:pPr>
              <w:widowControl/>
              <w:jc w:val="center"/>
              <w:rPr>
                <w:snapToGrid/>
                <w:color w:val="000000"/>
                <w:kern w:val="0"/>
                <w:szCs w:val="22"/>
              </w:rPr>
            </w:pPr>
            <w:r w:rsidRPr="00306B99">
              <w:rPr>
                <w:snapToGrid/>
                <w:color w:val="000000"/>
                <w:kern w:val="0"/>
                <w:szCs w:val="22"/>
              </w:rPr>
              <w:t>511639303004080</w:t>
            </w:r>
          </w:p>
        </w:tc>
      </w:tr>
      <w:tr w14:paraId="15DCB2E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0CBCD0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584A17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322C1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D339F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647681"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622F34D" w14:textId="77777777">
            <w:pPr>
              <w:widowControl/>
              <w:jc w:val="center"/>
              <w:rPr>
                <w:snapToGrid/>
                <w:color w:val="000000"/>
                <w:kern w:val="0"/>
                <w:szCs w:val="22"/>
              </w:rPr>
            </w:pPr>
            <w:r w:rsidRPr="00306B99">
              <w:rPr>
                <w:snapToGrid/>
                <w:color w:val="000000"/>
                <w:kern w:val="0"/>
                <w:szCs w:val="22"/>
              </w:rPr>
              <w:t>511639303004081</w:t>
            </w:r>
          </w:p>
        </w:tc>
      </w:tr>
      <w:tr w14:paraId="205D542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EC8314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116E66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90E79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0104E5C"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9B1177"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3F9C73E" w14:textId="77777777">
            <w:pPr>
              <w:widowControl/>
              <w:jc w:val="center"/>
              <w:rPr>
                <w:snapToGrid/>
                <w:color w:val="000000"/>
                <w:kern w:val="0"/>
                <w:szCs w:val="22"/>
              </w:rPr>
            </w:pPr>
            <w:r w:rsidRPr="00306B99">
              <w:rPr>
                <w:snapToGrid/>
                <w:color w:val="000000"/>
                <w:kern w:val="0"/>
                <w:szCs w:val="22"/>
              </w:rPr>
              <w:t>511639303004089</w:t>
            </w:r>
          </w:p>
        </w:tc>
      </w:tr>
      <w:tr w14:paraId="7B3DCFF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72A36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F37F9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7256C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7941A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D97B11"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0530043" w14:textId="77777777">
            <w:pPr>
              <w:widowControl/>
              <w:jc w:val="center"/>
              <w:rPr>
                <w:snapToGrid/>
                <w:color w:val="000000"/>
                <w:kern w:val="0"/>
                <w:szCs w:val="22"/>
              </w:rPr>
            </w:pPr>
            <w:r w:rsidRPr="00306B99">
              <w:rPr>
                <w:snapToGrid/>
                <w:color w:val="000000"/>
                <w:kern w:val="0"/>
                <w:szCs w:val="22"/>
              </w:rPr>
              <w:t>511639303004090</w:t>
            </w:r>
          </w:p>
        </w:tc>
      </w:tr>
      <w:tr w14:paraId="59E5B5F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D5F6D4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F0FC8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1409C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C6F4A0"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A36AD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2470708" w14:textId="77777777">
            <w:pPr>
              <w:widowControl/>
              <w:jc w:val="center"/>
              <w:rPr>
                <w:snapToGrid/>
                <w:color w:val="000000"/>
                <w:kern w:val="0"/>
                <w:szCs w:val="22"/>
              </w:rPr>
            </w:pPr>
            <w:r w:rsidRPr="00306B99">
              <w:rPr>
                <w:snapToGrid/>
                <w:color w:val="000000"/>
                <w:kern w:val="0"/>
                <w:szCs w:val="22"/>
              </w:rPr>
              <w:t>511639303004095</w:t>
            </w:r>
          </w:p>
        </w:tc>
      </w:tr>
      <w:tr w14:paraId="3713194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C81B7F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7A66C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C5AC0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66146A"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29E7FF"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8B5F209" w14:textId="77777777">
            <w:pPr>
              <w:widowControl/>
              <w:jc w:val="center"/>
              <w:rPr>
                <w:snapToGrid/>
                <w:color w:val="000000"/>
                <w:kern w:val="0"/>
                <w:szCs w:val="22"/>
              </w:rPr>
            </w:pPr>
            <w:r w:rsidRPr="00306B99">
              <w:rPr>
                <w:snapToGrid/>
                <w:color w:val="000000"/>
                <w:kern w:val="0"/>
                <w:szCs w:val="22"/>
              </w:rPr>
              <w:t>511639303004098</w:t>
            </w:r>
          </w:p>
        </w:tc>
      </w:tr>
      <w:tr w14:paraId="59322A7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2BDF37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30FB6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2AB2F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202E8E"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A6D76D"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3A34244" w14:textId="77777777">
            <w:pPr>
              <w:widowControl/>
              <w:jc w:val="center"/>
              <w:rPr>
                <w:snapToGrid/>
                <w:color w:val="000000"/>
                <w:kern w:val="0"/>
                <w:szCs w:val="22"/>
              </w:rPr>
            </w:pPr>
            <w:r w:rsidRPr="00306B99">
              <w:rPr>
                <w:snapToGrid/>
                <w:color w:val="000000"/>
                <w:kern w:val="0"/>
                <w:szCs w:val="22"/>
              </w:rPr>
              <w:t>511639303004110</w:t>
            </w:r>
          </w:p>
        </w:tc>
      </w:tr>
      <w:tr w14:paraId="7B01FD0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49398C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59E98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61DAC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13F219"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3B53B8"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5077AE2" w14:textId="77777777">
            <w:pPr>
              <w:widowControl/>
              <w:jc w:val="center"/>
              <w:rPr>
                <w:snapToGrid/>
                <w:color w:val="000000"/>
                <w:kern w:val="0"/>
                <w:szCs w:val="22"/>
              </w:rPr>
            </w:pPr>
            <w:r w:rsidRPr="00306B99">
              <w:rPr>
                <w:snapToGrid/>
                <w:color w:val="000000"/>
                <w:kern w:val="0"/>
                <w:szCs w:val="22"/>
              </w:rPr>
              <w:t>511639303004113</w:t>
            </w:r>
          </w:p>
        </w:tc>
      </w:tr>
      <w:tr w14:paraId="4C89549F" w14:textId="77777777" w:rsidTr="002860A6">
        <w:tblPrEx>
          <w:tblW w:w="10400" w:type="dxa"/>
          <w:tblInd w:w="118" w:type="dxa"/>
          <w:tblLook w:val="04A0"/>
        </w:tblPrEx>
        <w:trPr>
          <w:trHeight w:val="315"/>
        </w:trPr>
        <w:tc>
          <w:tcPr>
            <w:tcW w:w="2380" w:type="dxa"/>
            <w:tcBorders>
              <w:top w:val="nil"/>
              <w:left w:val="single" w:sz="8" w:space="0" w:color="auto"/>
              <w:bottom w:val="single" w:sz="8" w:space="0" w:color="auto"/>
              <w:right w:val="single" w:sz="4" w:space="0" w:color="auto"/>
            </w:tcBorders>
            <w:shd w:val="clear" w:color="auto" w:fill="auto"/>
            <w:noWrap/>
            <w:vAlign w:val="bottom"/>
            <w:hideMark/>
          </w:tcPr>
          <w:p w:rsidR="007D28BC" w:rsidRPr="00306B99" w:rsidP="002860A6" w14:paraId="1655CA7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7445230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1B5E922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161A83EB" w14:textId="77777777">
            <w:pPr>
              <w:widowControl/>
              <w:jc w:val="center"/>
              <w:rPr>
                <w:snapToGrid/>
                <w:color w:val="000000"/>
                <w:kern w:val="0"/>
                <w:szCs w:val="22"/>
              </w:rPr>
            </w:pPr>
            <w:r w:rsidRPr="00306B99">
              <w:rPr>
                <w:snapToGrid/>
                <w:color w:val="000000"/>
                <w:kern w:val="0"/>
                <w:szCs w:val="22"/>
              </w:rPr>
              <w:t>199026</w:t>
            </w:r>
          </w:p>
        </w:tc>
        <w:tc>
          <w:tcPr>
            <w:tcW w:w="152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1243915C"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8" w:space="0" w:color="auto"/>
              <w:right w:val="single" w:sz="8" w:space="0" w:color="auto"/>
            </w:tcBorders>
            <w:shd w:val="clear" w:color="auto" w:fill="auto"/>
            <w:noWrap/>
            <w:vAlign w:val="bottom"/>
            <w:hideMark/>
          </w:tcPr>
          <w:p w:rsidR="007D28BC" w:rsidRPr="00306B99" w:rsidP="002860A6" w14:paraId="452C38BC" w14:textId="77777777">
            <w:pPr>
              <w:widowControl/>
              <w:jc w:val="center"/>
              <w:rPr>
                <w:snapToGrid/>
                <w:color w:val="000000"/>
                <w:kern w:val="0"/>
                <w:szCs w:val="22"/>
              </w:rPr>
            </w:pPr>
            <w:r w:rsidRPr="00306B99">
              <w:rPr>
                <w:snapToGrid/>
                <w:color w:val="000000"/>
                <w:kern w:val="0"/>
                <w:szCs w:val="22"/>
              </w:rPr>
              <w:t>511639303004114</w:t>
            </w:r>
          </w:p>
        </w:tc>
      </w:tr>
    </w:tbl>
    <w:p w:rsidR="007D28BC" w:rsidRPr="00494E06" w:rsidP="007D28BC" w14:paraId="4B8026D0" w14:textId="77777777">
      <w:pPr>
        <w:rPr>
          <w:i/>
          <w:iCs/>
        </w:rPr>
      </w:pPr>
    </w:p>
    <w:p w:rsidR="007D28BC" w:rsidRPr="00494E06" w:rsidP="007D28BC" w14:paraId="0E5DC53E" w14:textId="77777777">
      <w:pPr>
        <w:rPr>
          <w:i/>
          <w:iCs/>
        </w:rPr>
      </w:pPr>
      <w:r w:rsidRPr="00494E06">
        <w:rPr>
          <w:i/>
          <w:iCs/>
        </w:rPr>
        <w:t>CAF Phase II Auction Defaulted Census Blocks</w:t>
      </w:r>
    </w:p>
    <w:p w:rsidR="007D28BC" w:rsidRPr="00494E06" w:rsidP="007D28BC" w14:paraId="3E64A088" w14:textId="77777777">
      <w:pPr>
        <w:rPr>
          <w:i/>
          <w:iCs/>
        </w:rPr>
      </w:pPr>
    </w:p>
    <w:tbl>
      <w:tblPr>
        <w:tblW w:w="10400" w:type="dxa"/>
        <w:tblInd w:w="118" w:type="dxa"/>
        <w:tblLook w:val="04A0"/>
      </w:tblPr>
      <w:tblGrid>
        <w:gridCol w:w="2380"/>
        <w:gridCol w:w="1600"/>
        <w:gridCol w:w="1040"/>
        <w:gridCol w:w="1180"/>
        <w:gridCol w:w="1520"/>
        <w:gridCol w:w="2680"/>
      </w:tblGrid>
      <w:tr w14:paraId="0AEE422D" w14:textId="77777777" w:rsidTr="002860A6">
        <w:tblPrEx>
          <w:tblW w:w="10400" w:type="dxa"/>
          <w:tblInd w:w="118" w:type="dxa"/>
          <w:tblLook w:val="04A0"/>
        </w:tblPrEx>
        <w:trPr>
          <w:trHeight w:val="480"/>
        </w:trPr>
        <w:tc>
          <w:tcPr>
            <w:tcW w:w="2380" w:type="dxa"/>
            <w:tcBorders>
              <w:top w:val="single" w:sz="8" w:space="0" w:color="auto"/>
              <w:left w:val="single" w:sz="8" w:space="0" w:color="auto"/>
              <w:bottom w:val="nil"/>
              <w:right w:val="single" w:sz="4" w:space="0" w:color="auto"/>
            </w:tcBorders>
            <w:shd w:val="clear" w:color="auto" w:fill="auto"/>
            <w:vAlign w:val="center"/>
            <w:hideMark/>
          </w:tcPr>
          <w:p w:rsidR="007D28BC" w:rsidRPr="00306B99" w:rsidP="002860A6" w14:paraId="356F6669" w14:textId="77777777">
            <w:pPr>
              <w:widowControl/>
              <w:rPr>
                <w:b/>
                <w:bCs/>
                <w:snapToGrid/>
                <w:color w:val="000000"/>
                <w:kern w:val="0"/>
                <w:szCs w:val="22"/>
              </w:rPr>
            </w:pPr>
            <w:r w:rsidRPr="00306B99">
              <w:rPr>
                <w:b/>
                <w:bCs/>
                <w:snapToGrid/>
                <w:color w:val="000000"/>
                <w:kern w:val="0"/>
                <w:szCs w:val="22"/>
              </w:rPr>
              <w:t>Applicant</w:t>
            </w:r>
          </w:p>
        </w:tc>
        <w:tc>
          <w:tcPr>
            <w:tcW w:w="1600" w:type="dxa"/>
            <w:tcBorders>
              <w:top w:val="single" w:sz="8" w:space="0" w:color="auto"/>
              <w:left w:val="nil"/>
              <w:bottom w:val="nil"/>
              <w:right w:val="single" w:sz="4" w:space="0" w:color="auto"/>
            </w:tcBorders>
            <w:shd w:val="clear" w:color="auto" w:fill="auto"/>
            <w:noWrap/>
            <w:vAlign w:val="center"/>
            <w:hideMark/>
          </w:tcPr>
          <w:p w:rsidR="007D28BC" w:rsidRPr="00306B99" w:rsidP="002860A6" w14:paraId="0DB89E4B" w14:textId="77777777">
            <w:pPr>
              <w:widowControl/>
              <w:jc w:val="center"/>
              <w:rPr>
                <w:b/>
                <w:bCs/>
                <w:snapToGrid/>
                <w:color w:val="000000"/>
                <w:kern w:val="0"/>
                <w:szCs w:val="22"/>
              </w:rPr>
            </w:pPr>
            <w:r w:rsidRPr="00306B99">
              <w:rPr>
                <w:b/>
                <w:bCs/>
                <w:snapToGrid/>
                <w:color w:val="000000"/>
                <w:kern w:val="0"/>
                <w:szCs w:val="22"/>
              </w:rPr>
              <w:t>FRN</w:t>
            </w:r>
          </w:p>
        </w:tc>
        <w:tc>
          <w:tcPr>
            <w:tcW w:w="1040" w:type="dxa"/>
            <w:tcBorders>
              <w:top w:val="single" w:sz="8" w:space="0" w:color="auto"/>
              <w:left w:val="nil"/>
              <w:bottom w:val="nil"/>
              <w:right w:val="single" w:sz="4" w:space="0" w:color="auto"/>
            </w:tcBorders>
            <w:shd w:val="clear" w:color="auto" w:fill="auto"/>
            <w:vAlign w:val="center"/>
            <w:hideMark/>
          </w:tcPr>
          <w:p w:rsidR="007D28BC" w:rsidRPr="00306B99" w:rsidP="002860A6" w14:paraId="7E9D560B" w14:textId="77777777">
            <w:pPr>
              <w:widowControl/>
              <w:rPr>
                <w:b/>
                <w:bCs/>
                <w:snapToGrid/>
                <w:color w:val="000000"/>
                <w:kern w:val="0"/>
                <w:szCs w:val="22"/>
              </w:rPr>
            </w:pPr>
            <w:r w:rsidRPr="00306B99">
              <w:rPr>
                <w:b/>
                <w:bCs/>
                <w:snapToGrid/>
                <w:color w:val="000000"/>
                <w:kern w:val="0"/>
                <w:szCs w:val="22"/>
              </w:rPr>
              <w:t>State</w:t>
            </w:r>
          </w:p>
        </w:tc>
        <w:tc>
          <w:tcPr>
            <w:tcW w:w="1180" w:type="dxa"/>
            <w:tcBorders>
              <w:top w:val="single" w:sz="8" w:space="0" w:color="auto"/>
              <w:left w:val="nil"/>
              <w:bottom w:val="nil"/>
              <w:right w:val="single" w:sz="4" w:space="0" w:color="auto"/>
            </w:tcBorders>
            <w:shd w:val="clear" w:color="auto" w:fill="auto"/>
            <w:noWrap/>
            <w:vAlign w:val="center"/>
            <w:hideMark/>
          </w:tcPr>
          <w:p w:rsidR="007D28BC" w:rsidRPr="00306B99" w:rsidP="002860A6" w14:paraId="74FAEA0A" w14:textId="77777777">
            <w:pPr>
              <w:widowControl/>
              <w:jc w:val="center"/>
              <w:rPr>
                <w:b/>
                <w:bCs/>
                <w:snapToGrid/>
                <w:color w:val="000000"/>
                <w:kern w:val="0"/>
                <w:szCs w:val="22"/>
              </w:rPr>
            </w:pPr>
            <w:r w:rsidRPr="00306B99">
              <w:rPr>
                <w:b/>
                <w:bCs/>
                <w:snapToGrid/>
                <w:color w:val="000000"/>
                <w:kern w:val="0"/>
                <w:szCs w:val="22"/>
              </w:rPr>
              <w:t>Study Area Code</w:t>
            </w:r>
          </w:p>
        </w:tc>
        <w:tc>
          <w:tcPr>
            <w:tcW w:w="1520" w:type="dxa"/>
            <w:tcBorders>
              <w:top w:val="single" w:sz="8" w:space="0" w:color="auto"/>
              <w:left w:val="nil"/>
              <w:bottom w:val="nil"/>
              <w:right w:val="single" w:sz="4" w:space="0" w:color="auto"/>
            </w:tcBorders>
            <w:shd w:val="clear" w:color="auto" w:fill="auto"/>
            <w:noWrap/>
            <w:vAlign w:val="center"/>
            <w:hideMark/>
          </w:tcPr>
          <w:p w:rsidR="007D28BC" w:rsidRPr="00306B99" w:rsidP="002860A6" w14:paraId="58F1802F" w14:textId="77777777">
            <w:pPr>
              <w:widowControl/>
              <w:rPr>
                <w:b/>
                <w:bCs/>
                <w:snapToGrid/>
                <w:color w:val="000000"/>
                <w:kern w:val="0"/>
                <w:szCs w:val="22"/>
              </w:rPr>
            </w:pPr>
            <w:r w:rsidRPr="00306B99">
              <w:rPr>
                <w:b/>
                <w:bCs/>
                <w:snapToGrid/>
                <w:color w:val="000000"/>
                <w:kern w:val="0"/>
                <w:szCs w:val="22"/>
              </w:rPr>
              <w:t>County</w:t>
            </w:r>
          </w:p>
        </w:tc>
        <w:tc>
          <w:tcPr>
            <w:tcW w:w="2680" w:type="dxa"/>
            <w:tcBorders>
              <w:top w:val="single" w:sz="8" w:space="0" w:color="auto"/>
              <w:left w:val="nil"/>
              <w:bottom w:val="nil"/>
              <w:right w:val="single" w:sz="8" w:space="0" w:color="auto"/>
            </w:tcBorders>
            <w:shd w:val="clear" w:color="auto" w:fill="auto"/>
            <w:vAlign w:val="center"/>
            <w:hideMark/>
          </w:tcPr>
          <w:p w:rsidR="007D28BC" w:rsidRPr="00306B99" w:rsidP="002860A6" w14:paraId="43CF8356" w14:textId="77777777">
            <w:pPr>
              <w:widowControl/>
              <w:jc w:val="center"/>
              <w:rPr>
                <w:b/>
                <w:bCs/>
                <w:snapToGrid/>
                <w:color w:val="000000"/>
                <w:kern w:val="0"/>
                <w:szCs w:val="22"/>
              </w:rPr>
            </w:pPr>
            <w:r w:rsidRPr="00306B99">
              <w:rPr>
                <w:b/>
                <w:bCs/>
                <w:snapToGrid/>
                <w:color w:val="000000"/>
                <w:kern w:val="0"/>
                <w:szCs w:val="22"/>
              </w:rPr>
              <w:t>Census Block Number</w:t>
            </w:r>
          </w:p>
        </w:tc>
      </w:tr>
      <w:tr w14:paraId="091BA008" w14:textId="77777777" w:rsidTr="002860A6">
        <w:tblPrEx>
          <w:tblW w:w="10400" w:type="dxa"/>
          <w:tblInd w:w="118" w:type="dxa"/>
          <w:tblLook w:val="04A0"/>
        </w:tblPrEx>
        <w:trPr>
          <w:trHeight w:val="300"/>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28BC" w:rsidRPr="00306B99" w:rsidP="002860A6" w14:paraId="716D7A3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0FF6367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739567B2" w14:textId="77777777">
            <w:pPr>
              <w:widowControl/>
              <w:rPr>
                <w:snapToGrid/>
                <w:color w:val="000000"/>
                <w:kern w:val="0"/>
                <w:szCs w:val="22"/>
              </w:rPr>
            </w:pPr>
            <w:r w:rsidRPr="00306B99">
              <w:rPr>
                <w:snapToGrid/>
                <w:color w:val="000000"/>
                <w:kern w:val="0"/>
                <w:szCs w:val="22"/>
              </w:rPr>
              <w:t>Virginia</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45B81565"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421995BD" w14:textId="77777777">
            <w:pPr>
              <w:widowControl/>
              <w:rPr>
                <w:snapToGrid/>
                <w:color w:val="000000"/>
                <w:kern w:val="0"/>
                <w:szCs w:val="22"/>
              </w:rPr>
            </w:pPr>
            <w:r w:rsidRPr="00306B99">
              <w:rPr>
                <w:snapToGrid/>
                <w:color w:val="000000"/>
                <w:kern w:val="0"/>
                <w:szCs w:val="22"/>
              </w:rPr>
              <w:t>Augusta</w:t>
            </w:r>
          </w:p>
        </w:tc>
        <w:tc>
          <w:tcPr>
            <w:tcW w:w="2680" w:type="dxa"/>
            <w:tcBorders>
              <w:top w:val="single" w:sz="8" w:space="0" w:color="auto"/>
              <w:left w:val="nil"/>
              <w:bottom w:val="single" w:sz="4" w:space="0" w:color="auto"/>
              <w:right w:val="single" w:sz="8" w:space="0" w:color="auto"/>
            </w:tcBorders>
            <w:shd w:val="clear" w:color="auto" w:fill="auto"/>
            <w:noWrap/>
            <w:vAlign w:val="bottom"/>
            <w:hideMark/>
          </w:tcPr>
          <w:p w:rsidR="007D28BC" w:rsidRPr="00306B99" w:rsidP="002860A6" w14:paraId="6A924987" w14:textId="77777777">
            <w:pPr>
              <w:widowControl/>
              <w:jc w:val="center"/>
              <w:rPr>
                <w:snapToGrid/>
                <w:color w:val="000000"/>
                <w:kern w:val="0"/>
                <w:szCs w:val="22"/>
              </w:rPr>
            </w:pPr>
            <w:r w:rsidRPr="00306B99">
              <w:rPr>
                <w:snapToGrid/>
                <w:color w:val="000000"/>
                <w:kern w:val="0"/>
                <w:szCs w:val="22"/>
              </w:rPr>
              <w:t>510150710002014</w:t>
            </w:r>
          </w:p>
        </w:tc>
      </w:tr>
      <w:tr w14:paraId="4BB5EEA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3D6FA2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48245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FA77DA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8BDA7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48D18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39C3BFB" w14:textId="77777777">
            <w:pPr>
              <w:widowControl/>
              <w:jc w:val="center"/>
              <w:rPr>
                <w:snapToGrid/>
                <w:color w:val="000000"/>
                <w:kern w:val="0"/>
                <w:szCs w:val="22"/>
              </w:rPr>
            </w:pPr>
            <w:r w:rsidRPr="00306B99">
              <w:rPr>
                <w:snapToGrid/>
                <w:color w:val="000000"/>
                <w:kern w:val="0"/>
                <w:szCs w:val="22"/>
              </w:rPr>
              <w:t>510150710002015</w:t>
            </w:r>
          </w:p>
        </w:tc>
      </w:tr>
      <w:tr w14:paraId="590EF44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D90D72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99E6C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3644D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FAE36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F40D89"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FB8367A" w14:textId="77777777">
            <w:pPr>
              <w:widowControl/>
              <w:jc w:val="center"/>
              <w:rPr>
                <w:snapToGrid/>
                <w:color w:val="000000"/>
                <w:kern w:val="0"/>
                <w:szCs w:val="22"/>
              </w:rPr>
            </w:pPr>
            <w:r w:rsidRPr="00306B99">
              <w:rPr>
                <w:snapToGrid/>
                <w:color w:val="000000"/>
                <w:kern w:val="0"/>
                <w:szCs w:val="22"/>
              </w:rPr>
              <w:t>510150710002017</w:t>
            </w:r>
          </w:p>
        </w:tc>
      </w:tr>
      <w:tr w14:paraId="68A57A6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DBF5CA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5175D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227B6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E58832"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A6B53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482CAA8" w14:textId="77777777">
            <w:pPr>
              <w:widowControl/>
              <w:jc w:val="center"/>
              <w:rPr>
                <w:snapToGrid/>
                <w:color w:val="000000"/>
                <w:kern w:val="0"/>
                <w:szCs w:val="22"/>
              </w:rPr>
            </w:pPr>
            <w:r w:rsidRPr="00306B99">
              <w:rPr>
                <w:snapToGrid/>
                <w:color w:val="000000"/>
                <w:kern w:val="0"/>
                <w:szCs w:val="22"/>
              </w:rPr>
              <w:t>510150710002018</w:t>
            </w:r>
          </w:p>
        </w:tc>
      </w:tr>
      <w:tr w14:paraId="4125210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F55A66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DE516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E4CF6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F5821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8CF79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A02312A" w14:textId="77777777">
            <w:pPr>
              <w:widowControl/>
              <w:jc w:val="center"/>
              <w:rPr>
                <w:snapToGrid/>
                <w:color w:val="000000"/>
                <w:kern w:val="0"/>
                <w:szCs w:val="22"/>
              </w:rPr>
            </w:pPr>
            <w:r w:rsidRPr="00306B99">
              <w:rPr>
                <w:snapToGrid/>
                <w:color w:val="000000"/>
                <w:kern w:val="0"/>
                <w:szCs w:val="22"/>
              </w:rPr>
              <w:t>510150710002019</w:t>
            </w:r>
          </w:p>
        </w:tc>
      </w:tr>
      <w:tr w14:paraId="2D975A7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86FE9D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6BE6E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8706E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20F94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08E4F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144204A" w14:textId="77777777">
            <w:pPr>
              <w:widowControl/>
              <w:jc w:val="center"/>
              <w:rPr>
                <w:snapToGrid/>
                <w:color w:val="000000"/>
                <w:kern w:val="0"/>
                <w:szCs w:val="22"/>
              </w:rPr>
            </w:pPr>
            <w:r w:rsidRPr="00306B99">
              <w:rPr>
                <w:snapToGrid/>
                <w:color w:val="000000"/>
                <w:kern w:val="0"/>
                <w:szCs w:val="22"/>
              </w:rPr>
              <w:t>510150710002020</w:t>
            </w:r>
          </w:p>
        </w:tc>
      </w:tr>
      <w:tr w14:paraId="39DE1BA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276B88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9155C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95008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0434BC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BE3B34"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CF1F8AF" w14:textId="77777777">
            <w:pPr>
              <w:widowControl/>
              <w:jc w:val="center"/>
              <w:rPr>
                <w:snapToGrid/>
                <w:color w:val="000000"/>
                <w:kern w:val="0"/>
                <w:szCs w:val="22"/>
              </w:rPr>
            </w:pPr>
            <w:r w:rsidRPr="00306B99">
              <w:rPr>
                <w:snapToGrid/>
                <w:color w:val="000000"/>
                <w:kern w:val="0"/>
                <w:szCs w:val="22"/>
              </w:rPr>
              <w:t>510150710002025</w:t>
            </w:r>
          </w:p>
        </w:tc>
      </w:tr>
      <w:tr w14:paraId="44B3994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8D8AE5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A5081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331A1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7CBAB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151BC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4D7C529" w14:textId="77777777">
            <w:pPr>
              <w:widowControl/>
              <w:jc w:val="center"/>
              <w:rPr>
                <w:snapToGrid/>
                <w:color w:val="000000"/>
                <w:kern w:val="0"/>
                <w:szCs w:val="22"/>
              </w:rPr>
            </w:pPr>
            <w:r w:rsidRPr="00306B99">
              <w:rPr>
                <w:snapToGrid/>
                <w:color w:val="000000"/>
                <w:kern w:val="0"/>
                <w:szCs w:val="22"/>
              </w:rPr>
              <w:t>510150710002029</w:t>
            </w:r>
          </w:p>
        </w:tc>
      </w:tr>
      <w:tr w14:paraId="2019154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90B008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20BB9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C9B40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0C231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AC270B"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0628F1D" w14:textId="77777777">
            <w:pPr>
              <w:widowControl/>
              <w:jc w:val="center"/>
              <w:rPr>
                <w:snapToGrid/>
                <w:color w:val="000000"/>
                <w:kern w:val="0"/>
                <w:szCs w:val="22"/>
              </w:rPr>
            </w:pPr>
            <w:r w:rsidRPr="00306B99">
              <w:rPr>
                <w:snapToGrid/>
                <w:color w:val="000000"/>
                <w:kern w:val="0"/>
                <w:szCs w:val="22"/>
              </w:rPr>
              <w:t>510150710002030</w:t>
            </w:r>
          </w:p>
        </w:tc>
      </w:tr>
      <w:tr w14:paraId="51A0528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D51A15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A7D6C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E69B0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D6517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00B1C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FB0EDD1" w14:textId="77777777">
            <w:pPr>
              <w:widowControl/>
              <w:jc w:val="center"/>
              <w:rPr>
                <w:snapToGrid/>
                <w:color w:val="000000"/>
                <w:kern w:val="0"/>
                <w:szCs w:val="22"/>
              </w:rPr>
            </w:pPr>
            <w:r w:rsidRPr="00306B99">
              <w:rPr>
                <w:snapToGrid/>
                <w:color w:val="000000"/>
                <w:kern w:val="0"/>
                <w:szCs w:val="22"/>
              </w:rPr>
              <w:t>510150710002035</w:t>
            </w:r>
          </w:p>
        </w:tc>
      </w:tr>
      <w:tr w14:paraId="3A92975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E8BCD1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475AA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6D58B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F21A9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F3A53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D171BCF" w14:textId="77777777">
            <w:pPr>
              <w:widowControl/>
              <w:jc w:val="center"/>
              <w:rPr>
                <w:snapToGrid/>
                <w:color w:val="000000"/>
                <w:kern w:val="0"/>
                <w:szCs w:val="22"/>
              </w:rPr>
            </w:pPr>
            <w:r w:rsidRPr="00306B99">
              <w:rPr>
                <w:snapToGrid/>
                <w:color w:val="000000"/>
                <w:kern w:val="0"/>
                <w:szCs w:val="22"/>
              </w:rPr>
              <w:t>510150710002039</w:t>
            </w:r>
          </w:p>
        </w:tc>
      </w:tr>
      <w:tr w14:paraId="331FDEA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4C48E7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9B3FD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ED845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FB820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B93B9C"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730B86C" w14:textId="77777777">
            <w:pPr>
              <w:widowControl/>
              <w:jc w:val="center"/>
              <w:rPr>
                <w:snapToGrid/>
                <w:color w:val="000000"/>
                <w:kern w:val="0"/>
                <w:szCs w:val="22"/>
              </w:rPr>
            </w:pPr>
            <w:r w:rsidRPr="00306B99">
              <w:rPr>
                <w:snapToGrid/>
                <w:color w:val="000000"/>
                <w:kern w:val="0"/>
                <w:szCs w:val="22"/>
              </w:rPr>
              <w:t>510150710002040</w:t>
            </w:r>
          </w:p>
        </w:tc>
      </w:tr>
      <w:tr w14:paraId="148CE36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8AE6BB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670F4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C2727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0AEC86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4AEA9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1166E29" w14:textId="77777777">
            <w:pPr>
              <w:widowControl/>
              <w:jc w:val="center"/>
              <w:rPr>
                <w:snapToGrid/>
                <w:color w:val="000000"/>
                <w:kern w:val="0"/>
                <w:szCs w:val="22"/>
              </w:rPr>
            </w:pPr>
            <w:r w:rsidRPr="00306B99">
              <w:rPr>
                <w:snapToGrid/>
                <w:color w:val="000000"/>
                <w:kern w:val="0"/>
                <w:szCs w:val="22"/>
              </w:rPr>
              <w:t>510150710002045</w:t>
            </w:r>
          </w:p>
        </w:tc>
      </w:tr>
      <w:tr w14:paraId="5522EA5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BFD9FD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E9F3B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38849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4329B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A30B7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0FAEB55" w14:textId="77777777">
            <w:pPr>
              <w:widowControl/>
              <w:jc w:val="center"/>
              <w:rPr>
                <w:snapToGrid/>
                <w:color w:val="000000"/>
                <w:kern w:val="0"/>
                <w:szCs w:val="22"/>
              </w:rPr>
            </w:pPr>
            <w:r w:rsidRPr="00306B99">
              <w:rPr>
                <w:snapToGrid/>
                <w:color w:val="000000"/>
                <w:kern w:val="0"/>
                <w:szCs w:val="22"/>
              </w:rPr>
              <w:t>510150710002053</w:t>
            </w:r>
          </w:p>
        </w:tc>
      </w:tr>
      <w:tr w14:paraId="640CAD5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84792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2972F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2C296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3C11D5"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84D69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8287B3E" w14:textId="77777777">
            <w:pPr>
              <w:widowControl/>
              <w:jc w:val="center"/>
              <w:rPr>
                <w:snapToGrid/>
                <w:color w:val="000000"/>
                <w:kern w:val="0"/>
                <w:szCs w:val="22"/>
              </w:rPr>
            </w:pPr>
            <w:r w:rsidRPr="00306B99">
              <w:rPr>
                <w:snapToGrid/>
                <w:color w:val="000000"/>
                <w:kern w:val="0"/>
                <w:szCs w:val="22"/>
              </w:rPr>
              <w:t>510150710002054</w:t>
            </w:r>
          </w:p>
        </w:tc>
      </w:tr>
      <w:tr w14:paraId="2E570A0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5629A1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BE3E6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6D757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3F89C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96732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BCDB9A0" w14:textId="77777777">
            <w:pPr>
              <w:widowControl/>
              <w:jc w:val="center"/>
              <w:rPr>
                <w:snapToGrid/>
                <w:color w:val="000000"/>
                <w:kern w:val="0"/>
                <w:szCs w:val="22"/>
              </w:rPr>
            </w:pPr>
            <w:r w:rsidRPr="00306B99">
              <w:rPr>
                <w:snapToGrid/>
                <w:color w:val="000000"/>
                <w:kern w:val="0"/>
                <w:szCs w:val="22"/>
              </w:rPr>
              <w:t>510150710002056</w:t>
            </w:r>
          </w:p>
        </w:tc>
      </w:tr>
      <w:tr w14:paraId="283397A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C27FB9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EBBC4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A2C34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29C885"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FE4E5C"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1111A88" w14:textId="77777777">
            <w:pPr>
              <w:widowControl/>
              <w:jc w:val="center"/>
              <w:rPr>
                <w:snapToGrid/>
                <w:color w:val="000000"/>
                <w:kern w:val="0"/>
                <w:szCs w:val="22"/>
              </w:rPr>
            </w:pPr>
            <w:r w:rsidRPr="00306B99">
              <w:rPr>
                <w:snapToGrid/>
                <w:color w:val="000000"/>
                <w:kern w:val="0"/>
                <w:szCs w:val="22"/>
              </w:rPr>
              <w:t>510150710002058</w:t>
            </w:r>
          </w:p>
        </w:tc>
      </w:tr>
      <w:tr w14:paraId="5D870A7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E4E40C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18F5D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9B9B7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A6CDD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34574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404F710" w14:textId="77777777">
            <w:pPr>
              <w:widowControl/>
              <w:jc w:val="center"/>
              <w:rPr>
                <w:snapToGrid/>
                <w:color w:val="000000"/>
                <w:kern w:val="0"/>
                <w:szCs w:val="22"/>
              </w:rPr>
            </w:pPr>
            <w:r w:rsidRPr="00306B99">
              <w:rPr>
                <w:snapToGrid/>
                <w:color w:val="000000"/>
                <w:kern w:val="0"/>
                <w:szCs w:val="22"/>
              </w:rPr>
              <w:t>510150710002062</w:t>
            </w:r>
          </w:p>
        </w:tc>
      </w:tr>
      <w:tr w14:paraId="1DC7CCE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0A92F0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7EEBE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2DB3A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51A4E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2FCAE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8869325" w14:textId="77777777">
            <w:pPr>
              <w:widowControl/>
              <w:jc w:val="center"/>
              <w:rPr>
                <w:snapToGrid/>
                <w:color w:val="000000"/>
                <w:kern w:val="0"/>
                <w:szCs w:val="22"/>
              </w:rPr>
            </w:pPr>
            <w:r w:rsidRPr="00306B99">
              <w:rPr>
                <w:snapToGrid/>
                <w:color w:val="000000"/>
                <w:kern w:val="0"/>
                <w:szCs w:val="22"/>
              </w:rPr>
              <w:t>510150710002064</w:t>
            </w:r>
          </w:p>
        </w:tc>
      </w:tr>
      <w:tr w14:paraId="77E14E6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50BB6C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70688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66FAA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A9C86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7B0AE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45E7CAA" w14:textId="77777777">
            <w:pPr>
              <w:widowControl/>
              <w:jc w:val="center"/>
              <w:rPr>
                <w:snapToGrid/>
                <w:color w:val="000000"/>
                <w:kern w:val="0"/>
                <w:szCs w:val="22"/>
              </w:rPr>
            </w:pPr>
            <w:r w:rsidRPr="00306B99">
              <w:rPr>
                <w:snapToGrid/>
                <w:color w:val="000000"/>
                <w:kern w:val="0"/>
                <w:szCs w:val="22"/>
              </w:rPr>
              <w:t>510150710002068</w:t>
            </w:r>
          </w:p>
        </w:tc>
      </w:tr>
      <w:tr w14:paraId="2CCDCF8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98AFFD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86D81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41DC30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4CFAC0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06484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20FA230" w14:textId="77777777">
            <w:pPr>
              <w:widowControl/>
              <w:jc w:val="center"/>
              <w:rPr>
                <w:snapToGrid/>
                <w:color w:val="000000"/>
                <w:kern w:val="0"/>
                <w:szCs w:val="22"/>
              </w:rPr>
            </w:pPr>
            <w:r w:rsidRPr="00306B99">
              <w:rPr>
                <w:snapToGrid/>
                <w:color w:val="000000"/>
                <w:kern w:val="0"/>
                <w:szCs w:val="22"/>
              </w:rPr>
              <w:t>510150710002070</w:t>
            </w:r>
          </w:p>
        </w:tc>
      </w:tr>
      <w:tr w14:paraId="6B36EC8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EA00BF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F81F5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D6CBA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4ED1D4"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D492E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4145614" w14:textId="77777777">
            <w:pPr>
              <w:widowControl/>
              <w:jc w:val="center"/>
              <w:rPr>
                <w:snapToGrid/>
                <w:color w:val="000000"/>
                <w:kern w:val="0"/>
                <w:szCs w:val="22"/>
              </w:rPr>
            </w:pPr>
            <w:r w:rsidRPr="00306B99">
              <w:rPr>
                <w:snapToGrid/>
                <w:color w:val="000000"/>
                <w:kern w:val="0"/>
                <w:szCs w:val="22"/>
              </w:rPr>
              <w:t>510150710002074</w:t>
            </w:r>
          </w:p>
        </w:tc>
      </w:tr>
      <w:tr w14:paraId="7A648AD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51D81F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0EAE5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4293B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2902E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625AA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33B70D5" w14:textId="77777777">
            <w:pPr>
              <w:widowControl/>
              <w:jc w:val="center"/>
              <w:rPr>
                <w:snapToGrid/>
                <w:color w:val="000000"/>
                <w:kern w:val="0"/>
                <w:szCs w:val="22"/>
              </w:rPr>
            </w:pPr>
            <w:r w:rsidRPr="00306B99">
              <w:rPr>
                <w:snapToGrid/>
                <w:color w:val="000000"/>
                <w:kern w:val="0"/>
                <w:szCs w:val="22"/>
              </w:rPr>
              <w:t>510150710002076</w:t>
            </w:r>
          </w:p>
        </w:tc>
      </w:tr>
      <w:tr w14:paraId="0413640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E3071A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84785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08B03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5DF4D1"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85DBE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1520EED" w14:textId="77777777">
            <w:pPr>
              <w:widowControl/>
              <w:jc w:val="center"/>
              <w:rPr>
                <w:snapToGrid/>
                <w:color w:val="000000"/>
                <w:kern w:val="0"/>
                <w:szCs w:val="22"/>
              </w:rPr>
            </w:pPr>
            <w:r w:rsidRPr="00306B99">
              <w:rPr>
                <w:snapToGrid/>
                <w:color w:val="000000"/>
                <w:kern w:val="0"/>
                <w:szCs w:val="22"/>
              </w:rPr>
              <w:t>510150710001000</w:t>
            </w:r>
          </w:p>
        </w:tc>
      </w:tr>
      <w:tr w14:paraId="75F563C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6F22B4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73137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BF946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AC0B4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398BEB"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1B98A23" w14:textId="77777777">
            <w:pPr>
              <w:widowControl/>
              <w:jc w:val="center"/>
              <w:rPr>
                <w:snapToGrid/>
                <w:color w:val="000000"/>
                <w:kern w:val="0"/>
                <w:szCs w:val="22"/>
              </w:rPr>
            </w:pPr>
            <w:r w:rsidRPr="00306B99">
              <w:rPr>
                <w:snapToGrid/>
                <w:color w:val="000000"/>
                <w:kern w:val="0"/>
                <w:szCs w:val="22"/>
              </w:rPr>
              <w:t>510150710001003</w:t>
            </w:r>
          </w:p>
        </w:tc>
      </w:tr>
      <w:tr w14:paraId="404853D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201243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D6BC2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FDE9A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FF9ADA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885895"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1BB0F57" w14:textId="77777777">
            <w:pPr>
              <w:widowControl/>
              <w:jc w:val="center"/>
              <w:rPr>
                <w:snapToGrid/>
                <w:color w:val="000000"/>
                <w:kern w:val="0"/>
                <w:szCs w:val="22"/>
              </w:rPr>
            </w:pPr>
            <w:r w:rsidRPr="00306B99">
              <w:rPr>
                <w:snapToGrid/>
                <w:color w:val="000000"/>
                <w:kern w:val="0"/>
                <w:szCs w:val="22"/>
              </w:rPr>
              <w:t>510150710001005</w:t>
            </w:r>
          </w:p>
        </w:tc>
      </w:tr>
      <w:tr w14:paraId="2A67CE7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1C4899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E01C3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A704B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6D4DD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508ED1"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683D3F9" w14:textId="77777777">
            <w:pPr>
              <w:widowControl/>
              <w:jc w:val="center"/>
              <w:rPr>
                <w:snapToGrid/>
                <w:color w:val="000000"/>
                <w:kern w:val="0"/>
                <w:szCs w:val="22"/>
              </w:rPr>
            </w:pPr>
            <w:r w:rsidRPr="00306B99">
              <w:rPr>
                <w:snapToGrid/>
                <w:color w:val="000000"/>
                <w:kern w:val="0"/>
                <w:szCs w:val="22"/>
              </w:rPr>
              <w:t>510150710001007</w:t>
            </w:r>
          </w:p>
        </w:tc>
      </w:tr>
      <w:tr w14:paraId="125AD8C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B67E73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1D45B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07CA7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EEA99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ED03D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B80314" w14:textId="77777777">
            <w:pPr>
              <w:widowControl/>
              <w:jc w:val="center"/>
              <w:rPr>
                <w:snapToGrid/>
                <w:color w:val="000000"/>
                <w:kern w:val="0"/>
                <w:szCs w:val="22"/>
              </w:rPr>
            </w:pPr>
            <w:r w:rsidRPr="00306B99">
              <w:rPr>
                <w:snapToGrid/>
                <w:color w:val="000000"/>
                <w:kern w:val="0"/>
                <w:szCs w:val="22"/>
              </w:rPr>
              <w:t>510150710001011</w:t>
            </w:r>
          </w:p>
        </w:tc>
      </w:tr>
      <w:tr w14:paraId="1BF3218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23C15B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195D1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14951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A78DF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FECA19"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59BFAD9" w14:textId="77777777">
            <w:pPr>
              <w:widowControl/>
              <w:jc w:val="center"/>
              <w:rPr>
                <w:snapToGrid/>
                <w:color w:val="000000"/>
                <w:kern w:val="0"/>
                <w:szCs w:val="22"/>
              </w:rPr>
            </w:pPr>
            <w:r w:rsidRPr="00306B99">
              <w:rPr>
                <w:snapToGrid/>
                <w:color w:val="000000"/>
                <w:kern w:val="0"/>
                <w:szCs w:val="22"/>
              </w:rPr>
              <w:t>510150710001013</w:t>
            </w:r>
          </w:p>
        </w:tc>
      </w:tr>
      <w:tr w14:paraId="4D68D77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95A624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79320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8045F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0A4EB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7B48F4"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5AA9D7F" w14:textId="77777777">
            <w:pPr>
              <w:widowControl/>
              <w:jc w:val="center"/>
              <w:rPr>
                <w:snapToGrid/>
                <w:color w:val="000000"/>
                <w:kern w:val="0"/>
                <w:szCs w:val="22"/>
              </w:rPr>
            </w:pPr>
            <w:r w:rsidRPr="00306B99">
              <w:rPr>
                <w:snapToGrid/>
                <w:color w:val="000000"/>
                <w:kern w:val="0"/>
                <w:szCs w:val="22"/>
              </w:rPr>
              <w:t>510150710001014</w:t>
            </w:r>
          </w:p>
        </w:tc>
      </w:tr>
      <w:tr w14:paraId="5F22F9E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A1FEC1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B2119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59ADC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6BFED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1D22C7"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4CBF280" w14:textId="77777777">
            <w:pPr>
              <w:widowControl/>
              <w:jc w:val="center"/>
              <w:rPr>
                <w:snapToGrid/>
                <w:color w:val="000000"/>
                <w:kern w:val="0"/>
                <w:szCs w:val="22"/>
              </w:rPr>
            </w:pPr>
            <w:r w:rsidRPr="00306B99">
              <w:rPr>
                <w:snapToGrid/>
                <w:color w:val="000000"/>
                <w:kern w:val="0"/>
                <w:szCs w:val="22"/>
              </w:rPr>
              <w:t>510150710001016</w:t>
            </w:r>
          </w:p>
        </w:tc>
      </w:tr>
      <w:tr w14:paraId="284620E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BDA183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DFD52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0093C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3220F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28991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5863258" w14:textId="77777777">
            <w:pPr>
              <w:widowControl/>
              <w:jc w:val="center"/>
              <w:rPr>
                <w:snapToGrid/>
                <w:color w:val="000000"/>
                <w:kern w:val="0"/>
                <w:szCs w:val="22"/>
              </w:rPr>
            </w:pPr>
            <w:r w:rsidRPr="00306B99">
              <w:rPr>
                <w:snapToGrid/>
                <w:color w:val="000000"/>
                <w:kern w:val="0"/>
                <w:szCs w:val="22"/>
              </w:rPr>
              <w:t>510150710001018</w:t>
            </w:r>
          </w:p>
        </w:tc>
      </w:tr>
      <w:tr w14:paraId="7CC115C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569FE7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53D0F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84038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88E2B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6E133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AE42089" w14:textId="77777777">
            <w:pPr>
              <w:widowControl/>
              <w:jc w:val="center"/>
              <w:rPr>
                <w:snapToGrid/>
                <w:color w:val="000000"/>
                <w:kern w:val="0"/>
                <w:szCs w:val="22"/>
              </w:rPr>
            </w:pPr>
            <w:r w:rsidRPr="00306B99">
              <w:rPr>
                <w:snapToGrid/>
                <w:color w:val="000000"/>
                <w:kern w:val="0"/>
                <w:szCs w:val="22"/>
              </w:rPr>
              <w:t>510150710001019</w:t>
            </w:r>
          </w:p>
        </w:tc>
      </w:tr>
      <w:tr w14:paraId="17236A6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66CCC8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F0410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FB4A1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551B3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01A07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D75B166" w14:textId="77777777">
            <w:pPr>
              <w:widowControl/>
              <w:jc w:val="center"/>
              <w:rPr>
                <w:snapToGrid/>
                <w:color w:val="000000"/>
                <w:kern w:val="0"/>
                <w:szCs w:val="22"/>
              </w:rPr>
            </w:pPr>
            <w:r w:rsidRPr="00306B99">
              <w:rPr>
                <w:snapToGrid/>
                <w:color w:val="000000"/>
                <w:kern w:val="0"/>
                <w:szCs w:val="22"/>
              </w:rPr>
              <w:t>510150710001025</w:t>
            </w:r>
          </w:p>
        </w:tc>
      </w:tr>
      <w:tr w14:paraId="43F48A9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4B69F4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0A46A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45744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8A61B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D3A3FD"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E46FA13" w14:textId="77777777">
            <w:pPr>
              <w:widowControl/>
              <w:jc w:val="center"/>
              <w:rPr>
                <w:snapToGrid/>
                <w:color w:val="000000"/>
                <w:kern w:val="0"/>
                <w:szCs w:val="22"/>
              </w:rPr>
            </w:pPr>
            <w:r w:rsidRPr="00306B99">
              <w:rPr>
                <w:snapToGrid/>
                <w:color w:val="000000"/>
                <w:kern w:val="0"/>
                <w:szCs w:val="22"/>
              </w:rPr>
              <w:t>510150710001027</w:t>
            </w:r>
          </w:p>
        </w:tc>
      </w:tr>
      <w:tr w14:paraId="0DBC62F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775749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074F8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82B32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1EBE99"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E82C39B"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996EAD9" w14:textId="77777777">
            <w:pPr>
              <w:widowControl/>
              <w:jc w:val="center"/>
              <w:rPr>
                <w:snapToGrid/>
                <w:color w:val="000000"/>
                <w:kern w:val="0"/>
                <w:szCs w:val="22"/>
              </w:rPr>
            </w:pPr>
            <w:r w:rsidRPr="00306B99">
              <w:rPr>
                <w:snapToGrid/>
                <w:color w:val="000000"/>
                <w:kern w:val="0"/>
                <w:szCs w:val="22"/>
              </w:rPr>
              <w:t>510150710001029</w:t>
            </w:r>
          </w:p>
        </w:tc>
      </w:tr>
      <w:tr w14:paraId="1522000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F2E942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F6428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A63353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FE838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09DE5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2A37DE8" w14:textId="77777777">
            <w:pPr>
              <w:widowControl/>
              <w:jc w:val="center"/>
              <w:rPr>
                <w:snapToGrid/>
                <w:color w:val="000000"/>
                <w:kern w:val="0"/>
                <w:szCs w:val="22"/>
              </w:rPr>
            </w:pPr>
            <w:r w:rsidRPr="00306B99">
              <w:rPr>
                <w:snapToGrid/>
                <w:color w:val="000000"/>
                <w:kern w:val="0"/>
                <w:szCs w:val="22"/>
              </w:rPr>
              <w:t>510150710001031</w:t>
            </w:r>
          </w:p>
        </w:tc>
      </w:tr>
      <w:tr w14:paraId="419F082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466EE3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CDBB9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A2D3F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A9ABF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367C9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C569BAD" w14:textId="77777777">
            <w:pPr>
              <w:widowControl/>
              <w:jc w:val="center"/>
              <w:rPr>
                <w:snapToGrid/>
                <w:color w:val="000000"/>
                <w:kern w:val="0"/>
                <w:szCs w:val="22"/>
              </w:rPr>
            </w:pPr>
            <w:r w:rsidRPr="00306B99">
              <w:rPr>
                <w:snapToGrid/>
                <w:color w:val="000000"/>
                <w:kern w:val="0"/>
                <w:szCs w:val="22"/>
              </w:rPr>
              <w:t>510150710001032</w:t>
            </w:r>
          </w:p>
        </w:tc>
      </w:tr>
      <w:tr w14:paraId="4CE551F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D078A0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46A5D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55735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368DA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E5DAC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305B45E" w14:textId="77777777">
            <w:pPr>
              <w:widowControl/>
              <w:jc w:val="center"/>
              <w:rPr>
                <w:snapToGrid/>
                <w:color w:val="000000"/>
                <w:kern w:val="0"/>
                <w:szCs w:val="22"/>
              </w:rPr>
            </w:pPr>
            <w:r w:rsidRPr="00306B99">
              <w:rPr>
                <w:snapToGrid/>
                <w:color w:val="000000"/>
                <w:kern w:val="0"/>
                <w:szCs w:val="22"/>
              </w:rPr>
              <w:t>510150710001034</w:t>
            </w:r>
          </w:p>
        </w:tc>
      </w:tr>
      <w:tr w14:paraId="09D0377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486461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3B1C7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C0121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F81F45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8853A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3FCF1AD" w14:textId="77777777">
            <w:pPr>
              <w:widowControl/>
              <w:jc w:val="center"/>
              <w:rPr>
                <w:snapToGrid/>
                <w:color w:val="000000"/>
                <w:kern w:val="0"/>
                <w:szCs w:val="22"/>
              </w:rPr>
            </w:pPr>
            <w:r w:rsidRPr="00306B99">
              <w:rPr>
                <w:snapToGrid/>
                <w:color w:val="000000"/>
                <w:kern w:val="0"/>
                <w:szCs w:val="22"/>
              </w:rPr>
              <w:t>510150710001036</w:t>
            </w:r>
          </w:p>
        </w:tc>
      </w:tr>
      <w:tr w14:paraId="6FC4C13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3EBA95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CD414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4E4199"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037474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B6273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E0B3A34" w14:textId="77777777">
            <w:pPr>
              <w:widowControl/>
              <w:jc w:val="center"/>
              <w:rPr>
                <w:snapToGrid/>
                <w:color w:val="000000"/>
                <w:kern w:val="0"/>
                <w:szCs w:val="22"/>
              </w:rPr>
            </w:pPr>
            <w:r w:rsidRPr="00306B99">
              <w:rPr>
                <w:snapToGrid/>
                <w:color w:val="000000"/>
                <w:kern w:val="0"/>
                <w:szCs w:val="22"/>
              </w:rPr>
              <w:t>510150710001041</w:t>
            </w:r>
          </w:p>
        </w:tc>
      </w:tr>
      <w:tr w14:paraId="2755F6C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A35637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36FD8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A9816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D555C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49AB7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A4294DF" w14:textId="77777777">
            <w:pPr>
              <w:widowControl/>
              <w:jc w:val="center"/>
              <w:rPr>
                <w:snapToGrid/>
                <w:color w:val="000000"/>
                <w:kern w:val="0"/>
                <w:szCs w:val="22"/>
              </w:rPr>
            </w:pPr>
            <w:r w:rsidRPr="00306B99">
              <w:rPr>
                <w:snapToGrid/>
                <w:color w:val="000000"/>
                <w:kern w:val="0"/>
                <w:szCs w:val="22"/>
              </w:rPr>
              <w:t>510150710001042</w:t>
            </w:r>
          </w:p>
        </w:tc>
      </w:tr>
      <w:tr w14:paraId="4DF862D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7E9A40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46C26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9C36F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F67EC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69426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D24204F" w14:textId="77777777">
            <w:pPr>
              <w:widowControl/>
              <w:jc w:val="center"/>
              <w:rPr>
                <w:snapToGrid/>
                <w:color w:val="000000"/>
                <w:kern w:val="0"/>
                <w:szCs w:val="22"/>
              </w:rPr>
            </w:pPr>
            <w:r w:rsidRPr="00306B99">
              <w:rPr>
                <w:snapToGrid/>
                <w:color w:val="000000"/>
                <w:kern w:val="0"/>
                <w:szCs w:val="22"/>
              </w:rPr>
              <w:t>510150710001044</w:t>
            </w:r>
          </w:p>
        </w:tc>
      </w:tr>
      <w:tr w14:paraId="4A1A2FF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CF3F04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54988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6D0FC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02DB6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A7A1EF"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9FC2B69" w14:textId="77777777">
            <w:pPr>
              <w:widowControl/>
              <w:jc w:val="center"/>
              <w:rPr>
                <w:snapToGrid/>
                <w:color w:val="000000"/>
                <w:kern w:val="0"/>
                <w:szCs w:val="22"/>
              </w:rPr>
            </w:pPr>
            <w:r w:rsidRPr="00306B99">
              <w:rPr>
                <w:snapToGrid/>
                <w:color w:val="000000"/>
                <w:kern w:val="0"/>
                <w:szCs w:val="22"/>
              </w:rPr>
              <w:t>510150710001046</w:t>
            </w:r>
          </w:p>
        </w:tc>
      </w:tr>
      <w:tr w14:paraId="3CA2586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9AEE1E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1C7C0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D026E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7296C9"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0F6F71"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2331466" w14:textId="77777777">
            <w:pPr>
              <w:widowControl/>
              <w:jc w:val="center"/>
              <w:rPr>
                <w:snapToGrid/>
                <w:color w:val="000000"/>
                <w:kern w:val="0"/>
                <w:szCs w:val="22"/>
              </w:rPr>
            </w:pPr>
            <w:r w:rsidRPr="00306B99">
              <w:rPr>
                <w:snapToGrid/>
                <w:color w:val="000000"/>
                <w:kern w:val="0"/>
                <w:szCs w:val="22"/>
              </w:rPr>
              <w:t>510150710001047</w:t>
            </w:r>
          </w:p>
        </w:tc>
      </w:tr>
      <w:tr w14:paraId="6B44A52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B2769D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1392C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F2AEF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2E1484"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D5D20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FE69090" w14:textId="77777777">
            <w:pPr>
              <w:widowControl/>
              <w:jc w:val="center"/>
              <w:rPr>
                <w:snapToGrid/>
                <w:color w:val="000000"/>
                <w:kern w:val="0"/>
                <w:szCs w:val="22"/>
              </w:rPr>
            </w:pPr>
            <w:r w:rsidRPr="00306B99">
              <w:rPr>
                <w:snapToGrid/>
                <w:color w:val="000000"/>
                <w:kern w:val="0"/>
                <w:szCs w:val="22"/>
              </w:rPr>
              <w:t>510150710001051</w:t>
            </w:r>
          </w:p>
        </w:tc>
      </w:tr>
      <w:tr w14:paraId="414E334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37F9B0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6B7D0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A7C6A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7C404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BB585C"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9399677" w14:textId="77777777">
            <w:pPr>
              <w:widowControl/>
              <w:jc w:val="center"/>
              <w:rPr>
                <w:snapToGrid/>
                <w:color w:val="000000"/>
                <w:kern w:val="0"/>
                <w:szCs w:val="22"/>
              </w:rPr>
            </w:pPr>
            <w:r w:rsidRPr="00306B99">
              <w:rPr>
                <w:snapToGrid/>
                <w:color w:val="000000"/>
                <w:kern w:val="0"/>
                <w:szCs w:val="22"/>
              </w:rPr>
              <w:t>510150710001055</w:t>
            </w:r>
          </w:p>
        </w:tc>
      </w:tr>
      <w:tr w14:paraId="16577E8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012727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BE8EE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7E2DC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AF2C05"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3897E7"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B285BD3" w14:textId="77777777">
            <w:pPr>
              <w:widowControl/>
              <w:jc w:val="center"/>
              <w:rPr>
                <w:snapToGrid/>
                <w:color w:val="000000"/>
                <w:kern w:val="0"/>
                <w:szCs w:val="22"/>
              </w:rPr>
            </w:pPr>
            <w:r w:rsidRPr="00306B99">
              <w:rPr>
                <w:snapToGrid/>
                <w:color w:val="000000"/>
                <w:kern w:val="0"/>
                <w:szCs w:val="22"/>
              </w:rPr>
              <w:t>510150710001056</w:t>
            </w:r>
          </w:p>
        </w:tc>
      </w:tr>
      <w:tr w14:paraId="6F9ADDC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59CCDF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9651E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D1B8B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A8AA4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998FE1"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331912B" w14:textId="77777777">
            <w:pPr>
              <w:widowControl/>
              <w:jc w:val="center"/>
              <w:rPr>
                <w:snapToGrid/>
                <w:color w:val="000000"/>
                <w:kern w:val="0"/>
                <w:szCs w:val="22"/>
              </w:rPr>
            </w:pPr>
            <w:r w:rsidRPr="00306B99">
              <w:rPr>
                <w:snapToGrid/>
                <w:color w:val="000000"/>
                <w:kern w:val="0"/>
                <w:szCs w:val="22"/>
              </w:rPr>
              <w:t>510150710001057</w:t>
            </w:r>
          </w:p>
        </w:tc>
      </w:tr>
      <w:tr w14:paraId="2453064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33B469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0F7E9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787D7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71F575"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E237F6"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D89A384" w14:textId="77777777">
            <w:pPr>
              <w:widowControl/>
              <w:jc w:val="center"/>
              <w:rPr>
                <w:snapToGrid/>
                <w:color w:val="000000"/>
                <w:kern w:val="0"/>
                <w:szCs w:val="22"/>
              </w:rPr>
            </w:pPr>
            <w:r w:rsidRPr="00306B99">
              <w:rPr>
                <w:snapToGrid/>
                <w:color w:val="000000"/>
                <w:kern w:val="0"/>
                <w:szCs w:val="22"/>
              </w:rPr>
              <w:t>510150710001058</w:t>
            </w:r>
          </w:p>
        </w:tc>
      </w:tr>
      <w:tr w14:paraId="3E771FD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024871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5E76A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FA0E6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0842D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1F80FE2"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48647A3" w14:textId="77777777">
            <w:pPr>
              <w:widowControl/>
              <w:jc w:val="center"/>
              <w:rPr>
                <w:snapToGrid/>
                <w:color w:val="000000"/>
                <w:kern w:val="0"/>
                <w:szCs w:val="22"/>
              </w:rPr>
            </w:pPr>
            <w:r w:rsidRPr="00306B99">
              <w:rPr>
                <w:snapToGrid/>
                <w:color w:val="000000"/>
                <w:kern w:val="0"/>
                <w:szCs w:val="22"/>
              </w:rPr>
              <w:t>510150710001059</w:t>
            </w:r>
          </w:p>
        </w:tc>
      </w:tr>
      <w:tr w14:paraId="772C1BE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B0D5CF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B42BB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FF2B4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2B59E4"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2474A4"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79B983D" w14:textId="77777777">
            <w:pPr>
              <w:widowControl/>
              <w:jc w:val="center"/>
              <w:rPr>
                <w:snapToGrid/>
                <w:color w:val="000000"/>
                <w:kern w:val="0"/>
                <w:szCs w:val="22"/>
              </w:rPr>
            </w:pPr>
            <w:r w:rsidRPr="00306B99">
              <w:rPr>
                <w:snapToGrid/>
                <w:color w:val="000000"/>
                <w:kern w:val="0"/>
                <w:szCs w:val="22"/>
              </w:rPr>
              <w:t>510150710001060</w:t>
            </w:r>
          </w:p>
        </w:tc>
      </w:tr>
      <w:tr w14:paraId="56A5378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2381CA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B1011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8302D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F11540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D0E9B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7A38153" w14:textId="77777777">
            <w:pPr>
              <w:widowControl/>
              <w:jc w:val="center"/>
              <w:rPr>
                <w:snapToGrid/>
                <w:color w:val="000000"/>
                <w:kern w:val="0"/>
                <w:szCs w:val="22"/>
              </w:rPr>
            </w:pPr>
            <w:r w:rsidRPr="00306B99">
              <w:rPr>
                <w:snapToGrid/>
                <w:color w:val="000000"/>
                <w:kern w:val="0"/>
                <w:szCs w:val="22"/>
              </w:rPr>
              <w:t>510150710001063</w:t>
            </w:r>
          </w:p>
        </w:tc>
      </w:tr>
      <w:tr w14:paraId="660D0A3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B50F35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951A2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18AB5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73429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CF587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C821930" w14:textId="77777777">
            <w:pPr>
              <w:widowControl/>
              <w:jc w:val="center"/>
              <w:rPr>
                <w:snapToGrid/>
                <w:color w:val="000000"/>
                <w:kern w:val="0"/>
                <w:szCs w:val="22"/>
              </w:rPr>
            </w:pPr>
            <w:r w:rsidRPr="00306B99">
              <w:rPr>
                <w:snapToGrid/>
                <w:color w:val="000000"/>
                <w:kern w:val="0"/>
                <w:szCs w:val="22"/>
              </w:rPr>
              <w:t>510150710001064</w:t>
            </w:r>
          </w:p>
        </w:tc>
      </w:tr>
      <w:tr w14:paraId="1B1784F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D4EFB7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12B3C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87396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B0E35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0DE3FB"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8F005B4" w14:textId="77777777">
            <w:pPr>
              <w:widowControl/>
              <w:jc w:val="center"/>
              <w:rPr>
                <w:snapToGrid/>
                <w:color w:val="000000"/>
                <w:kern w:val="0"/>
                <w:szCs w:val="22"/>
              </w:rPr>
            </w:pPr>
            <w:r w:rsidRPr="00306B99">
              <w:rPr>
                <w:snapToGrid/>
                <w:color w:val="000000"/>
                <w:kern w:val="0"/>
                <w:szCs w:val="22"/>
              </w:rPr>
              <w:t>510150710001065</w:t>
            </w:r>
          </w:p>
        </w:tc>
      </w:tr>
      <w:tr w14:paraId="2A862E5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055930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F691C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43E43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964EF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6157A3"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06C0199" w14:textId="77777777">
            <w:pPr>
              <w:widowControl/>
              <w:jc w:val="center"/>
              <w:rPr>
                <w:snapToGrid/>
                <w:color w:val="000000"/>
                <w:kern w:val="0"/>
                <w:szCs w:val="22"/>
              </w:rPr>
            </w:pPr>
            <w:r w:rsidRPr="00306B99">
              <w:rPr>
                <w:snapToGrid/>
                <w:color w:val="000000"/>
                <w:kern w:val="0"/>
                <w:szCs w:val="22"/>
              </w:rPr>
              <w:t>510150710001066</w:t>
            </w:r>
          </w:p>
        </w:tc>
      </w:tr>
      <w:tr w14:paraId="78E47F7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8AB83D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ED7B3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9DAC8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F16B7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B3E688"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69FBB62" w14:textId="77777777">
            <w:pPr>
              <w:widowControl/>
              <w:jc w:val="center"/>
              <w:rPr>
                <w:snapToGrid/>
                <w:color w:val="000000"/>
                <w:kern w:val="0"/>
                <w:szCs w:val="22"/>
              </w:rPr>
            </w:pPr>
            <w:r w:rsidRPr="00306B99">
              <w:rPr>
                <w:snapToGrid/>
                <w:color w:val="000000"/>
                <w:kern w:val="0"/>
                <w:szCs w:val="22"/>
              </w:rPr>
              <w:t>510150710001068</w:t>
            </w:r>
          </w:p>
        </w:tc>
      </w:tr>
      <w:tr w14:paraId="1F4DFDE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0FB8C9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4C6C5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E450F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020E9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F64CA9"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DE7C3C3" w14:textId="77777777">
            <w:pPr>
              <w:widowControl/>
              <w:jc w:val="center"/>
              <w:rPr>
                <w:snapToGrid/>
                <w:color w:val="000000"/>
                <w:kern w:val="0"/>
                <w:szCs w:val="22"/>
              </w:rPr>
            </w:pPr>
            <w:r w:rsidRPr="00306B99">
              <w:rPr>
                <w:snapToGrid/>
                <w:color w:val="000000"/>
                <w:kern w:val="0"/>
                <w:szCs w:val="22"/>
              </w:rPr>
              <w:t>510150710001070</w:t>
            </w:r>
          </w:p>
        </w:tc>
      </w:tr>
      <w:tr w14:paraId="5C920C6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E12A6F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9C2AF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2952C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583D8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3D6392"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421B7B9" w14:textId="77777777">
            <w:pPr>
              <w:widowControl/>
              <w:jc w:val="center"/>
              <w:rPr>
                <w:snapToGrid/>
                <w:color w:val="000000"/>
                <w:kern w:val="0"/>
                <w:szCs w:val="22"/>
              </w:rPr>
            </w:pPr>
            <w:r w:rsidRPr="00306B99">
              <w:rPr>
                <w:snapToGrid/>
                <w:color w:val="000000"/>
                <w:kern w:val="0"/>
                <w:szCs w:val="22"/>
              </w:rPr>
              <w:t>510150710001072</w:t>
            </w:r>
          </w:p>
        </w:tc>
      </w:tr>
      <w:tr w14:paraId="02E82C1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9F276E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C756B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55FD6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CE6186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42062C"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9F3A405" w14:textId="77777777">
            <w:pPr>
              <w:widowControl/>
              <w:jc w:val="center"/>
              <w:rPr>
                <w:snapToGrid/>
                <w:color w:val="000000"/>
                <w:kern w:val="0"/>
                <w:szCs w:val="22"/>
              </w:rPr>
            </w:pPr>
            <w:r w:rsidRPr="00306B99">
              <w:rPr>
                <w:snapToGrid/>
                <w:color w:val="000000"/>
                <w:kern w:val="0"/>
                <w:szCs w:val="22"/>
              </w:rPr>
              <w:t>510150710001075</w:t>
            </w:r>
          </w:p>
        </w:tc>
      </w:tr>
      <w:tr w14:paraId="43ABDB1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FEFFA6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66BE1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96E2A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80FA6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1318F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B068A9" w14:textId="77777777">
            <w:pPr>
              <w:widowControl/>
              <w:jc w:val="center"/>
              <w:rPr>
                <w:snapToGrid/>
                <w:color w:val="000000"/>
                <w:kern w:val="0"/>
                <w:szCs w:val="22"/>
              </w:rPr>
            </w:pPr>
            <w:r w:rsidRPr="00306B99">
              <w:rPr>
                <w:snapToGrid/>
                <w:color w:val="000000"/>
                <w:kern w:val="0"/>
                <w:szCs w:val="22"/>
              </w:rPr>
              <w:t>510150710001077</w:t>
            </w:r>
          </w:p>
        </w:tc>
      </w:tr>
      <w:tr w14:paraId="39E9C4D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3009D9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AB092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18A8F0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B9D0CE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04D75C"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BC68503" w14:textId="77777777">
            <w:pPr>
              <w:widowControl/>
              <w:jc w:val="center"/>
              <w:rPr>
                <w:snapToGrid/>
                <w:color w:val="000000"/>
                <w:kern w:val="0"/>
                <w:szCs w:val="22"/>
              </w:rPr>
            </w:pPr>
            <w:r w:rsidRPr="00306B99">
              <w:rPr>
                <w:snapToGrid/>
                <w:color w:val="000000"/>
                <w:kern w:val="0"/>
                <w:szCs w:val="22"/>
              </w:rPr>
              <w:t>510150710001079</w:t>
            </w:r>
          </w:p>
        </w:tc>
      </w:tr>
      <w:tr w14:paraId="0895569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830791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A2482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AB740C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3E1EF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36B470"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AB4E3D5" w14:textId="77777777">
            <w:pPr>
              <w:widowControl/>
              <w:jc w:val="center"/>
              <w:rPr>
                <w:snapToGrid/>
                <w:color w:val="000000"/>
                <w:kern w:val="0"/>
                <w:szCs w:val="22"/>
              </w:rPr>
            </w:pPr>
            <w:r w:rsidRPr="00306B99">
              <w:rPr>
                <w:snapToGrid/>
                <w:color w:val="000000"/>
                <w:kern w:val="0"/>
                <w:szCs w:val="22"/>
              </w:rPr>
              <w:t>510150710001082</w:t>
            </w:r>
          </w:p>
        </w:tc>
      </w:tr>
      <w:tr w14:paraId="6065EB1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427D49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12A63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7FD9F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D97282"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0AAB49"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159E2FE" w14:textId="77777777">
            <w:pPr>
              <w:widowControl/>
              <w:jc w:val="center"/>
              <w:rPr>
                <w:snapToGrid/>
                <w:color w:val="000000"/>
                <w:kern w:val="0"/>
                <w:szCs w:val="22"/>
              </w:rPr>
            </w:pPr>
            <w:r w:rsidRPr="00306B99">
              <w:rPr>
                <w:snapToGrid/>
                <w:color w:val="000000"/>
                <w:kern w:val="0"/>
                <w:szCs w:val="22"/>
              </w:rPr>
              <w:t>510150710001083</w:t>
            </w:r>
          </w:p>
        </w:tc>
      </w:tr>
      <w:tr w14:paraId="029FDA7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0F8896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BC092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B8547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8C5822"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1DC51A"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31F4B7E" w14:textId="77777777">
            <w:pPr>
              <w:widowControl/>
              <w:jc w:val="center"/>
              <w:rPr>
                <w:snapToGrid/>
                <w:color w:val="000000"/>
                <w:kern w:val="0"/>
                <w:szCs w:val="22"/>
              </w:rPr>
            </w:pPr>
            <w:r w:rsidRPr="00306B99">
              <w:rPr>
                <w:snapToGrid/>
                <w:color w:val="000000"/>
                <w:kern w:val="0"/>
                <w:szCs w:val="22"/>
              </w:rPr>
              <w:t>510150710001087</w:t>
            </w:r>
          </w:p>
        </w:tc>
      </w:tr>
      <w:tr w14:paraId="0C83AD8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98D023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99C80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9C78A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CEA2D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4B21EC" w14:textId="77777777">
            <w:pPr>
              <w:widowControl/>
              <w:rPr>
                <w:snapToGrid/>
                <w:color w:val="000000"/>
                <w:kern w:val="0"/>
                <w:szCs w:val="22"/>
              </w:rPr>
            </w:pPr>
            <w:r w:rsidRPr="00306B99">
              <w:rPr>
                <w:snapToGrid/>
                <w:color w:val="000000"/>
                <w:kern w:val="0"/>
                <w:szCs w:val="22"/>
              </w:rPr>
              <w:t>Augusta</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B613D90" w14:textId="77777777">
            <w:pPr>
              <w:widowControl/>
              <w:jc w:val="center"/>
              <w:rPr>
                <w:snapToGrid/>
                <w:color w:val="000000"/>
                <w:kern w:val="0"/>
                <w:szCs w:val="22"/>
              </w:rPr>
            </w:pPr>
            <w:r w:rsidRPr="00306B99">
              <w:rPr>
                <w:snapToGrid/>
                <w:color w:val="000000"/>
                <w:kern w:val="0"/>
                <w:szCs w:val="22"/>
              </w:rPr>
              <w:t>510150710001088</w:t>
            </w:r>
          </w:p>
        </w:tc>
      </w:tr>
      <w:tr w14:paraId="73CB8D3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2A5FE5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1A728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A927C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67924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635BE0"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CC8860E" w14:textId="77777777">
            <w:pPr>
              <w:widowControl/>
              <w:jc w:val="center"/>
              <w:rPr>
                <w:snapToGrid/>
                <w:color w:val="000000"/>
                <w:kern w:val="0"/>
                <w:szCs w:val="22"/>
              </w:rPr>
            </w:pPr>
            <w:r w:rsidRPr="00306B99">
              <w:rPr>
                <w:snapToGrid/>
                <w:color w:val="000000"/>
                <w:kern w:val="0"/>
                <w:szCs w:val="22"/>
              </w:rPr>
              <w:t>510230402002000</w:t>
            </w:r>
          </w:p>
        </w:tc>
      </w:tr>
      <w:tr w14:paraId="4DB1D76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2F577C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0116C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D402C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7B332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674FF7"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57391EB" w14:textId="77777777">
            <w:pPr>
              <w:widowControl/>
              <w:jc w:val="center"/>
              <w:rPr>
                <w:snapToGrid/>
                <w:color w:val="000000"/>
                <w:kern w:val="0"/>
                <w:szCs w:val="22"/>
              </w:rPr>
            </w:pPr>
            <w:r w:rsidRPr="00306B99">
              <w:rPr>
                <w:snapToGrid/>
                <w:color w:val="000000"/>
                <w:kern w:val="0"/>
                <w:szCs w:val="22"/>
              </w:rPr>
              <w:t>510230402002005</w:t>
            </w:r>
          </w:p>
        </w:tc>
      </w:tr>
      <w:tr w14:paraId="58CA67F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AA0C3D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485BE8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EB66C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D2FEC4"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84858F"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204AF6B" w14:textId="77777777">
            <w:pPr>
              <w:widowControl/>
              <w:jc w:val="center"/>
              <w:rPr>
                <w:snapToGrid/>
                <w:color w:val="000000"/>
                <w:kern w:val="0"/>
                <w:szCs w:val="22"/>
              </w:rPr>
            </w:pPr>
            <w:r w:rsidRPr="00306B99">
              <w:rPr>
                <w:snapToGrid/>
                <w:color w:val="000000"/>
                <w:kern w:val="0"/>
                <w:szCs w:val="22"/>
              </w:rPr>
              <w:t>510230402002006</w:t>
            </w:r>
          </w:p>
        </w:tc>
      </w:tr>
      <w:tr w14:paraId="75AD424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804907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26A4C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8C630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C0ADC1"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D6C29E"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AF50AD5" w14:textId="77777777">
            <w:pPr>
              <w:widowControl/>
              <w:jc w:val="center"/>
              <w:rPr>
                <w:snapToGrid/>
                <w:color w:val="000000"/>
                <w:kern w:val="0"/>
                <w:szCs w:val="22"/>
              </w:rPr>
            </w:pPr>
            <w:r w:rsidRPr="00306B99">
              <w:rPr>
                <w:snapToGrid/>
                <w:color w:val="000000"/>
                <w:kern w:val="0"/>
                <w:szCs w:val="22"/>
              </w:rPr>
              <w:t>510230402002007</w:t>
            </w:r>
          </w:p>
        </w:tc>
      </w:tr>
      <w:tr w14:paraId="418096B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2D480C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5D03D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686B99"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F4C464"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1F1B41"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D6547CE" w14:textId="77777777">
            <w:pPr>
              <w:widowControl/>
              <w:jc w:val="center"/>
              <w:rPr>
                <w:snapToGrid/>
                <w:color w:val="000000"/>
                <w:kern w:val="0"/>
                <w:szCs w:val="22"/>
              </w:rPr>
            </w:pPr>
            <w:r w:rsidRPr="00306B99">
              <w:rPr>
                <w:snapToGrid/>
                <w:color w:val="000000"/>
                <w:kern w:val="0"/>
                <w:szCs w:val="22"/>
              </w:rPr>
              <w:t>510230402002008</w:t>
            </w:r>
          </w:p>
        </w:tc>
      </w:tr>
      <w:tr w14:paraId="4A589B3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D2274A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E2B8F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DD898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F2F98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5BB472"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3262B51" w14:textId="77777777">
            <w:pPr>
              <w:widowControl/>
              <w:jc w:val="center"/>
              <w:rPr>
                <w:snapToGrid/>
                <w:color w:val="000000"/>
                <w:kern w:val="0"/>
                <w:szCs w:val="22"/>
              </w:rPr>
            </w:pPr>
            <w:r w:rsidRPr="00306B99">
              <w:rPr>
                <w:snapToGrid/>
                <w:color w:val="000000"/>
                <w:kern w:val="0"/>
                <w:szCs w:val="22"/>
              </w:rPr>
              <w:t>510230402002009</w:t>
            </w:r>
          </w:p>
        </w:tc>
      </w:tr>
      <w:tr w14:paraId="3692861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447703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A7A7C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DD061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3F770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C6E744"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1A308BA" w14:textId="77777777">
            <w:pPr>
              <w:widowControl/>
              <w:jc w:val="center"/>
              <w:rPr>
                <w:snapToGrid/>
                <w:color w:val="000000"/>
                <w:kern w:val="0"/>
                <w:szCs w:val="22"/>
              </w:rPr>
            </w:pPr>
            <w:r w:rsidRPr="00306B99">
              <w:rPr>
                <w:snapToGrid/>
                <w:color w:val="000000"/>
                <w:kern w:val="0"/>
                <w:szCs w:val="22"/>
              </w:rPr>
              <w:t>510230402002010</w:t>
            </w:r>
          </w:p>
        </w:tc>
      </w:tr>
      <w:tr w14:paraId="13F024F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E2DDA0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11D33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E110A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4842B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351A5D"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E412333" w14:textId="77777777">
            <w:pPr>
              <w:widowControl/>
              <w:jc w:val="center"/>
              <w:rPr>
                <w:snapToGrid/>
                <w:color w:val="000000"/>
                <w:kern w:val="0"/>
                <w:szCs w:val="22"/>
              </w:rPr>
            </w:pPr>
            <w:r w:rsidRPr="00306B99">
              <w:rPr>
                <w:snapToGrid/>
                <w:color w:val="000000"/>
                <w:kern w:val="0"/>
                <w:szCs w:val="22"/>
              </w:rPr>
              <w:t>510230402002011</w:t>
            </w:r>
          </w:p>
        </w:tc>
      </w:tr>
      <w:tr w14:paraId="0D82247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EC6A52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BA43A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C11A2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16346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E3FC73"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7589CBF" w14:textId="77777777">
            <w:pPr>
              <w:widowControl/>
              <w:jc w:val="center"/>
              <w:rPr>
                <w:snapToGrid/>
                <w:color w:val="000000"/>
                <w:kern w:val="0"/>
                <w:szCs w:val="22"/>
              </w:rPr>
            </w:pPr>
            <w:r w:rsidRPr="00306B99">
              <w:rPr>
                <w:snapToGrid/>
                <w:color w:val="000000"/>
                <w:kern w:val="0"/>
                <w:szCs w:val="22"/>
              </w:rPr>
              <w:t>510230402002015</w:t>
            </w:r>
          </w:p>
        </w:tc>
      </w:tr>
      <w:tr w14:paraId="177D5FE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4BE350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05768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A023B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869F5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9C66A3"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C1A495D" w14:textId="77777777">
            <w:pPr>
              <w:widowControl/>
              <w:jc w:val="center"/>
              <w:rPr>
                <w:snapToGrid/>
                <w:color w:val="000000"/>
                <w:kern w:val="0"/>
                <w:szCs w:val="22"/>
              </w:rPr>
            </w:pPr>
            <w:r w:rsidRPr="00306B99">
              <w:rPr>
                <w:snapToGrid/>
                <w:color w:val="000000"/>
                <w:kern w:val="0"/>
                <w:szCs w:val="22"/>
              </w:rPr>
              <w:t>510230402002023</w:t>
            </w:r>
          </w:p>
        </w:tc>
      </w:tr>
      <w:tr w14:paraId="13C98A1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FD6241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32B4F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55F75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FED5F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634D42"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0979F5D" w14:textId="77777777">
            <w:pPr>
              <w:widowControl/>
              <w:jc w:val="center"/>
              <w:rPr>
                <w:snapToGrid/>
                <w:color w:val="000000"/>
                <w:kern w:val="0"/>
                <w:szCs w:val="22"/>
              </w:rPr>
            </w:pPr>
            <w:r w:rsidRPr="00306B99">
              <w:rPr>
                <w:snapToGrid/>
                <w:color w:val="000000"/>
                <w:kern w:val="0"/>
                <w:szCs w:val="22"/>
              </w:rPr>
              <w:t>510230402002025</w:t>
            </w:r>
          </w:p>
        </w:tc>
      </w:tr>
      <w:tr w14:paraId="23C91F2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5C2EC3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EC063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B753D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17E2C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63C24F"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3223E9F" w14:textId="77777777">
            <w:pPr>
              <w:widowControl/>
              <w:jc w:val="center"/>
              <w:rPr>
                <w:snapToGrid/>
                <w:color w:val="000000"/>
                <w:kern w:val="0"/>
                <w:szCs w:val="22"/>
              </w:rPr>
            </w:pPr>
            <w:r w:rsidRPr="00306B99">
              <w:rPr>
                <w:snapToGrid/>
                <w:color w:val="000000"/>
                <w:kern w:val="0"/>
                <w:szCs w:val="22"/>
              </w:rPr>
              <w:t>510230402002032</w:t>
            </w:r>
          </w:p>
        </w:tc>
      </w:tr>
      <w:tr w14:paraId="28335AD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5BCAFE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B5D6A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F8064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A14B9B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247944"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A4D07DB" w14:textId="77777777">
            <w:pPr>
              <w:widowControl/>
              <w:jc w:val="center"/>
              <w:rPr>
                <w:snapToGrid/>
                <w:color w:val="000000"/>
                <w:kern w:val="0"/>
                <w:szCs w:val="22"/>
              </w:rPr>
            </w:pPr>
            <w:r w:rsidRPr="00306B99">
              <w:rPr>
                <w:snapToGrid/>
                <w:color w:val="000000"/>
                <w:kern w:val="0"/>
                <w:szCs w:val="22"/>
              </w:rPr>
              <w:t>510230402002034</w:t>
            </w:r>
          </w:p>
        </w:tc>
      </w:tr>
      <w:tr w14:paraId="0021DEB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52FB9E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FA97D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9F3E2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1F9F4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2F3DF9"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9691A46" w14:textId="77777777">
            <w:pPr>
              <w:widowControl/>
              <w:jc w:val="center"/>
              <w:rPr>
                <w:snapToGrid/>
                <w:color w:val="000000"/>
                <w:kern w:val="0"/>
                <w:szCs w:val="22"/>
              </w:rPr>
            </w:pPr>
            <w:r w:rsidRPr="00306B99">
              <w:rPr>
                <w:snapToGrid/>
                <w:color w:val="000000"/>
                <w:kern w:val="0"/>
                <w:szCs w:val="22"/>
              </w:rPr>
              <w:t>510230402002035</w:t>
            </w:r>
          </w:p>
        </w:tc>
      </w:tr>
      <w:tr w14:paraId="675C013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E695FC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8B4A1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A5B6C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6113FA"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48666B"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C8DCF70" w14:textId="77777777">
            <w:pPr>
              <w:widowControl/>
              <w:jc w:val="center"/>
              <w:rPr>
                <w:snapToGrid/>
                <w:color w:val="000000"/>
                <w:kern w:val="0"/>
                <w:szCs w:val="22"/>
              </w:rPr>
            </w:pPr>
            <w:r w:rsidRPr="00306B99">
              <w:rPr>
                <w:snapToGrid/>
                <w:color w:val="000000"/>
                <w:kern w:val="0"/>
                <w:szCs w:val="22"/>
              </w:rPr>
              <w:t>510230402002036</w:t>
            </w:r>
          </w:p>
        </w:tc>
      </w:tr>
      <w:tr w14:paraId="74B9A8F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FA7427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EADC4D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66593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7A0B72"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15D42D"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179B24A" w14:textId="77777777">
            <w:pPr>
              <w:widowControl/>
              <w:jc w:val="center"/>
              <w:rPr>
                <w:snapToGrid/>
                <w:color w:val="000000"/>
                <w:kern w:val="0"/>
                <w:szCs w:val="22"/>
              </w:rPr>
            </w:pPr>
            <w:r w:rsidRPr="00306B99">
              <w:rPr>
                <w:snapToGrid/>
                <w:color w:val="000000"/>
                <w:kern w:val="0"/>
                <w:szCs w:val="22"/>
              </w:rPr>
              <w:t>510230402002038</w:t>
            </w:r>
          </w:p>
        </w:tc>
      </w:tr>
      <w:tr w14:paraId="670B4CF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193A44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13345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CC4FB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1BE6D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73B680"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72D11AA" w14:textId="77777777">
            <w:pPr>
              <w:widowControl/>
              <w:jc w:val="center"/>
              <w:rPr>
                <w:snapToGrid/>
                <w:color w:val="000000"/>
                <w:kern w:val="0"/>
                <w:szCs w:val="22"/>
              </w:rPr>
            </w:pPr>
            <w:r w:rsidRPr="00306B99">
              <w:rPr>
                <w:snapToGrid/>
                <w:color w:val="000000"/>
                <w:kern w:val="0"/>
                <w:szCs w:val="22"/>
              </w:rPr>
              <w:t>510230402002039</w:t>
            </w:r>
          </w:p>
        </w:tc>
      </w:tr>
      <w:tr w14:paraId="22E088F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94B85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717B5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956AE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32355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364C1D"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12BCC5" w14:textId="77777777">
            <w:pPr>
              <w:widowControl/>
              <w:jc w:val="center"/>
              <w:rPr>
                <w:snapToGrid/>
                <w:color w:val="000000"/>
                <w:kern w:val="0"/>
                <w:szCs w:val="22"/>
              </w:rPr>
            </w:pPr>
            <w:r w:rsidRPr="00306B99">
              <w:rPr>
                <w:snapToGrid/>
                <w:color w:val="000000"/>
                <w:kern w:val="0"/>
                <w:szCs w:val="22"/>
              </w:rPr>
              <w:t>510230402002041</w:t>
            </w:r>
          </w:p>
        </w:tc>
      </w:tr>
      <w:tr w14:paraId="071E5C2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AF241F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D8A3D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411B75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B418D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2ACB52"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2C6FE80" w14:textId="77777777">
            <w:pPr>
              <w:widowControl/>
              <w:jc w:val="center"/>
              <w:rPr>
                <w:snapToGrid/>
                <w:color w:val="000000"/>
                <w:kern w:val="0"/>
                <w:szCs w:val="22"/>
              </w:rPr>
            </w:pPr>
            <w:r w:rsidRPr="00306B99">
              <w:rPr>
                <w:snapToGrid/>
                <w:color w:val="000000"/>
                <w:kern w:val="0"/>
                <w:szCs w:val="22"/>
              </w:rPr>
              <w:t>510230402002052</w:t>
            </w:r>
          </w:p>
        </w:tc>
      </w:tr>
      <w:tr w14:paraId="575DBD64"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2C1197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FB661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87609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9210A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947656"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B8C7B29" w14:textId="77777777">
            <w:pPr>
              <w:widowControl/>
              <w:jc w:val="center"/>
              <w:rPr>
                <w:snapToGrid/>
                <w:color w:val="000000"/>
                <w:kern w:val="0"/>
                <w:szCs w:val="22"/>
              </w:rPr>
            </w:pPr>
            <w:r w:rsidRPr="00306B99">
              <w:rPr>
                <w:snapToGrid/>
                <w:color w:val="000000"/>
                <w:kern w:val="0"/>
                <w:szCs w:val="22"/>
              </w:rPr>
              <w:t>510230402002055</w:t>
            </w:r>
          </w:p>
        </w:tc>
      </w:tr>
      <w:tr w14:paraId="2F089EE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2379BF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A6634A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FDFAA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859D4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F07B7F"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FBE9FE3" w14:textId="77777777">
            <w:pPr>
              <w:widowControl/>
              <w:jc w:val="center"/>
              <w:rPr>
                <w:snapToGrid/>
                <w:color w:val="000000"/>
                <w:kern w:val="0"/>
                <w:szCs w:val="22"/>
              </w:rPr>
            </w:pPr>
            <w:r w:rsidRPr="00306B99">
              <w:rPr>
                <w:snapToGrid/>
                <w:color w:val="000000"/>
                <w:kern w:val="0"/>
                <w:szCs w:val="22"/>
              </w:rPr>
              <w:t>510230402002056</w:t>
            </w:r>
          </w:p>
        </w:tc>
      </w:tr>
      <w:tr w14:paraId="2917B4A3"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8C5032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168C9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11D4BB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EE5571"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509F1A"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CF4741F" w14:textId="77777777">
            <w:pPr>
              <w:widowControl/>
              <w:jc w:val="center"/>
              <w:rPr>
                <w:snapToGrid/>
                <w:color w:val="000000"/>
                <w:kern w:val="0"/>
                <w:szCs w:val="22"/>
              </w:rPr>
            </w:pPr>
            <w:r w:rsidRPr="00306B99">
              <w:rPr>
                <w:snapToGrid/>
                <w:color w:val="000000"/>
                <w:kern w:val="0"/>
                <w:szCs w:val="22"/>
              </w:rPr>
              <w:t>510230402002058</w:t>
            </w:r>
          </w:p>
        </w:tc>
      </w:tr>
      <w:tr w14:paraId="5789A48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D798FDC"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9098B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3F0A8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84C946"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2A342E"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920B9ED" w14:textId="77777777">
            <w:pPr>
              <w:widowControl/>
              <w:jc w:val="center"/>
              <w:rPr>
                <w:snapToGrid/>
                <w:color w:val="000000"/>
                <w:kern w:val="0"/>
                <w:szCs w:val="22"/>
              </w:rPr>
            </w:pPr>
            <w:r w:rsidRPr="00306B99">
              <w:rPr>
                <w:snapToGrid/>
                <w:color w:val="000000"/>
                <w:kern w:val="0"/>
                <w:szCs w:val="22"/>
              </w:rPr>
              <w:t>510230402002059</w:t>
            </w:r>
          </w:p>
        </w:tc>
      </w:tr>
      <w:tr w14:paraId="4BF5080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67A547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074F9E"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8639EF"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698859"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A0A835"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261C5FC" w14:textId="77777777">
            <w:pPr>
              <w:widowControl/>
              <w:jc w:val="center"/>
              <w:rPr>
                <w:snapToGrid/>
                <w:color w:val="000000"/>
                <w:kern w:val="0"/>
                <w:szCs w:val="22"/>
              </w:rPr>
            </w:pPr>
            <w:r w:rsidRPr="00306B99">
              <w:rPr>
                <w:snapToGrid/>
                <w:color w:val="000000"/>
                <w:kern w:val="0"/>
                <w:szCs w:val="22"/>
              </w:rPr>
              <w:t>510230402002061</w:t>
            </w:r>
          </w:p>
        </w:tc>
      </w:tr>
      <w:tr w14:paraId="2B83AFE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2419FD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9E479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2D13B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5A4599"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2CCA90"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063B0D5" w14:textId="77777777">
            <w:pPr>
              <w:widowControl/>
              <w:jc w:val="center"/>
              <w:rPr>
                <w:snapToGrid/>
                <w:color w:val="000000"/>
                <w:kern w:val="0"/>
                <w:szCs w:val="22"/>
              </w:rPr>
            </w:pPr>
            <w:r w:rsidRPr="00306B99">
              <w:rPr>
                <w:snapToGrid/>
                <w:color w:val="000000"/>
                <w:kern w:val="0"/>
                <w:szCs w:val="22"/>
              </w:rPr>
              <w:t>510230402002063</w:t>
            </w:r>
          </w:p>
        </w:tc>
      </w:tr>
      <w:tr w14:paraId="63DF5C66"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5FFE03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48CF9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51477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2ECE09"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A2FF26"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722FA0C" w14:textId="77777777">
            <w:pPr>
              <w:widowControl/>
              <w:jc w:val="center"/>
              <w:rPr>
                <w:snapToGrid/>
                <w:color w:val="000000"/>
                <w:kern w:val="0"/>
                <w:szCs w:val="22"/>
              </w:rPr>
            </w:pPr>
            <w:r w:rsidRPr="00306B99">
              <w:rPr>
                <w:snapToGrid/>
                <w:color w:val="000000"/>
                <w:kern w:val="0"/>
                <w:szCs w:val="22"/>
              </w:rPr>
              <w:t>510230402002064</w:t>
            </w:r>
          </w:p>
        </w:tc>
      </w:tr>
      <w:tr w14:paraId="7E252C1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AE89E2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091E7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E3316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E9D76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FAB9EF"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5BBBBEC" w14:textId="77777777">
            <w:pPr>
              <w:widowControl/>
              <w:jc w:val="center"/>
              <w:rPr>
                <w:snapToGrid/>
                <w:color w:val="000000"/>
                <w:kern w:val="0"/>
                <w:szCs w:val="22"/>
              </w:rPr>
            </w:pPr>
            <w:r w:rsidRPr="00306B99">
              <w:rPr>
                <w:snapToGrid/>
                <w:color w:val="000000"/>
                <w:kern w:val="0"/>
                <w:szCs w:val="22"/>
              </w:rPr>
              <w:t>510230402002075</w:t>
            </w:r>
          </w:p>
        </w:tc>
      </w:tr>
      <w:tr w14:paraId="14195BE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31A5D8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81F93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42038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8F12E2"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D46036"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27BD7F9" w14:textId="77777777">
            <w:pPr>
              <w:widowControl/>
              <w:jc w:val="center"/>
              <w:rPr>
                <w:snapToGrid/>
                <w:color w:val="000000"/>
                <w:kern w:val="0"/>
                <w:szCs w:val="22"/>
              </w:rPr>
            </w:pPr>
            <w:r w:rsidRPr="00306B99">
              <w:rPr>
                <w:snapToGrid/>
                <w:color w:val="000000"/>
                <w:kern w:val="0"/>
                <w:szCs w:val="22"/>
              </w:rPr>
              <w:t>510230402002077</w:t>
            </w:r>
          </w:p>
        </w:tc>
      </w:tr>
      <w:tr w14:paraId="0287C33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BE85F4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9CDC6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BFFD35"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61D762"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90B1A0"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5FB3E0A" w14:textId="77777777">
            <w:pPr>
              <w:widowControl/>
              <w:jc w:val="center"/>
              <w:rPr>
                <w:snapToGrid/>
                <w:color w:val="000000"/>
                <w:kern w:val="0"/>
                <w:szCs w:val="22"/>
              </w:rPr>
            </w:pPr>
            <w:r w:rsidRPr="00306B99">
              <w:rPr>
                <w:snapToGrid/>
                <w:color w:val="000000"/>
                <w:kern w:val="0"/>
                <w:szCs w:val="22"/>
              </w:rPr>
              <w:t>510230402002080</w:t>
            </w:r>
          </w:p>
        </w:tc>
      </w:tr>
      <w:tr w14:paraId="0358779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D594763"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14671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C41B8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60BDA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5928BB"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97C5F16" w14:textId="77777777">
            <w:pPr>
              <w:widowControl/>
              <w:jc w:val="center"/>
              <w:rPr>
                <w:snapToGrid/>
                <w:color w:val="000000"/>
                <w:kern w:val="0"/>
                <w:szCs w:val="22"/>
              </w:rPr>
            </w:pPr>
            <w:r w:rsidRPr="00306B99">
              <w:rPr>
                <w:snapToGrid/>
                <w:color w:val="000000"/>
                <w:kern w:val="0"/>
                <w:szCs w:val="22"/>
              </w:rPr>
              <w:t>510230402002084</w:t>
            </w:r>
          </w:p>
        </w:tc>
      </w:tr>
      <w:tr w14:paraId="60950E6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3F13A0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4B9AF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841A8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FB1E2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C0F8AB"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B106F93" w14:textId="77777777">
            <w:pPr>
              <w:widowControl/>
              <w:jc w:val="center"/>
              <w:rPr>
                <w:snapToGrid/>
                <w:color w:val="000000"/>
                <w:kern w:val="0"/>
                <w:szCs w:val="22"/>
              </w:rPr>
            </w:pPr>
            <w:r w:rsidRPr="00306B99">
              <w:rPr>
                <w:snapToGrid/>
                <w:color w:val="000000"/>
                <w:kern w:val="0"/>
                <w:szCs w:val="22"/>
              </w:rPr>
              <w:t>510230402002089</w:t>
            </w:r>
          </w:p>
        </w:tc>
      </w:tr>
      <w:tr w14:paraId="4FACCA8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156618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E774C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777A6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5A00E0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47BE85"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364DE32" w14:textId="77777777">
            <w:pPr>
              <w:widowControl/>
              <w:jc w:val="center"/>
              <w:rPr>
                <w:snapToGrid/>
                <w:color w:val="000000"/>
                <w:kern w:val="0"/>
                <w:szCs w:val="22"/>
              </w:rPr>
            </w:pPr>
            <w:r w:rsidRPr="00306B99">
              <w:rPr>
                <w:snapToGrid/>
                <w:color w:val="000000"/>
                <w:kern w:val="0"/>
                <w:szCs w:val="22"/>
              </w:rPr>
              <w:t>510230402002095</w:t>
            </w:r>
          </w:p>
        </w:tc>
      </w:tr>
      <w:tr w14:paraId="7FF2445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2E276E2"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F78DC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06BE5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C01E0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64C4B35"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7EDFC3A" w14:textId="77777777">
            <w:pPr>
              <w:widowControl/>
              <w:jc w:val="center"/>
              <w:rPr>
                <w:snapToGrid/>
                <w:color w:val="000000"/>
                <w:kern w:val="0"/>
                <w:szCs w:val="22"/>
              </w:rPr>
            </w:pPr>
            <w:r w:rsidRPr="00306B99">
              <w:rPr>
                <w:snapToGrid/>
                <w:color w:val="000000"/>
                <w:kern w:val="0"/>
                <w:szCs w:val="22"/>
              </w:rPr>
              <w:t>510230402002098</w:t>
            </w:r>
          </w:p>
        </w:tc>
      </w:tr>
      <w:tr w14:paraId="4966C84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C33AC0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5B188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C7DAC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214DA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ABCF97"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A47A3E2" w14:textId="77777777">
            <w:pPr>
              <w:widowControl/>
              <w:jc w:val="center"/>
              <w:rPr>
                <w:snapToGrid/>
                <w:color w:val="000000"/>
                <w:kern w:val="0"/>
                <w:szCs w:val="22"/>
              </w:rPr>
            </w:pPr>
            <w:r w:rsidRPr="00306B99">
              <w:rPr>
                <w:snapToGrid/>
                <w:color w:val="000000"/>
                <w:kern w:val="0"/>
                <w:szCs w:val="22"/>
              </w:rPr>
              <w:t>510230402002099</w:t>
            </w:r>
          </w:p>
        </w:tc>
      </w:tr>
      <w:tr w14:paraId="690599D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71E27F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AEFA58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6AD85A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9EE3E0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CF4A66"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265DE15" w14:textId="77777777">
            <w:pPr>
              <w:widowControl/>
              <w:jc w:val="center"/>
              <w:rPr>
                <w:snapToGrid/>
                <w:color w:val="000000"/>
                <w:kern w:val="0"/>
                <w:szCs w:val="22"/>
              </w:rPr>
            </w:pPr>
            <w:r w:rsidRPr="00306B99">
              <w:rPr>
                <w:snapToGrid/>
                <w:color w:val="000000"/>
                <w:kern w:val="0"/>
                <w:szCs w:val="22"/>
              </w:rPr>
              <w:t>510230402002102</w:t>
            </w:r>
          </w:p>
        </w:tc>
      </w:tr>
      <w:tr w14:paraId="3A45655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6EC325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52F309"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F42A78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21478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C2A278"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3DFC2EB" w14:textId="77777777">
            <w:pPr>
              <w:widowControl/>
              <w:jc w:val="center"/>
              <w:rPr>
                <w:snapToGrid/>
                <w:color w:val="000000"/>
                <w:kern w:val="0"/>
                <w:szCs w:val="22"/>
              </w:rPr>
            </w:pPr>
            <w:r w:rsidRPr="00306B99">
              <w:rPr>
                <w:snapToGrid/>
                <w:color w:val="000000"/>
                <w:kern w:val="0"/>
                <w:szCs w:val="22"/>
              </w:rPr>
              <w:t>510230402002109</w:t>
            </w:r>
          </w:p>
        </w:tc>
      </w:tr>
      <w:tr w14:paraId="46AE24A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34EC99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098D57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42ED4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94D671"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F3823E"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CD87284" w14:textId="77777777">
            <w:pPr>
              <w:widowControl/>
              <w:jc w:val="center"/>
              <w:rPr>
                <w:snapToGrid/>
                <w:color w:val="000000"/>
                <w:kern w:val="0"/>
                <w:szCs w:val="22"/>
              </w:rPr>
            </w:pPr>
            <w:r w:rsidRPr="00306B99">
              <w:rPr>
                <w:snapToGrid/>
                <w:color w:val="000000"/>
                <w:kern w:val="0"/>
                <w:szCs w:val="22"/>
              </w:rPr>
              <w:t>510230402002119</w:t>
            </w:r>
          </w:p>
        </w:tc>
      </w:tr>
      <w:tr w14:paraId="17C3CCB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1C1918F"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F9E1D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597BC7"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EE3B2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5F9040"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82D9541" w14:textId="77777777">
            <w:pPr>
              <w:widowControl/>
              <w:jc w:val="center"/>
              <w:rPr>
                <w:snapToGrid/>
                <w:color w:val="000000"/>
                <w:kern w:val="0"/>
                <w:szCs w:val="22"/>
              </w:rPr>
            </w:pPr>
            <w:r w:rsidRPr="00306B99">
              <w:rPr>
                <w:snapToGrid/>
                <w:color w:val="000000"/>
                <w:kern w:val="0"/>
                <w:szCs w:val="22"/>
              </w:rPr>
              <w:t>510230402002120</w:t>
            </w:r>
          </w:p>
        </w:tc>
      </w:tr>
      <w:tr w14:paraId="2B727C2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D9028E5"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7DB26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330C9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77B70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B57922"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7F4F548" w14:textId="77777777">
            <w:pPr>
              <w:widowControl/>
              <w:jc w:val="center"/>
              <w:rPr>
                <w:snapToGrid/>
                <w:color w:val="000000"/>
                <w:kern w:val="0"/>
                <w:szCs w:val="22"/>
              </w:rPr>
            </w:pPr>
            <w:r w:rsidRPr="00306B99">
              <w:rPr>
                <w:snapToGrid/>
                <w:color w:val="000000"/>
                <w:kern w:val="0"/>
                <w:szCs w:val="22"/>
              </w:rPr>
              <w:t>510230402002131</w:t>
            </w:r>
          </w:p>
        </w:tc>
      </w:tr>
      <w:tr w14:paraId="5563443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21202C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01EDA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07EE13"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451BC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478912"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56240F7" w14:textId="77777777">
            <w:pPr>
              <w:widowControl/>
              <w:jc w:val="center"/>
              <w:rPr>
                <w:snapToGrid/>
                <w:color w:val="000000"/>
                <w:kern w:val="0"/>
                <w:szCs w:val="22"/>
              </w:rPr>
            </w:pPr>
            <w:r w:rsidRPr="00306B99">
              <w:rPr>
                <w:snapToGrid/>
                <w:color w:val="000000"/>
                <w:kern w:val="0"/>
                <w:szCs w:val="22"/>
              </w:rPr>
              <w:t>510230402002137</w:t>
            </w:r>
          </w:p>
        </w:tc>
      </w:tr>
      <w:tr w14:paraId="62DEF4D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C3D790D"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59DDF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A4F1F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E39B7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D14043"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D9B1E1D" w14:textId="77777777">
            <w:pPr>
              <w:widowControl/>
              <w:jc w:val="center"/>
              <w:rPr>
                <w:snapToGrid/>
                <w:color w:val="000000"/>
                <w:kern w:val="0"/>
                <w:szCs w:val="22"/>
              </w:rPr>
            </w:pPr>
            <w:r w:rsidRPr="00306B99">
              <w:rPr>
                <w:snapToGrid/>
                <w:color w:val="000000"/>
                <w:kern w:val="0"/>
                <w:szCs w:val="22"/>
              </w:rPr>
              <w:t>510230402002164</w:t>
            </w:r>
          </w:p>
        </w:tc>
      </w:tr>
      <w:tr w14:paraId="63BC9FBA"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E6469D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3D801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67355E"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77102C"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B4243B" w14:textId="77777777">
            <w:pPr>
              <w:widowControl/>
              <w:rPr>
                <w:snapToGrid/>
                <w:color w:val="000000"/>
                <w:kern w:val="0"/>
                <w:szCs w:val="22"/>
              </w:rPr>
            </w:pPr>
            <w:r w:rsidRPr="00306B99">
              <w:rPr>
                <w:snapToGrid/>
                <w:color w:val="000000"/>
                <w:kern w:val="0"/>
                <w:szCs w:val="22"/>
              </w:rPr>
              <w:t>Botetourt</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CDEA068" w14:textId="77777777">
            <w:pPr>
              <w:widowControl/>
              <w:jc w:val="center"/>
              <w:rPr>
                <w:snapToGrid/>
                <w:color w:val="000000"/>
                <w:kern w:val="0"/>
                <w:szCs w:val="22"/>
              </w:rPr>
            </w:pPr>
            <w:r w:rsidRPr="00306B99">
              <w:rPr>
                <w:snapToGrid/>
                <w:color w:val="000000"/>
                <w:kern w:val="0"/>
                <w:szCs w:val="22"/>
              </w:rPr>
              <w:t>510230402002183</w:t>
            </w:r>
          </w:p>
        </w:tc>
      </w:tr>
      <w:tr w14:paraId="096440EB"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6489CA1"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ADA23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349D4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8368D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59E016"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DF69FFB" w14:textId="77777777">
            <w:pPr>
              <w:widowControl/>
              <w:jc w:val="center"/>
              <w:rPr>
                <w:snapToGrid/>
                <w:color w:val="000000"/>
                <w:kern w:val="0"/>
                <w:szCs w:val="22"/>
              </w:rPr>
            </w:pPr>
            <w:r w:rsidRPr="00306B99">
              <w:rPr>
                <w:snapToGrid/>
                <w:color w:val="000000"/>
                <w:kern w:val="0"/>
                <w:szCs w:val="22"/>
              </w:rPr>
              <w:t>511639301001001</w:t>
            </w:r>
          </w:p>
        </w:tc>
      </w:tr>
      <w:tr w14:paraId="7FB2EED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61B3DF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249787"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D5E06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0D7D8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961FF4"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E54A10B" w14:textId="77777777">
            <w:pPr>
              <w:widowControl/>
              <w:jc w:val="center"/>
              <w:rPr>
                <w:snapToGrid/>
                <w:color w:val="000000"/>
                <w:kern w:val="0"/>
                <w:szCs w:val="22"/>
              </w:rPr>
            </w:pPr>
            <w:r w:rsidRPr="00306B99">
              <w:rPr>
                <w:snapToGrid/>
                <w:color w:val="000000"/>
                <w:kern w:val="0"/>
                <w:szCs w:val="22"/>
              </w:rPr>
              <w:t>511639301001005</w:t>
            </w:r>
          </w:p>
        </w:tc>
      </w:tr>
      <w:tr w14:paraId="7308E3A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E80E79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41B56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D9A5B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1B7EB4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CAB6D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6D48BEE" w14:textId="77777777">
            <w:pPr>
              <w:widowControl/>
              <w:jc w:val="center"/>
              <w:rPr>
                <w:snapToGrid/>
                <w:color w:val="000000"/>
                <w:kern w:val="0"/>
                <w:szCs w:val="22"/>
              </w:rPr>
            </w:pPr>
            <w:r w:rsidRPr="00306B99">
              <w:rPr>
                <w:snapToGrid/>
                <w:color w:val="000000"/>
                <w:kern w:val="0"/>
                <w:szCs w:val="22"/>
              </w:rPr>
              <w:t>511639301001006</w:t>
            </w:r>
          </w:p>
        </w:tc>
      </w:tr>
      <w:tr w14:paraId="57F3C8A7"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13693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B86F7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993E8A"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00F60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EA0483"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5BBFD5E" w14:textId="77777777">
            <w:pPr>
              <w:widowControl/>
              <w:jc w:val="center"/>
              <w:rPr>
                <w:snapToGrid/>
                <w:color w:val="000000"/>
                <w:kern w:val="0"/>
                <w:szCs w:val="22"/>
              </w:rPr>
            </w:pPr>
            <w:r w:rsidRPr="00306B99">
              <w:rPr>
                <w:snapToGrid/>
                <w:color w:val="000000"/>
                <w:kern w:val="0"/>
                <w:szCs w:val="22"/>
              </w:rPr>
              <w:t>511639301001015</w:t>
            </w:r>
          </w:p>
        </w:tc>
      </w:tr>
      <w:tr w14:paraId="575435D0"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E658FC7"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49885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00D45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DED9CF"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56A9B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AB90726" w14:textId="77777777">
            <w:pPr>
              <w:widowControl/>
              <w:jc w:val="center"/>
              <w:rPr>
                <w:snapToGrid/>
                <w:color w:val="000000"/>
                <w:kern w:val="0"/>
                <w:szCs w:val="22"/>
              </w:rPr>
            </w:pPr>
            <w:r w:rsidRPr="00306B99">
              <w:rPr>
                <w:snapToGrid/>
                <w:color w:val="000000"/>
                <w:kern w:val="0"/>
                <w:szCs w:val="22"/>
              </w:rPr>
              <w:t>511639301001018</w:t>
            </w:r>
          </w:p>
        </w:tc>
      </w:tr>
      <w:tr w14:paraId="1E125DD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4A153D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C1937F1"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83E92C"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9527E9"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28D0E9"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6E36E7C" w14:textId="77777777">
            <w:pPr>
              <w:widowControl/>
              <w:jc w:val="center"/>
              <w:rPr>
                <w:snapToGrid/>
                <w:color w:val="000000"/>
                <w:kern w:val="0"/>
                <w:szCs w:val="22"/>
              </w:rPr>
            </w:pPr>
            <w:r w:rsidRPr="00306B99">
              <w:rPr>
                <w:snapToGrid/>
                <w:color w:val="000000"/>
                <w:kern w:val="0"/>
                <w:szCs w:val="22"/>
              </w:rPr>
              <w:t>511639301001019</w:t>
            </w:r>
          </w:p>
        </w:tc>
      </w:tr>
      <w:tr w14:paraId="3B530241"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1A6F64B"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437862"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6E18F9"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C0EC55"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377DF3"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9E7C3E5" w14:textId="77777777">
            <w:pPr>
              <w:widowControl/>
              <w:jc w:val="center"/>
              <w:rPr>
                <w:snapToGrid/>
                <w:color w:val="000000"/>
                <w:kern w:val="0"/>
                <w:szCs w:val="22"/>
              </w:rPr>
            </w:pPr>
            <w:r w:rsidRPr="00306B99">
              <w:rPr>
                <w:snapToGrid/>
                <w:color w:val="000000"/>
                <w:kern w:val="0"/>
                <w:szCs w:val="22"/>
              </w:rPr>
              <w:t>511639301001028</w:t>
            </w:r>
          </w:p>
        </w:tc>
      </w:tr>
      <w:tr w14:paraId="5F1BAA9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A8A5E30"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4C4AD4"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DF765D"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CCB557"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557F49"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800BB3B" w14:textId="77777777">
            <w:pPr>
              <w:widowControl/>
              <w:jc w:val="center"/>
              <w:rPr>
                <w:snapToGrid/>
                <w:color w:val="000000"/>
                <w:kern w:val="0"/>
                <w:szCs w:val="22"/>
              </w:rPr>
            </w:pPr>
            <w:r w:rsidRPr="00306B99">
              <w:rPr>
                <w:snapToGrid/>
                <w:color w:val="000000"/>
                <w:kern w:val="0"/>
                <w:szCs w:val="22"/>
              </w:rPr>
              <w:t>511639301001029</w:t>
            </w:r>
          </w:p>
        </w:tc>
      </w:tr>
      <w:tr w14:paraId="0C83FC2C"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36D28B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BFF2F5"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D8923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A6E59CB"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77865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26A2116" w14:textId="77777777">
            <w:pPr>
              <w:widowControl/>
              <w:jc w:val="center"/>
              <w:rPr>
                <w:snapToGrid/>
                <w:color w:val="000000"/>
                <w:kern w:val="0"/>
                <w:szCs w:val="22"/>
              </w:rPr>
            </w:pPr>
            <w:r w:rsidRPr="00306B99">
              <w:rPr>
                <w:snapToGrid/>
                <w:color w:val="000000"/>
                <w:kern w:val="0"/>
                <w:szCs w:val="22"/>
              </w:rPr>
              <w:t>511639301001030</w:t>
            </w:r>
          </w:p>
        </w:tc>
      </w:tr>
      <w:tr w14:paraId="636E378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E6DD9C9"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48B788"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B5A922"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26573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0EBC479"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FDD2F58" w14:textId="77777777">
            <w:pPr>
              <w:widowControl/>
              <w:jc w:val="center"/>
              <w:rPr>
                <w:snapToGrid/>
                <w:color w:val="000000"/>
                <w:kern w:val="0"/>
                <w:szCs w:val="22"/>
              </w:rPr>
            </w:pPr>
            <w:r w:rsidRPr="00306B99">
              <w:rPr>
                <w:snapToGrid/>
                <w:color w:val="000000"/>
                <w:kern w:val="0"/>
                <w:szCs w:val="22"/>
              </w:rPr>
              <w:t>511639301001036</w:t>
            </w:r>
          </w:p>
        </w:tc>
      </w:tr>
      <w:tr w14:paraId="383890EF"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65634B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30A95F"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DE5C08"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7D736D"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C1F23D"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876FF99" w14:textId="77777777">
            <w:pPr>
              <w:widowControl/>
              <w:jc w:val="center"/>
              <w:rPr>
                <w:snapToGrid/>
                <w:color w:val="000000"/>
                <w:kern w:val="0"/>
                <w:szCs w:val="22"/>
              </w:rPr>
            </w:pPr>
            <w:r w:rsidRPr="00306B99">
              <w:rPr>
                <w:snapToGrid/>
                <w:color w:val="000000"/>
                <w:kern w:val="0"/>
                <w:szCs w:val="22"/>
              </w:rPr>
              <w:t>511639301001045</w:t>
            </w:r>
          </w:p>
        </w:tc>
      </w:tr>
      <w:tr w14:paraId="1D82461D"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D1D006E"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A6737A"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A8B801"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A7F06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BE8ACA"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CDF4C62" w14:textId="77777777">
            <w:pPr>
              <w:widowControl/>
              <w:jc w:val="center"/>
              <w:rPr>
                <w:snapToGrid/>
                <w:color w:val="000000"/>
                <w:kern w:val="0"/>
                <w:szCs w:val="22"/>
              </w:rPr>
            </w:pPr>
            <w:r w:rsidRPr="00306B99">
              <w:rPr>
                <w:snapToGrid/>
                <w:color w:val="000000"/>
                <w:kern w:val="0"/>
                <w:szCs w:val="22"/>
              </w:rPr>
              <w:t>511639301001051</w:t>
            </w:r>
          </w:p>
        </w:tc>
      </w:tr>
      <w:tr w14:paraId="1272614E"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9C8796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E697C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5A411B"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807409"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F0653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3670688" w14:textId="77777777">
            <w:pPr>
              <w:widowControl/>
              <w:jc w:val="center"/>
              <w:rPr>
                <w:snapToGrid/>
                <w:color w:val="000000"/>
                <w:kern w:val="0"/>
                <w:szCs w:val="22"/>
              </w:rPr>
            </w:pPr>
            <w:r w:rsidRPr="00306B99">
              <w:rPr>
                <w:snapToGrid/>
                <w:color w:val="000000"/>
                <w:kern w:val="0"/>
                <w:szCs w:val="22"/>
              </w:rPr>
              <w:t>511639301001055</w:t>
            </w:r>
          </w:p>
        </w:tc>
      </w:tr>
      <w:tr w14:paraId="4DCFA6B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90BB544"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35D9ED"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F64C5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DB6705"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0BF440"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9A5EF06" w14:textId="77777777">
            <w:pPr>
              <w:widowControl/>
              <w:jc w:val="center"/>
              <w:rPr>
                <w:snapToGrid/>
                <w:color w:val="000000"/>
                <w:kern w:val="0"/>
                <w:szCs w:val="22"/>
              </w:rPr>
            </w:pPr>
            <w:r w:rsidRPr="00306B99">
              <w:rPr>
                <w:snapToGrid/>
                <w:color w:val="000000"/>
                <w:kern w:val="0"/>
                <w:szCs w:val="22"/>
              </w:rPr>
              <w:t>511639301001062</w:t>
            </w:r>
          </w:p>
        </w:tc>
      </w:tr>
      <w:tr w14:paraId="36F06E98"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23BF67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6B760B"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9C6806"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4F9AD3"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F37906"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C76DC5B" w14:textId="77777777">
            <w:pPr>
              <w:widowControl/>
              <w:jc w:val="center"/>
              <w:rPr>
                <w:snapToGrid/>
                <w:color w:val="000000"/>
                <w:kern w:val="0"/>
                <w:szCs w:val="22"/>
              </w:rPr>
            </w:pPr>
            <w:r w:rsidRPr="00306B99">
              <w:rPr>
                <w:snapToGrid/>
                <w:color w:val="000000"/>
                <w:kern w:val="0"/>
                <w:szCs w:val="22"/>
              </w:rPr>
              <w:t>511639301001120</w:t>
            </w:r>
          </w:p>
        </w:tc>
      </w:tr>
      <w:tr w14:paraId="0BF58279"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0CF876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8A2726"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0CC78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C4E6C84"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7A5D6E5"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0321251" w14:textId="77777777">
            <w:pPr>
              <w:widowControl/>
              <w:jc w:val="center"/>
              <w:rPr>
                <w:snapToGrid/>
                <w:color w:val="000000"/>
                <w:kern w:val="0"/>
                <w:szCs w:val="22"/>
              </w:rPr>
            </w:pPr>
            <w:r w:rsidRPr="00306B99">
              <w:rPr>
                <w:snapToGrid/>
                <w:color w:val="000000"/>
                <w:kern w:val="0"/>
                <w:szCs w:val="22"/>
              </w:rPr>
              <w:t>511639301001122</w:t>
            </w:r>
          </w:p>
        </w:tc>
      </w:tr>
      <w:tr w14:paraId="5BECC6A5"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49B15A6"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9A7C43"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9DF2F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7E4198"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A764F2"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5D87428" w14:textId="77777777">
            <w:pPr>
              <w:widowControl/>
              <w:jc w:val="center"/>
              <w:rPr>
                <w:snapToGrid/>
                <w:color w:val="000000"/>
                <w:kern w:val="0"/>
                <w:szCs w:val="22"/>
              </w:rPr>
            </w:pPr>
            <w:r w:rsidRPr="00306B99">
              <w:rPr>
                <w:snapToGrid/>
                <w:color w:val="000000"/>
                <w:kern w:val="0"/>
                <w:szCs w:val="22"/>
              </w:rPr>
              <w:t>511639301001139</w:t>
            </w:r>
          </w:p>
        </w:tc>
      </w:tr>
      <w:tr w14:paraId="33941C72" w14:textId="77777777" w:rsidTr="002860A6">
        <w:tblPrEx>
          <w:tblW w:w="10400" w:type="dxa"/>
          <w:tblInd w:w="118" w:type="dxa"/>
          <w:tblLook w:val="04A0"/>
        </w:tblPrEx>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58D96EA"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E342DC"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088C014"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3D5DB0"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3FF909"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B41BA47" w14:textId="77777777">
            <w:pPr>
              <w:widowControl/>
              <w:jc w:val="center"/>
              <w:rPr>
                <w:snapToGrid/>
                <w:color w:val="000000"/>
                <w:kern w:val="0"/>
                <w:szCs w:val="22"/>
              </w:rPr>
            </w:pPr>
            <w:r w:rsidRPr="00306B99">
              <w:rPr>
                <w:snapToGrid/>
                <w:color w:val="000000"/>
                <w:kern w:val="0"/>
                <w:szCs w:val="22"/>
              </w:rPr>
              <w:t>511639301001140</w:t>
            </w:r>
          </w:p>
        </w:tc>
      </w:tr>
      <w:tr w14:paraId="2C60F58C" w14:textId="77777777" w:rsidTr="002860A6">
        <w:tblPrEx>
          <w:tblW w:w="10400" w:type="dxa"/>
          <w:tblInd w:w="118" w:type="dxa"/>
          <w:tblLook w:val="04A0"/>
        </w:tblPrEx>
        <w:trPr>
          <w:trHeight w:val="315"/>
        </w:trPr>
        <w:tc>
          <w:tcPr>
            <w:tcW w:w="2380" w:type="dxa"/>
            <w:tcBorders>
              <w:top w:val="nil"/>
              <w:left w:val="single" w:sz="8" w:space="0" w:color="auto"/>
              <w:bottom w:val="single" w:sz="8" w:space="0" w:color="auto"/>
              <w:right w:val="single" w:sz="4" w:space="0" w:color="auto"/>
            </w:tcBorders>
            <w:shd w:val="clear" w:color="auto" w:fill="auto"/>
            <w:noWrap/>
            <w:vAlign w:val="bottom"/>
            <w:hideMark/>
          </w:tcPr>
          <w:p w:rsidR="007D28BC" w:rsidRPr="00306B99" w:rsidP="002860A6" w14:paraId="54141568" w14:textId="77777777">
            <w:pPr>
              <w:widowControl/>
              <w:rPr>
                <w:snapToGrid/>
                <w:color w:val="000000"/>
                <w:kern w:val="0"/>
                <w:szCs w:val="22"/>
              </w:rPr>
            </w:pPr>
            <w:r w:rsidRPr="00306B99">
              <w:rPr>
                <w:snapToGrid/>
                <w:color w:val="000000"/>
                <w:kern w:val="0"/>
                <w:szCs w:val="22"/>
              </w:rPr>
              <w:t>BARConnects</w:t>
            </w:r>
            <w:r w:rsidRPr="00306B99">
              <w:rPr>
                <w:snapToGrid/>
                <w:color w:val="000000"/>
                <w:kern w:val="0"/>
                <w:szCs w:val="22"/>
              </w:rPr>
              <w:t>, LLC</w:t>
            </w:r>
          </w:p>
        </w:tc>
        <w:tc>
          <w:tcPr>
            <w:tcW w:w="160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21862860" w14:textId="77777777">
            <w:pPr>
              <w:widowControl/>
              <w:jc w:val="center"/>
              <w:rPr>
                <w:snapToGrid/>
                <w:color w:val="000000"/>
                <w:kern w:val="0"/>
                <w:szCs w:val="22"/>
              </w:rPr>
            </w:pPr>
            <w:r w:rsidRPr="00306B99">
              <w:rPr>
                <w:snapToGrid/>
                <w:color w:val="000000"/>
                <w:kern w:val="0"/>
                <w:szCs w:val="22"/>
              </w:rPr>
              <w:t>0027842772</w:t>
            </w:r>
          </w:p>
        </w:tc>
        <w:tc>
          <w:tcPr>
            <w:tcW w:w="104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32C7AC70" w14:textId="77777777">
            <w:pPr>
              <w:widowControl/>
              <w:rPr>
                <w:snapToGrid/>
                <w:color w:val="000000"/>
                <w:kern w:val="0"/>
                <w:szCs w:val="22"/>
              </w:rPr>
            </w:pPr>
            <w:r w:rsidRPr="00306B99">
              <w:rPr>
                <w:snapToGrid/>
                <w:color w:val="000000"/>
                <w:kern w:val="0"/>
                <w:szCs w:val="22"/>
              </w:rPr>
              <w:t>Virginia</w:t>
            </w:r>
          </w:p>
        </w:tc>
        <w:tc>
          <w:tcPr>
            <w:tcW w:w="118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312F1C0E" w14:textId="77777777">
            <w:pPr>
              <w:widowControl/>
              <w:jc w:val="center"/>
              <w:rPr>
                <w:snapToGrid/>
                <w:color w:val="000000"/>
                <w:kern w:val="0"/>
                <w:szCs w:val="22"/>
              </w:rPr>
            </w:pPr>
            <w:r w:rsidRPr="00306B99">
              <w:rPr>
                <w:snapToGrid/>
                <w:color w:val="000000"/>
                <w:kern w:val="0"/>
                <w:szCs w:val="22"/>
              </w:rPr>
              <w:t>196141</w:t>
            </w:r>
          </w:p>
        </w:tc>
        <w:tc>
          <w:tcPr>
            <w:tcW w:w="152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775416FB" w14:textId="77777777">
            <w:pPr>
              <w:widowControl/>
              <w:rPr>
                <w:snapToGrid/>
                <w:color w:val="000000"/>
                <w:kern w:val="0"/>
                <w:szCs w:val="22"/>
              </w:rPr>
            </w:pPr>
            <w:r w:rsidRPr="00306B99">
              <w:rPr>
                <w:snapToGrid/>
                <w:color w:val="000000"/>
                <w:kern w:val="0"/>
                <w:szCs w:val="22"/>
              </w:rPr>
              <w:t>Rockbridge</w:t>
            </w:r>
          </w:p>
        </w:tc>
        <w:tc>
          <w:tcPr>
            <w:tcW w:w="2680" w:type="dxa"/>
            <w:tcBorders>
              <w:top w:val="nil"/>
              <w:left w:val="nil"/>
              <w:bottom w:val="single" w:sz="8" w:space="0" w:color="auto"/>
              <w:right w:val="single" w:sz="8" w:space="0" w:color="auto"/>
            </w:tcBorders>
            <w:shd w:val="clear" w:color="auto" w:fill="auto"/>
            <w:noWrap/>
            <w:vAlign w:val="bottom"/>
            <w:hideMark/>
          </w:tcPr>
          <w:p w:rsidR="007D28BC" w:rsidRPr="00306B99" w:rsidP="002860A6" w14:paraId="7002897A" w14:textId="77777777">
            <w:pPr>
              <w:widowControl/>
              <w:jc w:val="center"/>
              <w:rPr>
                <w:snapToGrid/>
                <w:color w:val="000000"/>
                <w:kern w:val="0"/>
                <w:szCs w:val="22"/>
              </w:rPr>
            </w:pPr>
            <w:r w:rsidRPr="00306B99">
              <w:rPr>
                <w:snapToGrid/>
                <w:color w:val="000000"/>
                <w:kern w:val="0"/>
                <w:szCs w:val="22"/>
              </w:rPr>
              <w:t>511639301001145</w:t>
            </w:r>
          </w:p>
        </w:tc>
      </w:tr>
    </w:tbl>
    <w:p w:rsidR="007D28BC" w:rsidRPr="00494E06" w:rsidP="007D28BC" w14:paraId="1EB8C8D0" w14:textId="77777777"/>
    <w:p w:rsidR="007D28BC" w:rsidRPr="00494E06" w:rsidP="007D28BC" w14:paraId="31FC9BF2" w14:textId="77777777">
      <w:pPr>
        <w:keepNext/>
        <w:rPr>
          <w:b/>
          <w:bCs/>
        </w:rPr>
      </w:pPr>
      <w:r w:rsidRPr="00494E06">
        <w:rPr>
          <w:b/>
          <w:bCs/>
        </w:rPr>
        <w:t xml:space="preserve">North Alabama Electric Cooperative </w:t>
      </w:r>
    </w:p>
    <w:p w:rsidR="007D28BC" w:rsidRPr="00494E06" w:rsidP="007D28BC" w14:paraId="42F75839" w14:textId="77777777">
      <w:pPr>
        <w:keepNext/>
        <w:rPr>
          <w:b/>
          <w:bCs/>
        </w:rPr>
      </w:pPr>
    </w:p>
    <w:p w:rsidR="007D28BC" w:rsidRPr="00494E06" w:rsidP="007D28BC" w14:paraId="26005D39" w14:textId="77777777">
      <w:pPr>
        <w:keepNext/>
        <w:rPr>
          <w:i/>
          <w:iCs/>
        </w:rPr>
      </w:pPr>
      <w:r w:rsidRPr="00494E06">
        <w:rPr>
          <w:i/>
          <w:iCs/>
        </w:rPr>
        <w:t>RDOF Defaulted Census Blocks</w:t>
      </w:r>
    </w:p>
    <w:p w:rsidR="007D28BC" w:rsidRPr="00494E06" w:rsidP="007D28BC" w14:paraId="7705175D" w14:textId="77777777">
      <w:pPr>
        <w:keepNext/>
        <w:rPr>
          <w:i/>
          <w:iCs/>
        </w:rPr>
      </w:pPr>
    </w:p>
    <w:tbl>
      <w:tblPr>
        <w:tblW w:w="10430" w:type="dxa"/>
        <w:tblInd w:w="118" w:type="dxa"/>
        <w:tblLook w:val="04A0"/>
      </w:tblPr>
      <w:tblGrid>
        <w:gridCol w:w="2510"/>
        <w:gridCol w:w="1440"/>
        <w:gridCol w:w="1350"/>
        <w:gridCol w:w="1260"/>
        <w:gridCol w:w="1170"/>
        <w:gridCol w:w="2700"/>
      </w:tblGrid>
      <w:tr w14:paraId="1D5E1C5C" w14:textId="77777777" w:rsidTr="002860A6">
        <w:tblPrEx>
          <w:tblW w:w="10430" w:type="dxa"/>
          <w:tblInd w:w="118" w:type="dxa"/>
          <w:tblLook w:val="04A0"/>
        </w:tblPrEx>
        <w:trPr>
          <w:trHeight w:val="480"/>
        </w:trPr>
        <w:tc>
          <w:tcPr>
            <w:tcW w:w="2510" w:type="dxa"/>
            <w:tcBorders>
              <w:top w:val="single" w:sz="8" w:space="0" w:color="auto"/>
              <w:left w:val="single" w:sz="8" w:space="0" w:color="auto"/>
              <w:bottom w:val="nil"/>
              <w:right w:val="single" w:sz="4" w:space="0" w:color="auto"/>
            </w:tcBorders>
            <w:shd w:val="clear" w:color="auto" w:fill="auto"/>
            <w:vAlign w:val="center"/>
            <w:hideMark/>
          </w:tcPr>
          <w:p w:rsidR="007D28BC" w:rsidRPr="00306B99" w:rsidP="002860A6" w14:paraId="195E4BD0" w14:textId="77777777">
            <w:pPr>
              <w:widowControl/>
              <w:rPr>
                <w:b/>
                <w:bCs/>
                <w:snapToGrid/>
                <w:color w:val="000000"/>
                <w:kern w:val="0"/>
                <w:szCs w:val="22"/>
              </w:rPr>
            </w:pPr>
            <w:r w:rsidRPr="00306B99">
              <w:rPr>
                <w:b/>
                <w:bCs/>
                <w:snapToGrid/>
                <w:color w:val="000000"/>
                <w:kern w:val="0"/>
                <w:szCs w:val="22"/>
              </w:rPr>
              <w:t>Applicant</w:t>
            </w:r>
          </w:p>
        </w:tc>
        <w:tc>
          <w:tcPr>
            <w:tcW w:w="1440" w:type="dxa"/>
            <w:tcBorders>
              <w:top w:val="single" w:sz="8" w:space="0" w:color="auto"/>
              <w:left w:val="nil"/>
              <w:bottom w:val="nil"/>
              <w:right w:val="single" w:sz="4" w:space="0" w:color="auto"/>
            </w:tcBorders>
            <w:shd w:val="clear" w:color="auto" w:fill="auto"/>
            <w:noWrap/>
            <w:vAlign w:val="center"/>
            <w:hideMark/>
          </w:tcPr>
          <w:p w:rsidR="007D28BC" w:rsidRPr="00306B99" w:rsidP="002860A6" w14:paraId="518F3C4F" w14:textId="77777777">
            <w:pPr>
              <w:widowControl/>
              <w:jc w:val="center"/>
              <w:rPr>
                <w:b/>
                <w:bCs/>
                <w:snapToGrid/>
                <w:color w:val="000000"/>
                <w:kern w:val="0"/>
                <w:szCs w:val="22"/>
              </w:rPr>
            </w:pPr>
            <w:r w:rsidRPr="00306B99">
              <w:rPr>
                <w:b/>
                <w:bCs/>
                <w:snapToGrid/>
                <w:color w:val="000000"/>
                <w:kern w:val="0"/>
                <w:szCs w:val="22"/>
              </w:rPr>
              <w:t>FRN</w:t>
            </w:r>
          </w:p>
        </w:tc>
        <w:tc>
          <w:tcPr>
            <w:tcW w:w="1350" w:type="dxa"/>
            <w:tcBorders>
              <w:top w:val="single" w:sz="8" w:space="0" w:color="auto"/>
              <w:left w:val="nil"/>
              <w:bottom w:val="nil"/>
              <w:right w:val="single" w:sz="4" w:space="0" w:color="auto"/>
            </w:tcBorders>
            <w:shd w:val="clear" w:color="auto" w:fill="auto"/>
            <w:vAlign w:val="center"/>
            <w:hideMark/>
          </w:tcPr>
          <w:p w:rsidR="007D28BC" w:rsidRPr="00306B99" w:rsidP="002860A6" w14:paraId="7F09830E" w14:textId="77777777">
            <w:pPr>
              <w:widowControl/>
              <w:rPr>
                <w:b/>
                <w:bCs/>
                <w:snapToGrid/>
                <w:color w:val="000000"/>
                <w:kern w:val="0"/>
                <w:szCs w:val="22"/>
              </w:rPr>
            </w:pPr>
            <w:r w:rsidRPr="00306B99">
              <w:rPr>
                <w:b/>
                <w:bCs/>
                <w:snapToGrid/>
                <w:color w:val="000000"/>
                <w:kern w:val="0"/>
                <w:szCs w:val="22"/>
              </w:rPr>
              <w:t>State</w:t>
            </w:r>
          </w:p>
        </w:tc>
        <w:tc>
          <w:tcPr>
            <w:tcW w:w="1260" w:type="dxa"/>
            <w:tcBorders>
              <w:top w:val="single" w:sz="8" w:space="0" w:color="auto"/>
              <w:left w:val="nil"/>
              <w:bottom w:val="nil"/>
              <w:right w:val="single" w:sz="4" w:space="0" w:color="auto"/>
            </w:tcBorders>
            <w:shd w:val="clear" w:color="auto" w:fill="auto"/>
            <w:noWrap/>
            <w:vAlign w:val="center"/>
            <w:hideMark/>
          </w:tcPr>
          <w:p w:rsidR="007D28BC" w:rsidRPr="00306B99" w:rsidP="002860A6" w14:paraId="2AF5A08E" w14:textId="77777777">
            <w:pPr>
              <w:widowControl/>
              <w:jc w:val="center"/>
              <w:rPr>
                <w:b/>
                <w:bCs/>
                <w:snapToGrid/>
                <w:color w:val="000000"/>
                <w:kern w:val="0"/>
                <w:szCs w:val="22"/>
              </w:rPr>
            </w:pPr>
            <w:r w:rsidRPr="00306B99">
              <w:rPr>
                <w:b/>
                <w:bCs/>
                <w:snapToGrid/>
                <w:color w:val="000000"/>
                <w:kern w:val="0"/>
                <w:szCs w:val="22"/>
              </w:rPr>
              <w:t>Study Area Code</w:t>
            </w:r>
          </w:p>
        </w:tc>
        <w:tc>
          <w:tcPr>
            <w:tcW w:w="1170" w:type="dxa"/>
            <w:tcBorders>
              <w:top w:val="single" w:sz="8" w:space="0" w:color="auto"/>
              <w:left w:val="nil"/>
              <w:bottom w:val="nil"/>
              <w:right w:val="single" w:sz="4" w:space="0" w:color="auto"/>
            </w:tcBorders>
            <w:shd w:val="clear" w:color="auto" w:fill="auto"/>
            <w:noWrap/>
            <w:vAlign w:val="center"/>
            <w:hideMark/>
          </w:tcPr>
          <w:p w:rsidR="007D28BC" w:rsidRPr="00306B99" w:rsidP="002860A6" w14:paraId="2C1D33CA" w14:textId="77777777">
            <w:pPr>
              <w:widowControl/>
              <w:rPr>
                <w:b/>
                <w:bCs/>
                <w:snapToGrid/>
                <w:color w:val="000000"/>
                <w:kern w:val="0"/>
                <w:szCs w:val="22"/>
              </w:rPr>
            </w:pPr>
            <w:r w:rsidRPr="00306B99">
              <w:rPr>
                <w:b/>
                <w:bCs/>
                <w:snapToGrid/>
                <w:color w:val="000000"/>
                <w:kern w:val="0"/>
                <w:szCs w:val="22"/>
              </w:rPr>
              <w:t>County</w:t>
            </w:r>
          </w:p>
        </w:tc>
        <w:tc>
          <w:tcPr>
            <w:tcW w:w="2700" w:type="dxa"/>
            <w:tcBorders>
              <w:top w:val="single" w:sz="8" w:space="0" w:color="auto"/>
              <w:left w:val="nil"/>
              <w:bottom w:val="nil"/>
              <w:right w:val="single" w:sz="8" w:space="0" w:color="auto"/>
            </w:tcBorders>
            <w:shd w:val="clear" w:color="auto" w:fill="auto"/>
            <w:vAlign w:val="center"/>
            <w:hideMark/>
          </w:tcPr>
          <w:p w:rsidR="007D28BC" w:rsidRPr="00306B99" w:rsidP="002860A6" w14:paraId="77589BCE" w14:textId="77777777">
            <w:pPr>
              <w:widowControl/>
              <w:jc w:val="center"/>
              <w:rPr>
                <w:b/>
                <w:bCs/>
                <w:snapToGrid/>
                <w:color w:val="000000"/>
                <w:kern w:val="0"/>
                <w:szCs w:val="22"/>
              </w:rPr>
            </w:pPr>
            <w:r w:rsidRPr="00306B99">
              <w:rPr>
                <w:b/>
                <w:bCs/>
                <w:snapToGrid/>
                <w:color w:val="000000"/>
                <w:kern w:val="0"/>
                <w:szCs w:val="22"/>
              </w:rPr>
              <w:t>Census Block Number</w:t>
            </w:r>
          </w:p>
        </w:tc>
      </w:tr>
      <w:tr w14:paraId="3A806087" w14:textId="77777777" w:rsidTr="002860A6">
        <w:tblPrEx>
          <w:tblW w:w="10430" w:type="dxa"/>
          <w:tblInd w:w="118" w:type="dxa"/>
          <w:tblLook w:val="04A0"/>
        </w:tblPrEx>
        <w:trPr>
          <w:trHeight w:val="300"/>
        </w:trPr>
        <w:tc>
          <w:tcPr>
            <w:tcW w:w="25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28BC" w:rsidRPr="00306B99" w:rsidP="002860A6" w14:paraId="3E72A5E7"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4F535666"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4B266BD5" w14:textId="77777777">
            <w:pPr>
              <w:widowControl/>
              <w:rPr>
                <w:snapToGrid/>
                <w:color w:val="000000"/>
                <w:kern w:val="0"/>
                <w:szCs w:val="22"/>
              </w:rPr>
            </w:pPr>
            <w:r w:rsidRPr="00306B99">
              <w:rPr>
                <w:snapToGrid/>
                <w:color w:val="000000"/>
                <w:kern w:val="0"/>
                <w:szCs w:val="22"/>
              </w:rPr>
              <w:t>Alabama</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1C03AFF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rsidR="007D28BC" w:rsidRPr="00306B99" w:rsidP="002860A6" w14:paraId="548315B6" w14:textId="77777777">
            <w:pPr>
              <w:widowControl/>
              <w:rPr>
                <w:snapToGrid/>
                <w:color w:val="000000"/>
                <w:kern w:val="0"/>
                <w:szCs w:val="22"/>
              </w:rPr>
            </w:pPr>
            <w:r w:rsidRPr="00306B99">
              <w:rPr>
                <w:snapToGrid/>
                <w:color w:val="000000"/>
                <w:kern w:val="0"/>
                <w:szCs w:val="22"/>
              </w:rPr>
              <w:t>Jackson</w:t>
            </w:r>
          </w:p>
        </w:tc>
        <w:tc>
          <w:tcPr>
            <w:tcW w:w="2700" w:type="dxa"/>
            <w:tcBorders>
              <w:top w:val="single" w:sz="8" w:space="0" w:color="auto"/>
              <w:left w:val="nil"/>
              <w:bottom w:val="single" w:sz="4" w:space="0" w:color="auto"/>
              <w:right w:val="single" w:sz="8" w:space="0" w:color="auto"/>
            </w:tcBorders>
            <w:shd w:val="clear" w:color="auto" w:fill="auto"/>
            <w:noWrap/>
            <w:vAlign w:val="bottom"/>
            <w:hideMark/>
          </w:tcPr>
          <w:p w:rsidR="007D28BC" w:rsidRPr="00306B99" w:rsidP="002860A6" w14:paraId="43E4C5AD" w14:textId="77777777">
            <w:pPr>
              <w:widowControl/>
              <w:jc w:val="center"/>
              <w:rPr>
                <w:snapToGrid/>
                <w:color w:val="000000"/>
                <w:kern w:val="0"/>
                <w:szCs w:val="22"/>
              </w:rPr>
            </w:pPr>
            <w:r w:rsidRPr="00306B99">
              <w:rPr>
                <w:snapToGrid/>
                <w:color w:val="000000"/>
                <w:kern w:val="0"/>
                <w:szCs w:val="22"/>
              </w:rPr>
              <w:t>010719509004049</w:t>
            </w:r>
          </w:p>
        </w:tc>
      </w:tr>
      <w:tr w14:paraId="62C063D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A03FD5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1B252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6D69F7"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86FAED"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5539E6"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39B2AA9" w14:textId="77777777">
            <w:pPr>
              <w:widowControl/>
              <w:jc w:val="center"/>
              <w:rPr>
                <w:snapToGrid/>
                <w:color w:val="000000"/>
                <w:kern w:val="0"/>
                <w:szCs w:val="22"/>
              </w:rPr>
            </w:pPr>
            <w:r w:rsidRPr="00306B99">
              <w:rPr>
                <w:snapToGrid/>
                <w:color w:val="000000"/>
                <w:kern w:val="0"/>
                <w:szCs w:val="22"/>
              </w:rPr>
              <w:t>010719509004061</w:t>
            </w:r>
          </w:p>
        </w:tc>
      </w:tr>
      <w:tr w14:paraId="7EBE2516"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9C33621"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004F9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FAA8F4"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306298"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4345C5"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0D88DA1" w14:textId="77777777">
            <w:pPr>
              <w:widowControl/>
              <w:jc w:val="center"/>
              <w:rPr>
                <w:snapToGrid/>
                <w:color w:val="000000"/>
                <w:kern w:val="0"/>
                <w:szCs w:val="22"/>
              </w:rPr>
            </w:pPr>
            <w:r w:rsidRPr="00306B99">
              <w:rPr>
                <w:snapToGrid/>
                <w:color w:val="000000"/>
                <w:kern w:val="0"/>
                <w:szCs w:val="22"/>
              </w:rPr>
              <w:t>010719511001052</w:t>
            </w:r>
          </w:p>
        </w:tc>
      </w:tr>
      <w:tr w14:paraId="59BEF7E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FA1C7C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79469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39655B7"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632A2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55818C"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757AE1A" w14:textId="77777777">
            <w:pPr>
              <w:widowControl/>
              <w:jc w:val="center"/>
              <w:rPr>
                <w:snapToGrid/>
                <w:color w:val="000000"/>
                <w:kern w:val="0"/>
                <w:szCs w:val="22"/>
              </w:rPr>
            </w:pPr>
            <w:r w:rsidRPr="00306B99">
              <w:rPr>
                <w:snapToGrid/>
                <w:color w:val="000000"/>
                <w:kern w:val="0"/>
                <w:szCs w:val="22"/>
              </w:rPr>
              <w:t>010719511001053</w:t>
            </w:r>
          </w:p>
        </w:tc>
      </w:tr>
      <w:tr w14:paraId="3CF077B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E395EAB"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F1825D"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23051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88603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DFCB50"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58791C9" w14:textId="77777777">
            <w:pPr>
              <w:widowControl/>
              <w:jc w:val="center"/>
              <w:rPr>
                <w:snapToGrid/>
                <w:color w:val="000000"/>
                <w:kern w:val="0"/>
                <w:szCs w:val="22"/>
              </w:rPr>
            </w:pPr>
            <w:r w:rsidRPr="00306B99">
              <w:rPr>
                <w:snapToGrid/>
                <w:color w:val="000000"/>
                <w:kern w:val="0"/>
                <w:szCs w:val="22"/>
              </w:rPr>
              <w:t>010719511001056</w:t>
            </w:r>
          </w:p>
        </w:tc>
      </w:tr>
      <w:tr w14:paraId="2FC56B3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02D0A41"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EF65F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275C1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03DFE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B07D33"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ABFEBC9" w14:textId="77777777">
            <w:pPr>
              <w:widowControl/>
              <w:jc w:val="center"/>
              <w:rPr>
                <w:snapToGrid/>
                <w:color w:val="000000"/>
                <w:kern w:val="0"/>
                <w:szCs w:val="22"/>
              </w:rPr>
            </w:pPr>
            <w:r w:rsidRPr="00306B99">
              <w:rPr>
                <w:snapToGrid/>
                <w:color w:val="000000"/>
                <w:kern w:val="0"/>
                <w:szCs w:val="22"/>
              </w:rPr>
              <w:t>010719511001057</w:t>
            </w:r>
          </w:p>
        </w:tc>
      </w:tr>
      <w:tr w14:paraId="52AB208C"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3AE034D"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C18C46"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2F111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AFEAB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CC210F"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61D073A" w14:textId="77777777">
            <w:pPr>
              <w:widowControl/>
              <w:jc w:val="center"/>
              <w:rPr>
                <w:snapToGrid/>
                <w:color w:val="000000"/>
                <w:kern w:val="0"/>
                <w:szCs w:val="22"/>
              </w:rPr>
            </w:pPr>
            <w:r w:rsidRPr="00306B99">
              <w:rPr>
                <w:snapToGrid/>
                <w:color w:val="000000"/>
                <w:kern w:val="0"/>
                <w:szCs w:val="22"/>
              </w:rPr>
              <w:t>010719511001058</w:t>
            </w:r>
          </w:p>
        </w:tc>
      </w:tr>
      <w:tr w14:paraId="51028BC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A0C8B08"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3E622A"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4897D5"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F5B78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68E4DCC"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C4B54D6" w14:textId="77777777">
            <w:pPr>
              <w:widowControl/>
              <w:jc w:val="center"/>
              <w:rPr>
                <w:snapToGrid/>
                <w:color w:val="000000"/>
                <w:kern w:val="0"/>
                <w:szCs w:val="22"/>
              </w:rPr>
            </w:pPr>
            <w:r w:rsidRPr="00306B99">
              <w:rPr>
                <w:snapToGrid/>
                <w:color w:val="000000"/>
                <w:kern w:val="0"/>
                <w:szCs w:val="22"/>
              </w:rPr>
              <w:t>010719511001063</w:t>
            </w:r>
          </w:p>
        </w:tc>
      </w:tr>
      <w:tr w14:paraId="26184AB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9B8482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B5B0C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4A9DC1"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F92AD1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06F2C5"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A9C37E0" w14:textId="77777777">
            <w:pPr>
              <w:widowControl/>
              <w:jc w:val="center"/>
              <w:rPr>
                <w:snapToGrid/>
                <w:color w:val="000000"/>
                <w:kern w:val="0"/>
                <w:szCs w:val="22"/>
              </w:rPr>
            </w:pPr>
            <w:r w:rsidRPr="00306B99">
              <w:rPr>
                <w:snapToGrid/>
                <w:color w:val="000000"/>
                <w:kern w:val="0"/>
                <w:szCs w:val="22"/>
              </w:rPr>
              <w:t>010719511001065</w:t>
            </w:r>
          </w:p>
        </w:tc>
      </w:tr>
      <w:tr w14:paraId="3897EB6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CF72D1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8A9B3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70384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2B222F"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CB1AB9"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CD0725" w14:textId="77777777">
            <w:pPr>
              <w:widowControl/>
              <w:jc w:val="center"/>
              <w:rPr>
                <w:snapToGrid/>
                <w:color w:val="000000"/>
                <w:kern w:val="0"/>
                <w:szCs w:val="22"/>
              </w:rPr>
            </w:pPr>
            <w:r w:rsidRPr="00306B99">
              <w:rPr>
                <w:snapToGrid/>
                <w:color w:val="000000"/>
                <w:kern w:val="0"/>
                <w:szCs w:val="22"/>
              </w:rPr>
              <w:t>010719511001066</w:t>
            </w:r>
          </w:p>
        </w:tc>
      </w:tr>
      <w:tr w14:paraId="7E92334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2EF43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5C7A84"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D4CFD4"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35C27F"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734ABF"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B07353D" w14:textId="77777777">
            <w:pPr>
              <w:widowControl/>
              <w:jc w:val="center"/>
              <w:rPr>
                <w:snapToGrid/>
                <w:color w:val="000000"/>
                <w:kern w:val="0"/>
                <w:szCs w:val="22"/>
              </w:rPr>
            </w:pPr>
            <w:r w:rsidRPr="00306B99">
              <w:rPr>
                <w:snapToGrid/>
                <w:color w:val="000000"/>
                <w:kern w:val="0"/>
                <w:szCs w:val="22"/>
              </w:rPr>
              <w:t>010719511001090</w:t>
            </w:r>
          </w:p>
        </w:tc>
      </w:tr>
      <w:tr w14:paraId="25816862"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9C748D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427D14"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C556B5"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F9C541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51E2D3"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F77799D" w14:textId="77777777">
            <w:pPr>
              <w:widowControl/>
              <w:jc w:val="center"/>
              <w:rPr>
                <w:snapToGrid/>
                <w:color w:val="000000"/>
                <w:kern w:val="0"/>
                <w:szCs w:val="22"/>
              </w:rPr>
            </w:pPr>
            <w:r w:rsidRPr="00306B99">
              <w:rPr>
                <w:snapToGrid/>
                <w:color w:val="000000"/>
                <w:kern w:val="0"/>
                <w:szCs w:val="22"/>
              </w:rPr>
              <w:t>010719511001092</w:t>
            </w:r>
          </w:p>
        </w:tc>
      </w:tr>
      <w:tr w14:paraId="7324339D"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08E4440"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DD447D"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991EF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46B6D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E205F1"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10AB73B" w14:textId="77777777">
            <w:pPr>
              <w:widowControl/>
              <w:jc w:val="center"/>
              <w:rPr>
                <w:snapToGrid/>
                <w:color w:val="000000"/>
                <w:kern w:val="0"/>
                <w:szCs w:val="22"/>
              </w:rPr>
            </w:pPr>
            <w:r w:rsidRPr="00306B99">
              <w:rPr>
                <w:snapToGrid/>
                <w:color w:val="000000"/>
                <w:kern w:val="0"/>
                <w:szCs w:val="22"/>
              </w:rPr>
              <w:t>010719511001097</w:t>
            </w:r>
          </w:p>
        </w:tc>
      </w:tr>
      <w:tr w14:paraId="0A919B9E"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EDCFE6D"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F19872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617CD6"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FF100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15F6A5"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A3CA38" w14:textId="77777777">
            <w:pPr>
              <w:widowControl/>
              <w:jc w:val="center"/>
              <w:rPr>
                <w:snapToGrid/>
                <w:color w:val="000000"/>
                <w:kern w:val="0"/>
                <w:szCs w:val="22"/>
              </w:rPr>
            </w:pPr>
            <w:r w:rsidRPr="00306B99">
              <w:rPr>
                <w:snapToGrid/>
                <w:color w:val="000000"/>
                <w:kern w:val="0"/>
                <w:szCs w:val="22"/>
              </w:rPr>
              <w:t>010719511001100</w:t>
            </w:r>
          </w:p>
        </w:tc>
      </w:tr>
      <w:tr w14:paraId="64149DF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F0BA4A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CB7C972"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B7F826"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B7AC8F"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63D33A"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EAB1369" w14:textId="77777777">
            <w:pPr>
              <w:widowControl/>
              <w:jc w:val="center"/>
              <w:rPr>
                <w:snapToGrid/>
                <w:color w:val="000000"/>
                <w:kern w:val="0"/>
                <w:szCs w:val="22"/>
              </w:rPr>
            </w:pPr>
            <w:r w:rsidRPr="00306B99">
              <w:rPr>
                <w:snapToGrid/>
                <w:color w:val="000000"/>
                <w:kern w:val="0"/>
                <w:szCs w:val="22"/>
              </w:rPr>
              <w:t>010719511002010</w:t>
            </w:r>
          </w:p>
        </w:tc>
      </w:tr>
      <w:tr w14:paraId="3F216852"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5FC685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3ABAA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1665B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49E6C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27B922"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1F640D0" w14:textId="77777777">
            <w:pPr>
              <w:widowControl/>
              <w:jc w:val="center"/>
              <w:rPr>
                <w:snapToGrid/>
                <w:color w:val="000000"/>
                <w:kern w:val="0"/>
                <w:szCs w:val="22"/>
              </w:rPr>
            </w:pPr>
            <w:r w:rsidRPr="00306B99">
              <w:rPr>
                <w:snapToGrid/>
                <w:color w:val="000000"/>
                <w:kern w:val="0"/>
                <w:szCs w:val="22"/>
              </w:rPr>
              <w:t>010719511002011</w:t>
            </w:r>
          </w:p>
        </w:tc>
      </w:tr>
      <w:tr w14:paraId="2B0B959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FABD5D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36D6CA"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DB0D2E"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9552B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91ED86"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E52015F" w14:textId="77777777">
            <w:pPr>
              <w:widowControl/>
              <w:jc w:val="center"/>
              <w:rPr>
                <w:snapToGrid/>
                <w:color w:val="000000"/>
                <w:kern w:val="0"/>
                <w:szCs w:val="22"/>
              </w:rPr>
            </w:pPr>
            <w:r w:rsidRPr="00306B99">
              <w:rPr>
                <w:snapToGrid/>
                <w:color w:val="000000"/>
                <w:kern w:val="0"/>
                <w:szCs w:val="22"/>
              </w:rPr>
              <w:t>010719511002012</w:t>
            </w:r>
          </w:p>
        </w:tc>
      </w:tr>
      <w:tr w14:paraId="0DB6CA6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676BA4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D49892"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EDF92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7CE88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F21B59"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2101308" w14:textId="77777777">
            <w:pPr>
              <w:widowControl/>
              <w:jc w:val="center"/>
              <w:rPr>
                <w:snapToGrid/>
                <w:color w:val="000000"/>
                <w:kern w:val="0"/>
                <w:szCs w:val="22"/>
              </w:rPr>
            </w:pPr>
            <w:r w:rsidRPr="00306B99">
              <w:rPr>
                <w:snapToGrid/>
                <w:color w:val="000000"/>
                <w:kern w:val="0"/>
                <w:szCs w:val="22"/>
              </w:rPr>
              <w:t>010719511002015</w:t>
            </w:r>
          </w:p>
        </w:tc>
      </w:tr>
      <w:tr w14:paraId="0BDD3F9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87EFF7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1A9D3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0D4667"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52C2F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0D9C78"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A38B0A4" w14:textId="77777777">
            <w:pPr>
              <w:widowControl/>
              <w:jc w:val="center"/>
              <w:rPr>
                <w:snapToGrid/>
                <w:color w:val="000000"/>
                <w:kern w:val="0"/>
                <w:szCs w:val="22"/>
              </w:rPr>
            </w:pPr>
            <w:r w:rsidRPr="00306B99">
              <w:rPr>
                <w:snapToGrid/>
                <w:color w:val="000000"/>
                <w:kern w:val="0"/>
                <w:szCs w:val="22"/>
              </w:rPr>
              <w:t>010719511002016</w:t>
            </w:r>
          </w:p>
        </w:tc>
      </w:tr>
      <w:tr w14:paraId="4FAC64E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1DD9704"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F74466"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507F5F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74CB57"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A9C00C"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F392E26" w14:textId="77777777">
            <w:pPr>
              <w:widowControl/>
              <w:jc w:val="center"/>
              <w:rPr>
                <w:snapToGrid/>
                <w:color w:val="000000"/>
                <w:kern w:val="0"/>
                <w:szCs w:val="22"/>
              </w:rPr>
            </w:pPr>
            <w:r w:rsidRPr="00306B99">
              <w:rPr>
                <w:snapToGrid/>
                <w:color w:val="000000"/>
                <w:kern w:val="0"/>
                <w:szCs w:val="22"/>
              </w:rPr>
              <w:t>010719511002017</w:t>
            </w:r>
          </w:p>
        </w:tc>
      </w:tr>
      <w:tr w14:paraId="5AD4220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3A90BDA"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387AA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C6CF1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04289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96AE6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3AE8FED" w14:textId="77777777">
            <w:pPr>
              <w:widowControl/>
              <w:jc w:val="center"/>
              <w:rPr>
                <w:snapToGrid/>
                <w:color w:val="000000"/>
                <w:kern w:val="0"/>
                <w:szCs w:val="22"/>
              </w:rPr>
            </w:pPr>
            <w:r w:rsidRPr="00306B99">
              <w:rPr>
                <w:snapToGrid/>
                <w:color w:val="000000"/>
                <w:kern w:val="0"/>
                <w:szCs w:val="22"/>
              </w:rPr>
              <w:t>010719511002018</w:t>
            </w:r>
          </w:p>
        </w:tc>
      </w:tr>
      <w:tr w14:paraId="2E00073B"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72A69D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2A59C1"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0C2315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EC4DA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6B87C3"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0440EFE" w14:textId="77777777">
            <w:pPr>
              <w:widowControl/>
              <w:jc w:val="center"/>
              <w:rPr>
                <w:snapToGrid/>
                <w:color w:val="000000"/>
                <w:kern w:val="0"/>
                <w:szCs w:val="22"/>
              </w:rPr>
            </w:pPr>
            <w:r w:rsidRPr="00306B99">
              <w:rPr>
                <w:snapToGrid/>
                <w:color w:val="000000"/>
                <w:kern w:val="0"/>
                <w:szCs w:val="22"/>
              </w:rPr>
              <w:t>010719511002019</w:t>
            </w:r>
          </w:p>
        </w:tc>
      </w:tr>
      <w:tr w14:paraId="2E4D2E5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2223DE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AE584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7CA76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2FFD6D"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1A2FF7"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1AEE9D4" w14:textId="77777777">
            <w:pPr>
              <w:widowControl/>
              <w:jc w:val="center"/>
              <w:rPr>
                <w:snapToGrid/>
                <w:color w:val="000000"/>
                <w:kern w:val="0"/>
                <w:szCs w:val="22"/>
              </w:rPr>
            </w:pPr>
            <w:r w:rsidRPr="00306B99">
              <w:rPr>
                <w:snapToGrid/>
                <w:color w:val="000000"/>
                <w:kern w:val="0"/>
                <w:szCs w:val="22"/>
              </w:rPr>
              <w:t>010719511002021</w:t>
            </w:r>
          </w:p>
        </w:tc>
      </w:tr>
      <w:tr w14:paraId="6937AF26"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1F7FF5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0BE336"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D1834F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4B55B0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71DDDA"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758EAE2" w14:textId="77777777">
            <w:pPr>
              <w:widowControl/>
              <w:jc w:val="center"/>
              <w:rPr>
                <w:snapToGrid/>
                <w:color w:val="000000"/>
                <w:kern w:val="0"/>
                <w:szCs w:val="22"/>
              </w:rPr>
            </w:pPr>
            <w:r w:rsidRPr="00306B99">
              <w:rPr>
                <w:snapToGrid/>
                <w:color w:val="000000"/>
                <w:kern w:val="0"/>
                <w:szCs w:val="22"/>
              </w:rPr>
              <w:t>010719511002023</w:t>
            </w:r>
          </w:p>
        </w:tc>
      </w:tr>
      <w:tr w14:paraId="0692884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84736D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F0FE7D6"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3E081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6C9EE5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C87298"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3E0EA8A" w14:textId="77777777">
            <w:pPr>
              <w:widowControl/>
              <w:jc w:val="center"/>
              <w:rPr>
                <w:snapToGrid/>
                <w:color w:val="000000"/>
                <w:kern w:val="0"/>
                <w:szCs w:val="22"/>
              </w:rPr>
            </w:pPr>
            <w:r w:rsidRPr="00306B99">
              <w:rPr>
                <w:snapToGrid/>
                <w:color w:val="000000"/>
                <w:kern w:val="0"/>
                <w:szCs w:val="22"/>
              </w:rPr>
              <w:t>010719511002028</w:t>
            </w:r>
          </w:p>
        </w:tc>
      </w:tr>
      <w:tr w14:paraId="3BA3AC7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E81CA1B"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3332E5"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3440CE"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EA6C87E"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F6689A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BBC8E15" w14:textId="77777777">
            <w:pPr>
              <w:widowControl/>
              <w:jc w:val="center"/>
              <w:rPr>
                <w:snapToGrid/>
                <w:color w:val="000000"/>
                <w:kern w:val="0"/>
                <w:szCs w:val="22"/>
              </w:rPr>
            </w:pPr>
            <w:r w:rsidRPr="00306B99">
              <w:rPr>
                <w:snapToGrid/>
                <w:color w:val="000000"/>
                <w:kern w:val="0"/>
                <w:szCs w:val="22"/>
              </w:rPr>
              <w:t>010719511002030</w:t>
            </w:r>
          </w:p>
        </w:tc>
      </w:tr>
      <w:tr w14:paraId="277157F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11C66B7"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99D3C45"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1DE8F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67F845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05601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A451632" w14:textId="77777777">
            <w:pPr>
              <w:widowControl/>
              <w:jc w:val="center"/>
              <w:rPr>
                <w:snapToGrid/>
                <w:color w:val="000000"/>
                <w:kern w:val="0"/>
                <w:szCs w:val="22"/>
              </w:rPr>
            </w:pPr>
            <w:r w:rsidRPr="00306B99">
              <w:rPr>
                <w:snapToGrid/>
                <w:color w:val="000000"/>
                <w:kern w:val="0"/>
                <w:szCs w:val="22"/>
              </w:rPr>
              <w:t>010719511002032</w:t>
            </w:r>
          </w:p>
        </w:tc>
      </w:tr>
      <w:tr w14:paraId="47276440"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247F2A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3591D1"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B27D6E4"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6BCC1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821B93"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668A24F" w14:textId="77777777">
            <w:pPr>
              <w:widowControl/>
              <w:jc w:val="center"/>
              <w:rPr>
                <w:snapToGrid/>
                <w:color w:val="000000"/>
                <w:kern w:val="0"/>
                <w:szCs w:val="22"/>
              </w:rPr>
            </w:pPr>
            <w:r w:rsidRPr="00306B99">
              <w:rPr>
                <w:snapToGrid/>
                <w:color w:val="000000"/>
                <w:kern w:val="0"/>
                <w:szCs w:val="22"/>
              </w:rPr>
              <w:t>010719511002035</w:t>
            </w:r>
          </w:p>
        </w:tc>
      </w:tr>
      <w:tr w14:paraId="6EA7D4F7"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D3DC3E4"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90D718"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98A8A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B8C09CE"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610191"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28620E0" w14:textId="77777777">
            <w:pPr>
              <w:widowControl/>
              <w:jc w:val="center"/>
              <w:rPr>
                <w:snapToGrid/>
                <w:color w:val="000000"/>
                <w:kern w:val="0"/>
                <w:szCs w:val="22"/>
              </w:rPr>
            </w:pPr>
            <w:r w:rsidRPr="00306B99">
              <w:rPr>
                <w:snapToGrid/>
                <w:color w:val="000000"/>
                <w:kern w:val="0"/>
                <w:szCs w:val="22"/>
              </w:rPr>
              <w:t>010719511002036</w:t>
            </w:r>
          </w:p>
        </w:tc>
      </w:tr>
      <w:tr w14:paraId="066284C7"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A1EC4A"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F2944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A2FF10A"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3EE6C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28011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BF7E72" w14:textId="77777777">
            <w:pPr>
              <w:widowControl/>
              <w:jc w:val="center"/>
              <w:rPr>
                <w:snapToGrid/>
                <w:color w:val="000000"/>
                <w:kern w:val="0"/>
                <w:szCs w:val="22"/>
              </w:rPr>
            </w:pPr>
            <w:r w:rsidRPr="00306B99">
              <w:rPr>
                <w:snapToGrid/>
                <w:color w:val="000000"/>
                <w:kern w:val="0"/>
                <w:szCs w:val="22"/>
              </w:rPr>
              <w:t>010719511002038</w:t>
            </w:r>
          </w:p>
        </w:tc>
      </w:tr>
      <w:tr w14:paraId="2ADA11A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C8C83F6"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AF3AA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69DAAE"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F72007"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9465B6"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40EE7A8" w14:textId="77777777">
            <w:pPr>
              <w:widowControl/>
              <w:jc w:val="center"/>
              <w:rPr>
                <w:snapToGrid/>
                <w:color w:val="000000"/>
                <w:kern w:val="0"/>
                <w:szCs w:val="22"/>
              </w:rPr>
            </w:pPr>
            <w:r w:rsidRPr="00306B99">
              <w:rPr>
                <w:snapToGrid/>
                <w:color w:val="000000"/>
                <w:kern w:val="0"/>
                <w:szCs w:val="22"/>
              </w:rPr>
              <w:t>010719511002041</w:t>
            </w:r>
          </w:p>
        </w:tc>
      </w:tr>
      <w:tr w14:paraId="17EB3D1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AE392DA"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85799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9702EE"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58333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4B174CA"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6DA1884" w14:textId="77777777">
            <w:pPr>
              <w:widowControl/>
              <w:jc w:val="center"/>
              <w:rPr>
                <w:snapToGrid/>
                <w:color w:val="000000"/>
                <w:kern w:val="0"/>
                <w:szCs w:val="22"/>
              </w:rPr>
            </w:pPr>
            <w:r w:rsidRPr="00306B99">
              <w:rPr>
                <w:snapToGrid/>
                <w:color w:val="000000"/>
                <w:kern w:val="0"/>
                <w:szCs w:val="22"/>
              </w:rPr>
              <w:t>010719511002071</w:t>
            </w:r>
          </w:p>
        </w:tc>
      </w:tr>
      <w:tr w14:paraId="0D007A8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693A3F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05802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1196E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D7141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2B10C6"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12F41EB" w14:textId="77777777">
            <w:pPr>
              <w:widowControl/>
              <w:jc w:val="center"/>
              <w:rPr>
                <w:snapToGrid/>
                <w:color w:val="000000"/>
                <w:kern w:val="0"/>
                <w:szCs w:val="22"/>
              </w:rPr>
            </w:pPr>
            <w:r w:rsidRPr="00306B99">
              <w:rPr>
                <w:snapToGrid/>
                <w:color w:val="000000"/>
                <w:kern w:val="0"/>
                <w:szCs w:val="22"/>
              </w:rPr>
              <w:t>010719511002072</w:t>
            </w:r>
          </w:p>
        </w:tc>
      </w:tr>
      <w:tr w14:paraId="7E2296B7"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668B886"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7BD63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D5E2EE"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6FB454"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65DB9F"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5A74C31" w14:textId="77777777">
            <w:pPr>
              <w:widowControl/>
              <w:jc w:val="center"/>
              <w:rPr>
                <w:snapToGrid/>
                <w:color w:val="000000"/>
                <w:kern w:val="0"/>
                <w:szCs w:val="22"/>
              </w:rPr>
            </w:pPr>
            <w:r w:rsidRPr="00306B99">
              <w:rPr>
                <w:snapToGrid/>
                <w:color w:val="000000"/>
                <w:kern w:val="0"/>
                <w:szCs w:val="22"/>
              </w:rPr>
              <w:t>010719511002073</w:t>
            </w:r>
          </w:p>
        </w:tc>
      </w:tr>
      <w:tr w14:paraId="62CA89D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FFCDD0D"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B8E4D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309B0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B8EE0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8F839D"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6B90390" w14:textId="77777777">
            <w:pPr>
              <w:widowControl/>
              <w:jc w:val="center"/>
              <w:rPr>
                <w:snapToGrid/>
                <w:color w:val="000000"/>
                <w:kern w:val="0"/>
                <w:szCs w:val="22"/>
              </w:rPr>
            </w:pPr>
            <w:r w:rsidRPr="00306B99">
              <w:rPr>
                <w:snapToGrid/>
                <w:color w:val="000000"/>
                <w:kern w:val="0"/>
                <w:szCs w:val="22"/>
              </w:rPr>
              <w:t>010719511002074</w:t>
            </w:r>
          </w:p>
        </w:tc>
      </w:tr>
      <w:tr w14:paraId="3EFFB0C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F1812B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991F29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150A2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32B4C9"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4E5537"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92802C8" w14:textId="77777777">
            <w:pPr>
              <w:widowControl/>
              <w:jc w:val="center"/>
              <w:rPr>
                <w:snapToGrid/>
                <w:color w:val="000000"/>
                <w:kern w:val="0"/>
                <w:szCs w:val="22"/>
              </w:rPr>
            </w:pPr>
            <w:r w:rsidRPr="00306B99">
              <w:rPr>
                <w:snapToGrid/>
                <w:color w:val="000000"/>
                <w:kern w:val="0"/>
                <w:szCs w:val="22"/>
              </w:rPr>
              <w:t>010719511002075</w:t>
            </w:r>
          </w:p>
        </w:tc>
      </w:tr>
      <w:tr w14:paraId="6805AAF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22CF736"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14D2A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3E2D44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F729D9"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0D332F"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D718B9B" w14:textId="77777777">
            <w:pPr>
              <w:widowControl/>
              <w:jc w:val="center"/>
              <w:rPr>
                <w:snapToGrid/>
                <w:color w:val="000000"/>
                <w:kern w:val="0"/>
                <w:szCs w:val="22"/>
              </w:rPr>
            </w:pPr>
            <w:r w:rsidRPr="00306B99">
              <w:rPr>
                <w:snapToGrid/>
                <w:color w:val="000000"/>
                <w:kern w:val="0"/>
                <w:szCs w:val="22"/>
              </w:rPr>
              <w:t>010719511002078</w:t>
            </w:r>
          </w:p>
        </w:tc>
      </w:tr>
      <w:tr w14:paraId="0146C71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C7D015A"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A9ACF1"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5C6BD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A1421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B70336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A71F812" w14:textId="77777777">
            <w:pPr>
              <w:widowControl/>
              <w:jc w:val="center"/>
              <w:rPr>
                <w:snapToGrid/>
                <w:color w:val="000000"/>
                <w:kern w:val="0"/>
                <w:szCs w:val="22"/>
              </w:rPr>
            </w:pPr>
            <w:r w:rsidRPr="00306B99">
              <w:rPr>
                <w:snapToGrid/>
                <w:color w:val="000000"/>
                <w:kern w:val="0"/>
                <w:szCs w:val="22"/>
              </w:rPr>
              <w:t>010719511002085</w:t>
            </w:r>
          </w:p>
        </w:tc>
      </w:tr>
      <w:tr w14:paraId="70DC738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34FD32F"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657D2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7F26A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FAE96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D8DD3F"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EACA901" w14:textId="77777777">
            <w:pPr>
              <w:widowControl/>
              <w:jc w:val="center"/>
              <w:rPr>
                <w:snapToGrid/>
                <w:color w:val="000000"/>
                <w:kern w:val="0"/>
                <w:szCs w:val="22"/>
              </w:rPr>
            </w:pPr>
            <w:r w:rsidRPr="00306B99">
              <w:rPr>
                <w:snapToGrid/>
                <w:color w:val="000000"/>
                <w:kern w:val="0"/>
                <w:szCs w:val="22"/>
              </w:rPr>
              <w:t>010719511002087</w:t>
            </w:r>
          </w:p>
        </w:tc>
      </w:tr>
      <w:tr w14:paraId="531FAE5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448550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F227A2"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5E75FF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5A941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EF7FF5"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00CB8F1" w14:textId="77777777">
            <w:pPr>
              <w:widowControl/>
              <w:jc w:val="center"/>
              <w:rPr>
                <w:snapToGrid/>
                <w:color w:val="000000"/>
                <w:kern w:val="0"/>
                <w:szCs w:val="22"/>
              </w:rPr>
            </w:pPr>
            <w:r w:rsidRPr="00306B99">
              <w:rPr>
                <w:snapToGrid/>
                <w:color w:val="000000"/>
                <w:kern w:val="0"/>
                <w:szCs w:val="22"/>
              </w:rPr>
              <w:t>010719511002088</w:t>
            </w:r>
          </w:p>
        </w:tc>
      </w:tr>
      <w:tr w14:paraId="5D27188B"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1705A0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3ACC9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C83F2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2AE513"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A2EF0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2B9CE2A" w14:textId="77777777">
            <w:pPr>
              <w:widowControl/>
              <w:jc w:val="center"/>
              <w:rPr>
                <w:snapToGrid/>
                <w:color w:val="000000"/>
                <w:kern w:val="0"/>
                <w:szCs w:val="22"/>
              </w:rPr>
            </w:pPr>
            <w:r w:rsidRPr="00306B99">
              <w:rPr>
                <w:snapToGrid/>
                <w:color w:val="000000"/>
                <w:kern w:val="0"/>
                <w:szCs w:val="22"/>
              </w:rPr>
              <w:t>010719511004016</w:t>
            </w:r>
          </w:p>
        </w:tc>
      </w:tr>
      <w:tr w14:paraId="4E2FF43C"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FE56CE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90B788"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DDCAC6"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0B8FD1F"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D37D61"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37DDA64" w14:textId="77777777">
            <w:pPr>
              <w:widowControl/>
              <w:jc w:val="center"/>
              <w:rPr>
                <w:snapToGrid/>
                <w:color w:val="000000"/>
                <w:kern w:val="0"/>
                <w:szCs w:val="22"/>
              </w:rPr>
            </w:pPr>
            <w:r w:rsidRPr="00306B99">
              <w:rPr>
                <w:snapToGrid/>
                <w:color w:val="000000"/>
                <w:kern w:val="0"/>
                <w:szCs w:val="22"/>
              </w:rPr>
              <w:t>010719511004017</w:t>
            </w:r>
          </w:p>
        </w:tc>
      </w:tr>
      <w:tr w14:paraId="109C706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0B98DB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97DAEB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5A4A681"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947EA7"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CB93B3"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3EE1B5B" w14:textId="77777777">
            <w:pPr>
              <w:widowControl/>
              <w:jc w:val="center"/>
              <w:rPr>
                <w:snapToGrid/>
                <w:color w:val="000000"/>
                <w:kern w:val="0"/>
                <w:szCs w:val="22"/>
              </w:rPr>
            </w:pPr>
            <w:r w:rsidRPr="00306B99">
              <w:rPr>
                <w:snapToGrid/>
                <w:color w:val="000000"/>
                <w:kern w:val="0"/>
                <w:szCs w:val="22"/>
              </w:rPr>
              <w:t>010719511004018</w:t>
            </w:r>
          </w:p>
        </w:tc>
      </w:tr>
      <w:tr w14:paraId="7C29D72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C906965"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2822F5"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D1CD9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CA2494"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EA171C"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48562BE" w14:textId="77777777">
            <w:pPr>
              <w:widowControl/>
              <w:jc w:val="center"/>
              <w:rPr>
                <w:snapToGrid/>
                <w:color w:val="000000"/>
                <w:kern w:val="0"/>
                <w:szCs w:val="22"/>
              </w:rPr>
            </w:pPr>
            <w:r w:rsidRPr="00306B99">
              <w:rPr>
                <w:snapToGrid/>
                <w:color w:val="000000"/>
                <w:kern w:val="0"/>
                <w:szCs w:val="22"/>
              </w:rPr>
              <w:t>010719511004019</w:t>
            </w:r>
          </w:p>
        </w:tc>
      </w:tr>
      <w:tr w14:paraId="4BD7C23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C2F1176"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BDBB1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BFA930"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CCA80FD"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C328A1"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CFA5D3E" w14:textId="77777777">
            <w:pPr>
              <w:widowControl/>
              <w:jc w:val="center"/>
              <w:rPr>
                <w:snapToGrid/>
                <w:color w:val="000000"/>
                <w:kern w:val="0"/>
                <w:szCs w:val="22"/>
              </w:rPr>
            </w:pPr>
            <w:r w:rsidRPr="00306B99">
              <w:rPr>
                <w:snapToGrid/>
                <w:color w:val="000000"/>
                <w:kern w:val="0"/>
                <w:szCs w:val="22"/>
              </w:rPr>
              <w:t>010719511004039</w:t>
            </w:r>
          </w:p>
        </w:tc>
      </w:tr>
      <w:tr w14:paraId="6521455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F4224F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9052E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C811A0"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58EE1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B275F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3656D5D" w14:textId="77777777">
            <w:pPr>
              <w:widowControl/>
              <w:jc w:val="center"/>
              <w:rPr>
                <w:snapToGrid/>
                <w:color w:val="000000"/>
                <w:kern w:val="0"/>
                <w:szCs w:val="22"/>
              </w:rPr>
            </w:pPr>
            <w:r w:rsidRPr="00306B99">
              <w:rPr>
                <w:snapToGrid/>
                <w:color w:val="000000"/>
                <w:kern w:val="0"/>
                <w:szCs w:val="22"/>
              </w:rPr>
              <w:t>010719511004046</w:t>
            </w:r>
          </w:p>
        </w:tc>
      </w:tr>
      <w:tr w14:paraId="3E2B879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86D785D"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AAF614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32A97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9B420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4192B7"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CA62D7A" w14:textId="77777777">
            <w:pPr>
              <w:widowControl/>
              <w:jc w:val="center"/>
              <w:rPr>
                <w:snapToGrid/>
                <w:color w:val="000000"/>
                <w:kern w:val="0"/>
                <w:szCs w:val="22"/>
              </w:rPr>
            </w:pPr>
            <w:r w:rsidRPr="00306B99">
              <w:rPr>
                <w:snapToGrid/>
                <w:color w:val="000000"/>
                <w:kern w:val="0"/>
                <w:szCs w:val="22"/>
              </w:rPr>
              <w:t>010719511004048</w:t>
            </w:r>
          </w:p>
        </w:tc>
      </w:tr>
      <w:tr w14:paraId="2E8E2BF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6FDD02D"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280EC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CC16F4"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9951B5"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1E02FAB"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091A5B0" w14:textId="77777777">
            <w:pPr>
              <w:widowControl/>
              <w:jc w:val="center"/>
              <w:rPr>
                <w:snapToGrid/>
                <w:color w:val="000000"/>
                <w:kern w:val="0"/>
                <w:szCs w:val="22"/>
              </w:rPr>
            </w:pPr>
            <w:r w:rsidRPr="00306B99">
              <w:rPr>
                <w:snapToGrid/>
                <w:color w:val="000000"/>
                <w:kern w:val="0"/>
                <w:szCs w:val="22"/>
              </w:rPr>
              <w:t>010719511004049</w:t>
            </w:r>
          </w:p>
        </w:tc>
      </w:tr>
      <w:tr w14:paraId="7E47E792"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F39E3E6"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AE8AC6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298CB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408C21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F09E1BC"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925E827" w14:textId="77777777">
            <w:pPr>
              <w:widowControl/>
              <w:jc w:val="center"/>
              <w:rPr>
                <w:snapToGrid/>
                <w:color w:val="000000"/>
                <w:kern w:val="0"/>
                <w:szCs w:val="22"/>
              </w:rPr>
            </w:pPr>
            <w:r w:rsidRPr="00306B99">
              <w:rPr>
                <w:snapToGrid/>
                <w:color w:val="000000"/>
                <w:kern w:val="0"/>
                <w:szCs w:val="22"/>
              </w:rPr>
              <w:t>010719511004050</w:t>
            </w:r>
          </w:p>
        </w:tc>
      </w:tr>
      <w:tr w14:paraId="1DEE2290"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78BD037"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BF915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379BC3"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5F438F"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EAF95D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1156C72" w14:textId="77777777">
            <w:pPr>
              <w:widowControl/>
              <w:jc w:val="center"/>
              <w:rPr>
                <w:snapToGrid/>
                <w:color w:val="000000"/>
                <w:kern w:val="0"/>
                <w:szCs w:val="22"/>
              </w:rPr>
            </w:pPr>
            <w:r w:rsidRPr="00306B99">
              <w:rPr>
                <w:snapToGrid/>
                <w:color w:val="000000"/>
                <w:kern w:val="0"/>
                <w:szCs w:val="22"/>
              </w:rPr>
              <w:t>010719511004053</w:t>
            </w:r>
          </w:p>
        </w:tc>
      </w:tr>
      <w:tr w14:paraId="543884A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3B0BD4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5A8498"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19D845A"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EB2EF7"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756B09"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A97FFAE" w14:textId="77777777">
            <w:pPr>
              <w:widowControl/>
              <w:jc w:val="center"/>
              <w:rPr>
                <w:snapToGrid/>
                <w:color w:val="000000"/>
                <w:kern w:val="0"/>
                <w:szCs w:val="22"/>
              </w:rPr>
            </w:pPr>
            <w:r w:rsidRPr="00306B99">
              <w:rPr>
                <w:snapToGrid/>
                <w:color w:val="000000"/>
                <w:kern w:val="0"/>
                <w:szCs w:val="22"/>
              </w:rPr>
              <w:t>010719511004054</w:t>
            </w:r>
          </w:p>
        </w:tc>
      </w:tr>
      <w:tr w14:paraId="413F14E7"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746280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7B60B2"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39950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174439"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A12343"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8D2922F" w14:textId="77777777">
            <w:pPr>
              <w:widowControl/>
              <w:jc w:val="center"/>
              <w:rPr>
                <w:snapToGrid/>
                <w:color w:val="000000"/>
                <w:kern w:val="0"/>
                <w:szCs w:val="22"/>
              </w:rPr>
            </w:pPr>
            <w:r w:rsidRPr="00306B99">
              <w:rPr>
                <w:snapToGrid/>
                <w:color w:val="000000"/>
                <w:kern w:val="0"/>
                <w:szCs w:val="22"/>
              </w:rPr>
              <w:t>010719511004057</w:t>
            </w:r>
          </w:p>
        </w:tc>
      </w:tr>
      <w:tr w14:paraId="2D08F4ED"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C11B74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B05AE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E9C60C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38AA3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E72BF1"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78D9139" w14:textId="77777777">
            <w:pPr>
              <w:widowControl/>
              <w:jc w:val="center"/>
              <w:rPr>
                <w:snapToGrid/>
                <w:color w:val="000000"/>
                <w:kern w:val="0"/>
                <w:szCs w:val="22"/>
              </w:rPr>
            </w:pPr>
            <w:r w:rsidRPr="00306B99">
              <w:rPr>
                <w:snapToGrid/>
                <w:color w:val="000000"/>
                <w:kern w:val="0"/>
                <w:szCs w:val="22"/>
              </w:rPr>
              <w:t>010719511004058</w:t>
            </w:r>
          </w:p>
        </w:tc>
      </w:tr>
      <w:tr w14:paraId="08B4C945"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BA8EAEF"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A49AD9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9445E0"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49970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342D5B"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4BCC3E9" w14:textId="77777777">
            <w:pPr>
              <w:widowControl/>
              <w:jc w:val="center"/>
              <w:rPr>
                <w:snapToGrid/>
                <w:color w:val="000000"/>
                <w:kern w:val="0"/>
                <w:szCs w:val="22"/>
              </w:rPr>
            </w:pPr>
            <w:r w:rsidRPr="00306B99">
              <w:rPr>
                <w:snapToGrid/>
                <w:color w:val="000000"/>
                <w:kern w:val="0"/>
                <w:szCs w:val="22"/>
              </w:rPr>
              <w:t>010719511004059</w:t>
            </w:r>
          </w:p>
        </w:tc>
      </w:tr>
      <w:tr w14:paraId="034F6AE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A9A06DA"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05A82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1164B1"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50C9C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5A5561"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E8A1B8B" w14:textId="77777777">
            <w:pPr>
              <w:widowControl/>
              <w:jc w:val="center"/>
              <w:rPr>
                <w:snapToGrid/>
                <w:color w:val="000000"/>
                <w:kern w:val="0"/>
                <w:szCs w:val="22"/>
              </w:rPr>
            </w:pPr>
            <w:r w:rsidRPr="00306B99">
              <w:rPr>
                <w:snapToGrid/>
                <w:color w:val="000000"/>
                <w:kern w:val="0"/>
                <w:szCs w:val="22"/>
              </w:rPr>
              <w:t>010719511004063</w:t>
            </w:r>
          </w:p>
        </w:tc>
      </w:tr>
      <w:tr w14:paraId="69F51AA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8C4FDBB"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46B24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32E367"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4ABF6E"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09ED713"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8ADADE5" w14:textId="77777777">
            <w:pPr>
              <w:widowControl/>
              <w:jc w:val="center"/>
              <w:rPr>
                <w:snapToGrid/>
                <w:color w:val="000000"/>
                <w:kern w:val="0"/>
                <w:szCs w:val="22"/>
              </w:rPr>
            </w:pPr>
            <w:r w:rsidRPr="00306B99">
              <w:rPr>
                <w:snapToGrid/>
                <w:color w:val="000000"/>
                <w:kern w:val="0"/>
                <w:szCs w:val="22"/>
              </w:rPr>
              <w:t>010719511004089</w:t>
            </w:r>
          </w:p>
        </w:tc>
      </w:tr>
      <w:tr w14:paraId="0F2CD07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B0C9CF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EF565A"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1D07643"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55D1B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5A359E"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7C7985D" w14:textId="77777777">
            <w:pPr>
              <w:widowControl/>
              <w:jc w:val="center"/>
              <w:rPr>
                <w:snapToGrid/>
                <w:color w:val="000000"/>
                <w:kern w:val="0"/>
                <w:szCs w:val="22"/>
              </w:rPr>
            </w:pPr>
            <w:r w:rsidRPr="00306B99">
              <w:rPr>
                <w:snapToGrid/>
                <w:color w:val="000000"/>
                <w:kern w:val="0"/>
                <w:szCs w:val="22"/>
              </w:rPr>
              <w:t>010719511004090</w:t>
            </w:r>
          </w:p>
        </w:tc>
      </w:tr>
      <w:tr w14:paraId="13F691F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5467DA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4E9B3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A5BEB6"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922043"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EC8382"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B7DCB8C" w14:textId="77777777">
            <w:pPr>
              <w:widowControl/>
              <w:jc w:val="center"/>
              <w:rPr>
                <w:snapToGrid/>
                <w:color w:val="000000"/>
                <w:kern w:val="0"/>
                <w:szCs w:val="22"/>
              </w:rPr>
            </w:pPr>
            <w:r w:rsidRPr="00306B99">
              <w:rPr>
                <w:snapToGrid/>
                <w:color w:val="000000"/>
                <w:kern w:val="0"/>
                <w:szCs w:val="22"/>
              </w:rPr>
              <w:t>010719511004093</w:t>
            </w:r>
          </w:p>
        </w:tc>
      </w:tr>
      <w:tr w14:paraId="6817AD9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54AEEA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B327EE"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0FC195"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824F17"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20F6A8" w14:textId="77777777">
            <w:pPr>
              <w:widowControl/>
              <w:rPr>
                <w:snapToGrid/>
                <w:color w:val="000000"/>
                <w:kern w:val="0"/>
                <w:szCs w:val="22"/>
              </w:rPr>
            </w:pPr>
            <w:r w:rsidRPr="00306B99">
              <w:rPr>
                <w:snapToGrid/>
                <w:color w:val="000000"/>
                <w:kern w:val="0"/>
                <w:szCs w:val="22"/>
              </w:rPr>
              <w:t>Jackson</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EA34194" w14:textId="77777777">
            <w:pPr>
              <w:widowControl/>
              <w:jc w:val="center"/>
              <w:rPr>
                <w:snapToGrid/>
                <w:color w:val="000000"/>
                <w:kern w:val="0"/>
                <w:szCs w:val="22"/>
              </w:rPr>
            </w:pPr>
            <w:r w:rsidRPr="00306B99">
              <w:rPr>
                <w:snapToGrid/>
                <w:color w:val="000000"/>
                <w:kern w:val="0"/>
                <w:szCs w:val="22"/>
              </w:rPr>
              <w:t>010719511004101</w:t>
            </w:r>
          </w:p>
        </w:tc>
      </w:tr>
      <w:tr w14:paraId="0626694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F6B9075"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C91DC75"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C3230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23E265"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B0F32A"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96D6E1F" w14:textId="77777777">
            <w:pPr>
              <w:widowControl/>
              <w:jc w:val="center"/>
              <w:rPr>
                <w:snapToGrid/>
                <w:color w:val="000000"/>
                <w:kern w:val="0"/>
                <w:szCs w:val="22"/>
              </w:rPr>
            </w:pPr>
            <w:r w:rsidRPr="00306B99">
              <w:rPr>
                <w:snapToGrid/>
                <w:color w:val="000000"/>
                <w:kern w:val="0"/>
                <w:szCs w:val="22"/>
              </w:rPr>
              <w:t>010950301001001</w:t>
            </w:r>
          </w:p>
        </w:tc>
      </w:tr>
      <w:tr w14:paraId="1C8E14B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AA10C8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6B559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3BE551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7D272A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F842ADB"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C6CFF62" w14:textId="77777777">
            <w:pPr>
              <w:widowControl/>
              <w:jc w:val="center"/>
              <w:rPr>
                <w:snapToGrid/>
                <w:color w:val="000000"/>
                <w:kern w:val="0"/>
                <w:szCs w:val="22"/>
              </w:rPr>
            </w:pPr>
            <w:r w:rsidRPr="00306B99">
              <w:rPr>
                <w:snapToGrid/>
                <w:color w:val="000000"/>
                <w:kern w:val="0"/>
                <w:szCs w:val="22"/>
              </w:rPr>
              <w:t>010950301001003</w:t>
            </w:r>
          </w:p>
        </w:tc>
      </w:tr>
      <w:tr w14:paraId="7067910D"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1BC85B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862BF4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F50118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BD5DF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CB3C4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3D43E52" w14:textId="77777777">
            <w:pPr>
              <w:widowControl/>
              <w:jc w:val="center"/>
              <w:rPr>
                <w:snapToGrid/>
                <w:color w:val="000000"/>
                <w:kern w:val="0"/>
                <w:szCs w:val="22"/>
              </w:rPr>
            </w:pPr>
            <w:r w:rsidRPr="00306B99">
              <w:rPr>
                <w:snapToGrid/>
                <w:color w:val="000000"/>
                <w:kern w:val="0"/>
                <w:szCs w:val="22"/>
              </w:rPr>
              <w:t>010950301001004</w:t>
            </w:r>
          </w:p>
        </w:tc>
      </w:tr>
      <w:tr w14:paraId="0E00BDB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0348194"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95BED4D"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AB50F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4E74E5"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E72225"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715E50C" w14:textId="77777777">
            <w:pPr>
              <w:widowControl/>
              <w:jc w:val="center"/>
              <w:rPr>
                <w:snapToGrid/>
                <w:color w:val="000000"/>
                <w:kern w:val="0"/>
                <w:szCs w:val="22"/>
              </w:rPr>
            </w:pPr>
            <w:r w:rsidRPr="00306B99">
              <w:rPr>
                <w:snapToGrid/>
                <w:color w:val="000000"/>
                <w:kern w:val="0"/>
                <w:szCs w:val="22"/>
              </w:rPr>
              <w:t>010950301001008</w:t>
            </w:r>
          </w:p>
        </w:tc>
      </w:tr>
      <w:tr w14:paraId="5618E7BC"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D7B3D2B"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E68818"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FFC2A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DB7AE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05C709"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2B147B6" w14:textId="77777777">
            <w:pPr>
              <w:widowControl/>
              <w:jc w:val="center"/>
              <w:rPr>
                <w:snapToGrid/>
                <w:color w:val="000000"/>
                <w:kern w:val="0"/>
                <w:szCs w:val="22"/>
              </w:rPr>
            </w:pPr>
            <w:r w:rsidRPr="00306B99">
              <w:rPr>
                <w:snapToGrid/>
                <w:color w:val="000000"/>
                <w:kern w:val="0"/>
                <w:szCs w:val="22"/>
              </w:rPr>
              <w:t>010950301001009</w:t>
            </w:r>
          </w:p>
        </w:tc>
      </w:tr>
      <w:tr w14:paraId="503D723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47F073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45973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0C7BE1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D4B51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346F21"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697FFCF" w14:textId="77777777">
            <w:pPr>
              <w:widowControl/>
              <w:jc w:val="center"/>
              <w:rPr>
                <w:snapToGrid/>
                <w:color w:val="000000"/>
                <w:kern w:val="0"/>
                <w:szCs w:val="22"/>
              </w:rPr>
            </w:pPr>
            <w:r w:rsidRPr="00306B99">
              <w:rPr>
                <w:snapToGrid/>
                <w:color w:val="000000"/>
                <w:kern w:val="0"/>
                <w:szCs w:val="22"/>
              </w:rPr>
              <w:t>010950301001010</w:t>
            </w:r>
          </w:p>
        </w:tc>
      </w:tr>
      <w:tr w14:paraId="2B31677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0540697"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8DC1C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3507B03"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8BFC0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4F8B02"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0947AA3" w14:textId="77777777">
            <w:pPr>
              <w:widowControl/>
              <w:jc w:val="center"/>
              <w:rPr>
                <w:snapToGrid/>
                <w:color w:val="000000"/>
                <w:kern w:val="0"/>
                <w:szCs w:val="22"/>
              </w:rPr>
            </w:pPr>
            <w:r w:rsidRPr="00306B99">
              <w:rPr>
                <w:snapToGrid/>
                <w:color w:val="000000"/>
                <w:kern w:val="0"/>
                <w:szCs w:val="22"/>
              </w:rPr>
              <w:t>010950301001011</w:t>
            </w:r>
          </w:p>
        </w:tc>
      </w:tr>
      <w:tr w14:paraId="5DB3E275"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15A9560"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213B4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EAC2A5"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39F6D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BFEAE7"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4A3745D" w14:textId="77777777">
            <w:pPr>
              <w:widowControl/>
              <w:jc w:val="center"/>
              <w:rPr>
                <w:snapToGrid/>
                <w:color w:val="000000"/>
                <w:kern w:val="0"/>
                <w:szCs w:val="22"/>
              </w:rPr>
            </w:pPr>
            <w:r w:rsidRPr="00306B99">
              <w:rPr>
                <w:snapToGrid/>
                <w:color w:val="000000"/>
                <w:kern w:val="0"/>
                <w:szCs w:val="22"/>
              </w:rPr>
              <w:t>010950301001012</w:t>
            </w:r>
          </w:p>
        </w:tc>
      </w:tr>
      <w:tr w14:paraId="5333B63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9039811"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ED9DC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BCB3184"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37546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EAE60F1"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2C9CFBF" w14:textId="77777777">
            <w:pPr>
              <w:widowControl/>
              <w:jc w:val="center"/>
              <w:rPr>
                <w:snapToGrid/>
                <w:color w:val="000000"/>
                <w:kern w:val="0"/>
                <w:szCs w:val="22"/>
              </w:rPr>
            </w:pPr>
            <w:r w:rsidRPr="00306B99">
              <w:rPr>
                <w:snapToGrid/>
                <w:color w:val="000000"/>
                <w:kern w:val="0"/>
                <w:szCs w:val="22"/>
              </w:rPr>
              <w:t>010950301001014</w:t>
            </w:r>
          </w:p>
        </w:tc>
      </w:tr>
      <w:tr w14:paraId="79FC392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1E14D8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689BDF"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3093B4"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9F3B2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AC398E"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A28CAE3" w14:textId="77777777">
            <w:pPr>
              <w:widowControl/>
              <w:jc w:val="center"/>
              <w:rPr>
                <w:snapToGrid/>
                <w:color w:val="000000"/>
                <w:kern w:val="0"/>
                <w:szCs w:val="22"/>
              </w:rPr>
            </w:pPr>
            <w:r w:rsidRPr="00306B99">
              <w:rPr>
                <w:snapToGrid/>
                <w:color w:val="000000"/>
                <w:kern w:val="0"/>
                <w:szCs w:val="22"/>
              </w:rPr>
              <w:t>010950301001017</w:t>
            </w:r>
          </w:p>
        </w:tc>
      </w:tr>
      <w:tr w14:paraId="4CA73D6C"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C2AAE4B"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6D549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5289B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7AAE5D"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380010D"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0B50C57" w14:textId="77777777">
            <w:pPr>
              <w:widowControl/>
              <w:jc w:val="center"/>
              <w:rPr>
                <w:snapToGrid/>
                <w:color w:val="000000"/>
                <w:kern w:val="0"/>
                <w:szCs w:val="22"/>
              </w:rPr>
            </w:pPr>
            <w:r w:rsidRPr="00306B99">
              <w:rPr>
                <w:snapToGrid/>
                <w:color w:val="000000"/>
                <w:kern w:val="0"/>
                <w:szCs w:val="22"/>
              </w:rPr>
              <w:t>010950301001019</w:t>
            </w:r>
          </w:p>
        </w:tc>
      </w:tr>
      <w:tr w14:paraId="53E1A30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6EC2D94"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D9D5C55"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EC135A"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AF41E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7F3AF2"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D050019" w14:textId="77777777">
            <w:pPr>
              <w:widowControl/>
              <w:jc w:val="center"/>
              <w:rPr>
                <w:snapToGrid/>
                <w:color w:val="000000"/>
                <w:kern w:val="0"/>
                <w:szCs w:val="22"/>
              </w:rPr>
            </w:pPr>
            <w:r w:rsidRPr="00306B99">
              <w:rPr>
                <w:snapToGrid/>
                <w:color w:val="000000"/>
                <w:kern w:val="0"/>
                <w:szCs w:val="22"/>
              </w:rPr>
              <w:t>010950301001020</w:t>
            </w:r>
          </w:p>
        </w:tc>
      </w:tr>
      <w:tr w14:paraId="30E6BD6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23875F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11B16A"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CFE396"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5AAE3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D91FDC"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3A80C26" w14:textId="77777777">
            <w:pPr>
              <w:widowControl/>
              <w:jc w:val="center"/>
              <w:rPr>
                <w:snapToGrid/>
                <w:color w:val="000000"/>
                <w:kern w:val="0"/>
                <w:szCs w:val="22"/>
              </w:rPr>
            </w:pPr>
            <w:r w:rsidRPr="00306B99">
              <w:rPr>
                <w:snapToGrid/>
                <w:color w:val="000000"/>
                <w:kern w:val="0"/>
                <w:szCs w:val="22"/>
              </w:rPr>
              <w:t>010950301001023</w:t>
            </w:r>
          </w:p>
        </w:tc>
      </w:tr>
      <w:tr w14:paraId="7F54204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EFC3F8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1EF41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86F777"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D0534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182D88"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997603F" w14:textId="77777777">
            <w:pPr>
              <w:widowControl/>
              <w:jc w:val="center"/>
              <w:rPr>
                <w:snapToGrid/>
                <w:color w:val="000000"/>
                <w:kern w:val="0"/>
                <w:szCs w:val="22"/>
              </w:rPr>
            </w:pPr>
            <w:r w:rsidRPr="00306B99">
              <w:rPr>
                <w:snapToGrid/>
                <w:color w:val="000000"/>
                <w:kern w:val="0"/>
                <w:szCs w:val="22"/>
              </w:rPr>
              <w:t>010950301001026</w:t>
            </w:r>
          </w:p>
        </w:tc>
      </w:tr>
      <w:tr w14:paraId="72EA7342"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9686538"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4FFEC3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14B4E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A6D802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5DA1769"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AC0D650" w14:textId="77777777">
            <w:pPr>
              <w:widowControl/>
              <w:jc w:val="center"/>
              <w:rPr>
                <w:snapToGrid/>
                <w:color w:val="000000"/>
                <w:kern w:val="0"/>
                <w:szCs w:val="22"/>
              </w:rPr>
            </w:pPr>
            <w:r w:rsidRPr="00306B99">
              <w:rPr>
                <w:snapToGrid/>
                <w:color w:val="000000"/>
                <w:kern w:val="0"/>
                <w:szCs w:val="22"/>
              </w:rPr>
              <w:t>010950301001028</w:t>
            </w:r>
          </w:p>
        </w:tc>
      </w:tr>
      <w:tr w14:paraId="3F89A5C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7548DA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1CB486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A5D0F1"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4D7D7F"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D46A12"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4F614D3" w14:textId="77777777">
            <w:pPr>
              <w:widowControl/>
              <w:jc w:val="center"/>
              <w:rPr>
                <w:snapToGrid/>
                <w:color w:val="000000"/>
                <w:kern w:val="0"/>
                <w:szCs w:val="22"/>
              </w:rPr>
            </w:pPr>
            <w:r w:rsidRPr="00306B99">
              <w:rPr>
                <w:snapToGrid/>
                <w:color w:val="000000"/>
                <w:kern w:val="0"/>
                <w:szCs w:val="22"/>
              </w:rPr>
              <w:t>010950301001036</w:t>
            </w:r>
          </w:p>
        </w:tc>
      </w:tr>
      <w:tr w14:paraId="2A262A3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EAA06A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CD3CEE"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A76CA0"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FEFAD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E9ACDF"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F99CBA4" w14:textId="77777777">
            <w:pPr>
              <w:widowControl/>
              <w:jc w:val="center"/>
              <w:rPr>
                <w:snapToGrid/>
                <w:color w:val="000000"/>
                <w:kern w:val="0"/>
                <w:szCs w:val="22"/>
              </w:rPr>
            </w:pPr>
            <w:r w:rsidRPr="00306B99">
              <w:rPr>
                <w:snapToGrid/>
                <w:color w:val="000000"/>
                <w:kern w:val="0"/>
                <w:szCs w:val="22"/>
              </w:rPr>
              <w:t>010950301001045</w:t>
            </w:r>
          </w:p>
        </w:tc>
      </w:tr>
      <w:tr w14:paraId="6E83204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52F7A4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9736D0E"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C2B9BC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005395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37613C8"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3E18A4B" w14:textId="77777777">
            <w:pPr>
              <w:widowControl/>
              <w:jc w:val="center"/>
              <w:rPr>
                <w:snapToGrid/>
                <w:color w:val="000000"/>
                <w:kern w:val="0"/>
                <w:szCs w:val="22"/>
              </w:rPr>
            </w:pPr>
            <w:r w:rsidRPr="00306B99">
              <w:rPr>
                <w:snapToGrid/>
                <w:color w:val="000000"/>
                <w:kern w:val="0"/>
                <w:szCs w:val="22"/>
              </w:rPr>
              <w:t>010950301001051</w:t>
            </w:r>
          </w:p>
        </w:tc>
      </w:tr>
      <w:tr w14:paraId="3C0BF3F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77A5D7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60B36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CFB5C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F7DB69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D18448"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4CCB36C" w14:textId="77777777">
            <w:pPr>
              <w:widowControl/>
              <w:jc w:val="center"/>
              <w:rPr>
                <w:snapToGrid/>
                <w:color w:val="000000"/>
                <w:kern w:val="0"/>
                <w:szCs w:val="22"/>
              </w:rPr>
            </w:pPr>
            <w:r w:rsidRPr="00306B99">
              <w:rPr>
                <w:snapToGrid/>
                <w:color w:val="000000"/>
                <w:kern w:val="0"/>
                <w:szCs w:val="22"/>
              </w:rPr>
              <w:t>010950301001052</w:t>
            </w:r>
          </w:p>
        </w:tc>
      </w:tr>
      <w:tr w14:paraId="206D0DCE"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19B8B1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3315C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D7E7E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E997D7"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72C8AF"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889902F" w14:textId="77777777">
            <w:pPr>
              <w:widowControl/>
              <w:jc w:val="center"/>
              <w:rPr>
                <w:snapToGrid/>
                <w:color w:val="000000"/>
                <w:kern w:val="0"/>
                <w:szCs w:val="22"/>
              </w:rPr>
            </w:pPr>
            <w:r w:rsidRPr="00306B99">
              <w:rPr>
                <w:snapToGrid/>
                <w:color w:val="000000"/>
                <w:kern w:val="0"/>
                <w:szCs w:val="22"/>
              </w:rPr>
              <w:t>010950301001053</w:t>
            </w:r>
          </w:p>
        </w:tc>
      </w:tr>
      <w:tr w14:paraId="41F2F57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2B7612F"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0180C0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91158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9F2F295"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85111E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928813E" w14:textId="77777777">
            <w:pPr>
              <w:widowControl/>
              <w:jc w:val="center"/>
              <w:rPr>
                <w:snapToGrid/>
                <w:color w:val="000000"/>
                <w:kern w:val="0"/>
                <w:szCs w:val="22"/>
              </w:rPr>
            </w:pPr>
            <w:r w:rsidRPr="00306B99">
              <w:rPr>
                <w:snapToGrid/>
                <w:color w:val="000000"/>
                <w:kern w:val="0"/>
                <w:szCs w:val="22"/>
              </w:rPr>
              <w:t>010950301001054</w:t>
            </w:r>
          </w:p>
        </w:tc>
      </w:tr>
      <w:tr w14:paraId="350E966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0BF1306"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D49834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3E1A2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17F12F4"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06F5FA"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D1761C4" w14:textId="77777777">
            <w:pPr>
              <w:widowControl/>
              <w:jc w:val="center"/>
              <w:rPr>
                <w:snapToGrid/>
                <w:color w:val="000000"/>
                <w:kern w:val="0"/>
                <w:szCs w:val="22"/>
              </w:rPr>
            </w:pPr>
            <w:r w:rsidRPr="00306B99">
              <w:rPr>
                <w:snapToGrid/>
                <w:color w:val="000000"/>
                <w:kern w:val="0"/>
                <w:szCs w:val="22"/>
              </w:rPr>
              <w:t>010950301001055</w:t>
            </w:r>
          </w:p>
        </w:tc>
      </w:tr>
      <w:tr w14:paraId="1895D03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BAD1DE1"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B5FEB27"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CCE34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438DA4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41B1024"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D4704F4" w14:textId="77777777">
            <w:pPr>
              <w:widowControl/>
              <w:jc w:val="center"/>
              <w:rPr>
                <w:snapToGrid/>
                <w:color w:val="000000"/>
                <w:kern w:val="0"/>
                <w:szCs w:val="22"/>
              </w:rPr>
            </w:pPr>
            <w:r w:rsidRPr="00306B99">
              <w:rPr>
                <w:snapToGrid/>
                <w:color w:val="000000"/>
                <w:kern w:val="0"/>
                <w:szCs w:val="22"/>
              </w:rPr>
              <w:t>010950301001056</w:t>
            </w:r>
          </w:p>
        </w:tc>
      </w:tr>
      <w:tr w14:paraId="58C10B1B"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662BEED"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543733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A8257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B2960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3198A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7BA14EA" w14:textId="77777777">
            <w:pPr>
              <w:widowControl/>
              <w:jc w:val="center"/>
              <w:rPr>
                <w:snapToGrid/>
                <w:color w:val="000000"/>
                <w:kern w:val="0"/>
                <w:szCs w:val="22"/>
              </w:rPr>
            </w:pPr>
            <w:r w:rsidRPr="00306B99">
              <w:rPr>
                <w:snapToGrid/>
                <w:color w:val="000000"/>
                <w:kern w:val="0"/>
                <w:szCs w:val="22"/>
              </w:rPr>
              <w:t>010950301001058</w:t>
            </w:r>
          </w:p>
        </w:tc>
      </w:tr>
      <w:tr w14:paraId="0924B6FD"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0D3EA32"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CCC3C68"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2363D1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5D39D5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46D1BD"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1E92B09" w14:textId="77777777">
            <w:pPr>
              <w:widowControl/>
              <w:jc w:val="center"/>
              <w:rPr>
                <w:snapToGrid/>
                <w:color w:val="000000"/>
                <w:kern w:val="0"/>
                <w:szCs w:val="22"/>
              </w:rPr>
            </w:pPr>
            <w:r w:rsidRPr="00306B99">
              <w:rPr>
                <w:snapToGrid/>
                <w:color w:val="000000"/>
                <w:kern w:val="0"/>
                <w:szCs w:val="22"/>
              </w:rPr>
              <w:t>010950301001059</w:t>
            </w:r>
          </w:p>
        </w:tc>
      </w:tr>
      <w:tr w14:paraId="5CA1878A"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08CBCA8"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22E7471"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35CCC0"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FC8FF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2C6CCB"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8569510" w14:textId="77777777">
            <w:pPr>
              <w:widowControl/>
              <w:jc w:val="center"/>
              <w:rPr>
                <w:snapToGrid/>
                <w:color w:val="000000"/>
                <w:kern w:val="0"/>
                <w:szCs w:val="22"/>
              </w:rPr>
            </w:pPr>
            <w:r w:rsidRPr="00306B99">
              <w:rPr>
                <w:snapToGrid/>
                <w:color w:val="000000"/>
                <w:kern w:val="0"/>
                <w:szCs w:val="22"/>
              </w:rPr>
              <w:t>010950301001062</w:t>
            </w:r>
          </w:p>
        </w:tc>
      </w:tr>
      <w:tr w14:paraId="7F48373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BD99538"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53E684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32301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E6C088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190B80F"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7F1B8B8" w14:textId="77777777">
            <w:pPr>
              <w:widowControl/>
              <w:jc w:val="center"/>
              <w:rPr>
                <w:snapToGrid/>
                <w:color w:val="000000"/>
                <w:kern w:val="0"/>
                <w:szCs w:val="22"/>
              </w:rPr>
            </w:pPr>
            <w:r w:rsidRPr="00306B99">
              <w:rPr>
                <w:snapToGrid/>
                <w:color w:val="000000"/>
                <w:kern w:val="0"/>
                <w:szCs w:val="22"/>
              </w:rPr>
              <w:t>010950301001063</w:t>
            </w:r>
          </w:p>
        </w:tc>
      </w:tr>
      <w:tr w14:paraId="20AE93C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07A6208"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20F7525"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0DD4A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BA4A838"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6D64F1A"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6A55B5B" w14:textId="77777777">
            <w:pPr>
              <w:widowControl/>
              <w:jc w:val="center"/>
              <w:rPr>
                <w:snapToGrid/>
                <w:color w:val="000000"/>
                <w:kern w:val="0"/>
                <w:szCs w:val="22"/>
              </w:rPr>
            </w:pPr>
            <w:r w:rsidRPr="00306B99">
              <w:rPr>
                <w:snapToGrid/>
                <w:color w:val="000000"/>
                <w:kern w:val="0"/>
                <w:szCs w:val="22"/>
              </w:rPr>
              <w:t>010950301001064</w:t>
            </w:r>
          </w:p>
        </w:tc>
      </w:tr>
      <w:tr w14:paraId="7B27DE7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4679AA5"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5A4A0FA"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C08C6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0D6654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F8B1FA"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ED0CBD2" w14:textId="77777777">
            <w:pPr>
              <w:widowControl/>
              <w:jc w:val="center"/>
              <w:rPr>
                <w:snapToGrid/>
                <w:color w:val="000000"/>
                <w:kern w:val="0"/>
                <w:szCs w:val="22"/>
              </w:rPr>
            </w:pPr>
            <w:r w:rsidRPr="00306B99">
              <w:rPr>
                <w:snapToGrid/>
                <w:color w:val="000000"/>
                <w:kern w:val="0"/>
                <w:szCs w:val="22"/>
              </w:rPr>
              <w:t>010950301001066</w:t>
            </w:r>
          </w:p>
        </w:tc>
      </w:tr>
      <w:tr w14:paraId="087B921E"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38EC816"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9EBED8"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00C4FE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362AFF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C06003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D42D894" w14:textId="77777777">
            <w:pPr>
              <w:widowControl/>
              <w:jc w:val="center"/>
              <w:rPr>
                <w:snapToGrid/>
                <w:color w:val="000000"/>
                <w:kern w:val="0"/>
                <w:szCs w:val="22"/>
              </w:rPr>
            </w:pPr>
            <w:r w:rsidRPr="00306B99">
              <w:rPr>
                <w:snapToGrid/>
                <w:color w:val="000000"/>
                <w:kern w:val="0"/>
                <w:szCs w:val="22"/>
              </w:rPr>
              <w:t>010950301001068</w:t>
            </w:r>
          </w:p>
        </w:tc>
      </w:tr>
      <w:tr w14:paraId="2B3EB24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7A12F31"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9C174F"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837077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22745C9"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AD2821"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8E95A6B" w14:textId="77777777">
            <w:pPr>
              <w:widowControl/>
              <w:jc w:val="center"/>
              <w:rPr>
                <w:snapToGrid/>
                <w:color w:val="000000"/>
                <w:kern w:val="0"/>
                <w:szCs w:val="22"/>
              </w:rPr>
            </w:pPr>
            <w:r w:rsidRPr="00306B99">
              <w:rPr>
                <w:snapToGrid/>
                <w:color w:val="000000"/>
                <w:kern w:val="0"/>
                <w:szCs w:val="22"/>
              </w:rPr>
              <w:t>010950301001070</w:t>
            </w:r>
          </w:p>
        </w:tc>
      </w:tr>
      <w:tr w14:paraId="7E4FDB4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F4B48D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636D054"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FE2E70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EC5E07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8403447"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22270D9" w14:textId="77777777">
            <w:pPr>
              <w:widowControl/>
              <w:jc w:val="center"/>
              <w:rPr>
                <w:snapToGrid/>
                <w:color w:val="000000"/>
                <w:kern w:val="0"/>
                <w:szCs w:val="22"/>
              </w:rPr>
            </w:pPr>
            <w:r w:rsidRPr="00306B99">
              <w:rPr>
                <w:snapToGrid/>
                <w:color w:val="000000"/>
                <w:kern w:val="0"/>
                <w:szCs w:val="22"/>
              </w:rPr>
              <w:t>010950301001073</w:t>
            </w:r>
          </w:p>
        </w:tc>
      </w:tr>
      <w:tr w14:paraId="4AA833DB"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89BC6E0"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B29640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DEE520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ACDC477"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2F6CE9D"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1613E84" w14:textId="77777777">
            <w:pPr>
              <w:widowControl/>
              <w:jc w:val="center"/>
              <w:rPr>
                <w:snapToGrid/>
                <w:color w:val="000000"/>
                <w:kern w:val="0"/>
                <w:szCs w:val="22"/>
              </w:rPr>
            </w:pPr>
            <w:r w:rsidRPr="00306B99">
              <w:rPr>
                <w:snapToGrid/>
                <w:color w:val="000000"/>
                <w:kern w:val="0"/>
                <w:szCs w:val="22"/>
              </w:rPr>
              <w:t>010950301001074</w:t>
            </w:r>
          </w:p>
        </w:tc>
      </w:tr>
      <w:tr w14:paraId="7B5ED6AD"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1DA339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FA42A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DDC0B37"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DA6EAD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8BF3E1"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F17B3EF" w14:textId="77777777">
            <w:pPr>
              <w:widowControl/>
              <w:jc w:val="center"/>
              <w:rPr>
                <w:snapToGrid/>
                <w:color w:val="000000"/>
                <w:kern w:val="0"/>
                <w:szCs w:val="22"/>
              </w:rPr>
            </w:pPr>
            <w:r w:rsidRPr="00306B99">
              <w:rPr>
                <w:snapToGrid/>
                <w:color w:val="000000"/>
                <w:kern w:val="0"/>
                <w:szCs w:val="22"/>
              </w:rPr>
              <w:t>010950301001077</w:t>
            </w:r>
          </w:p>
        </w:tc>
      </w:tr>
      <w:tr w14:paraId="43C57A3F"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05E989F"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811C34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C7D91D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851214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B7571FC"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3A2B34D" w14:textId="77777777">
            <w:pPr>
              <w:widowControl/>
              <w:jc w:val="center"/>
              <w:rPr>
                <w:snapToGrid/>
                <w:color w:val="000000"/>
                <w:kern w:val="0"/>
                <w:szCs w:val="22"/>
              </w:rPr>
            </w:pPr>
            <w:r w:rsidRPr="00306B99">
              <w:rPr>
                <w:snapToGrid/>
                <w:color w:val="000000"/>
                <w:kern w:val="0"/>
                <w:szCs w:val="22"/>
              </w:rPr>
              <w:t>010950301001078</w:t>
            </w:r>
          </w:p>
        </w:tc>
      </w:tr>
      <w:tr w14:paraId="6ECCE6A6"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9EFA4AC"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98D0F89"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399C553"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33D0B9"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DB45AA"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20C595C" w14:textId="77777777">
            <w:pPr>
              <w:widowControl/>
              <w:jc w:val="center"/>
              <w:rPr>
                <w:snapToGrid/>
                <w:color w:val="000000"/>
                <w:kern w:val="0"/>
                <w:szCs w:val="22"/>
              </w:rPr>
            </w:pPr>
            <w:r w:rsidRPr="00306B99">
              <w:rPr>
                <w:snapToGrid/>
                <w:color w:val="000000"/>
                <w:kern w:val="0"/>
                <w:szCs w:val="22"/>
              </w:rPr>
              <w:t>010950301001079</w:t>
            </w:r>
          </w:p>
        </w:tc>
      </w:tr>
      <w:tr w14:paraId="75785E4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45B97267"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66BC3F"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E50AD21"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0EA8B9"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6BA3F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D7DFDA4" w14:textId="77777777">
            <w:pPr>
              <w:widowControl/>
              <w:jc w:val="center"/>
              <w:rPr>
                <w:snapToGrid/>
                <w:color w:val="000000"/>
                <w:kern w:val="0"/>
                <w:szCs w:val="22"/>
              </w:rPr>
            </w:pPr>
            <w:r w:rsidRPr="00306B99">
              <w:rPr>
                <w:snapToGrid/>
                <w:color w:val="000000"/>
                <w:kern w:val="0"/>
                <w:szCs w:val="22"/>
              </w:rPr>
              <w:t>010950301001080</w:t>
            </w:r>
          </w:p>
        </w:tc>
      </w:tr>
      <w:tr w14:paraId="09CE7905"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5C5EAF7"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4D3D47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8B48DA"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376A8B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A324B72"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16851049" w14:textId="77777777">
            <w:pPr>
              <w:widowControl/>
              <w:jc w:val="center"/>
              <w:rPr>
                <w:snapToGrid/>
                <w:color w:val="000000"/>
                <w:kern w:val="0"/>
                <w:szCs w:val="22"/>
              </w:rPr>
            </w:pPr>
            <w:r w:rsidRPr="00306B99">
              <w:rPr>
                <w:snapToGrid/>
                <w:color w:val="000000"/>
                <w:kern w:val="0"/>
                <w:szCs w:val="22"/>
              </w:rPr>
              <w:t>010950301001082</w:t>
            </w:r>
          </w:p>
        </w:tc>
      </w:tr>
      <w:tr w14:paraId="5945A42C"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10566A5"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73F99C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DFAB52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04F89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7C21ED0"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24D680" w14:textId="77777777">
            <w:pPr>
              <w:widowControl/>
              <w:jc w:val="center"/>
              <w:rPr>
                <w:snapToGrid/>
                <w:color w:val="000000"/>
                <w:kern w:val="0"/>
                <w:szCs w:val="22"/>
              </w:rPr>
            </w:pPr>
            <w:r w:rsidRPr="00306B99">
              <w:rPr>
                <w:snapToGrid/>
                <w:color w:val="000000"/>
                <w:kern w:val="0"/>
                <w:szCs w:val="22"/>
              </w:rPr>
              <w:t>010950301001084</w:t>
            </w:r>
          </w:p>
        </w:tc>
      </w:tr>
      <w:tr w14:paraId="1B72469C"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FB80440"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187E40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4436D6"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4F89C76"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974A3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706D04F" w14:textId="77777777">
            <w:pPr>
              <w:widowControl/>
              <w:jc w:val="center"/>
              <w:rPr>
                <w:snapToGrid/>
                <w:color w:val="000000"/>
                <w:kern w:val="0"/>
                <w:szCs w:val="22"/>
              </w:rPr>
            </w:pPr>
            <w:r w:rsidRPr="00306B99">
              <w:rPr>
                <w:snapToGrid/>
                <w:color w:val="000000"/>
                <w:kern w:val="0"/>
                <w:szCs w:val="22"/>
              </w:rPr>
              <w:t>010950301001086</w:t>
            </w:r>
          </w:p>
        </w:tc>
      </w:tr>
      <w:tr w14:paraId="7E7C15C6"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A0B9555"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96C9C5E"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6B7AEB8"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FB6AA53"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DB1180D"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DF4AC21" w14:textId="77777777">
            <w:pPr>
              <w:widowControl/>
              <w:jc w:val="center"/>
              <w:rPr>
                <w:snapToGrid/>
                <w:color w:val="000000"/>
                <w:kern w:val="0"/>
                <w:szCs w:val="22"/>
              </w:rPr>
            </w:pPr>
            <w:r w:rsidRPr="00306B99">
              <w:rPr>
                <w:snapToGrid/>
                <w:color w:val="000000"/>
                <w:kern w:val="0"/>
                <w:szCs w:val="22"/>
              </w:rPr>
              <w:t>010950301001091</w:t>
            </w:r>
          </w:p>
        </w:tc>
      </w:tr>
      <w:tr w14:paraId="095F7648"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795C381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E0278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58BB1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0EF7F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B4A993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7E4A375" w14:textId="77777777">
            <w:pPr>
              <w:widowControl/>
              <w:jc w:val="center"/>
              <w:rPr>
                <w:snapToGrid/>
                <w:color w:val="000000"/>
                <w:kern w:val="0"/>
                <w:szCs w:val="22"/>
              </w:rPr>
            </w:pPr>
            <w:r w:rsidRPr="00306B99">
              <w:rPr>
                <w:snapToGrid/>
                <w:color w:val="000000"/>
                <w:kern w:val="0"/>
                <w:szCs w:val="22"/>
              </w:rPr>
              <w:t>010950301001092</w:t>
            </w:r>
          </w:p>
        </w:tc>
      </w:tr>
      <w:tr w14:paraId="2A71C9B0"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E49532B"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08562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DD5B6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7092EDA"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6573B42"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B89398F" w14:textId="77777777">
            <w:pPr>
              <w:widowControl/>
              <w:jc w:val="center"/>
              <w:rPr>
                <w:snapToGrid/>
                <w:color w:val="000000"/>
                <w:kern w:val="0"/>
                <w:szCs w:val="22"/>
              </w:rPr>
            </w:pPr>
            <w:r w:rsidRPr="00306B99">
              <w:rPr>
                <w:snapToGrid/>
                <w:color w:val="000000"/>
                <w:kern w:val="0"/>
                <w:szCs w:val="22"/>
              </w:rPr>
              <w:t>010950301001095</w:t>
            </w:r>
          </w:p>
        </w:tc>
      </w:tr>
      <w:tr w14:paraId="4989926B"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6A533B41"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15100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1155142"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DB33F4"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6515D3"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5602EEA2" w14:textId="77777777">
            <w:pPr>
              <w:widowControl/>
              <w:jc w:val="center"/>
              <w:rPr>
                <w:snapToGrid/>
                <w:color w:val="000000"/>
                <w:kern w:val="0"/>
                <w:szCs w:val="22"/>
              </w:rPr>
            </w:pPr>
            <w:r w:rsidRPr="00306B99">
              <w:rPr>
                <w:snapToGrid/>
                <w:color w:val="000000"/>
                <w:kern w:val="0"/>
                <w:szCs w:val="22"/>
              </w:rPr>
              <w:t>010950301001098</w:t>
            </w:r>
          </w:p>
        </w:tc>
      </w:tr>
      <w:tr w14:paraId="5608F88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DC2FD58"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7DF713"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77C9981"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219983E"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AF26D12"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014F309F" w14:textId="77777777">
            <w:pPr>
              <w:widowControl/>
              <w:jc w:val="center"/>
              <w:rPr>
                <w:snapToGrid/>
                <w:color w:val="000000"/>
                <w:kern w:val="0"/>
                <w:szCs w:val="22"/>
              </w:rPr>
            </w:pPr>
            <w:r w:rsidRPr="00306B99">
              <w:rPr>
                <w:snapToGrid/>
                <w:color w:val="000000"/>
                <w:kern w:val="0"/>
                <w:szCs w:val="22"/>
              </w:rPr>
              <w:t>010950301001101</w:t>
            </w:r>
          </w:p>
        </w:tc>
      </w:tr>
      <w:tr w14:paraId="5839613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1328EA3"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96C85F"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291D773"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0034932"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91BC4A6"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9540B10" w14:textId="77777777">
            <w:pPr>
              <w:widowControl/>
              <w:jc w:val="center"/>
              <w:rPr>
                <w:snapToGrid/>
                <w:color w:val="000000"/>
                <w:kern w:val="0"/>
                <w:szCs w:val="22"/>
              </w:rPr>
            </w:pPr>
            <w:r w:rsidRPr="00306B99">
              <w:rPr>
                <w:snapToGrid/>
                <w:color w:val="000000"/>
                <w:kern w:val="0"/>
                <w:szCs w:val="22"/>
              </w:rPr>
              <w:t>010950301001102</w:t>
            </w:r>
          </w:p>
        </w:tc>
      </w:tr>
      <w:tr w14:paraId="01FE8FF0"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2C5282B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46DB896"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304F5A57"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497B38"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108F559"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FB947A5" w14:textId="77777777">
            <w:pPr>
              <w:widowControl/>
              <w:jc w:val="center"/>
              <w:rPr>
                <w:snapToGrid/>
                <w:color w:val="000000"/>
                <w:kern w:val="0"/>
                <w:szCs w:val="22"/>
              </w:rPr>
            </w:pPr>
            <w:r w:rsidRPr="00306B99">
              <w:rPr>
                <w:snapToGrid/>
                <w:color w:val="000000"/>
                <w:kern w:val="0"/>
                <w:szCs w:val="22"/>
              </w:rPr>
              <w:t>010950301001109</w:t>
            </w:r>
          </w:p>
        </w:tc>
      </w:tr>
      <w:tr w14:paraId="237639B3"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DE49B91"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630D80D"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ADD5B69"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908D28B"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81DAAB"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AAE8020" w14:textId="77777777">
            <w:pPr>
              <w:widowControl/>
              <w:jc w:val="center"/>
              <w:rPr>
                <w:snapToGrid/>
                <w:color w:val="000000"/>
                <w:kern w:val="0"/>
                <w:szCs w:val="22"/>
              </w:rPr>
            </w:pPr>
            <w:r w:rsidRPr="00306B99">
              <w:rPr>
                <w:snapToGrid/>
                <w:color w:val="000000"/>
                <w:kern w:val="0"/>
                <w:szCs w:val="22"/>
              </w:rPr>
              <w:t>010950301001115</w:t>
            </w:r>
          </w:p>
        </w:tc>
      </w:tr>
      <w:tr w14:paraId="4DDA9279"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09904BF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FBFF914"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2C3821C"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216319CE"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1E1BF10"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C6BC7BD" w14:textId="77777777">
            <w:pPr>
              <w:widowControl/>
              <w:jc w:val="center"/>
              <w:rPr>
                <w:snapToGrid/>
                <w:color w:val="000000"/>
                <w:kern w:val="0"/>
                <w:szCs w:val="22"/>
              </w:rPr>
            </w:pPr>
            <w:r w:rsidRPr="00306B99">
              <w:rPr>
                <w:snapToGrid/>
                <w:color w:val="000000"/>
                <w:kern w:val="0"/>
                <w:szCs w:val="22"/>
              </w:rPr>
              <w:t>010950301001121</w:t>
            </w:r>
          </w:p>
        </w:tc>
      </w:tr>
      <w:tr w14:paraId="7428B7A7"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5320CB0"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1DA8E1"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8E4C3FD"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B3F8B5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D0640F"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289B9826" w14:textId="77777777">
            <w:pPr>
              <w:widowControl/>
              <w:jc w:val="center"/>
              <w:rPr>
                <w:snapToGrid/>
                <w:color w:val="000000"/>
                <w:kern w:val="0"/>
                <w:szCs w:val="22"/>
              </w:rPr>
            </w:pPr>
            <w:r w:rsidRPr="00306B99">
              <w:rPr>
                <w:snapToGrid/>
                <w:color w:val="000000"/>
                <w:kern w:val="0"/>
                <w:szCs w:val="22"/>
              </w:rPr>
              <w:t>010950301001124</w:t>
            </w:r>
          </w:p>
        </w:tc>
      </w:tr>
      <w:tr w14:paraId="5C289722"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91A774E"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75FCC11"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24951F"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379A425"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C9B1021"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63C6C962" w14:textId="77777777">
            <w:pPr>
              <w:widowControl/>
              <w:jc w:val="center"/>
              <w:rPr>
                <w:snapToGrid/>
                <w:color w:val="000000"/>
                <w:kern w:val="0"/>
                <w:szCs w:val="22"/>
              </w:rPr>
            </w:pPr>
            <w:r w:rsidRPr="00306B99">
              <w:rPr>
                <w:snapToGrid/>
                <w:color w:val="000000"/>
                <w:kern w:val="0"/>
                <w:szCs w:val="22"/>
              </w:rPr>
              <w:t>010950301001126</w:t>
            </w:r>
          </w:p>
        </w:tc>
      </w:tr>
      <w:tr w14:paraId="41D316C1"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1C3AC7B9"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60CCBEB"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03F7A355"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E41A6C1"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7A720C4"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71A0D332" w14:textId="77777777">
            <w:pPr>
              <w:widowControl/>
              <w:jc w:val="center"/>
              <w:rPr>
                <w:snapToGrid/>
                <w:color w:val="000000"/>
                <w:kern w:val="0"/>
                <w:szCs w:val="22"/>
              </w:rPr>
            </w:pPr>
            <w:r w:rsidRPr="00306B99">
              <w:rPr>
                <w:snapToGrid/>
                <w:color w:val="000000"/>
                <w:kern w:val="0"/>
                <w:szCs w:val="22"/>
              </w:rPr>
              <w:t>010950301001127</w:t>
            </w:r>
          </w:p>
        </w:tc>
      </w:tr>
      <w:tr w14:paraId="78DC680E"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5A1CD20A"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1EB2A100"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45D74EE6"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FFA957C"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7B459E45"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38D5B062" w14:textId="77777777">
            <w:pPr>
              <w:widowControl/>
              <w:jc w:val="center"/>
              <w:rPr>
                <w:snapToGrid/>
                <w:color w:val="000000"/>
                <w:kern w:val="0"/>
                <w:szCs w:val="22"/>
              </w:rPr>
            </w:pPr>
            <w:r w:rsidRPr="00306B99">
              <w:rPr>
                <w:snapToGrid/>
                <w:color w:val="000000"/>
                <w:kern w:val="0"/>
                <w:szCs w:val="22"/>
              </w:rPr>
              <w:t>010950301001130</w:t>
            </w:r>
          </w:p>
        </w:tc>
      </w:tr>
      <w:tr w14:paraId="2997D254" w14:textId="77777777" w:rsidTr="002860A6">
        <w:tblPrEx>
          <w:tblW w:w="10430" w:type="dxa"/>
          <w:tblInd w:w="118" w:type="dxa"/>
          <w:tblLook w:val="04A0"/>
        </w:tblPrEx>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rsidR="007D28BC" w:rsidRPr="00306B99" w:rsidP="002860A6" w14:paraId="3A90D3BA"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61175D1C"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85BF381"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A999120"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4" w:space="0" w:color="auto"/>
              <w:right w:val="single" w:sz="4" w:space="0" w:color="auto"/>
            </w:tcBorders>
            <w:shd w:val="clear" w:color="auto" w:fill="auto"/>
            <w:noWrap/>
            <w:vAlign w:val="bottom"/>
            <w:hideMark/>
          </w:tcPr>
          <w:p w:rsidR="007D28BC" w:rsidRPr="00306B99" w:rsidP="002860A6" w14:paraId="50615CBB"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4" w:space="0" w:color="auto"/>
              <w:right w:val="single" w:sz="8" w:space="0" w:color="auto"/>
            </w:tcBorders>
            <w:shd w:val="clear" w:color="auto" w:fill="auto"/>
            <w:noWrap/>
            <w:vAlign w:val="bottom"/>
            <w:hideMark/>
          </w:tcPr>
          <w:p w:rsidR="007D28BC" w:rsidRPr="00306B99" w:rsidP="002860A6" w14:paraId="422F3F2F" w14:textId="77777777">
            <w:pPr>
              <w:widowControl/>
              <w:jc w:val="center"/>
              <w:rPr>
                <w:snapToGrid/>
                <w:color w:val="000000"/>
                <w:kern w:val="0"/>
                <w:szCs w:val="22"/>
              </w:rPr>
            </w:pPr>
            <w:r w:rsidRPr="00306B99">
              <w:rPr>
                <w:snapToGrid/>
                <w:color w:val="000000"/>
                <w:kern w:val="0"/>
                <w:szCs w:val="22"/>
              </w:rPr>
              <w:t>010950301001146</w:t>
            </w:r>
          </w:p>
        </w:tc>
      </w:tr>
      <w:tr w14:paraId="4A97ADEA" w14:textId="77777777" w:rsidTr="002860A6">
        <w:tblPrEx>
          <w:tblW w:w="10430" w:type="dxa"/>
          <w:tblInd w:w="118" w:type="dxa"/>
          <w:tblLook w:val="04A0"/>
        </w:tblPrEx>
        <w:trPr>
          <w:trHeight w:val="315"/>
        </w:trPr>
        <w:tc>
          <w:tcPr>
            <w:tcW w:w="2510" w:type="dxa"/>
            <w:tcBorders>
              <w:top w:val="nil"/>
              <w:left w:val="single" w:sz="8" w:space="0" w:color="auto"/>
              <w:bottom w:val="single" w:sz="8" w:space="0" w:color="auto"/>
              <w:right w:val="single" w:sz="4" w:space="0" w:color="auto"/>
            </w:tcBorders>
            <w:shd w:val="clear" w:color="auto" w:fill="auto"/>
            <w:noWrap/>
            <w:vAlign w:val="bottom"/>
            <w:hideMark/>
          </w:tcPr>
          <w:p w:rsidR="007D28BC" w:rsidRPr="00306B99" w:rsidP="002860A6" w14:paraId="406CBBB4" w14:textId="77777777">
            <w:pPr>
              <w:widowControl/>
              <w:rPr>
                <w:snapToGrid/>
                <w:color w:val="000000"/>
                <w:kern w:val="0"/>
                <w:szCs w:val="22"/>
              </w:rPr>
            </w:pPr>
            <w:r w:rsidRPr="00306B99">
              <w:rPr>
                <w:snapToGrid/>
                <w:color w:val="000000"/>
                <w:kern w:val="0"/>
                <w:szCs w:val="22"/>
              </w:rPr>
              <w:t>North Alabama Electric Cooperative</w:t>
            </w:r>
          </w:p>
        </w:tc>
        <w:tc>
          <w:tcPr>
            <w:tcW w:w="144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2669C468" w14:textId="77777777">
            <w:pPr>
              <w:widowControl/>
              <w:jc w:val="center"/>
              <w:rPr>
                <w:snapToGrid/>
                <w:color w:val="000000"/>
                <w:kern w:val="0"/>
                <w:szCs w:val="22"/>
              </w:rPr>
            </w:pPr>
            <w:r w:rsidRPr="00306B99">
              <w:rPr>
                <w:snapToGrid/>
                <w:color w:val="000000"/>
                <w:kern w:val="0"/>
                <w:szCs w:val="22"/>
              </w:rPr>
              <w:t>0026430645</w:t>
            </w:r>
          </w:p>
        </w:tc>
        <w:tc>
          <w:tcPr>
            <w:tcW w:w="135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42A07F5B" w14:textId="77777777">
            <w:pPr>
              <w:widowControl/>
              <w:rPr>
                <w:snapToGrid/>
                <w:color w:val="000000"/>
                <w:kern w:val="0"/>
                <w:szCs w:val="22"/>
              </w:rPr>
            </w:pPr>
            <w:r w:rsidRPr="00306B99">
              <w:rPr>
                <w:snapToGrid/>
                <w:color w:val="000000"/>
                <w:kern w:val="0"/>
                <w:szCs w:val="22"/>
              </w:rPr>
              <w:t>Alabama</w:t>
            </w:r>
          </w:p>
        </w:tc>
        <w:tc>
          <w:tcPr>
            <w:tcW w:w="126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22429B08" w14:textId="77777777">
            <w:pPr>
              <w:widowControl/>
              <w:jc w:val="center"/>
              <w:rPr>
                <w:snapToGrid/>
                <w:color w:val="000000"/>
                <w:kern w:val="0"/>
                <w:szCs w:val="22"/>
              </w:rPr>
            </w:pPr>
            <w:r w:rsidRPr="00306B99">
              <w:rPr>
                <w:snapToGrid/>
                <w:color w:val="000000"/>
                <w:kern w:val="0"/>
                <w:szCs w:val="22"/>
              </w:rPr>
              <w:t>259057</w:t>
            </w:r>
          </w:p>
        </w:tc>
        <w:tc>
          <w:tcPr>
            <w:tcW w:w="1170" w:type="dxa"/>
            <w:tcBorders>
              <w:top w:val="nil"/>
              <w:left w:val="nil"/>
              <w:bottom w:val="single" w:sz="8" w:space="0" w:color="auto"/>
              <w:right w:val="single" w:sz="4" w:space="0" w:color="auto"/>
            </w:tcBorders>
            <w:shd w:val="clear" w:color="auto" w:fill="auto"/>
            <w:noWrap/>
            <w:vAlign w:val="bottom"/>
            <w:hideMark/>
          </w:tcPr>
          <w:p w:rsidR="007D28BC" w:rsidRPr="00306B99" w:rsidP="002860A6" w14:paraId="704234A1" w14:textId="77777777">
            <w:pPr>
              <w:widowControl/>
              <w:rPr>
                <w:snapToGrid/>
                <w:color w:val="000000"/>
                <w:kern w:val="0"/>
                <w:szCs w:val="22"/>
              </w:rPr>
            </w:pPr>
            <w:r w:rsidRPr="00306B99">
              <w:rPr>
                <w:snapToGrid/>
                <w:color w:val="000000"/>
                <w:kern w:val="0"/>
                <w:szCs w:val="22"/>
              </w:rPr>
              <w:t>Marshall</w:t>
            </w:r>
          </w:p>
        </w:tc>
        <w:tc>
          <w:tcPr>
            <w:tcW w:w="2700" w:type="dxa"/>
            <w:tcBorders>
              <w:top w:val="nil"/>
              <w:left w:val="nil"/>
              <w:bottom w:val="single" w:sz="8" w:space="0" w:color="auto"/>
              <w:right w:val="single" w:sz="8" w:space="0" w:color="auto"/>
            </w:tcBorders>
            <w:shd w:val="clear" w:color="auto" w:fill="auto"/>
            <w:noWrap/>
            <w:vAlign w:val="bottom"/>
            <w:hideMark/>
          </w:tcPr>
          <w:p w:rsidR="007D28BC" w:rsidRPr="00306B99" w:rsidP="002860A6" w14:paraId="36EA0391" w14:textId="77777777">
            <w:pPr>
              <w:widowControl/>
              <w:jc w:val="center"/>
              <w:rPr>
                <w:snapToGrid/>
                <w:color w:val="000000"/>
                <w:kern w:val="0"/>
                <w:szCs w:val="22"/>
              </w:rPr>
            </w:pPr>
            <w:r w:rsidRPr="00306B99">
              <w:rPr>
                <w:snapToGrid/>
                <w:color w:val="000000"/>
                <w:kern w:val="0"/>
                <w:szCs w:val="22"/>
              </w:rPr>
              <w:t>010950301001152</w:t>
            </w:r>
          </w:p>
        </w:tc>
      </w:tr>
    </w:tbl>
    <w:p w:rsidR="007D28BC" w:rsidRPr="00494E06" w:rsidP="007D28BC" w14:paraId="37F7B47D" w14:textId="77777777">
      <w:pPr>
        <w:rPr>
          <w:i/>
          <w:iCs/>
        </w:rPr>
      </w:pPr>
    </w:p>
    <w:p w:rsidR="00930ECF" w:rsidRPr="00930ECF" w:rsidP="00F96F63" w14:paraId="1ED90E9C" w14:textId="77777777">
      <w:pPr>
        <w:rPr>
          <w:sz w:val="24"/>
        </w:rPr>
      </w:pPr>
    </w:p>
    <w:sectPr w:rsidSect="007D28B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CC66D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35AB5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B4817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7B7B2D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28BC" w14:paraId="3ED603B9" w14:textId="77777777">
      <w:r>
        <w:separator/>
      </w:r>
    </w:p>
  </w:footnote>
  <w:footnote w:type="continuationSeparator" w:id="1">
    <w:p w:rsidR="007D28BC" w14:paraId="11958344" w14:textId="77777777">
      <w:pPr>
        <w:rPr>
          <w:sz w:val="20"/>
        </w:rPr>
      </w:pPr>
      <w:r>
        <w:rPr>
          <w:sz w:val="20"/>
        </w:rPr>
        <w:t xml:space="preserve">(Continued from previous page)  </w:t>
      </w:r>
      <w:r>
        <w:rPr>
          <w:sz w:val="20"/>
        </w:rPr>
        <w:separator/>
      </w:r>
    </w:p>
  </w:footnote>
  <w:footnote w:type="continuationNotice" w:id="2">
    <w:p w:rsidR="007D28BC" w:rsidP="00910F12" w14:paraId="493718C4" w14:textId="77777777">
      <w:pPr>
        <w:jc w:val="right"/>
        <w:rPr>
          <w:sz w:val="20"/>
        </w:rPr>
      </w:pPr>
      <w:r>
        <w:rPr>
          <w:sz w:val="20"/>
        </w:rPr>
        <w:t>(continued….)</w:t>
      </w:r>
    </w:p>
  </w:footnote>
  <w:footnote w:id="3">
    <w:p w:rsidR="007D28BC" w:rsidP="007D28BC" w14:paraId="34D3E804" w14:textId="77777777">
      <w:pPr>
        <w:pStyle w:val="FootnoteText"/>
      </w:pPr>
      <w:r>
        <w:rPr>
          <w:rStyle w:val="FootnoteReference"/>
        </w:rPr>
        <w:footnoteRef/>
      </w:r>
      <w:r>
        <w:t xml:space="preserve"> Letter from Keith Swisher, President, BARC Electric Cooperative, to Trent Harkrader, Chief, Wireline Competition Bureau, FCC, AU Docket No. 20-34 et al. (filed Feb. 27, 2024); Letter from Sean A. Stokes, Counsel to North Alabama Electric Cooperative, to Trent Harkrader, Chief, Wireline Competition Bureau, FCC, AU Docket No. 20-34 et al. (filed Feb. 27, 2024).  </w:t>
      </w:r>
      <w:r>
        <w:t>BARConnects</w:t>
      </w:r>
      <w:r>
        <w:t xml:space="preserve"> was authorized to receive $4,974,237.30 in CAF Phase II auction support over 10 years to serve 1,734 locations in Virginia, and $6,041,742.00 in RDOF support over 10 years to serve 1,962 locations in Virginia.  </w:t>
      </w:r>
      <w:r w:rsidRPr="00AE2570">
        <w:rPr>
          <w:i/>
          <w:iCs/>
        </w:rPr>
        <w:t>Connect America Fund Phase II Auction Support Authorized for 856 Winning Bids</w:t>
      </w:r>
      <w:r>
        <w:t xml:space="preserve">, AU Docket No. 17-182 et al., Public Notice, 34 FCC </w:t>
      </w:r>
      <w:r>
        <w:t>Rcd</w:t>
      </w:r>
      <w:r>
        <w:t xml:space="preserve"> 4725 (WCB/OEA 2019); </w:t>
      </w:r>
      <w:r w:rsidRPr="00A43742">
        <w:rPr>
          <w:i/>
          <w:iCs/>
        </w:rPr>
        <w:t>Rural Digital Opportunity Fund Support Authorized for 311 Winning Bids</w:t>
      </w:r>
      <w:r>
        <w:t xml:space="preserve">, AU Docket No. 20-34 et al., Public Notice, 36 FCC </w:t>
      </w:r>
      <w:r>
        <w:t>Rcd</w:t>
      </w:r>
      <w:r>
        <w:t xml:space="preserve"> 15809 (WCB/OEA 2021).  NAEC was authorized to receive $8,482,612.50 in RDOF support over 10 years to serve 4,376 locations in Alabama.  </w:t>
      </w:r>
      <w:r w:rsidRPr="00AF74A4">
        <w:rPr>
          <w:i/>
          <w:iCs/>
        </w:rPr>
        <w:t>Rural Digital Opportunity Fund Support Authorized for 1,345 Winning Bids</w:t>
      </w:r>
      <w:r>
        <w:t xml:space="preserve">, AU Docket No. 20-34 et al., Public Notice, 37 FCC </w:t>
      </w:r>
      <w:r>
        <w:t>Rcd</w:t>
      </w:r>
      <w:r>
        <w:t xml:space="preserve"> 4897 (WCB/OEA 2022).  </w:t>
      </w:r>
      <w:r>
        <w:t>BARConnects</w:t>
      </w:r>
      <w:r>
        <w:t xml:space="preserve"> is defaulting on 1,032 locations in its CAF Phase II auction service area and 810 locations in its RDOF service area.  NAEC is defaulting on 879 locations in its RDOF service area.</w:t>
      </w:r>
    </w:p>
  </w:footnote>
  <w:footnote w:id="4">
    <w:p w:rsidR="007D28BC" w:rsidP="007D28BC" w14:paraId="4078BBAB" w14:textId="77777777">
      <w:pPr>
        <w:pStyle w:val="FootnoteText"/>
      </w:pPr>
      <w:r>
        <w:rPr>
          <w:rStyle w:val="FootnoteReference"/>
        </w:rPr>
        <w:footnoteRef/>
      </w:r>
      <w:r>
        <w:t xml:space="preserve"> </w:t>
      </w:r>
      <w:r>
        <w:t>BARConnects</w:t>
      </w:r>
      <w:r>
        <w:t xml:space="preserve"> and NAEC remain committed to deploying service to the remaining CBGs in their respective RDOF and CAF Phase II auction supported areas. </w:t>
      </w:r>
    </w:p>
  </w:footnote>
  <w:footnote w:id="5">
    <w:p w:rsidR="007D28BC" w:rsidP="007D28BC" w14:paraId="72C45D45" w14:textId="77777777">
      <w:pPr>
        <w:pStyle w:val="FootnoteText"/>
      </w:pPr>
      <w:r>
        <w:rPr>
          <w:rStyle w:val="FootnoteReference"/>
        </w:rPr>
        <w:footnoteRef/>
      </w:r>
      <w:r>
        <w:t xml:space="preserve"> </w:t>
      </w:r>
      <w:r w:rsidRPr="00191B1E">
        <w:rPr>
          <w:rStyle w:val="ql-editor"/>
          <w:color w:val="000000"/>
        </w:rPr>
        <w:t>Broadband Interagency Coordination Act of 2020, Pub. L.</w:t>
      </w:r>
      <w:r>
        <w:rPr>
          <w:rStyle w:val="ql-editor"/>
          <w:color w:val="000000"/>
        </w:rPr>
        <w:t xml:space="preserve"> </w:t>
      </w:r>
      <w:r w:rsidRPr="00191B1E">
        <w:rPr>
          <w:rStyle w:val="ql-editor"/>
          <w:color w:val="000000"/>
        </w:rPr>
        <w:t xml:space="preserve">No. 116-260, </w:t>
      </w:r>
      <w:r>
        <w:rPr>
          <w:rStyle w:val="ql-editor"/>
          <w:color w:val="000000"/>
        </w:rPr>
        <w:t xml:space="preserve">§ 904, </w:t>
      </w:r>
      <w:r w:rsidRPr="00191B1E">
        <w:rPr>
          <w:rStyle w:val="ql-editor"/>
          <w:color w:val="000000"/>
        </w:rPr>
        <w:t xml:space="preserve">134 Stat. </w:t>
      </w:r>
      <w:r>
        <w:rPr>
          <w:rStyle w:val="ql-editor"/>
          <w:color w:val="000000"/>
        </w:rPr>
        <w:t xml:space="preserve">1182, </w:t>
      </w:r>
      <w:r w:rsidRPr="00191B1E">
        <w:rPr>
          <w:rStyle w:val="ql-editor"/>
          <w:color w:val="000000"/>
        </w:rPr>
        <w:t>3214 (codified at 47 U.S.C</w:t>
      </w:r>
      <w:r>
        <w:rPr>
          <w:rStyle w:val="ql-editor"/>
          <w:color w:val="000000"/>
        </w:rPr>
        <w:t>.</w:t>
      </w:r>
      <w:r w:rsidRPr="00191B1E">
        <w:rPr>
          <w:rStyle w:val="ql-editor"/>
          <w:color w:val="000000"/>
        </w:rPr>
        <w:t xml:space="preserve"> §</w:t>
      </w:r>
      <w:r>
        <w:rPr>
          <w:rStyle w:val="ql-editor"/>
          <w:color w:val="000000"/>
        </w:rPr>
        <w:t xml:space="preserve"> </w:t>
      </w:r>
      <w:r w:rsidRPr="00191B1E">
        <w:rPr>
          <w:rStyle w:val="ql-editor"/>
          <w:color w:val="000000"/>
        </w:rPr>
        <w:t xml:space="preserve">1308 </w:t>
      </w:r>
      <w:r w:rsidRPr="005D6FB3">
        <w:rPr>
          <w:rStyle w:val="ql-editor"/>
          <w:i/>
          <w:color w:val="000000"/>
        </w:rPr>
        <w:t>et seq</w:t>
      </w:r>
      <w:r w:rsidRPr="005D6FB3">
        <w:rPr>
          <w:rStyle w:val="ql-editor"/>
          <w:i/>
          <w:iCs/>
          <w:color w:val="000000"/>
        </w:rPr>
        <w:t>.</w:t>
      </w:r>
      <w:r>
        <w:rPr>
          <w:rStyle w:val="ql-editor"/>
          <w:color w:val="000000"/>
        </w:rPr>
        <w:t xml:space="preserve">) (BICA) (requiring the Federal Communications Commission, the Department of Agriculture, and the National Telecommunications and Information Administration to “enter into an interagency agreement requiring coordination between the covered agencies for the distribution of funds for broadband deployment . . . .”).  On June 25, 2021, the agencies announced that they had entered into an agreement.  </w:t>
      </w:r>
      <w:r w:rsidRPr="00263882">
        <w:t xml:space="preserve">Press Release, FCC, FCC, NTIA and USDA Announce Interagency Agreement to Coordinate Broadband Funding Deployment (June 25, 2021), </w:t>
      </w:r>
      <w:hyperlink r:id="rId1" w:history="1">
        <w:r w:rsidRPr="00263882">
          <w:rPr>
            <w:rStyle w:val="Hyperlink"/>
          </w:rPr>
          <w:t>https://www.fcc.gov/document/fcc-ntia-usda-sign-interagency-pact-broadband-funding-deployment</w:t>
        </w:r>
      </w:hyperlink>
      <w:r>
        <w:rPr>
          <w:rStyle w:val="Hyperlink"/>
        </w:rPr>
        <w:t xml:space="preserve"> </w:t>
      </w:r>
      <w:r w:rsidRPr="00097A5C">
        <w:rPr>
          <w:rStyle w:val="Hyperlink"/>
          <w:color w:val="auto"/>
          <w:u w:val="none"/>
        </w:rPr>
        <w:t xml:space="preserve">(last visited </w:t>
      </w:r>
      <w:r>
        <w:rPr>
          <w:rStyle w:val="Hyperlink"/>
          <w:color w:val="auto"/>
          <w:u w:val="none"/>
        </w:rPr>
        <w:t>Feb. 28, 2024</w:t>
      </w:r>
      <w:r w:rsidRPr="00097A5C">
        <w:rPr>
          <w:rStyle w:val="Hyperlink"/>
          <w:color w:val="auto"/>
          <w:u w:val="none"/>
        </w:rPr>
        <w:t>)</w:t>
      </w:r>
      <w:r w:rsidRPr="00097A5C">
        <w:rPr>
          <w:rStyle w:val="Hyperlink"/>
          <w:u w:val="none"/>
        </w:rPr>
        <w:t xml:space="preserve"> </w:t>
      </w:r>
      <w:r w:rsidRPr="00097A5C">
        <w:rPr>
          <w:rStyle w:val="Hyperlink"/>
          <w:color w:val="auto"/>
          <w:u w:val="none"/>
        </w:rPr>
        <w:t>(</w:t>
      </w:r>
      <w:r w:rsidRPr="008A353B">
        <w:rPr>
          <w:rStyle w:val="Hyperlink"/>
          <w:color w:val="auto"/>
          <w:u w:val="none"/>
        </w:rPr>
        <w:t>FCC, NTIA and USDA Interagency Agreement Press Release)</w:t>
      </w:r>
      <w:r w:rsidRPr="00263882">
        <w:t>.</w:t>
      </w:r>
      <w:r>
        <w:t xml:space="preserve">  </w:t>
      </w:r>
      <w:r w:rsidRPr="00263882">
        <w:t>In an effort to further facilitate broadband deployment funding coordination, on May 9, 2022, the FCC, USDA, and NTIA entered into an interagency agreement with the Department of Treasury.</w:t>
      </w:r>
      <w:r>
        <w:t xml:space="preserve">  Press Release, FCC, FCC, NTIA, USDA and Treasury Announce Interagency Agreement to Collaborate on Federal Broadband Funding (May 12, 2022), </w:t>
      </w:r>
      <w:hyperlink r:id="rId2" w:history="1">
        <w:r w:rsidRPr="00FC24F7">
          <w:rPr>
            <w:rStyle w:val="Hyperlink"/>
          </w:rPr>
          <w:t>https://www.fcc.gov/document/fcc-ntia-usda-treasury-announce-broadband-info-sharing-agreement</w:t>
        </w:r>
      </w:hyperlink>
      <w:r>
        <w:t xml:space="preserve">.  </w:t>
      </w:r>
    </w:p>
  </w:footnote>
  <w:footnote w:id="6">
    <w:p w:rsidR="007D28BC" w:rsidP="007D28BC" w14:paraId="723B0B36" w14:textId="77777777">
      <w:pPr>
        <w:pStyle w:val="FootnoteText"/>
      </w:pPr>
      <w:r>
        <w:rPr>
          <w:rStyle w:val="FootnoteReference"/>
        </w:rPr>
        <w:footnoteRef/>
      </w:r>
      <w:r>
        <w:t xml:space="preserve"> </w:t>
      </w:r>
      <w:r w:rsidRPr="00C97C40">
        <w:rPr>
          <w:i/>
          <w:iCs/>
        </w:rPr>
        <w:t>See, e.g.</w:t>
      </w:r>
      <w:r>
        <w:t>, Department of Commerce, National Telecommunications and Information Administration,</w:t>
      </w:r>
      <w:r w:rsidRPr="008A353B">
        <w:t xml:space="preserve"> </w:t>
      </w:r>
      <w:r w:rsidRPr="00263882">
        <w:t xml:space="preserve">Broadband Equity, Access, and Deployment (BEAD) Program Notice of Funding Opportunity </w:t>
      </w:r>
      <w:r>
        <w:t>at 36-37 &amp; n.52</w:t>
      </w:r>
      <w:r w:rsidRPr="00263882">
        <w:t xml:space="preserve"> (May 13, 2022), </w:t>
      </w:r>
      <w:hyperlink r:id="rId3" w:history="1">
        <w:r w:rsidRPr="00263882">
          <w:rPr>
            <w:rStyle w:val="Hyperlink"/>
          </w:rPr>
          <w:t>https://broadbandusa.ntia.doc.gov/sites/default/files/2022-05/BEAD%20NOFO.pdf</w:t>
        </w:r>
      </w:hyperlink>
      <w:r>
        <w:t xml:space="preserve"> </w:t>
      </w:r>
      <w:r w:rsidRPr="00263882">
        <w:t>(BEAD Program NOFO)</w:t>
      </w:r>
      <w:r>
        <w:t xml:space="preserve"> </w:t>
      </w:r>
      <w:r w:rsidRPr="00263882">
        <w:t>(explaining that any location that is already subject to an enforceable commitment for the deployment of qualifying broadband cannot be treated as unserved or underserved)</w:t>
      </w:r>
      <w:r>
        <w:t xml:space="preserve">; Department of Commerce, National Telecommunications and Information Administration, Tribal Broadband Connectivity Program Round 2 Notice of Funding Opportunity at 10-11, 28 (July 27, 2023), </w:t>
      </w:r>
      <w:hyperlink r:id="rId4" w:history="1">
        <w:r w:rsidRPr="00CC285F">
          <w:rPr>
            <w:rStyle w:val="Hyperlink"/>
          </w:rPr>
          <w:t>https://www.ntia.gov/sites/default/files/2023-07/ntia-tbcp-round2-nofo.pdf</w:t>
        </w:r>
      </w:hyperlink>
      <w:r>
        <w:t xml:space="preserve"> (“A Tribal Government may not certify Tribal Lands covered under an Enforceable Buildout Commitment as defined [in the NOFO] . . ., as Unserved”); Department of Agriculture, Rural Utilities Service, Corrected Notice of Funding Opportunity for the Community Connect Grant Program for Fiscal Year 2023, 88 Fed. Reg. 87750, 87751 (Dec. 19, 2023) (“Areas receiving, or areas that have received final approval for, other federal funding to construct terrestrial facilities providing at least 10/1 Mbps service in the project Proposed Funded Service Area as of the date of this notice, and which have been reported to the agency, are ineligible.”); Department of Agriculture, Rural Utilities Service, Rural </w:t>
      </w:r>
      <w:r>
        <w:t>eConnectivity</w:t>
      </w:r>
      <w:r>
        <w:t xml:space="preserve"> (</w:t>
      </w:r>
      <w:r>
        <w:t>ReConnect</w:t>
      </w:r>
      <w:r>
        <w:t xml:space="preserve">) Program Notice of Funding Opportunity, 89 Fed. Reg. 13035, 13036 (Feb. 21, 2024) (defining an enforceable commitment to mean “a legally enforceable obligation by any federal, state, or local agency, utilizing Federal Funds, to provide broadband service with speeds of at least 100 megabits per second (Mbps) downstream and 20 (Mbps) upstream”); Department of Treasury, Guidance for the Coronavirus Capital Projects Fund for States, Territories, and Freely Associated States, at 3-4 (Sept. 2021), </w:t>
      </w:r>
      <w:hyperlink r:id="rId5" w:history="1">
        <w:r w:rsidRPr="00C737E8">
          <w:rPr>
            <w:rStyle w:val="Hyperlink"/>
          </w:rPr>
          <w:t>https://home.treasury.gov/system/files/136/Capital-Projects-Fund-Guidance-States-Territories-and-Freely-Associated-States.pdf</w:t>
        </w:r>
      </w:hyperlink>
      <w:r>
        <w:t xml:space="preserve"> (“To the extent Recipients are considering deploying broadband to locations where there are existing enforceable federal or state funding commitments for reliable wireline service at speeds of at least 100 Mbps of download speed and 20 Mbps of upload speed, the Recipient should ensure that the Capital Projects Fund grant funding will not be used for costs that will be reimbursed by the other federal or state funding stream(s). That is, Capital Projects Fund grant funds must be used only for complementary purposes.”).</w:t>
      </w:r>
    </w:p>
  </w:footnote>
  <w:footnote w:id="7">
    <w:p w:rsidR="007D28BC" w:rsidP="007D28BC" w14:paraId="5E2A0D3A" w14:textId="77777777">
      <w:pPr>
        <w:pStyle w:val="FootnoteText"/>
      </w:pPr>
      <w:r>
        <w:rPr>
          <w:rStyle w:val="FootnoteReference"/>
        </w:rPr>
        <w:footnoteRef/>
      </w:r>
      <w:r>
        <w:t xml:space="preserve"> CAF Phase II auction recipients must offer the required service to 100% of the required number of locations by December 31, 2025.  </w:t>
      </w:r>
      <w:r w:rsidRPr="00E63D7E">
        <w:rPr>
          <w:i/>
          <w:iCs/>
        </w:rPr>
        <w:t>Connect America Fund et al.</w:t>
      </w:r>
      <w:r>
        <w:t xml:space="preserve">, WC Docket No. 10-90 et al., Report and Order et al., 31 FCC </w:t>
      </w:r>
      <w:r>
        <w:t>Rcd</w:t>
      </w:r>
      <w:r>
        <w:t xml:space="preserve"> 5949, 5964, para. 40 (2016) (</w:t>
      </w:r>
      <w:r w:rsidRPr="00E63D7E">
        <w:rPr>
          <w:i/>
          <w:iCs/>
        </w:rPr>
        <w:t>CAF Phase II Auction Order</w:t>
      </w:r>
      <w:r>
        <w:t xml:space="preserve">); </w:t>
      </w:r>
      <w:r w:rsidRPr="00E63D7E">
        <w:rPr>
          <w:i/>
          <w:iCs/>
        </w:rPr>
        <w:t>Connect America Fund et al.</w:t>
      </w:r>
      <w:r>
        <w:t xml:space="preserve">, WC Docket No. 10-90 et al., Order, 35 FCC </w:t>
      </w:r>
      <w:r>
        <w:t>Rcd</w:t>
      </w:r>
      <w:r>
        <w:t xml:space="preserve"> 109, 112, para. 9 (2020).  RDOF recipients authorized in 2021 and 2022 must offer the required service to 100% of their original location total by December 31, 2027 and December 31, 2028, respectively. </w:t>
      </w:r>
      <w:r w:rsidRPr="00A9225F">
        <w:rPr>
          <w:i/>
          <w:iCs/>
        </w:rPr>
        <w:t>Rural Digital Opportunity Fund et al.</w:t>
      </w:r>
      <w:r>
        <w:t xml:space="preserve">, WC Docket No. 19-126 et al., Report and Order, 35 FCC </w:t>
      </w:r>
      <w:r>
        <w:t>Rcd</w:t>
      </w:r>
      <w:r>
        <w:t xml:space="preserve"> 686, 709, para. 45 (2020) (</w:t>
      </w:r>
      <w:r w:rsidRPr="00A9225F">
        <w:rPr>
          <w:i/>
          <w:iCs/>
        </w:rPr>
        <w:t>RDOF Order</w:t>
      </w:r>
      <w:r>
        <w:t xml:space="preserve">).  If more locations than the original estimated are identified during the support term, recipients will have an additional two years to serve the additional locations subject to limited exceptions.  </w:t>
      </w:r>
      <w:r w:rsidRPr="00A9225F">
        <w:rPr>
          <w:i/>
          <w:iCs/>
        </w:rPr>
        <w:t>Id.</w:t>
      </w:r>
      <w:r>
        <w:t xml:space="preserve"> at 710, para. 49.</w:t>
      </w:r>
    </w:p>
  </w:footnote>
  <w:footnote w:id="8">
    <w:p w:rsidR="007D28BC" w:rsidP="007D28BC" w14:paraId="0E4A5898" w14:textId="77777777">
      <w:pPr>
        <w:pStyle w:val="FootnoteText"/>
      </w:pPr>
      <w:r>
        <w:rPr>
          <w:rStyle w:val="FootnoteReference"/>
        </w:rPr>
        <w:footnoteRef/>
      </w:r>
      <w:r>
        <w:t xml:space="preserve"> The minimum geographic unit for bidding for both RDOF and the CAF Phase II auction was a </w:t>
      </w:r>
      <w:r w:rsidRPr="0054134B">
        <w:t>CBG</w:t>
      </w:r>
      <w:r>
        <w:rPr>
          <w:b/>
          <w:bCs/>
        </w:rPr>
        <w:t xml:space="preserve"> </w:t>
      </w:r>
      <w:r>
        <w:t xml:space="preserve">containing one more eligible census blocks.  While bidders were required to bid at the CBG level, they can only use their support to offer service in the eligible census blocks within those CBGs.  </w:t>
      </w:r>
      <w:r w:rsidRPr="002E19A8">
        <w:rPr>
          <w:i/>
          <w:iCs/>
        </w:rPr>
        <w:t xml:space="preserve">Rural Digital Opportunity Fund Phase I Auction Scheduled for October 29, 2020; Notice and Filing </w:t>
      </w:r>
      <w:r w:rsidRPr="00EE7BB9">
        <w:rPr>
          <w:i/>
          <w:iCs/>
        </w:rPr>
        <w:t>Requirements and Other Procedures for Auction 904</w:t>
      </w:r>
      <w:r>
        <w:t xml:space="preserve">, AU Docket No. 20-34 et al., Public Notice, 35 FCC </w:t>
      </w:r>
      <w:r>
        <w:t>Rcd</w:t>
      </w:r>
      <w:r>
        <w:t xml:space="preserve"> 6077, 6146, para. 213 (2020); </w:t>
      </w:r>
      <w:r w:rsidRPr="002E19A8">
        <w:rPr>
          <w:i/>
          <w:iCs/>
        </w:rPr>
        <w:t>Connect America Fund Phase II Auction Scheduled for July 24, 2018</w:t>
      </w:r>
      <w:r>
        <w:rPr>
          <w:i/>
          <w:iCs/>
        </w:rPr>
        <w:t>;</w:t>
      </w:r>
      <w:r w:rsidRPr="002E19A8">
        <w:rPr>
          <w:i/>
          <w:iCs/>
        </w:rPr>
        <w:t xml:space="preserve"> Notice and Filing Requirements and Other Procedures for Auction 903</w:t>
      </w:r>
      <w:r>
        <w:t xml:space="preserve">, AU Docket No. 17-182 et al., Public Notice, 33 FCC </w:t>
      </w:r>
      <w:r>
        <w:t>Rcd</w:t>
      </w:r>
      <w:r>
        <w:t xml:space="preserve"> 1428, 1493, para. 203 (2018). </w:t>
      </w:r>
    </w:p>
  </w:footnote>
  <w:footnote w:id="9">
    <w:p w:rsidR="007D28BC" w:rsidP="007D28BC" w14:paraId="55356F9F" w14:textId="77777777">
      <w:pPr>
        <w:pStyle w:val="FootnoteText"/>
      </w:pPr>
      <w:r>
        <w:rPr>
          <w:rStyle w:val="FootnoteReference"/>
        </w:rPr>
        <w:footnoteRef/>
      </w:r>
      <w:r>
        <w:t xml:space="preserve"> Federal Communications Commission, National Broadband Map, </w:t>
      </w:r>
      <w:hyperlink r:id="rId6" w:history="1">
        <w:r w:rsidRPr="00D36739">
          <w:rPr>
            <w:rStyle w:val="Hyperlink"/>
          </w:rPr>
          <w:t>https://broadbandmap.fcc.gov/home</w:t>
        </w:r>
      </w:hyperlink>
      <w:r>
        <w:t xml:space="preserve"> (last visited Feb. 28, 2024). </w:t>
      </w:r>
    </w:p>
  </w:footnote>
  <w:footnote w:id="10">
    <w:p w:rsidR="007D28BC" w:rsidP="007D28BC" w14:paraId="7E080DA3" w14:textId="77777777">
      <w:pPr>
        <w:pStyle w:val="FootnoteText"/>
      </w:pPr>
      <w:r>
        <w:rPr>
          <w:rStyle w:val="FootnoteReference"/>
        </w:rPr>
        <w:footnoteRef/>
      </w:r>
      <w:r>
        <w:t xml:space="preserve"> </w:t>
      </w:r>
      <w:r w:rsidRPr="00401A5D">
        <w:rPr>
          <w:i/>
          <w:iCs/>
        </w:rPr>
        <w:t>See, e.g</w:t>
      </w:r>
      <w:r>
        <w:t>., 47 CFR §§ 54.320(c), (d), 54.806(b), (c).</w:t>
      </w:r>
    </w:p>
  </w:footnote>
  <w:footnote w:id="11">
    <w:p w:rsidR="007D28BC" w:rsidP="007D28BC" w14:paraId="16000F1E" w14:textId="77777777">
      <w:pPr>
        <w:pStyle w:val="FootnoteText"/>
      </w:pPr>
      <w:r>
        <w:rPr>
          <w:rStyle w:val="FootnoteReference"/>
        </w:rPr>
        <w:footnoteRef/>
      </w:r>
      <w:r>
        <w:t xml:space="preserve"> </w:t>
      </w:r>
      <w:r w:rsidRPr="00D223D9">
        <w:rPr>
          <w:i/>
          <w:iCs/>
        </w:rPr>
        <w:t>See, e.g.</w:t>
      </w:r>
      <w:r>
        <w:t xml:space="preserve">, 47 CFR §§ 54.316, 54.320(d)(1).  </w:t>
      </w:r>
    </w:p>
  </w:footnote>
  <w:footnote w:id="12">
    <w:p w:rsidR="007D28BC" w:rsidP="007D28BC" w14:paraId="1B50B0C4" w14:textId="77777777">
      <w:pPr>
        <w:pStyle w:val="FootnoteText"/>
      </w:pPr>
      <w:r>
        <w:rPr>
          <w:rStyle w:val="FootnoteReference"/>
        </w:rPr>
        <w:footnoteRef/>
      </w:r>
      <w:r>
        <w:t xml:space="preserve"> </w:t>
      </w:r>
      <w:r w:rsidRPr="00E63D7E">
        <w:rPr>
          <w:i/>
          <w:iCs/>
        </w:rPr>
        <w:t>See</w:t>
      </w:r>
      <w:r>
        <w:rPr>
          <w:i/>
          <w:iCs/>
        </w:rPr>
        <w:t>,</w:t>
      </w:r>
      <w:r>
        <w:t xml:space="preserve"> </w:t>
      </w:r>
      <w:r w:rsidRPr="00CC4ACF">
        <w:rPr>
          <w:i/>
          <w:iCs/>
        </w:rPr>
        <w:t>e.g.,</w:t>
      </w:r>
      <w:r>
        <w:t xml:space="preserve"> 47 CFR §§ 54.320(c), (d), 54.806(b), (c); </w:t>
      </w:r>
      <w:r w:rsidRPr="00D14B88">
        <w:rPr>
          <w:i/>
          <w:iCs/>
        </w:rPr>
        <w:t>Connect America Fund et al.</w:t>
      </w:r>
      <w:r>
        <w:t xml:space="preserve">, WC Docket No. 10-90 et al., Report and Order, 29 FCC </w:t>
      </w:r>
      <w:r>
        <w:t>Rcd</w:t>
      </w:r>
      <w:r>
        <w:t xml:space="preserve"> 15644, 15694-700, paras. 142-54 (2014) (</w:t>
      </w:r>
      <w:r w:rsidRPr="006063AE">
        <w:rPr>
          <w:i/>
          <w:iCs/>
        </w:rPr>
        <w:t>2014 Connect America Order</w:t>
      </w:r>
      <w:r>
        <w:t xml:space="preserve">) (adopting a framework for support reductions, support recovery, and reporting obligations that are calibrated to the extent of a support recipient’s non-compliance with service milestones); </w:t>
      </w:r>
      <w:r w:rsidRPr="00B324A6">
        <w:rPr>
          <w:i/>
          <w:iCs/>
        </w:rPr>
        <w:t>CAF Phase II Auction Order</w:t>
      </w:r>
      <w:r>
        <w:t xml:space="preserve">, 31 FCC </w:t>
      </w:r>
      <w:r>
        <w:t>Rcd</w:t>
      </w:r>
      <w:r>
        <w:t xml:space="preserve"> at 5966, para. 46 (explaining that compliance with CAF Phase II auction deployment obligations would be determined at the state level); </w:t>
      </w:r>
      <w:r w:rsidRPr="00DC6C5A">
        <w:rPr>
          <w:i/>
          <w:iCs/>
        </w:rPr>
        <w:t>RDOF Order</w:t>
      </w:r>
      <w:r>
        <w:t xml:space="preserve">, 35 FCC </w:t>
      </w:r>
      <w:r>
        <w:t>Rcd</w:t>
      </w:r>
      <w:r>
        <w:t xml:space="preserve"> at 710, para. 48 (explaining that compliance with RDOF deployment obligations would be determined at the state level). </w:t>
      </w:r>
    </w:p>
  </w:footnote>
  <w:footnote w:id="13">
    <w:p w:rsidR="007D28BC" w:rsidP="007D28BC" w14:paraId="019A11E5" w14:textId="77777777">
      <w:pPr>
        <w:pStyle w:val="FootnoteText"/>
      </w:pPr>
      <w:r>
        <w:rPr>
          <w:rStyle w:val="FootnoteReference"/>
        </w:rPr>
        <w:footnoteRef/>
      </w:r>
      <w:r>
        <w:t xml:space="preserve"> </w:t>
      </w:r>
      <w:r w:rsidRPr="00401A5D">
        <w:rPr>
          <w:i/>
          <w:iCs/>
        </w:rPr>
        <w:t>See, e.g</w:t>
      </w:r>
      <w:r>
        <w:t xml:space="preserve">., 47 CFR §§ 54.320(c), (d), 54.806(b), (c). </w:t>
      </w:r>
    </w:p>
  </w:footnote>
  <w:footnote w:id="14">
    <w:p w:rsidR="007D28BC" w:rsidP="007D28BC" w14:paraId="0EAD24A2" w14:textId="77777777">
      <w:pPr>
        <w:pStyle w:val="FootnoteText"/>
      </w:pPr>
      <w:r>
        <w:rPr>
          <w:rStyle w:val="FootnoteReference"/>
        </w:rPr>
        <w:footnoteRef/>
      </w:r>
      <w:r>
        <w:t xml:space="preserve"> 47 U.S.C. § 214(e)(4).  </w:t>
      </w:r>
    </w:p>
  </w:footnote>
  <w:footnote w:id="15">
    <w:p w:rsidR="007D28BC" w:rsidP="007D28BC" w14:paraId="2363154D" w14:textId="77777777">
      <w:pPr>
        <w:pStyle w:val="FootnoteText"/>
      </w:pPr>
      <w:r>
        <w:rPr>
          <w:rStyle w:val="FootnoteReference"/>
        </w:rPr>
        <w:footnoteRef/>
      </w:r>
      <w:r>
        <w:t xml:space="preserve"> 47 U.S.C. § 214(a); 47 CFR § 63.71.</w:t>
      </w:r>
    </w:p>
  </w:footnote>
  <w:footnote w:id="16">
    <w:p w:rsidR="007D28BC" w:rsidP="007D28BC" w14:paraId="2B34DDAA" w14:textId="77777777">
      <w:pPr>
        <w:pStyle w:val="FootnoteText"/>
      </w:pPr>
      <w:r>
        <w:rPr>
          <w:rStyle w:val="FootnoteReference"/>
        </w:rPr>
        <w:footnoteRef/>
      </w:r>
      <w:r>
        <w:t xml:space="preserve"> 47 CFR §§ 54.320(c), (d); 54.806(b), (c)(1).  Section 54.320(c) of the Commission’s rules states that support recipients that “fail to comply with public interest obligations or any other terms and conditions may be subject to further action, including . . . reductions in support amounts . . . .”  47 CFR § 54.320(c).  </w:t>
      </w:r>
    </w:p>
  </w:footnote>
  <w:footnote w:id="17">
    <w:p w:rsidR="007D28BC" w:rsidP="007D28BC" w14:paraId="262884CF" w14:textId="77777777">
      <w:pPr>
        <w:pStyle w:val="FootnoteText"/>
      </w:pPr>
      <w:r>
        <w:rPr>
          <w:rStyle w:val="FootnoteReference"/>
        </w:rPr>
        <w:footnoteRef/>
      </w:r>
      <w:r>
        <w:t xml:space="preserve"> </w:t>
      </w:r>
      <w:r w:rsidRPr="007F4A5D">
        <w:t>47 CFR § 1.3</w:t>
      </w:r>
      <w:r>
        <w:t>.</w:t>
      </w:r>
    </w:p>
  </w:footnote>
  <w:footnote w:id="18">
    <w:p w:rsidR="007D28BC" w:rsidRPr="008C2A06" w:rsidP="007D28BC" w14:paraId="7B7BC450"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Pr>
          <w:i/>
          <w:iCs/>
        </w:rPr>
        <w:t>WAIT Radio</w:t>
      </w:r>
      <w:r>
        <w:rPr>
          <w:i/>
        </w:rPr>
        <w:t>)</w:t>
      </w:r>
      <w:r>
        <w:t>) (</w:t>
      </w:r>
      <w:r w:rsidRPr="00691864">
        <w:rPr>
          <w:i/>
        </w:rPr>
        <w:t>Northeast Cellular</w:t>
      </w:r>
      <w:r>
        <w:t>).</w:t>
      </w:r>
      <w:r w:rsidRPr="008C2A06">
        <w:rPr>
          <w:i/>
        </w:rPr>
        <w:t xml:space="preserve"> </w:t>
      </w:r>
    </w:p>
  </w:footnote>
  <w:footnote w:id="19">
    <w:p w:rsidR="007D28BC" w:rsidP="007D28BC" w14:paraId="562721B7" w14:textId="77777777">
      <w:pPr>
        <w:pStyle w:val="FootnoteText"/>
      </w:pPr>
      <w:r>
        <w:rPr>
          <w:rStyle w:val="FootnoteReference"/>
        </w:rPr>
        <w:footnoteRef/>
      </w:r>
      <w:r>
        <w:t xml:space="preserve"> 47 CFR §§ 54.320(d)(1) &amp; (2), 54.806(c)(1).</w:t>
      </w:r>
    </w:p>
  </w:footnote>
  <w:footnote w:id="20">
    <w:p w:rsidR="007D28BC" w:rsidP="007D28BC" w14:paraId="36455A40" w14:textId="77777777">
      <w:pPr>
        <w:pStyle w:val="FootnoteText"/>
      </w:pPr>
      <w:r>
        <w:rPr>
          <w:rStyle w:val="FootnoteReference"/>
        </w:rPr>
        <w:footnoteRef/>
      </w:r>
      <w:r>
        <w:t xml:space="preserve"> 47 CFR §§ 54.310(c), 54.802(c)(1).</w:t>
      </w:r>
    </w:p>
  </w:footnote>
  <w:footnote w:id="21">
    <w:p w:rsidR="007D28BC" w:rsidP="007D28BC" w14:paraId="1DA40AE4" w14:textId="77777777">
      <w:pPr>
        <w:pStyle w:val="FootnoteText"/>
      </w:pPr>
      <w:r>
        <w:rPr>
          <w:rStyle w:val="FootnoteReference"/>
        </w:rPr>
        <w:footnoteRef/>
      </w:r>
      <w:r>
        <w:t xml:space="preserve"> 47 CFR §§ 54.320(d)(1), 54.806(c). </w:t>
      </w:r>
    </w:p>
  </w:footnote>
  <w:footnote w:id="22">
    <w:p w:rsidR="007D28BC" w:rsidP="007D28BC" w14:paraId="394284CD" w14:textId="77777777">
      <w:pPr>
        <w:pStyle w:val="FootnoteText"/>
      </w:pPr>
      <w:r>
        <w:rPr>
          <w:rStyle w:val="FootnoteReference"/>
        </w:rPr>
        <w:footnoteRef/>
      </w:r>
      <w:r>
        <w:t xml:space="preserve"> 47 CFR §§ 54.320(d)(2), 54.806(c)(1). </w:t>
      </w:r>
    </w:p>
  </w:footnote>
  <w:footnote w:id="23">
    <w:p w:rsidR="007D28BC" w:rsidP="007D28BC" w14:paraId="47ED7A40" w14:textId="77777777">
      <w:pPr>
        <w:pStyle w:val="FootnoteText"/>
      </w:pPr>
      <w:r>
        <w:rPr>
          <w:rStyle w:val="FootnoteReference"/>
        </w:rPr>
        <w:footnoteRef/>
      </w:r>
      <w:r>
        <w:t xml:space="preserve"> 47 CFR § 54.320(d)(2), 54.806(c).  For the final 100% service milestone, if a CAF Phase II auction support recipient fails to serve at least 95% of its required number of locations, the Commission requires that we recover </w:t>
      </w:r>
      <w:r w:rsidRPr="002B598A">
        <w:t>“an amount of support that is equal to 1.89 times the average amount of support per location received in the state over the six-year period for the relevant number of locations the ETC has failed to offer service to, plus 10 percent of the ETC’s total Phase II support received in the state over the six-year period for deployment.”</w:t>
      </w:r>
      <w:r>
        <w:t xml:space="preserve">  </w:t>
      </w:r>
      <w:r w:rsidRPr="009E5C9C">
        <w:t>47 CFR § 54.320(d)(2)</w:t>
      </w:r>
      <w:r>
        <w:t xml:space="preserve">; </w:t>
      </w:r>
      <w:r w:rsidRPr="00E63D7E">
        <w:rPr>
          <w:i/>
          <w:iCs/>
        </w:rPr>
        <w:t>CAF Phase II Auction Order</w:t>
      </w:r>
      <w:r>
        <w:t xml:space="preserve">, 31 FCC </w:t>
      </w:r>
      <w:r>
        <w:t>Rcd</w:t>
      </w:r>
      <w:r>
        <w:t xml:space="preserve"> at 6017, para. 191</w:t>
      </w:r>
      <w:r w:rsidRPr="009E5C9C">
        <w:t>.</w:t>
      </w:r>
      <w:r>
        <w:t xml:space="preserve">  If a CAF Phase II auction support recipient serves at least 95% of its total number of required locations but less than 100%, it will be required to return support for the unserved locations that is equal to the average support per location in the state time 1.89.  47 CFR § 54.310(c)(2).  For the RDOF support recipient’s sixth year 100% service milestone, the amount of support recovery scales with the size of the non-compliance gap.  47 CFR § 54.806(c)(1)(</w:t>
      </w:r>
      <w:r>
        <w:t>i</w:t>
      </w:r>
      <w:r>
        <w:t xml:space="preserve">)(A)-(C).  </w:t>
      </w:r>
      <w:r w:rsidRPr="006F5A8D">
        <w:t xml:space="preserve">If the </w:t>
      </w:r>
      <w:r>
        <w:t>support recipient</w:t>
      </w:r>
      <w:r w:rsidRPr="006F5A8D">
        <w:t xml:space="preserve"> has deployed to 95% or more of its required locations but less than 100%, </w:t>
      </w:r>
      <w:r>
        <w:t xml:space="preserve">we must </w:t>
      </w:r>
      <w:r w:rsidRPr="006F5A8D">
        <w:t>recover an amount of support that is equal to 1.25 times the average amount of support per location received in the</w:t>
      </w:r>
      <w:r>
        <w:t xml:space="preserve"> state</w:t>
      </w:r>
      <w:r w:rsidRPr="006F5A8D">
        <w:t xml:space="preserve"> over the support term for the unserved locations</w:t>
      </w:r>
      <w:r>
        <w:t xml:space="preserve">.  </w:t>
      </w:r>
      <w:r w:rsidRPr="00C120F7">
        <w:t xml:space="preserve">If the </w:t>
      </w:r>
      <w:r>
        <w:t>support recipient</w:t>
      </w:r>
      <w:r w:rsidRPr="00C120F7">
        <w:t xml:space="preserve"> has deployed to 90% or more of its required locations but less than 95%, </w:t>
      </w:r>
      <w:r>
        <w:t xml:space="preserve">we must </w:t>
      </w:r>
      <w:r w:rsidRPr="00C120F7">
        <w:t>recover an amount of support that is equal to 1.5 times the average amount of support per location received in the state over the support term for the unserved locations, plus 5% of total authorized support</w:t>
      </w:r>
      <w:r>
        <w:t xml:space="preserve">.  </w:t>
      </w:r>
      <w:r w:rsidRPr="00D07713">
        <w:t xml:space="preserve">If the carrier has deployed to fewer than 90% of its required locations, </w:t>
      </w:r>
      <w:r>
        <w:t xml:space="preserve">we must </w:t>
      </w:r>
      <w:r w:rsidRPr="00D07713">
        <w:t>recover an amount of support that is equal to 1.75 times the average amount of support per location received in the state over the support term for the unserved locations, plus 10% of total authorized support.</w:t>
      </w:r>
      <w:r>
        <w:t xml:space="preserve">  </w:t>
      </w:r>
      <w:r w:rsidRPr="00D07713">
        <w:rPr>
          <w:i/>
          <w:iCs/>
        </w:rPr>
        <w:t>Id.</w:t>
      </w:r>
    </w:p>
  </w:footnote>
  <w:footnote w:id="24">
    <w:p w:rsidR="007D28BC" w:rsidP="007D28BC" w14:paraId="7C77B18D" w14:textId="77777777">
      <w:pPr>
        <w:pStyle w:val="FootnoteText"/>
      </w:pPr>
      <w:r>
        <w:rPr>
          <w:rStyle w:val="FootnoteReference"/>
        </w:rPr>
        <w:footnoteRef/>
      </w:r>
      <w:r>
        <w:t xml:space="preserve"> 47 CFR § 54.320(d)(1)(iv)(B) (requiring the Bureau to recover </w:t>
      </w:r>
      <w:r w:rsidRPr="00E05CB9">
        <w:t xml:space="preserve">a percentage of support that is equal to the </w:t>
      </w:r>
      <w:r>
        <w:t xml:space="preserve">support recipient’s </w:t>
      </w:r>
      <w:r w:rsidRPr="00E05CB9">
        <w:t>compliance gap plus 10</w:t>
      </w:r>
      <w:r>
        <w:t>%</w:t>
      </w:r>
      <w:r w:rsidRPr="00E05CB9">
        <w:t xml:space="preserve"> of the ETC's support that has been disbursed to that date</w:t>
      </w:r>
      <w:r>
        <w:t xml:space="preserve">). </w:t>
      </w:r>
    </w:p>
  </w:footnote>
  <w:footnote w:id="25">
    <w:p w:rsidR="007D28BC" w:rsidP="007D28BC" w14:paraId="16E3794B" w14:textId="77777777">
      <w:pPr>
        <w:pStyle w:val="FootnoteText"/>
      </w:pPr>
      <w:r>
        <w:rPr>
          <w:rStyle w:val="FootnoteReference"/>
        </w:rPr>
        <w:footnoteRef/>
      </w:r>
      <w:r>
        <w:t xml:space="preserve"> Future monthly support payments will be reduced pro rata based on the number of locations associated with the CBGs that the support recipient is defaulting on and calculated as follows, subject to any applicable non-compliance tiers:  ((total monthly authorized support/total authorized locations) x (total authorized locations – defaulted locations)).  Subject to support withholding pursuant to any applicable non-compliance tiers, </w:t>
      </w:r>
      <w:r>
        <w:t>BARConnect’s</w:t>
      </w:r>
      <w:r>
        <w:t xml:space="preserve"> monthly support for the CAF Phase II auction will be approximately </w:t>
      </w:r>
      <w:r w:rsidRPr="0015114C">
        <w:t>$16,781</w:t>
      </w:r>
      <w:r>
        <w:t xml:space="preserve"> and its monthly support for RDOF will be approximately </w:t>
      </w:r>
      <w:r w:rsidRPr="0015114C">
        <w:t>$29,562</w:t>
      </w:r>
      <w:r>
        <w:t xml:space="preserve">, and NAEC’s monthly support will be approximately </w:t>
      </w:r>
      <w:r w:rsidRPr="00F00DDD">
        <w:t>$56,489</w:t>
      </w:r>
      <w:r>
        <w:t>.</w:t>
      </w:r>
    </w:p>
  </w:footnote>
  <w:footnote w:id="26">
    <w:p w:rsidR="007D28BC" w:rsidP="007D28BC" w14:paraId="2FB0EA85" w14:textId="77777777">
      <w:pPr>
        <w:pStyle w:val="FootnoteText"/>
      </w:pPr>
      <w:r>
        <w:rPr>
          <w:rStyle w:val="FootnoteReference"/>
        </w:rPr>
        <w:footnoteRef/>
      </w:r>
      <w:r>
        <w:t xml:space="preserve"> </w:t>
      </w:r>
      <w:r w:rsidRPr="00563FCC">
        <w:rPr>
          <w:i/>
          <w:iCs/>
        </w:rPr>
        <w:t>2014 Connect America Order</w:t>
      </w:r>
      <w:r>
        <w:t xml:space="preserve">, 29 FCC </w:t>
      </w:r>
      <w:r>
        <w:t>Rcd</w:t>
      </w:r>
      <w:r>
        <w:t xml:space="preserve"> at 15697, para. 148 n.328 (“Our overriding objective is to create a framework that incents full performance.”).</w:t>
      </w:r>
    </w:p>
  </w:footnote>
  <w:footnote w:id="27">
    <w:p w:rsidR="007D28BC" w:rsidP="007D28BC" w14:paraId="3121B39A" w14:textId="77777777">
      <w:pPr>
        <w:pStyle w:val="FootnoteText"/>
      </w:pPr>
      <w:r>
        <w:rPr>
          <w:rStyle w:val="FootnoteReference"/>
        </w:rPr>
        <w:footnoteRef/>
      </w:r>
      <w:r>
        <w:t xml:space="preserve"> 47 U.S.C. § 254(e) (requiring that a carrier receiving universal service support “</w:t>
      </w:r>
      <w:r w:rsidRPr="00A8019C">
        <w:t>shall use that support only for the provision, maintenance, and upgrading of facilities and services for which the support is intended</w:t>
      </w:r>
      <w:r>
        <w:t>”).</w:t>
      </w:r>
    </w:p>
  </w:footnote>
  <w:footnote w:id="28">
    <w:p w:rsidR="007D28BC" w:rsidP="007D28BC" w14:paraId="74F3F921" w14:textId="77777777">
      <w:pPr>
        <w:pStyle w:val="FootnoteText"/>
      </w:pPr>
      <w:r>
        <w:rPr>
          <w:rStyle w:val="FootnoteReference"/>
        </w:rPr>
        <w:footnoteRef/>
      </w:r>
      <w:r>
        <w:t xml:space="preserve"> 47 CFR §§ 54.320(d), 54.806(c)(1).  </w:t>
      </w:r>
    </w:p>
  </w:footnote>
  <w:footnote w:id="29">
    <w:p w:rsidR="007D28BC" w:rsidP="007D28BC" w14:paraId="4EA94D31" w14:textId="77777777">
      <w:pPr>
        <w:pStyle w:val="FootnoteText"/>
      </w:pPr>
      <w:r>
        <w:rPr>
          <w:rStyle w:val="FootnoteReference"/>
        </w:rPr>
        <w:footnoteRef/>
      </w:r>
      <w:r>
        <w:t xml:space="preserve"> 47 CFR §§ 54.320(d)(1), 54.806(c). </w:t>
      </w:r>
    </w:p>
  </w:footnote>
  <w:footnote w:id="30">
    <w:p w:rsidR="007D28BC" w:rsidRPr="00C257CE" w:rsidP="007D28BC" w14:paraId="50032159" w14:textId="77777777">
      <w:pPr>
        <w:pStyle w:val="FootnoteText"/>
        <w:rPr>
          <w:b/>
        </w:rPr>
      </w:pPr>
      <w:r>
        <w:rPr>
          <w:rStyle w:val="FootnoteReference"/>
        </w:rPr>
        <w:footnoteRef/>
      </w:r>
      <w:r>
        <w:t xml:space="preserve"> </w:t>
      </w:r>
      <w:r w:rsidRPr="00C64EC9">
        <w:rPr>
          <w:i/>
          <w:iCs/>
        </w:rPr>
        <w:t>Id.</w:t>
      </w:r>
      <w:r>
        <w:rPr>
          <w:i/>
          <w:iCs/>
        </w:rPr>
        <w:t xml:space="preserve">  </w:t>
      </w:r>
      <w:r>
        <w:t xml:space="preserve">As a simplified example, if a carrier receiving $100 per month in support is required to serve 100 locations and has indicated it will not serve eligible census blocks within CBGs covering 20 of those locations, we will reduce the carrier’s ongoing monthly support by a pro rata amount to stop future payments for the defaulted census blocks so that the carrier is now receiving $80 per month (i.e., the Commission will no longer pay the $20 per month associated with the identified census blocks) (($100/100) x (100-20) = $80 a month).  If the carrier is in non-compliance Tier 3 so that we are required to withhold 25% of support (i.e., $25; .25 x $100), we would withhold an extra $5 a month so that we are not paying the carrier $25 in total each month (i.e., $20 for the defaulted census blocks + $5 additional).  If the carrier comes back into compliance so that it is entitled to have its support restored, we would only restore the additional monthly amount of support that we withheld (i.e., $5 a month) and would not restore the $20 we have stopped paying for the identified census blocks.  47 CFR § 54.320(d)(1)(iii).  </w:t>
      </w:r>
    </w:p>
  </w:footnote>
  <w:footnote w:id="31">
    <w:p w:rsidR="007D28BC" w:rsidP="007D28BC" w14:paraId="2323374A" w14:textId="77777777">
      <w:pPr>
        <w:pStyle w:val="FootnoteText"/>
      </w:pPr>
      <w:r>
        <w:rPr>
          <w:rStyle w:val="FootnoteReference"/>
        </w:rPr>
        <w:footnoteRef/>
      </w:r>
      <w:r>
        <w:t xml:space="preserve"> Assuming the same simplified example as in the prior footnote, if the carrier is in non-compliance Tier 2 so that we are required to withhold 15% a month (i.e., $15, .15 x $100), we would not withhold any additional monthly support since we have already stopped paying the carrier $20 a month for defaulted census blocks, and $20 exceeds the $15 we are required to withhold.  47 CFR § 54.320(d)(1)(ii).  </w:t>
      </w:r>
    </w:p>
  </w:footnote>
  <w:footnote w:id="32">
    <w:p w:rsidR="007D28BC" w:rsidP="007D28BC" w14:paraId="190CD133" w14:textId="77777777">
      <w:pPr>
        <w:pStyle w:val="FootnoteText"/>
      </w:pPr>
      <w:r>
        <w:rPr>
          <w:rStyle w:val="FootnoteReference"/>
        </w:rPr>
        <w:footnoteRef/>
      </w:r>
      <w:r>
        <w:t xml:space="preserve"> 47 CFR §§ 54.320(d)(2), 54.806(c)(1).  </w:t>
      </w:r>
    </w:p>
  </w:footnote>
  <w:footnote w:id="33">
    <w:p w:rsidR="007D28BC" w:rsidP="007D28BC" w14:paraId="1BC257AA" w14:textId="77777777">
      <w:pPr>
        <w:pStyle w:val="FootnoteText"/>
      </w:pPr>
      <w:r>
        <w:rPr>
          <w:rStyle w:val="FootnoteReference"/>
        </w:rPr>
        <w:footnoteRef/>
      </w:r>
      <w:r>
        <w:t xml:space="preserve"> </w:t>
      </w:r>
      <w:r w:rsidRPr="0010342F">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5CE" w14:paraId="540D1F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10F809F" w14:textId="4332F21B">
    <w:pPr>
      <w:tabs>
        <w:tab w:val="center" w:pos="4680"/>
        <w:tab w:val="right" w:pos="9360"/>
      </w:tabs>
    </w:pPr>
    <w:r w:rsidRPr="009838BC">
      <w:rPr>
        <w:b/>
      </w:rPr>
      <w:tab/>
      <w:t>Federal Communications Commission</w:t>
    </w:r>
    <w:r w:rsidRPr="009838BC">
      <w:rPr>
        <w:b/>
      </w:rPr>
      <w:tab/>
    </w:r>
    <w:r w:rsidR="00591BEE">
      <w:rPr>
        <w:b/>
      </w:rPr>
      <w:t>DA 24</w:t>
    </w:r>
    <w:r w:rsidR="00433E9E">
      <w:rPr>
        <w:b/>
      </w:rPr>
      <w:t>-181</w:t>
    </w:r>
  </w:p>
  <w:p w:rsidR="009838BC" w:rsidRPr="009838BC" w:rsidP="009838BC" w14:paraId="2AC64A4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41D2D1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AD2EE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F47EE59" w14:textId="77777777">
                <w:pPr>
                  <w:rPr>
                    <w:rFonts w:ascii="Arial" w:hAnsi="Arial"/>
                    <w:b/>
                    <w:snapToGrid/>
                  </w:rPr>
                </w:pPr>
                <w:r>
                  <w:rPr>
                    <w:rFonts w:ascii="Arial" w:hAnsi="Arial"/>
                    <w:b/>
                  </w:rPr>
                  <w:t>Federal Communications Commission</w:t>
                </w:r>
              </w:p>
              <w:p w:rsidR="00DE0AB8" w:rsidP="00DE0AB8" w14:paraId="258F84AE" w14:textId="77777777">
                <w:pPr>
                  <w:rPr>
                    <w:rFonts w:ascii="Arial" w:hAnsi="Arial"/>
                    <w:b/>
                  </w:rPr>
                </w:pPr>
                <w:r>
                  <w:rPr>
                    <w:rFonts w:ascii="Arial" w:hAnsi="Arial"/>
                    <w:b/>
                  </w:rPr>
                  <w:t>45 L Street NE</w:t>
                </w:r>
              </w:p>
              <w:p w:rsidR="009838BC" w:rsidP="00DE0AB8" w14:paraId="0DE1D17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4EDD2D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FD1CFD4" w14:textId="77777777">
                <w:pPr>
                  <w:spacing w:before="40"/>
                  <w:jc w:val="right"/>
                  <w:rPr>
                    <w:rFonts w:ascii="Arial" w:hAnsi="Arial"/>
                    <w:b/>
                    <w:sz w:val="16"/>
                  </w:rPr>
                </w:pPr>
                <w:r>
                  <w:rPr>
                    <w:rFonts w:ascii="Arial" w:hAnsi="Arial"/>
                    <w:b/>
                    <w:sz w:val="16"/>
                  </w:rPr>
                  <w:t>News Media Information 202 / 418-0500</w:t>
                </w:r>
              </w:p>
              <w:p w:rsidR="009838BC" w:rsidP="009838BC" w14:paraId="7F1E9EA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4BA488F" w14:textId="168F725D">
                <w:pPr>
                  <w:jc w:val="right"/>
                </w:pPr>
              </w:p>
            </w:txbxContent>
          </v:textbox>
        </v:shape>
      </w:pict>
    </w:r>
  </w:p>
  <w:p w:rsidR="006F7393" w:rsidRPr="009838BC" w:rsidP="009838BC" w14:paraId="42BDC06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BC"/>
    <w:rsid w:val="000072CE"/>
    <w:rsid w:val="00013A8B"/>
    <w:rsid w:val="00021445"/>
    <w:rsid w:val="00036039"/>
    <w:rsid w:val="00037F90"/>
    <w:rsid w:val="00077C10"/>
    <w:rsid w:val="000875BF"/>
    <w:rsid w:val="00096D8C"/>
    <w:rsid w:val="00097A5C"/>
    <w:rsid w:val="000C0B65"/>
    <w:rsid w:val="000E3D42"/>
    <w:rsid w:val="000E5884"/>
    <w:rsid w:val="0010342F"/>
    <w:rsid w:val="00122BD5"/>
    <w:rsid w:val="0015114C"/>
    <w:rsid w:val="001528B4"/>
    <w:rsid w:val="00191B1E"/>
    <w:rsid w:val="001979D9"/>
    <w:rsid w:val="001D6BCF"/>
    <w:rsid w:val="001E01CA"/>
    <w:rsid w:val="002060D9"/>
    <w:rsid w:val="00226822"/>
    <w:rsid w:val="00260594"/>
    <w:rsid w:val="00263882"/>
    <w:rsid w:val="00285017"/>
    <w:rsid w:val="002860A6"/>
    <w:rsid w:val="002A2D2E"/>
    <w:rsid w:val="002B598A"/>
    <w:rsid w:val="002E19A8"/>
    <w:rsid w:val="00306B99"/>
    <w:rsid w:val="00343749"/>
    <w:rsid w:val="00357D50"/>
    <w:rsid w:val="003925DC"/>
    <w:rsid w:val="003B0550"/>
    <w:rsid w:val="003B694F"/>
    <w:rsid w:val="003E7A2E"/>
    <w:rsid w:val="003F171C"/>
    <w:rsid w:val="00401A5D"/>
    <w:rsid w:val="00412FC5"/>
    <w:rsid w:val="00422276"/>
    <w:rsid w:val="004242F1"/>
    <w:rsid w:val="00433E9E"/>
    <w:rsid w:val="00445A00"/>
    <w:rsid w:val="00451B0F"/>
    <w:rsid w:val="0046125F"/>
    <w:rsid w:val="00487524"/>
    <w:rsid w:val="00494E06"/>
    <w:rsid w:val="00496106"/>
    <w:rsid w:val="004C12D0"/>
    <w:rsid w:val="004C2EE3"/>
    <w:rsid w:val="004E4A22"/>
    <w:rsid w:val="00511968"/>
    <w:rsid w:val="0054134B"/>
    <w:rsid w:val="0055614C"/>
    <w:rsid w:val="00563FCC"/>
    <w:rsid w:val="00591BEE"/>
    <w:rsid w:val="005D6FB3"/>
    <w:rsid w:val="006063AE"/>
    <w:rsid w:val="00607BA5"/>
    <w:rsid w:val="00626EB6"/>
    <w:rsid w:val="006353A3"/>
    <w:rsid w:val="006413E7"/>
    <w:rsid w:val="00655D03"/>
    <w:rsid w:val="00683F84"/>
    <w:rsid w:val="00691864"/>
    <w:rsid w:val="006A6A81"/>
    <w:rsid w:val="006E26AF"/>
    <w:rsid w:val="006F5A8D"/>
    <w:rsid w:val="006F7393"/>
    <w:rsid w:val="0070224F"/>
    <w:rsid w:val="007115F7"/>
    <w:rsid w:val="00756DDD"/>
    <w:rsid w:val="007818CC"/>
    <w:rsid w:val="00785689"/>
    <w:rsid w:val="0079754B"/>
    <w:rsid w:val="007A1E6D"/>
    <w:rsid w:val="007D28BC"/>
    <w:rsid w:val="007F4A5D"/>
    <w:rsid w:val="00822CE0"/>
    <w:rsid w:val="00837C62"/>
    <w:rsid w:val="00841AB1"/>
    <w:rsid w:val="00893B45"/>
    <w:rsid w:val="008A353B"/>
    <w:rsid w:val="008C22FD"/>
    <w:rsid w:val="008C2A06"/>
    <w:rsid w:val="00910F12"/>
    <w:rsid w:val="00926503"/>
    <w:rsid w:val="00930ECF"/>
    <w:rsid w:val="009838BC"/>
    <w:rsid w:val="009E5C9C"/>
    <w:rsid w:val="00A43742"/>
    <w:rsid w:val="00A45F4F"/>
    <w:rsid w:val="00A600A9"/>
    <w:rsid w:val="00A8019C"/>
    <w:rsid w:val="00A866AC"/>
    <w:rsid w:val="00A9225F"/>
    <w:rsid w:val="00AA55B7"/>
    <w:rsid w:val="00AA5B9E"/>
    <w:rsid w:val="00AB2407"/>
    <w:rsid w:val="00AB53DF"/>
    <w:rsid w:val="00AE2570"/>
    <w:rsid w:val="00AF74A4"/>
    <w:rsid w:val="00B07E5C"/>
    <w:rsid w:val="00B324A6"/>
    <w:rsid w:val="00B326E3"/>
    <w:rsid w:val="00B811F7"/>
    <w:rsid w:val="00BA5DC6"/>
    <w:rsid w:val="00BA6196"/>
    <w:rsid w:val="00BC6D8C"/>
    <w:rsid w:val="00C120F7"/>
    <w:rsid w:val="00C16AF2"/>
    <w:rsid w:val="00C257CE"/>
    <w:rsid w:val="00C3015A"/>
    <w:rsid w:val="00C34006"/>
    <w:rsid w:val="00C426B1"/>
    <w:rsid w:val="00C64EC9"/>
    <w:rsid w:val="00C737E8"/>
    <w:rsid w:val="00C82B6B"/>
    <w:rsid w:val="00C90D6A"/>
    <w:rsid w:val="00C97C40"/>
    <w:rsid w:val="00CC285F"/>
    <w:rsid w:val="00CC4ACF"/>
    <w:rsid w:val="00CC72B6"/>
    <w:rsid w:val="00D0218D"/>
    <w:rsid w:val="00D07713"/>
    <w:rsid w:val="00D14B88"/>
    <w:rsid w:val="00D216CD"/>
    <w:rsid w:val="00D223D9"/>
    <w:rsid w:val="00D276E0"/>
    <w:rsid w:val="00D36739"/>
    <w:rsid w:val="00DA2529"/>
    <w:rsid w:val="00DB130A"/>
    <w:rsid w:val="00DC10A1"/>
    <w:rsid w:val="00DC655F"/>
    <w:rsid w:val="00DC6C5A"/>
    <w:rsid w:val="00DD7EBD"/>
    <w:rsid w:val="00DE0AB8"/>
    <w:rsid w:val="00DF62B6"/>
    <w:rsid w:val="00E05CB9"/>
    <w:rsid w:val="00E07225"/>
    <w:rsid w:val="00E155B7"/>
    <w:rsid w:val="00E5409F"/>
    <w:rsid w:val="00E63D7E"/>
    <w:rsid w:val="00EC0185"/>
    <w:rsid w:val="00EC65CE"/>
    <w:rsid w:val="00EE7BB9"/>
    <w:rsid w:val="00F00DDD"/>
    <w:rsid w:val="00F021FA"/>
    <w:rsid w:val="00F57ACA"/>
    <w:rsid w:val="00F62E97"/>
    <w:rsid w:val="00F64209"/>
    <w:rsid w:val="00F86E0D"/>
    <w:rsid w:val="00F93BF5"/>
    <w:rsid w:val="00F96F63"/>
    <w:rsid w:val="00FC24F7"/>
    <w:rsid w:val="03340E7E"/>
    <w:rsid w:val="413888AE"/>
    <w:rsid w:val="6C3B50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52DFDB"/>
  <w15:chartTrackingRefBased/>
  <w15:docId w15:val="{12B851B8-26D7-4E07-810E-3BFD967E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B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uiPriority w:val="99"/>
    <w:semiHidden/>
    <w:unhideWhenUsed/>
    <w:rsid w:val="007D28BC"/>
    <w:rPr>
      <w:color w:val="605E5C"/>
      <w:shd w:val="clear" w:color="auto" w:fill="E1DFDD"/>
    </w:rPr>
  </w:style>
  <w:style w:type="character" w:styleId="CommentReference">
    <w:name w:val="annotation reference"/>
    <w:uiPriority w:val="99"/>
    <w:semiHidden/>
    <w:unhideWhenUsed/>
    <w:rsid w:val="007D28BC"/>
    <w:rPr>
      <w:sz w:val="16"/>
      <w:szCs w:val="16"/>
    </w:rPr>
  </w:style>
  <w:style w:type="paragraph" w:styleId="CommentText">
    <w:name w:val="annotation text"/>
    <w:basedOn w:val="Normal"/>
    <w:link w:val="CommentTextChar"/>
    <w:uiPriority w:val="99"/>
    <w:unhideWhenUsed/>
    <w:rsid w:val="007D28BC"/>
    <w:rPr>
      <w:sz w:val="20"/>
    </w:rPr>
  </w:style>
  <w:style w:type="character" w:customStyle="1" w:styleId="CommentTextChar">
    <w:name w:val="Comment Text Char"/>
    <w:basedOn w:val="DefaultParagraphFont"/>
    <w:link w:val="CommentText"/>
    <w:uiPriority w:val="99"/>
    <w:rsid w:val="007D28BC"/>
    <w:rPr>
      <w:snapToGrid w:val="0"/>
      <w:kern w:val="28"/>
    </w:rPr>
  </w:style>
  <w:style w:type="paragraph" w:styleId="CommentSubject">
    <w:name w:val="annotation subject"/>
    <w:basedOn w:val="CommentText"/>
    <w:next w:val="CommentText"/>
    <w:link w:val="CommentSubjectChar"/>
    <w:uiPriority w:val="99"/>
    <w:semiHidden/>
    <w:unhideWhenUsed/>
    <w:rsid w:val="007D28BC"/>
    <w:rPr>
      <w:b/>
      <w:bCs/>
    </w:rPr>
  </w:style>
  <w:style w:type="character" w:customStyle="1" w:styleId="CommentSubjectChar">
    <w:name w:val="Comment Subject Char"/>
    <w:basedOn w:val="CommentTextChar"/>
    <w:link w:val="CommentSubject"/>
    <w:uiPriority w:val="99"/>
    <w:semiHidden/>
    <w:rsid w:val="007D28BC"/>
    <w:rPr>
      <w:b/>
      <w:bCs/>
      <w:snapToGrid w:val="0"/>
      <w:kern w:val="28"/>
    </w:rPr>
  </w:style>
  <w:style w:type="character" w:customStyle="1" w:styleId="ql-editor">
    <w:name w:val="ql-editor"/>
    <w:rsid w:val="007D28BC"/>
  </w:style>
  <w:style w:type="character" w:styleId="FollowedHyperlink">
    <w:name w:val="FollowedHyperlink"/>
    <w:uiPriority w:val="99"/>
    <w:semiHidden/>
    <w:unhideWhenUsed/>
    <w:rsid w:val="007D28BC"/>
    <w:rPr>
      <w:color w:val="954F72"/>
      <w:u w:val="single"/>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7D28BC"/>
  </w:style>
  <w:style w:type="character" w:customStyle="1" w:styleId="ParaNumChar">
    <w:name w:val="ParaNum Char"/>
    <w:link w:val="ParaNum"/>
    <w:rsid w:val="007D28BC"/>
    <w:rPr>
      <w:snapToGrid w:val="0"/>
      <w:kern w:val="28"/>
      <w:sz w:val="22"/>
    </w:rPr>
  </w:style>
  <w:style w:type="paragraph" w:styleId="Revision">
    <w:name w:val="Revision"/>
    <w:hidden/>
    <w:uiPriority w:val="99"/>
    <w:semiHidden/>
    <w:rsid w:val="007D28BC"/>
    <w:rPr>
      <w:snapToGrid w:val="0"/>
      <w:kern w:val="28"/>
      <w:sz w:val="22"/>
    </w:rPr>
  </w:style>
  <w:style w:type="paragraph" w:customStyle="1" w:styleId="msonormal">
    <w:name w:val="msonormal"/>
    <w:basedOn w:val="Normal"/>
    <w:rsid w:val="007D28BC"/>
    <w:pPr>
      <w:widowControl/>
      <w:spacing w:before="100" w:beforeAutospacing="1" w:after="100" w:afterAutospacing="1"/>
    </w:pPr>
    <w:rPr>
      <w:snapToGrid/>
      <w:kern w:val="0"/>
      <w:sz w:val="24"/>
      <w:szCs w:val="24"/>
    </w:rPr>
  </w:style>
  <w:style w:type="paragraph" w:customStyle="1" w:styleId="xl63">
    <w:name w:val="xl63"/>
    <w:basedOn w:val="Normal"/>
    <w:rsid w:val="007D28BC"/>
    <w:pPr>
      <w:widowControl/>
      <w:spacing w:before="100" w:beforeAutospacing="1" w:after="100" w:afterAutospacing="1"/>
      <w:jc w:val="center"/>
    </w:pPr>
    <w:rPr>
      <w:snapToGrid/>
      <w:kern w:val="0"/>
      <w:sz w:val="24"/>
      <w:szCs w:val="24"/>
    </w:rPr>
  </w:style>
  <w:style w:type="paragraph" w:customStyle="1" w:styleId="xl64">
    <w:name w:val="xl64"/>
    <w:basedOn w:val="Normal"/>
    <w:rsid w:val="007D28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24"/>
      <w:szCs w:val="24"/>
    </w:rPr>
  </w:style>
  <w:style w:type="paragraph" w:customStyle="1" w:styleId="xl65">
    <w:name w:val="xl65"/>
    <w:basedOn w:val="Normal"/>
    <w:rsid w:val="007D28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4"/>
      <w:szCs w:val="24"/>
    </w:rPr>
  </w:style>
  <w:style w:type="paragraph" w:customStyle="1" w:styleId="xl66">
    <w:name w:val="xl66"/>
    <w:basedOn w:val="Normal"/>
    <w:rsid w:val="007D28BC"/>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napToGrid/>
      <w:kern w:val="0"/>
      <w:sz w:val="24"/>
      <w:szCs w:val="24"/>
    </w:rPr>
  </w:style>
  <w:style w:type="paragraph" w:customStyle="1" w:styleId="xl67">
    <w:name w:val="xl67"/>
    <w:basedOn w:val="Normal"/>
    <w:rsid w:val="007D28B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napToGrid/>
      <w:kern w:val="0"/>
      <w:sz w:val="24"/>
      <w:szCs w:val="24"/>
    </w:rPr>
  </w:style>
  <w:style w:type="paragraph" w:customStyle="1" w:styleId="xl68">
    <w:name w:val="xl68"/>
    <w:basedOn w:val="Normal"/>
    <w:rsid w:val="007D28BC"/>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napToGrid/>
      <w:kern w:val="0"/>
      <w:sz w:val="24"/>
      <w:szCs w:val="24"/>
    </w:rPr>
  </w:style>
  <w:style w:type="paragraph" w:customStyle="1" w:styleId="xl69">
    <w:name w:val="xl69"/>
    <w:basedOn w:val="Normal"/>
    <w:rsid w:val="007D28BC"/>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napToGrid/>
      <w:kern w:val="0"/>
      <w:sz w:val="24"/>
      <w:szCs w:val="24"/>
    </w:rPr>
  </w:style>
  <w:style w:type="paragraph" w:customStyle="1" w:styleId="xl70">
    <w:name w:val="xl70"/>
    <w:basedOn w:val="Normal"/>
    <w:rsid w:val="007D28B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napToGrid/>
      <w:kern w:val="0"/>
      <w:sz w:val="24"/>
      <w:szCs w:val="24"/>
    </w:rPr>
  </w:style>
  <w:style w:type="paragraph" w:customStyle="1" w:styleId="xl71">
    <w:name w:val="xl71"/>
    <w:basedOn w:val="Normal"/>
    <w:rsid w:val="007D28B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napToGrid/>
      <w:kern w:val="0"/>
      <w:sz w:val="24"/>
      <w:szCs w:val="24"/>
    </w:rPr>
  </w:style>
  <w:style w:type="paragraph" w:customStyle="1" w:styleId="xl72">
    <w:name w:val="xl72"/>
    <w:basedOn w:val="Normal"/>
    <w:rsid w:val="007D28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4"/>
      <w:szCs w:val="24"/>
    </w:rPr>
  </w:style>
  <w:style w:type="paragraph" w:customStyle="1" w:styleId="xl73">
    <w:name w:val="xl73"/>
    <w:basedOn w:val="Normal"/>
    <w:rsid w:val="007D28B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napToGrid/>
      <w:kern w:val="0"/>
      <w:sz w:val="24"/>
      <w:szCs w:val="24"/>
    </w:rPr>
  </w:style>
  <w:style w:type="paragraph" w:customStyle="1" w:styleId="xl74">
    <w:name w:val="xl74"/>
    <w:basedOn w:val="Normal"/>
    <w:rsid w:val="007D28BC"/>
    <w:pPr>
      <w:widowControl/>
      <w:spacing w:before="100" w:beforeAutospacing="1" w:after="100" w:afterAutospacing="1"/>
      <w:jc w:val="center"/>
    </w:pPr>
    <w:rPr>
      <w:snapToGrid/>
      <w:kern w:val="0"/>
      <w:sz w:val="24"/>
      <w:szCs w:val="24"/>
    </w:rPr>
  </w:style>
  <w:style w:type="paragraph" w:customStyle="1" w:styleId="xl75">
    <w:name w:val="xl75"/>
    <w:basedOn w:val="Normal"/>
    <w:rsid w:val="007D28BC"/>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napToGrid/>
      <w:kern w:val="0"/>
      <w:sz w:val="24"/>
      <w:szCs w:val="24"/>
    </w:rPr>
  </w:style>
  <w:style w:type="paragraph" w:customStyle="1" w:styleId="xl76">
    <w:name w:val="xl76"/>
    <w:basedOn w:val="Normal"/>
    <w:rsid w:val="007D28B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napToGrid/>
      <w:kern w:val="0"/>
      <w:sz w:val="24"/>
      <w:szCs w:val="24"/>
    </w:rPr>
  </w:style>
  <w:style w:type="paragraph" w:customStyle="1" w:styleId="xl77">
    <w:name w:val="xl77"/>
    <w:basedOn w:val="Normal"/>
    <w:rsid w:val="007D28BC"/>
    <w:pPr>
      <w:widowControl/>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snapToGrid/>
      <w:kern w:val="0"/>
      <w:sz w:val="24"/>
      <w:szCs w:val="24"/>
    </w:rPr>
  </w:style>
  <w:style w:type="paragraph" w:customStyle="1" w:styleId="xl78">
    <w:name w:val="xl78"/>
    <w:basedOn w:val="Normal"/>
    <w:rsid w:val="007D28B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napToGrid/>
      <w:kern w:val="0"/>
      <w:sz w:val="24"/>
      <w:szCs w:val="24"/>
    </w:rPr>
  </w:style>
  <w:style w:type="paragraph" w:customStyle="1" w:styleId="xl79">
    <w:name w:val="xl79"/>
    <w:basedOn w:val="Normal"/>
    <w:rsid w:val="007D28BC"/>
    <w:pPr>
      <w:widowControl/>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snapToGrid/>
      <w:kern w:val="0"/>
      <w:sz w:val="24"/>
      <w:szCs w:val="24"/>
    </w:rPr>
  </w:style>
  <w:style w:type="paragraph" w:customStyle="1" w:styleId="xl80">
    <w:name w:val="xl80"/>
    <w:basedOn w:val="Normal"/>
    <w:rsid w:val="007D28BC"/>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napToGrid/>
      <w:kern w:val="0"/>
      <w:sz w:val="24"/>
      <w:szCs w:val="24"/>
    </w:rPr>
  </w:style>
  <w:style w:type="paragraph" w:customStyle="1" w:styleId="xl81">
    <w:name w:val="xl81"/>
    <w:basedOn w:val="Normal"/>
    <w:rsid w:val="007D28BC"/>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napToGrid/>
      <w:kern w:val="0"/>
      <w:sz w:val="24"/>
      <w:szCs w:val="24"/>
    </w:rPr>
  </w:style>
  <w:style w:type="paragraph" w:customStyle="1" w:styleId="xl82">
    <w:name w:val="xl82"/>
    <w:basedOn w:val="Normal"/>
    <w:rsid w:val="007D28B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4"/>
      <w:szCs w:val="24"/>
    </w:rPr>
  </w:style>
  <w:style w:type="paragraph" w:customStyle="1" w:styleId="xl83">
    <w:name w:val="xl83"/>
    <w:basedOn w:val="Normal"/>
    <w:rsid w:val="007D28BC"/>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24"/>
      <w:szCs w:val="24"/>
    </w:rPr>
  </w:style>
  <w:style w:type="paragraph" w:customStyle="1" w:styleId="xl84">
    <w:name w:val="xl84"/>
    <w:basedOn w:val="Normal"/>
    <w:rsid w:val="007D28B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4"/>
      <w:szCs w:val="24"/>
    </w:rPr>
  </w:style>
  <w:style w:type="paragraph" w:customStyle="1" w:styleId="xl85">
    <w:name w:val="xl85"/>
    <w:basedOn w:val="Normal"/>
    <w:rsid w:val="007D28B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napToGrid/>
      <w:kern w:val="0"/>
      <w:sz w:val="24"/>
      <w:szCs w:val="24"/>
    </w:rPr>
  </w:style>
  <w:style w:type="character" w:styleId="Mention">
    <w:name w:val="Mention"/>
    <w:uiPriority w:val="99"/>
    <w:unhideWhenUsed/>
    <w:rsid w:val="007D28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ntia-usda-sign-interagency-pact-broadband-funding-deployment" TargetMode="External" /><Relationship Id="rId2" Type="http://schemas.openxmlformats.org/officeDocument/2006/relationships/hyperlink" Target="https://www.fcc.gov/document/fcc-ntia-usda-treasury-announce-broadband-info-sharing-agreement" TargetMode="External" /><Relationship Id="rId3" Type="http://schemas.openxmlformats.org/officeDocument/2006/relationships/hyperlink" Target="https://broadbandusa.ntia.doc.gov/sites/default/files/2022-05/BEAD%20NOFO.pdf" TargetMode="External" /><Relationship Id="rId4" Type="http://schemas.openxmlformats.org/officeDocument/2006/relationships/hyperlink" Target="https://www.ntia.gov/sites/default/files/2023-07/ntia-tbcp-round2-nofo.pdf" TargetMode="External" /><Relationship Id="rId5" Type="http://schemas.openxmlformats.org/officeDocument/2006/relationships/hyperlink" Target="https://home.treasury.gov/system/files/136/Capital-Projects-Fund-Guidance-States-Territories-and-Freely-Associated-States.pdf" TargetMode="External" /><Relationship Id="rId6" Type="http://schemas.openxmlformats.org/officeDocument/2006/relationships/hyperlink" Target="https://broadbandmap.fcc.gov/home"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