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3C1B" w:rsidRPr="00773C1B" w:rsidP="007E361C" w14:paraId="23D3A9E9" w14:textId="2B2F5D25">
      <w:pPr>
        <w:tabs>
          <w:tab w:val="left" w:pos="6480"/>
        </w:tabs>
        <w:spacing w:after="120"/>
        <w:contextualSpacing/>
        <w:rPr>
          <w:b/>
          <w:bCs/>
          <w:szCs w:val="22"/>
        </w:rPr>
      </w:pPr>
      <w:r>
        <w:rPr>
          <w:szCs w:val="22"/>
        </w:rPr>
        <w:t xml:space="preserve"> </w:t>
      </w:r>
      <w:r w:rsidRPr="00FF24DF" w:rsidR="00533B3B">
        <w:rPr>
          <w:szCs w:val="22"/>
        </w:rPr>
        <w:tab/>
      </w:r>
      <w:r>
        <w:rPr>
          <w:b/>
          <w:bCs/>
          <w:szCs w:val="22"/>
        </w:rPr>
        <w:t>DA 2</w:t>
      </w:r>
      <w:r w:rsidR="00F827B8">
        <w:rPr>
          <w:b/>
          <w:bCs/>
          <w:szCs w:val="22"/>
        </w:rPr>
        <w:t>4</w:t>
      </w:r>
      <w:r w:rsidR="006E001E">
        <w:rPr>
          <w:b/>
          <w:bCs/>
          <w:szCs w:val="22"/>
        </w:rPr>
        <w:t>-186</w:t>
      </w:r>
    </w:p>
    <w:p w:rsidR="00372B80" w:rsidRPr="002B3117" w:rsidP="007E361C" w14:paraId="1917E9EC" w14:textId="0A2A1D20">
      <w:pPr>
        <w:tabs>
          <w:tab w:val="left" w:pos="6480"/>
        </w:tabs>
        <w:spacing w:after="120"/>
        <w:contextualSpacing/>
        <w:rPr>
          <w:bCs/>
          <w:i/>
          <w:szCs w:val="22"/>
        </w:rPr>
      </w:pPr>
      <w:r>
        <w:rPr>
          <w:szCs w:val="22"/>
        </w:rPr>
        <w:tab/>
      </w:r>
      <w:r w:rsidRPr="007A4DB9" w:rsidR="00533B3B">
        <w:rPr>
          <w:i/>
        </w:rPr>
        <w:t xml:space="preserve">In Reply Refer to: </w:t>
      </w:r>
    </w:p>
    <w:p w:rsidR="00684FEE" w:rsidP="007E361C" w14:paraId="4575C87E" w14:textId="6B024FC6">
      <w:pPr>
        <w:tabs>
          <w:tab w:val="left" w:pos="6480"/>
        </w:tabs>
        <w:spacing w:after="120"/>
        <w:contextualSpacing/>
      </w:pPr>
      <w:r w:rsidRPr="002B3117">
        <w:rPr>
          <w:bCs/>
          <w:i/>
          <w:szCs w:val="22"/>
        </w:rPr>
        <w:tab/>
      </w:r>
      <w:r w:rsidRPr="007A4DB9">
        <w:t>1800B3</w:t>
      </w:r>
      <w:r w:rsidRPr="007A4DB9" w:rsidR="00111449">
        <w:t>-</w:t>
      </w:r>
      <w:r w:rsidR="00D7104C">
        <w:t>ARR</w:t>
      </w:r>
    </w:p>
    <w:p w:rsidR="00773C1B" w:rsidP="007E361C" w14:paraId="471618EF" w14:textId="70BAFE39">
      <w:pPr>
        <w:tabs>
          <w:tab w:val="left" w:pos="6480"/>
        </w:tabs>
        <w:spacing w:after="120"/>
        <w:contextualSpacing/>
      </w:pPr>
      <w:r>
        <w:tab/>
        <w:t xml:space="preserve">Released: </w:t>
      </w:r>
      <w:r w:rsidR="006E001E">
        <w:t>February 29, 2024</w:t>
      </w:r>
    </w:p>
    <w:p w:rsidR="004E1F6A" w:rsidRPr="00F15610" w:rsidP="007E361C" w14:paraId="1BF8D73D" w14:textId="22883D95">
      <w:pPr>
        <w:pStyle w:val="NormalWeb"/>
        <w:shd w:val="clear" w:color="auto" w:fill="FFFFFF"/>
        <w:spacing w:before="0" w:beforeAutospacing="0" w:after="120" w:afterAutospacing="0"/>
        <w:contextualSpacing/>
        <w:rPr>
          <w:szCs w:val="22"/>
        </w:rPr>
      </w:pPr>
      <w:r w:rsidRPr="0040601D">
        <w:rPr>
          <w:szCs w:val="22"/>
        </w:rPr>
        <w:t>Aire Broadcasting Foundation</w:t>
      </w:r>
    </w:p>
    <w:p w:rsidR="0040601D" w:rsidRPr="0040601D" w:rsidP="007E361C" w14:paraId="3F018388" w14:textId="0DE70910">
      <w:pPr>
        <w:pStyle w:val="NormalWeb"/>
        <w:shd w:val="clear" w:color="auto" w:fill="FFFFFF"/>
        <w:spacing w:before="0" w:beforeAutospacing="0" w:after="120" w:afterAutospacing="0"/>
        <w:contextualSpacing/>
        <w:rPr>
          <w:szCs w:val="22"/>
        </w:rPr>
      </w:pPr>
      <w:r w:rsidRPr="00F15610">
        <w:rPr>
          <w:szCs w:val="22"/>
        </w:rPr>
        <w:t xml:space="preserve">c/o </w:t>
      </w:r>
      <w:r>
        <w:rPr>
          <w:szCs w:val="22"/>
        </w:rPr>
        <w:t>J</w:t>
      </w:r>
      <w:r w:rsidRPr="0040601D">
        <w:rPr>
          <w:szCs w:val="22"/>
        </w:rPr>
        <w:t xml:space="preserve">ustin </w:t>
      </w:r>
      <w:r>
        <w:rPr>
          <w:szCs w:val="22"/>
        </w:rPr>
        <w:t>M</w:t>
      </w:r>
      <w:r w:rsidRPr="0040601D">
        <w:rPr>
          <w:szCs w:val="22"/>
        </w:rPr>
        <w:t>artinez</w:t>
      </w:r>
    </w:p>
    <w:p w:rsidR="0040601D" w:rsidRPr="0040601D" w:rsidP="007E361C" w14:paraId="352B2B15" w14:textId="73533638">
      <w:pPr>
        <w:pStyle w:val="NormalWeb"/>
        <w:shd w:val="clear" w:color="auto" w:fill="FFFFFF"/>
        <w:spacing w:before="0" w:beforeAutospacing="0" w:after="120" w:afterAutospacing="0"/>
        <w:contextualSpacing/>
        <w:rPr>
          <w:szCs w:val="22"/>
        </w:rPr>
      </w:pPr>
      <w:r w:rsidRPr="0040601D">
        <w:rPr>
          <w:szCs w:val="22"/>
        </w:rPr>
        <w:t xml:space="preserve">879 </w:t>
      </w:r>
      <w:r>
        <w:rPr>
          <w:szCs w:val="22"/>
        </w:rPr>
        <w:t>S</w:t>
      </w:r>
      <w:r w:rsidRPr="0040601D">
        <w:rPr>
          <w:szCs w:val="22"/>
        </w:rPr>
        <w:t xml:space="preserve">tockton </w:t>
      </w:r>
      <w:r>
        <w:rPr>
          <w:szCs w:val="22"/>
        </w:rPr>
        <w:t>M</w:t>
      </w:r>
      <w:r w:rsidRPr="0040601D">
        <w:rPr>
          <w:szCs w:val="22"/>
        </w:rPr>
        <w:t xml:space="preserve">ountain </w:t>
      </w:r>
      <w:r>
        <w:rPr>
          <w:szCs w:val="22"/>
        </w:rPr>
        <w:t>R</w:t>
      </w:r>
      <w:r w:rsidRPr="0040601D">
        <w:rPr>
          <w:szCs w:val="22"/>
        </w:rPr>
        <w:t>d</w:t>
      </w:r>
      <w:r>
        <w:rPr>
          <w:szCs w:val="22"/>
        </w:rPr>
        <w:t>.</w:t>
      </w:r>
    </w:p>
    <w:p w:rsidR="000154F5" w:rsidRPr="00F15610" w:rsidP="00A63D23" w14:paraId="2FC75755" w14:textId="25760684">
      <w:pPr>
        <w:pStyle w:val="NormalWeb"/>
        <w:shd w:val="clear" w:color="auto" w:fill="FFFFFF"/>
        <w:spacing w:before="0" w:beforeAutospacing="0" w:after="0" w:afterAutospacing="0"/>
        <w:contextualSpacing/>
      </w:pPr>
      <w:r>
        <w:rPr>
          <w:szCs w:val="22"/>
        </w:rPr>
        <w:t>B</w:t>
      </w:r>
      <w:r w:rsidRPr="0040601D">
        <w:rPr>
          <w:szCs w:val="22"/>
        </w:rPr>
        <w:t xml:space="preserve">eaver </w:t>
      </w:r>
      <w:r>
        <w:rPr>
          <w:szCs w:val="22"/>
        </w:rPr>
        <w:t>M</w:t>
      </w:r>
      <w:r w:rsidRPr="0040601D">
        <w:rPr>
          <w:szCs w:val="22"/>
        </w:rPr>
        <w:t>e</w:t>
      </w:r>
      <w:r w:rsidR="002753C5">
        <w:rPr>
          <w:szCs w:val="22"/>
        </w:rPr>
        <w:t>ad</w:t>
      </w:r>
      <w:r w:rsidRPr="0040601D">
        <w:rPr>
          <w:szCs w:val="22"/>
        </w:rPr>
        <w:t>ows, PA 18216</w:t>
      </w:r>
    </w:p>
    <w:p w:rsidR="00115971" w:rsidP="00A63D23" w14:paraId="48E6EC8E" w14:textId="141A919D">
      <w:pPr>
        <w:widowControl w:val="0"/>
        <w:tabs>
          <w:tab w:val="left" w:pos="4140"/>
          <w:tab w:val="left" w:pos="4860"/>
        </w:tabs>
        <w:contextualSpacing/>
      </w:pPr>
      <w:hyperlink r:id="rId5" w:history="1">
        <w:r w:rsidRPr="00654B3D" w:rsidR="00DB4F40">
          <w:rPr>
            <w:rStyle w:val="Hyperlink"/>
          </w:rPr>
          <w:t>jkimomartinez@gmail.com</w:t>
        </w:r>
      </w:hyperlink>
    </w:p>
    <w:p w:rsidR="00AD1E51" w:rsidRPr="00AD1E51" w:rsidP="007E361C" w14:paraId="28FE9CB6" w14:textId="29212A12">
      <w:pPr>
        <w:widowControl w:val="0"/>
        <w:spacing w:after="120"/>
        <w:ind w:left="4320" w:firstLine="720"/>
        <w:contextualSpacing/>
        <w:rPr>
          <w:szCs w:val="22"/>
        </w:rPr>
      </w:pPr>
      <w:r w:rsidRPr="00476A28">
        <w:rPr>
          <w:szCs w:val="22"/>
        </w:rPr>
        <w:t>Re</w:t>
      </w:r>
      <w:bookmarkStart w:id="0" w:name="_Hlk62581650"/>
      <w:bookmarkStart w:id="1" w:name="_Hlk18670527"/>
      <w:r w:rsidRPr="00476A28">
        <w:rPr>
          <w:szCs w:val="22"/>
        </w:rPr>
        <w:t>:</w:t>
      </w:r>
      <w:r w:rsidRPr="005634FF">
        <w:rPr>
          <w:b/>
          <w:bCs/>
          <w:szCs w:val="22"/>
        </w:rPr>
        <w:t xml:space="preserve">  </w:t>
      </w:r>
      <w:r w:rsidRPr="005634FF">
        <w:rPr>
          <w:b/>
          <w:bCs/>
          <w:szCs w:val="22"/>
        </w:rPr>
        <w:tab/>
      </w:r>
      <w:bookmarkEnd w:id="0"/>
      <w:bookmarkEnd w:id="1"/>
      <w:r w:rsidR="00ED7502">
        <w:rPr>
          <w:b/>
          <w:bCs/>
          <w:szCs w:val="22"/>
        </w:rPr>
        <w:t>Aire Broadcasting Foundation</w:t>
      </w:r>
      <w:r w:rsidR="00ED7502">
        <w:rPr>
          <w:b/>
          <w:bCs/>
          <w:szCs w:val="22"/>
        </w:rPr>
        <w:tab/>
      </w:r>
    </w:p>
    <w:p w:rsidR="00322721" w:rsidRPr="000A4B36" w:rsidP="007E361C" w14:paraId="4B28F4BE" w14:textId="0EB9566D">
      <w:pPr>
        <w:spacing w:after="120"/>
        <w:ind w:left="5040" w:firstLine="720"/>
        <w:contextualSpacing/>
      </w:pPr>
      <w:r>
        <w:t xml:space="preserve">New LPFM, </w:t>
      </w:r>
      <w:r w:rsidR="000B40D0">
        <w:t>Hazleton, PA</w:t>
      </w:r>
    </w:p>
    <w:p w:rsidR="00322721" w:rsidRPr="000A4B36" w:rsidP="007E361C" w14:paraId="7D41F789" w14:textId="48572D07">
      <w:pPr>
        <w:spacing w:after="120"/>
        <w:contextualSpacing/>
      </w:pPr>
      <w:r w:rsidRPr="000A4B36">
        <w:tab/>
      </w:r>
      <w:r w:rsidRPr="000A4B36">
        <w:tab/>
      </w:r>
      <w:r w:rsidRPr="000A4B36">
        <w:tab/>
      </w:r>
      <w:r w:rsidRPr="000A4B36">
        <w:tab/>
      </w:r>
      <w:r w:rsidRPr="000A4B36">
        <w:tab/>
      </w:r>
      <w:r w:rsidRPr="000A4B36">
        <w:tab/>
      </w:r>
      <w:r w:rsidRPr="000A4B36">
        <w:tab/>
      </w:r>
      <w:r w:rsidRPr="000A4B36">
        <w:tab/>
        <w:t xml:space="preserve">Facility ID No. </w:t>
      </w:r>
      <w:r w:rsidRPr="000B40D0" w:rsidR="000B40D0">
        <w:t>787776</w:t>
      </w:r>
    </w:p>
    <w:p w:rsidR="00322721" w:rsidP="007E361C" w14:paraId="66C22CCB" w14:textId="5D076882">
      <w:pPr>
        <w:spacing w:after="120"/>
        <w:contextualSpacing/>
      </w:pPr>
      <w:r w:rsidRPr="000A4B36">
        <w:tab/>
      </w:r>
      <w:r w:rsidRPr="000A4B36">
        <w:tab/>
      </w:r>
      <w:r w:rsidRPr="000A4B36">
        <w:tab/>
      </w:r>
      <w:r w:rsidRPr="000A4B36">
        <w:tab/>
      </w:r>
      <w:r w:rsidRPr="000A4B36">
        <w:tab/>
      </w:r>
      <w:r w:rsidRPr="000A4B36">
        <w:tab/>
      </w:r>
      <w:r w:rsidRPr="000A4B36">
        <w:tab/>
      </w:r>
      <w:r w:rsidRPr="000A4B36">
        <w:tab/>
      </w:r>
      <w:r>
        <w:t xml:space="preserve">Application </w:t>
      </w:r>
      <w:r w:rsidRPr="000A4B36">
        <w:t xml:space="preserve">File No. </w:t>
      </w:r>
      <w:r w:rsidRPr="000B40D0" w:rsidR="000B40D0">
        <w:t>0000232190</w:t>
      </w:r>
    </w:p>
    <w:p w:rsidR="00766D7D" w:rsidP="007E361C" w14:paraId="7097EA61" w14:textId="77777777">
      <w:pPr>
        <w:widowControl w:val="0"/>
        <w:spacing w:after="120"/>
        <w:ind w:left="5040" w:firstLine="720"/>
        <w:contextualSpacing/>
        <w:rPr>
          <w:b/>
          <w:bCs/>
          <w:szCs w:val="22"/>
        </w:rPr>
      </w:pPr>
    </w:p>
    <w:p w:rsidR="00110647" w:rsidP="007E361C" w14:paraId="2F3946FD" w14:textId="679F9805">
      <w:pPr>
        <w:widowControl w:val="0"/>
        <w:spacing w:after="120"/>
        <w:ind w:left="5040" w:firstLine="720"/>
        <w:contextualSpacing/>
        <w:rPr>
          <w:b/>
          <w:bCs/>
          <w:szCs w:val="22"/>
        </w:rPr>
      </w:pPr>
      <w:r>
        <w:rPr>
          <w:b/>
          <w:bCs/>
          <w:szCs w:val="22"/>
        </w:rPr>
        <w:t>Petition for Reconsideration</w:t>
      </w:r>
    </w:p>
    <w:p w:rsidR="00684FEE" w:rsidRPr="00FF24DF" w:rsidP="007E361C" w14:paraId="7201DCA6" w14:textId="6A3C2C44">
      <w:pPr>
        <w:widowControl w:val="0"/>
        <w:tabs>
          <w:tab w:val="left" w:pos="4680"/>
          <w:tab w:val="left" w:pos="4860"/>
          <w:tab w:val="left" w:pos="5310"/>
        </w:tabs>
        <w:spacing w:after="120"/>
        <w:rPr>
          <w:szCs w:val="22"/>
        </w:rPr>
      </w:pPr>
      <w:r w:rsidRPr="00DC0B50">
        <w:rPr>
          <w:szCs w:val="22"/>
        </w:rPr>
        <w:t xml:space="preserve">Dear </w:t>
      </w:r>
      <w:r w:rsidR="002A6E02">
        <w:rPr>
          <w:szCs w:val="22"/>
        </w:rPr>
        <w:t>Applicant</w:t>
      </w:r>
      <w:r w:rsidRPr="00DC0B50">
        <w:rPr>
          <w:szCs w:val="22"/>
        </w:rPr>
        <w:t>:</w:t>
      </w:r>
    </w:p>
    <w:p w:rsidR="003F0E2C" w:rsidRPr="007F6F86" w:rsidP="007E361C" w14:paraId="4C7ABE0C" w14:textId="64E13848">
      <w:pPr>
        <w:suppressAutoHyphens/>
        <w:spacing w:after="120"/>
        <w:rPr>
          <w:szCs w:val="22"/>
        </w:rPr>
      </w:pPr>
      <w:r w:rsidRPr="00FF24DF">
        <w:rPr>
          <w:szCs w:val="22"/>
        </w:rPr>
        <w:tab/>
      </w:r>
      <w:r w:rsidRPr="003B2070" w:rsidR="003B2070">
        <w:rPr>
          <w:szCs w:val="22"/>
        </w:rPr>
        <w:t xml:space="preserve">We have before us the </w:t>
      </w:r>
      <w:r w:rsidR="00DF10D1">
        <w:rPr>
          <w:szCs w:val="22"/>
        </w:rPr>
        <w:t>Petition for Reconsideration (Petition)</w:t>
      </w:r>
      <w:r>
        <w:rPr>
          <w:rStyle w:val="FootnoteReference"/>
          <w:szCs w:val="22"/>
        </w:rPr>
        <w:footnoteReference w:id="3"/>
      </w:r>
      <w:r w:rsidR="00DF10D1">
        <w:rPr>
          <w:szCs w:val="22"/>
        </w:rPr>
        <w:t xml:space="preserve"> </w:t>
      </w:r>
      <w:r w:rsidRPr="003B2070" w:rsidR="003B2070">
        <w:rPr>
          <w:szCs w:val="22"/>
        </w:rPr>
        <w:t xml:space="preserve">filed by </w:t>
      </w:r>
      <w:r w:rsidRPr="002763D4" w:rsidR="002763D4">
        <w:rPr>
          <w:szCs w:val="22"/>
        </w:rPr>
        <w:t>Aire Broadcasting Foundation</w:t>
      </w:r>
      <w:r w:rsidR="002763D4">
        <w:rPr>
          <w:szCs w:val="22"/>
        </w:rPr>
        <w:t xml:space="preserve"> </w:t>
      </w:r>
      <w:r w:rsidRPr="003B2070" w:rsidR="003B2070">
        <w:rPr>
          <w:szCs w:val="22"/>
        </w:rPr>
        <w:t>(</w:t>
      </w:r>
      <w:r w:rsidR="0013577B">
        <w:rPr>
          <w:szCs w:val="22"/>
        </w:rPr>
        <w:t>Petitioner</w:t>
      </w:r>
      <w:r w:rsidRPr="003B2070" w:rsidR="003B2070">
        <w:rPr>
          <w:szCs w:val="22"/>
        </w:rPr>
        <w:t>)</w:t>
      </w:r>
      <w:r w:rsidR="00491E4B">
        <w:rPr>
          <w:szCs w:val="22"/>
        </w:rPr>
        <w:t>, seeking reconsideration of</w:t>
      </w:r>
      <w:r w:rsidRPr="003B2070" w:rsidR="003B2070">
        <w:rPr>
          <w:szCs w:val="22"/>
        </w:rPr>
        <w:t xml:space="preserve"> </w:t>
      </w:r>
      <w:r w:rsidR="00491E4B">
        <w:rPr>
          <w:szCs w:val="22"/>
        </w:rPr>
        <w:t xml:space="preserve">the Media Bureau’s (Bureau) dismissal of </w:t>
      </w:r>
      <w:r w:rsidR="0065486E">
        <w:rPr>
          <w:szCs w:val="22"/>
        </w:rPr>
        <w:t>Petitioner’s</w:t>
      </w:r>
      <w:r w:rsidR="00491E4B">
        <w:rPr>
          <w:szCs w:val="22"/>
        </w:rPr>
        <w:t xml:space="preserve"> </w:t>
      </w:r>
      <w:r w:rsidR="0065486E">
        <w:rPr>
          <w:szCs w:val="22"/>
        </w:rPr>
        <w:t>a</w:t>
      </w:r>
      <w:r w:rsidR="00491E4B">
        <w:rPr>
          <w:szCs w:val="22"/>
        </w:rPr>
        <w:t>pplication</w:t>
      </w:r>
      <w:r w:rsidR="00325A69">
        <w:rPr>
          <w:szCs w:val="22"/>
        </w:rPr>
        <w:t xml:space="preserve"> (Application)</w:t>
      </w:r>
      <w:r w:rsidRPr="003B2070" w:rsidR="00491E4B">
        <w:rPr>
          <w:szCs w:val="22"/>
        </w:rPr>
        <w:t xml:space="preserve"> </w:t>
      </w:r>
      <w:r w:rsidRPr="003B2070" w:rsidR="003B2070">
        <w:rPr>
          <w:szCs w:val="22"/>
        </w:rPr>
        <w:t xml:space="preserve">for a construction permit for a new low power FM (LPFM) station at </w:t>
      </w:r>
      <w:r w:rsidR="0080627D">
        <w:rPr>
          <w:szCs w:val="22"/>
        </w:rPr>
        <w:t>Hazleton, Pennsylvania</w:t>
      </w:r>
      <w:r w:rsidRPr="003B2070" w:rsidR="003B2070">
        <w:rPr>
          <w:szCs w:val="22"/>
        </w:rPr>
        <w:t>.</w:t>
      </w:r>
      <w:r>
        <w:rPr>
          <w:rStyle w:val="FootnoteReference"/>
          <w:szCs w:val="22"/>
        </w:rPr>
        <w:footnoteReference w:id="4"/>
      </w:r>
      <w:r w:rsidRPr="003B2070" w:rsidR="003B2070">
        <w:rPr>
          <w:szCs w:val="22"/>
        </w:rPr>
        <w:t xml:space="preserve">  For the reasons set forth below, we </w:t>
      </w:r>
      <w:r w:rsidR="008449AB">
        <w:rPr>
          <w:szCs w:val="22"/>
        </w:rPr>
        <w:t>deny</w:t>
      </w:r>
      <w:r w:rsidRPr="003B2070" w:rsidR="003B2070">
        <w:rPr>
          <w:szCs w:val="22"/>
        </w:rPr>
        <w:t xml:space="preserve"> the </w:t>
      </w:r>
      <w:r w:rsidR="008449AB">
        <w:rPr>
          <w:szCs w:val="22"/>
        </w:rPr>
        <w:t>Petition</w:t>
      </w:r>
      <w:r w:rsidRPr="003B2070" w:rsidR="003B2070">
        <w:rPr>
          <w:szCs w:val="22"/>
        </w:rPr>
        <w:t>.</w:t>
      </w:r>
    </w:p>
    <w:p w:rsidR="00A7051C" w:rsidP="007E361C" w14:paraId="20D88C54" w14:textId="43E83800">
      <w:pPr>
        <w:spacing w:after="120"/>
        <w:ind w:firstLine="720"/>
      </w:pPr>
      <w:r w:rsidRPr="00141ED4">
        <w:rPr>
          <w:b/>
          <w:bCs/>
          <w:szCs w:val="22"/>
        </w:rPr>
        <w:t>Background</w:t>
      </w:r>
      <w:r>
        <w:rPr>
          <w:szCs w:val="22"/>
        </w:rPr>
        <w:t>.</w:t>
      </w:r>
      <w:r w:rsidR="00933157">
        <w:rPr>
          <w:szCs w:val="22"/>
        </w:rPr>
        <w:t xml:space="preserve">  </w:t>
      </w:r>
      <w:r w:rsidR="006F2519">
        <w:rPr>
          <w:szCs w:val="22"/>
        </w:rPr>
        <w:t>Petitioner</w:t>
      </w:r>
      <w:r w:rsidR="008171BD">
        <w:rPr>
          <w:szCs w:val="22"/>
        </w:rPr>
        <w:t xml:space="preserve"> </w:t>
      </w:r>
      <w:r w:rsidRPr="00A62ED5" w:rsidR="008171BD">
        <w:t>filed the Application during the 202</w:t>
      </w:r>
      <w:r w:rsidR="008171BD">
        <w:t>3</w:t>
      </w:r>
      <w:r w:rsidRPr="00A62ED5" w:rsidR="008171BD">
        <w:t xml:space="preserve"> </w:t>
      </w:r>
      <w:r w:rsidR="008171BD">
        <w:t>LPFM</w:t>
      </w:r>
      <w:r w:rsidRPr="00A62ED5" w:rsidR="008171BD">
        <w:t xml:space="preserve"> Filing Window</w:t>
      </w:r>
      <w:r w:rsidR="00C350AB">
        <w:t>,</w:t>
      </w:r>
      <w:r>
        <w:rPr>
          <w:rStyle w:val="FootnoteReference"/>
        </w:rPr>
        <w:footnoteReference w:id="5"/>
      </w:r>
      <w:r w:rsidR="008171BD">
        <w:t xml:space="preserve"> </w:t>
      </w:r>
      <w:r w:rsidR="007C3557">
        <w:t xml:space="preserve"> </w:t>
      </w:r>
      <w:r w:rsidR="00C350AB">
        <w:t>and</w:t>
      </w:r>
      <w:r w:rsidR="006D50F0">
        <w:t xml:space="preserve"> </w:t>
      </w:r>
      <w:r w:rsidR="008B3FE3">
        <w:rPr>
          <w:szCs w:val="22"/>
        </w:rPr>
        <w:t xml:space="preserve">certified </w:t>
      </w:r>
      <w:r w:rsidR="00C267A8">
        <w:rPr>
          <w:szCs w:val="22"/>
        </w:rPr>
        <w:t>that “</w:t>
      </w:r>
      <w:r w:rsidRPr="00C267A8" w:rsidR="00C267A8">
        <w:rPr>
          <w:szCs w:val="22"/>
        </w:rPr>
        <w:t xml:space="preserve">the proposed facility complies with the engineering requirements of 47 CFR </w:t>
      </w:r>
      <w:r w:rsidR="00BC52BF">
        <w:rPr>
          <w:szCs w:val="22"/>
        </w:rPr>
        <w:t>[s]</w:t>
      </w:r>
      <w:r w:rsidRPr="00C267A8" w:rsidR="00C267A8">
        <w:rPr>
          <w:szCs w:val="22"/>
        </w:rPr>
        <w:t>ection</w:t>
      </w:r>
      <w:r w:rsidRPr="00C267A8" w:rsidR="00C267A8">
        <w:rPr>
          <w:szCs w:val="22"/>
        </w:rPr>
        <w:t xml:space="preserve"> 73.807(a) through (g)</w:t>
      </w:r>
      <w:r w:rsidR="00EA2133">
        <w:rPr>
          <w:szCs w:val="22"/>
        </w:rPr>
        <w:t>, and 73.825</w:t>
      </w:r>
      <w:r w:rsidR="00C267A8">
        <w:rPr>
          <w:szCs w:val="22"/>
        </w:rPr>
        <w:t xml:space="preserve">” </w:t>
      </w:r>
      <w:r w:rsidR="008B3FE3">
        <w:rPr>
          <w:szCs w:val="22"/>
        </w:rPr>
        <w:t>and did not request a waiver of that rule.</w:t>
      </w:r>
      <w:r>
        <w:rPr>
          <w:rStyle w:val="FootnoteReference"/>
          <w:szCs w:val="22"/>
        </w:rPr>
        <w:footnoteReference w:id="6"/>
      </w:r>
      <w:r w:rsidR="008B3FE3">
        <w:rPr>
          <w:szCs w:val="22"/>
        </w:rPr>
        <w:t xml:space="preserve">  </w:t>
      </w:r>
      <w:r w:rsidR="007C3557">
        <w:t xml:space="preserve">On January 17, 2024, Bureau </w:t>
      </w:r>
      <w:r w:rsidR="001F2AF4">
        <w:t xml:space="preserve">staff dismissed the </w:t>
      </w:r>
      <w:r w:rsidR="00A60757">
        <w:t>A</w:t>
      </w:r>
      <w:r w:rsidR="001F2AF4">
        <w:t xml:space="preserve">pplication </w:t>
      </w:r>
      <w:r w:rsidR="009D0A61">
        <w:t xml:space="preserve">for failure to meet the minimum distance spacing requirements </w:t>
      </w:r>
      <w:r w:rsidR="001F08C4">
        <w:t>enumerated</w:t>
      </w:r>
      <w:r w:rsidR="009D0A61">
        <w:t xml:space="preserve"> </w:t>
      </w:r>
      <w:r w:rsidR="00CA7FE2">
        <w:t>in</w:t>
      </w:r>
      <w:r w:rsidR="009D0A61">
        <w:t xml:space="preserve"> </w:t>
      </w:r>
      <w:r w:rsidR="00ED2B65">
        <w:t>s</w:t>
      </w:r>
      <w:r w:rsidRPr="00ED2B65" w:rsidR="00ED2B65">
        <w:t>ection 73.807</w:t>
      </w:r>
      <w:r w:rsidR="00182F1E">
        <w:t>(a)</w:t>
      </w:r>
      <w:r>
        <w:rPr>
          <w:rStyle w:val="FootnoteReference"/>
        </w:rPr>
        <w:footnoteReference w:id="7"/>
      </w:r>
      <w:r w:rsidR="0026036C">
        <w:t xml:space="preserve"> of the Commission’s rules (Rules)</w:t>
      </w:r>
      <w:r w:rsidR="008B3FE3">
        <w:t>,</w:t>
      </w:r>
      <w:r w:rsidR="009D0A61">
        <w:t xml:space="preserve"> </w:t>
      </w:r>
      <w:r w:rsidRPr="00ED2B65" w:rsidR="00ED2B65">
        <w:t xml:space="preserve">with respect to the </w:t>
      </w:r>
      <w:r w:rsidR="0042505D">
        <w:t>second</w:t>
      </w:r>
      <w:r w:rsidRPr="00ED2B65" w:rsidR="00ED2B65">
        <w:t xml:space="preserve">-adjacent channel license of </w:t>
      </w:r>
      <w:r w:rsidR="0031337E">
        <w:t xml:space="preserve">station </w:t>
      </w:r>
      <w:r w:rsidRPr="00ED2B65" w:rsidR="00ED2B65">
        <w:t>WQKX(FM), Sunbury</w:t>
      </w:r>
      <w:r w:rsidR="00884D63">
        <w:t>, Pennsylvania</w:t>
      </w:r>
      <w:r w:rsidR="00A60757">
        <w:t>, and noted that an amendment was not permitted under section 73.870(c) of the Rules</w:t>
      </w:r>
      <w:r w:rsidR="009F0C9B">
        <w:t>.</w:t>
      </w:r>
      <w:r>
        <w:rPr>
          <w:rStyle w:val="FootnoteReference"/>
        </w:rPr>
        <w:footnoteReference w:id="8"/>
      </w:r>
      <w:r w:rsidR="0093614A">
        <w:t xml:space="preserve">  </w:t>
      </w:r>
    </w:p>
    <w:p w:rsidR="00EA2047" w:rsidP="007E361C" w14:paraId="36273F1E" w14:textId="52512858">
      <w:pPr>
        <w:spacing w:after="120"/>
        <w:ind w:firstLine="720"/>
        <w:rPr>
          <w:szCs w:val="22"/>
        </w:rPr>
      </w:pPr>
      <w:r>
        <w:t xml:space="preserve">On February 1, 2024, </w:t>
      </w:r>
      <w:r w:rsidR="0042505D">
        <w:t>Petitioner</w:t>
      </w:r>
      <w:r>
        <w:t xml:space="preserve"> filed the Petitio</w:t>
      </w:r>
      <w:r w:rsidR="00946B9E">
        <w:t xml:space="preserve">n, </w:t>
      </w:r>
      <w:r w:rsidR="00EE2960">
        <w:t>seeking reinstatement of the Application and a waiver of section 73.8</w:t>
      </w:r>
      <w:r w:rsidR="00A60757">
        <w:t>70(c) in order to file</w:t>
      </w:r>
      <w:r w:rsidR="008968F7">
        <w:t xml:space="preserve"> a</w:t>
      </w:r>
      <w:r w:rsidR="00A60757">
        <w:t xml:space="preserve"> second-adjacent waiver exhibit.</w:t>
      </w:r>
      <w:r w:rsidR="00EE2960">
        <w:t xml:space="preserve">  </w:t>
      </w:r>
      <w:r w:rsidR="002D2305">
        <w:t>Specifically</w:t>
      </w:r>
      <w:r w:rsidR="00D25B09">
        <w:t>, Petitioner</w:t>
      </w:r>
      <w:r w:rsidR="0003125D">
        <w:t>:</w:t>
      </w:r>
      <w:r w:rsidR="002D2305">
        <w:t xml:space="preserve"> </w:t>
      </w:r>
      <w:r w:rsidR="0003125D">
        <w:t xml:space="preserve"> </w:t>
      </w:r>
      <w:r w:rsidR="007303A6">
        <w:t xml:space="preserve">1) </w:t>
      </w:r>
      <w:r w:rsidR="00927941">
        <w:t>characterizes the</w:t>
      </w:r>
      <w:r w:rsidR="00615015">
        <w:t xml:space="preserve"> second channel spacing error </w:t>
      </w:r>
      <w:r w:rsidR="00E22A6C">
        <w:t>as</w:t>
      </w:r>
      <w:r w:rsidR="00615015">
        <w:t xml:space="preserve"> a “simple incidental omission” on the part of </w:t>
      </w:r>
      <w:r w:rsidR="00E22A6C">
        <w:t>its</w:t>
      </w:r>
      <w:r w:rsidR="00615015">
        <w:t xml:space="preserve"> consulting engineer</w:t>
      </w:r>
      <w:r w:rsidR="00C350AB">
        <w:t>,</w:t>
      </w:r>
      <w:r w:rsidR="00E22A6C">
        <w:t xml:space="preserve"> </w:t>
      </w:r>
      <w:r w:rsidR="00E736DE">
        <w:t>and</w:t>
      </w:r>
      <w:r w:rsidR="00E22A6C">
        <w:t xml:space="preserve"> </w:t>
      </w:r>
      <w:r w:rsidR="00455CB4">
        <w:t xml:space="preserve">states </w:t>
      </w:r>
      <w:r w:rsidR="00824B2E">
        <w:t xml:space="preserve">that </w:t>
      </w:r>
      <w:r w:rsidR="000C3B20">
        <w:t>its</w:t>
      </w:r>
      <w:r w:rsidR="00C56BB7">
        <w:t xml:space="preserve"> engineer failed to upload </w:t>
      </w:r>
      <w:r w:rsidR="00C6713C">
        <w:t>an exhibit with the second channel waiver request</w:t>
      </w:r>
      <w:r w:rsidR="00745E03">
        <w:t xml:space="preserve">; </w:t>
      </w:r>
      <w:r w:rsidR="00E736DE">
        <w:t>2</w:t>
      </w:r>
      <w:r w:rsidR="00745E03">
        <w:t xml:space="preserve">) </w:t>
      </w:r>
      <w:r w:rsidR="00D25B09">
        <w:t xml:space="preserve">argues </w:t>
      </w:r>
      <w:r w:rsidR="001D6ABB">
        <w:t xml:space="preserve">that </w:t>
      </w:r>
      <w:r w:rsidR="00C20312">
        <w:t>a minor amendment could correct the error</w:t>
      </w:r>
      <w:r w:rsidR="00FF16FD">
        <w:t xml:space="preserve"> and warrant </w:t>
      </w:r>
      <w:r w:rsidR="00257F00">
        <w:t xml:space="preserve">reinstatement </w:t>
      </w:r>
      <w:r w:rsidR="00E736DE">
        <w:t xml:space="preserve">of the Application </w:t>
      </w:r>
      <w:r w:rsidRPr="00B239C6" w:rsidR="00257F00">
        <w:rPr>
          <w:i/>
          <w:iCs/>
        </w:rPr>
        <w:t>nunc</w:t>
      </w:r>
      <w:r w:rsidRPr="00B239C6" w:rsidR="00257F00">
        <w:rPr>
          <w:i/>
          <w:iCs/>
        </w:rPr>
        <w:t xml:space="preserve"> pro </w:t>
      </w:r>
      <w:r w:rsidRPr="00B239C6" w:rsidR="00257F00">
        <w:rPr>
          <w:i/>
          <w:iCs/>
        </w:rPr>
        <w:t>tunc</w:t>
      </w:r>
      <w:r w:rsidR="00E736DE">
        <w:t xml:space="preserve">; </w:t>
      </w:r>
      <w:r w:rsidR="00D12277">
        <w:t>and 3)</w:t>
      </w:r>
      <w:r w:rsidR="00C6713C">
        <w:t xml:space="preserve"> request</w:t>
      </w:r>
      <w:r w:rsidR="00D12277">
        <w:t xml:space="preserve">s waiver of </w:t>
      </w:r>
      <w:r w:rsidR="00C350AB">
        <w:t xml:space="preserve">the </w:t>
      </w:r>
      <w:r w:rsidR="00D12277">
        <w:t>section</w:t>
      </w:r>
      <w:r w:rsidR="00257F00">
        <w:t xml:space="preserve"> </w:t>
      </w:r>
      <w:r w:rsidRPr="00507989" w:rsidR="00507989">
        <w:t>73.8</w:t>
      </w:r>
      <w:r w:rsidR="006A12B2">
        <w:t>07</w:t>
      </w:r>
      <w:r w:rsidR="00E20465">
        <w:t xml:space="preserve"> </w:t>
      </w:r>
      <w:r w:rsidR="001D6ABB">
        <w:t xml:space="preserve">minimum </w:t>
      </w:r>
      <w:r w:rsidR="00E20465">
        <w:t xml:space="preserve">distance </w:t>
      </w:r>
      <w:r w:rsidR="001D6ABB">
        <w:t xml:space="preserve">separation </w:t>
      </w:r>
      <w:r w:rsidR="00E20465">
        <w:t xml:space="preserve">requirements </w:t>
      </w:r>
      <w:r w:rsidR="00C350AB">
        <w:t>because</w:t>
      </w:r>
      <w:r w:rsidR="00E20465">
        <w:t xml:space="preserve"> it estimates </w:t>
      </w:r>
      <w:r w:rsidR="00266E6B">
        <w:t>the new</w:t>
      </w:r>
      <w:r w:rsidR="00047EE4">
        <w:t xml:space="preserve"> LPFM</w:t>
      </w:r>
      <w:r w:rsidR="00266E6B">
        <w:t xml:space="preserve"> station will not cause actual interference</w:t>
      </w:r>
      <w:r w:rsidR="00B476DA">
        <w:t xml:space="preserve">, and </w:t>
      </w:r>
      <w:r w:rsidR="00353D2C">
        <w:t>submits a corrected engineering data exhibit.</w:t>
      </w:r>
      <w:r>
        <w:rPr>
          <w:rStyle w:val="FootnoteReference"/>
        </w:rPr>
        <w:footnoteReference w:id="9"/>
      </w:r>
      <w:r w:rsidR="00353D2C">
        <w:t xml:space="preserve"> </w:t>
      </w:r>
    </w:p>
    <w:p w:rsidR="00124AE7" w:rsidP="007E361C" w14:paraId="6748328E" w14:textId="271E16F7">
      <w:pPr>
        <w:suppressAutoHyphens/>
        <w:spacing w:after="120"/>
        <w:ind w:firstLine="720"/>
        <w:rPr>
          <w:szCs w:val="22"/>
        </w:rPr>
      </w:pPr>
      <w:r w:rsidRPr="001D498E">
        <w:rPr>
          <w:b/>
          <w:bCs/>
          <w:szCs w:val="22"/>
        </w:rPr>
        <w:t>Discussion</w:t>
      </w:r>
      <w:r>
        <w:rPr>
          <w:szCs w:val="22"/>
        </w:rPr>
        <w:t xml:space="preserve">.  </w:t>
      </w:r>
      <w:r w:rsidRPr="002B7C49" w:rsidR="00282A29">
        <w:rPr>
          <w:szCs w:val="22"/>
        </w:rPr>
        <w:t xml:space="preserve">The Commission will consider a </w:t>
      </w:r>
      <w:bookmarkStart w:id="2" w:name="SR;772"/>
      <w:bookmarkStart w:id="3" w:name="SearchTerm"/>
      <w:bookmarkEnd w:id="2"/>
      <w:r w:rsidRPr="002B7C49" w:rsidR="00282A29">
        <w:rPr>
          <w:szCs w:val="22"/>
        </w:rPr>
        <w:t>petition for reconsideration</w:t>
      </w:r>
      <w:bookmarkStart w:id="4" w:name="SR;774"/>
      <w:bookmarkEnd w:id="3"/>
      <w:bookmarkEnd w:id="4"/>
      <w:r w:rsidRPr="002B7C49" w:rsidR="00282A29">
        <w:rPr>
          <w:szCs w:val="22"/>
        </w:rPr>
        <w:t xml:space="preserve"> only when the petitioner shows either a material error in the Commission</w:t>
      </w:r>
      <w:r w:rsidR="008871D5">
        <w:rPr>
          <w:szCs w:val="22"/>
        </w:rPr>
        <w:t>’</w:t>
      </w:r>
      <w:r w:rsidRPr="002B7C49" w:rsidR="00282A29">
        <w:rPr>
          <w:szCs w:val="22"/>
        </w:rPr>
        <w:t xml:space="preserve">s original </w:t>
      </w:r>
      <w:r w:rsidR="00DE687B">
        <w:rPr>
          <w:szCs w:val="22"/>
        </w:rPr>
        <w:t>determination,</w:t>
      </w:r>
      <w:r w:rsidRPr="002B7C49" w:rsidR="00282A29">
        <w:rPr>
          <w:szCs w:val="22"/>
        </w:rPr>
        <w:t xml:space="preserve"> or raises additional facts not known or existing at the time of the petitioner</w:t>
      </w:r>
      <w:r w:rsidR="008871D5">
        <w:rPr>
          <w:szCs w:val="22"/>
        </w:rPr>
        <w:t>’</w:t>
      </w:r>
      <w:r w:rsidRPr="002B7C49" w:rsidR="00282A29">
        <w:rPr>
          <w:szCs w:val="22"/>
        </w:rPr>
        <w:t>s last opportunity to present such matters.</w:t>
      </w:r>
      <w:bookmarkStart w:id="5" w:name="FN[FN11]"/>
      <w:bookmarkEnd w:id="5"/>
      <w:r>
        <w:rPr>
          <w:szCs w:val="22"/>
          <w:vertAlign w:val="superscript"/>
        </w:rPr>
        <w:footnoteReference w:id="10"/>
      </w:r>
      <w:r w:rsidRPr="002B7C49" w:rsidR="00282A29">
        <w:rPr>
          <w:szCs w:val="22"/>
          <w:vertAlign w:val="superscript"/>
        </w:rPr>
        <w:t xml:space="preserve"> </w:t>
      </w:r>
      <w:r w:rsidRPr="002B7C49" w:rsidR="00282A29">
        <w:rPr>
          <w:szCs w:val="22"/>
        </w:rPr>
        <w:t xml:space="preserve"> </w:t>
      </w:r>
      <w:r w:rsidR="002C0B2E">
        <w:rPr>
          <w:szCs w:val="22"/>
        </w:rPr>
        <w:t>Petitioner</w:t>
      </w:r>
      <w:r w:rsidRPr="00E03ADA">
        <w:rPr>
          <w:szCs w:val="22"/>
        </w:rPr>
        <w:t xml:space="preserve"> has </w:t>
      </w:r>
      <w:r w:rsidR="00903B07">
        <w:rPr>
          <w:szCs w:val="22"/>
        </w:rPr>
        <w:t>not</w:t>
      </w:r>
      <w:r w:rsidRPr="00E03ADA">
        <w:rPr>
          <w:szCs w:val="22"/>
        </w:rPr>
        <w:t xml:space="preserve"> </w:t>
      </w:r>
      <w:r w:rsidR="00903B07">
        <w:rPr>
          <w:szCs w:val="22"/>
        </w:rPr>
        <w:t>demonstrated any</w:t>
      </w:r>
      <w:r w:rsidRPr="00E03ADA">
        <w:rPr>
          <w:szCs w:val="22"/>
        </w:rPr>
        <w:t xml:space="preserve"> legal error in the </w:t>
      </w:r>
      <w:r w:rsidR="00522177">
        <w:rPr>
          <w:szCs w:val="22"/>
        </w:rPr>
        <w:t>Bureau’s dismissal of the Application,</w:t>
      </w:r>
      <w:r w:rsidRPr="00E03ADA">
        <w:rPr>
          <w:szCs w:val="22"/>
        </w:rPr>
        <w:t xml:space="preserve"> </w:t>
      </w:r>
      <w:r w:rsidR="00707E17">
        <w:rPr>
          <w:szCs w:val="22"/>
        </w:rPr>
        <w:t>nor</w:t>
      </w:r>
      <w:r>
        <w:rPr>
          <w:szCs w:val="22"/>
        </w:rPr>
        <w:t xml:space="preserve"> </w:t>
      </w:r>
      <w:r w:rsidR="00903B07">
        <w:rPr>
          <w:szCs w:val="22"/>
        </w:rPr>
        <w:t xml:space="preserve">has it </w:t>
      </w:r>
      <w:r>
        <w:rPr>
          <w:szCs w:val="22"/>
        </w:rPr>
        <w:t>cite</w:t>
      </w:r>
      <w:r w:rsidR="00707E17">
        <w:rPr>
          <w:szCs w:val="22"/>
        </w:rPr>
        <w:t>d</w:t>
      </w:r>
      <w:r>
        <w:rPr>
          <w:szCs w:val="22"/>
        </w:rPr>
        <w:t xml:space="preserve"> any precedent that </w:t>
      </w:r>
      <w:r w:rsidR="00CC1C08">
        <w:rPr>
          <w:szCs w:val="22"/>
        </w:rPr>
        <w:t>warrant</w:t>
      </w:r>
      <w:r w:rsidR="00903B07">
        <w:rPr>
          <w:szCs w:val="22"/>
        </w:rPr>
        <w:t>s</w:t>
      </w:r>
      <w:r>
        <w:rPr>
          <w:szCs w:val="22"/>
        </w:rPr>
        <w:t xml:space="preserve"> reinstatement</w:t>
      </w:r>
      <w:r w:rsidRPr="00E03ADA">
        <w:rPr>
          <w:szCs w:val="22"/>
        </w:rPr>
        <w:t>.</w:t>
      </w:r>
    </w:p>
    <w:p w:rsidR="004473DB" w:rsidRPr="00B81707" w:rsidP="000A4EC1" w14:paraId="0807FDB7" w14:textId="250B3533">
      <w:pPr>
        <w:autoSpaceDE w:val="0"/>
        <w:autoSpaceDN w:val="0"/>
        <w:adjustRightInd w:val="0"/>
        <w:spacing w:after="120"/>
        <w:ind w:firstLine="720"/>
        <w:rPr>
          <w:rFonts w:ascii="TimesNewRomanPSMT" w:hAnsi="TimesNewRomanPSMT" w:cs="TimesNewRomanPSMT"/>
          <w:szCs w:val="22"/>
        </w:rPr>
      </w:pPr>
      <w:r>
        <w:rPr>
          <w:i/>
          <w:iCs/>
        </w:rPr>
        <w:t>Section 73.807 Violation</w:t>
      </w:r>
      <w:r w:rsidR="00873E04">
        <w:rPr>
          <w:i/>
          <w:iCs/>
        </w:rPr>
        <w:t xml:space="preserve">. </w:t>
      </w:r>
      <w:r w:rsidR="00873E04">
        <w:t xml:space="preserve"> </w:t>
      </w:r>
      <w:r w:rsidR="00F07D65">
        <w:t xml:space="preserve">Bureau staff correctly dismissed the Application for failure to meet second-adjacent </w:t>
      </w:r>
      <w:r w:rsidR="001D6ABB">
        <w:t xml:space="preserve">channel </w:t>
      </w:r>
      <w:r w:rsidR="00F07D65">
        <w:t xml:space="preserve">spacing requirements, as </w:t>
      </w:r>
      <w:r w:rsidR="00445055">
        <w:t>outlined in section 73.807</w:t>
      </w:r>
      <w:r w:rsidR="00236228">
        <w:t>(a)</w:t>
      </w:r>
      <w:r w:rsidR="00445055">
        <w:t xml:space="preserve">.  </w:t>
      </w:r>
      <w:r w:rsidR="00C350AB">
        <w:t xml:space="preserve">Specifically, </w:t>
      </w:r>
      <w:r w:rsidRPr="00873E04" w:rsidR="00923E9C">
        <w:t xml:space="preserve">LPFM </w:t>
      </w:r>
      <w:r w:rsidR="00763A27">
        <w:t>a</w:t>
      </w:r>
      <w:r w:rsidR="00923E9C">
        <w:t>pplica</w:t>
      </w:r>
      <w:r w:rsidR="00180DB4">
        <w:t>nts</w:t>
      </w:r>
      <w:r w:rsidR="00923E9C">
        <w:t xml:space="preserve"> must protect authorized FM stations, pending applications for new and existing FM stations filed prior to the release of t</w:t>
      </w:r>
      <w:r w:rsidR="00CA593E">
        <w:t xml:space="preserve">he </w:t>
      </w:r>
      <w:r w:rsidR="00CA593E">
        <w:rPr>
          <w:i/>
          <w:iCs/>
        </w:rPr>
        <w:t>Procedures Public Notice</w:t>
      </w:r>
      <w:r w:rsidR="00CA593E">
        <w:t xml:space="preserve">, </w:t>
      </w:r>
      <w:r w:rsidR="00923E9C">
        <w:t>authorized LPFM stations, and vacant FM allotments, by meeting the minimum distance separation requirements specified in section 73.807 of the Commission’s rules</w:t>
      </w:r>
      <w:r w:rsidR="008B15BD">
        <w:t>.</w:t>
      </w:r>
      <w:r>
        <w:rPr>
          <w:rStyle w:val="FootnoteReference"/>
        </w:rPr>
        <w:footnoteReference w:id="11"/>
      </w:r>
      <w:r w:rsidR="008B15BD">
        <w:rPr>
          <w:szCs w:val="22"/>
        </w:rPr>
        <w:t xml:space="preserve">  </w:t>
      </w:r>
      <w:r w:rsidRPr="000F16A8" w:rsidR="000F16A8">
        <w:rPr>
          <w:szCs w:val="22"/>
        </w:rPr>
        <w:t xml:space="preserve">Pursuant to </w:t>
      </w:r>
      <w:r w:rsidR="0094418C">
        <w:rPr>
          <w:szCs w:val="22"/>
        </w:rPr>
        <w:t>section</w:t>
      </w:r>
      <w:r w:rsidRPr="000F16A8" w:rsidR="000F16A8">
        <w:rPr>
          <w:szCs w:val="22"/>
        </w:rPr>
        <w:t xml:space="preserve"> 73.870(c), any application submitted during an LPFM</w:t>
      </w:r>
      <w:r w:rsidR="000F16A8">
        <w:rPr>
          <w:szCs w:val="22"/>
        </w:rPr>
        <w:t xml:space="preserve"> </w:t>
      </w:r>
      <w:r w:rsidRPr="000F16A8" w:rsidR="000F16A8">
        <w:rPr>
          <w:szCs w:val="22"/>
        </w:rPr>
        <w:t xml:space="preserve">filing window that fails to meet the spacing requirements of </w:t>
      </w:r>
      <w:r w:rsidR="00D57885">
        <w:rPr>
          <w:szCs w:val="22"/>
        </w:rPr>
        <w:t>s</w:t>
      </w:r>
      <w:r w:rsidRPr="000F16A8" w:rsidR="000F16A8">
        <w:rPr>
          <w:szCs w:val="22"/>
        </w:rPr>
        <w:t xml:space="preserve">ection 73.807 will be dismissed </w:t>
      </w:r>
      <w:r w:rsidR="0094418C">
        <w:rPr>
          <w:szCs w:val="22"/>
        </w:rPr>
        <w:t>without opportunity to amend.</w:t>
      </w:r>
      <w:r>
        <w:rPr>
          <w:rStyle w:val="FootnoteReference"/>
          <w:szCs w:val="22"/>
        </w:rPr>
        <w:footnoteReference w:id="12"/>
      </w:r>
      <w:r w:rsidR="00615419">
        <w:rPr>
          <w:szCs w:val="22"/>
        </w:rPr>
        <w:t xml:space="preserve">  Moreover, t</w:t>
      </w:r>
      <w:r w:rsidR="00ED601F">
        <w:rPr>
          <w:szCs w:val="22"/>
        </w:rPr>
        <w:t xml:space="preserve">he </w:t>
      </w:r>
      <w:r w:rsidR="0042531E">
        <w:rPr>
          <w:i/>
          <w:iCs/>
          <w:szCs w:val="22"/>
        </w:rPr>
        <w:t xml:space="preserve">Procedures Public Notice </w:t>
      </w:r>
      <w:r w:rsidR="00983736">
        <w:rPr>
          <w:szCs w:val="22"/>
        </w:rPr>
        <w:t>warn</w:t>
      </w:r>
      <w:r w:rsidR="00E94A80">
        <w:rPr>
          <w:szCs w:val="22"/>
        </w:rPr>
        <w:t>ed</w:t>
      </w:r>
      <w:r w:rsidR="00983736">
        <w:rPr>
          <w:szCs w:val="22"/>
        </w:rPr>
        <w:t xml:space="preserve"> </w:t>
      </w:r>
      <w:r w:rsidRPr="00A5647F" w:rsidR="00A5647F">
        <w:rPr>
          <w:szCs w:val="22"/>
        </w:rPr>
        <w:t>LPFM</w:t>
      </w:r>
      <w:r w:rsidR="00A5647F">
        <w:rPr>
          <w:szCs w:val="22"/>
        </w:rPr>
        <w:t xml:space="preserve"> </w:t>
      </w:r>
      <w:r w:rsidRPr="00A5647F" w:rsidR="00A5647F">
        <w:rPr>
          <w:szCs w:val="22"/>
        </w:rPr>
        <w:t>applica</w:t>
      </w:r>
      <w:r w:rsidR="00A5647F">
        <w:rPr>
          <w:szCs w:val="22"/>
        </w:rPr>
        <w:t>nts</w:t>
      </w:r>
      <w:r w:rsidRPr="00A5647F" w:rsidR="00A5647F">
        <w:rPr>
          <w:szCs w:val="22"/>
        </w:rPr>
        <w:t xml:space="preserve"> that</w:t>
      </w:r>
      <w:r w:rsidR="0080640B">
        <w:rPr>
          <w:szCs w:val="22"/>
        </w:rPr>
        <w:t>,</w:t>
      </w:r>
      <w:r w:rsidRPr="00A5647F" w:rsidR="00A5647F">
        <w:rPr>
          <w:szCs w:val="22"/>
        </w:rPr>
        <w:t xml:space="preserve"> </w:t>
      </w:r>
      <w:r w:rsidR="00BE0FCE">
        <w:rPr>
          <w:szCs w:val="22"/>
        </w:rPr>
        <w:t>“[c]</w:t>
      </w:r>
      <w:r w:rsidR="00BE0FCE">
        <w:rPr>
          <w:rFonts w:ascii="TimesNewRomanPSMT" w:hAnsi="TimesNewRomanPSMT" w:cs="TimesNewRomanPSMT"/>
          <w:szCs w:val="22"/>
        </w:rPr>
        <w:t>onsistent</w:t>
      </w:r>
      <w:r w:rsidR="00BE0FCE">
        <w:rPr>
          <w:rFonts w:ascii="TimesNewRomanPSMT" w:hAnsi="TimesNewRomanPSMT" w:cs="TimesNewRomanPSMT"/>
          <w:szCs w:val="22"/>
        </w:rPr>
        <w:t xml:space="preserve"> with established processing rules, an LPFM application that fails to protect these authorizations, applications, and vacant FM allotments will be </w:t>
      </w:r>
      <w:r w:rsidR="00BE0FCE">
        <w:rPr>
          <w:rFonts w:ascii="TimesNewRomanPS-ItalicMT" w:hAnsi="TimesNewRomanPS-ItalicMT" w:cs="TimesNewRomanPS-ItalicMT"/>
          <w:i/>
          <w:iCs/>
          <w:szCs w:val="22"/>
        </w:rPr>
        <w:t>dismissed with no opportunity to correct the deficiency</w:t>
      </w:r>
      <w:r w:rsidR="00BE0FCE">
        <w:rPr>
          <w:rFonts w:ascii="TimesNewRomanPSMT" w:hAnsi="TimesNewRomanPSMT" w:cs="TimesNewRomanPSMT"/>
          <w:szCs w:val="22"/>
        </w:rPr>
        <w:t>.</w:t>
      </w:r>
      <w:r w:rsidR="00BE0FCE">
        <w:rPr>
          <w:szCs w:val="22"/>
        </w:rPr>
        <w:t>”</w:t>
      </w:r>
      <w:r>
        <w:rPr>
          <w:rStyle w:val="FootnoteReference"/>
          <w:szCs w:val="22"/>
        </w:rPr>
        <w:footnoteReference w:id="13"/>
      </w:r>
      <w:r w:rsidR="009201F4">
        <w:rPr>
          <w:szCs w:val="22"/>
        </w:rPr>
        <w:t xml:space="preserve">  </w:t>
      </w:r>
    </w:p>
    <w:p w:rsidR="009B0E0D" w:rsidP="001E24D6" w14:paraId="142765C4" w14:textId="3A04B840">
      <w:pPr>
        <w:suppressAutoHyphens/>
        <w:spacing w:after="120"/>
        <w:ind w:firstLine="720"/>
        <w:rPr>
          <w:szCs w:val="22"/>
        </w:rPr>
      </w:pPr>
      <w:r>
        <w:t xml:space="preserve">Additionally, </w:t>
      </w:r>
      <w:r w:rsidR="0080640B">
        <w:t xml:space="preserve">although </w:t>
      </w:r>
      <w:r w:rsidR="00A622B8">
        <w:rPr>
          <w:szCs w:val="22"/>
        </w:rPr>
        <w:t>s</w:t>
      </w:r>
      <w:r>
        <w:t xml:space="preserve">ection 3(b)(2)(A) of the Local Community Radio Act of 2010 (LCRA) authorizes the Commission to waive second-adjacent channel spacing requirements, </w:t>
      </w:r>
      <w:r w:rsidR="000819BF">
        <w:t xml:space="preserve">an </w:t>
      </w:r>
      <w:r>
        <w:t xml:space="preserve">LPFM applicant </w:t>
      </w:r>
      <w:r w:rsidR="000819BF">
        <w:t>must specifically request the waiver and</w:t>
      </w:r>
      <w:r>
        <w:t xml:space="preserve"> demonstrate that its proposed LPFM facilities “will not result in interference to any authorized radio service.”</w:t>
      </w:r>
      <w:r>
        <w:rPr>
          <w:rStyle w:val="FootnoteReference"/>
        </w:rPr>
        <w:footnoteReference w:id="14"/>
      </w:r>
      <w:r w:rsidR="00BE4237">
        <w:t xml:space="preserve"> </w:t>
      </w:r>
      <w:r w:rsidR="000C3B20">
        <w:t xml:space="preserve"> T</w:t>
      </w:r>
      <w:r w:rsidR="009201F4">
        <w:t xml:space="preserve">he Bureau </w:t>
      </w:r>
      <w:r w:rsidR="000C3B20">
        <w:t xml:space="preserve">explicitly cautioned LPFM applicants that it </w:t>
      </w:r>
      <w:r w:rsidR="009201F4">
        <w:t xml:space="preserve">will dismiss any application that fails to comply with the second-adjacent channel spacing requirements </w:t>
      </w:r>
      <w:r w:rsidR="009201F4">
        <w:t xml:space="preserve">without requesting a waiver, </w:t>
      </w:r>
      <w:r w:rsidR="000819BF">
        <w:t xml:space="preserve">supported by the requisite </w:t>
      </w:r>
      <w:r w:rsidR="009201F4">
        <w:t>engineering exhibit, and th</w:t>
      </w:r>
      <w:r w:rsidR="000819BF">
        <w:t>at</w:t>
      </w:r>
      <w:r w:rsidR="009201F4">
        <w:t xml:space="preserve"> </w:t>
      </w:r>
      <w:r>
        <w:t>a</w:t>
      </w:r>
      <w:r w:rsidR="000819BF">
        <w:t xml:space="preserve"> dismissed </w:t>
      </w:r>
      <w:r w:rsidR="009201F4">
        <w:t xml:space="preserve">applicant will </w:t>
      </w:r>
      <w:r w:rsidRPr="00C54D2B" w:rsidR="009201F4">
        <w:rPr>
          <w:i/>
          <w:iCs/>
        </w:rPr>
        <w:t>not</w:t>
      </w:r>
      <w:r w:rsidR="009201F4">
        <w:t xml:space="preserve"> be permitted to seek </w:t>
      </w:r>
      <w:r w:rsidRPr="00853508" w:rsidR="009201F4">
        <w:rPr>
          <w:i/>
          <w:iCs/>
        </w:rPr>
        <w:t>nunc</w:t>
      </w:r>
      <w:r w:rsidRPr="00853508" w:rsidR="009201F4">
        <w:rPr>
          <w:i/>
          <w:iCs/>
        </w:rPr>
        <w:t xml:space="preserve"> pro </w:t>
      </w:r>
      <w:r w:rsidRPr="00853508" w:rsidR="009201F4">
        <w:rPr>
          <w:i/>
          <w:iCs/>
        </w:rPr>
        <w:t>tunc</w:t>
      </w:r>
      <w:r w:rsidR="009201F4">
        <w:t xml:space="preserve"> reinstatement of </w:t>
      </w:r>
      <w:r>
        <w:t>its</w:t>
      </w:r>
      <w:r w:rsidR="009201F4">
        <w:t xml:space="preserve"> application</w:t>
      </w:r>
      <w:r w:rsidR="0034048B">
        <w:t>.</w:t>
      </w:r>
      <w:r>
        <w:rPr>
          <w:rStyle w:val="FootnoteReference"/>
        </w:rPr>
        <w:footnoteReference w:id="15"/>
      </w:r>
      <w:r w:rsidR="001E24D6">
        <w:rPr>
          <w:szCs w:val="22"/>
        </w:rPr>
        <w:t xml:space="preserve">  </w:t>
      </w:r>
    </w:p>
    <w:p w:rsidR="002C4D24" w:rsidRPr="001E24D6" w:rsidP="001E24D6" w14:paraId="5CEA210D" w14:textId="114B51D8">
      <w:pPr>
        <w:suppressAutoHyphens/>
        <w:spacing w:after="120"/>
        <w:ind w:firstLine="720"/>
        <w:rPr>
          <w:szCs w:val="22"/>
        </w:rPr>
      </w:pPr>
      <w:r>
        <w:rPr>
          <w:rFonts w:ascii="TimesNewRoman" w:hAnsi="TimesNewRoman" w:cs="TimesNewRoman"/>
          <w:szCs w:val="22"/>
        </w:rPr>
        <w:t>Here, t</w:t>
      </w:r>
      <w:r w:rsidR="0027162D">
        <w:rPr>
          <w:rFonts w:ascii="TimesNewRoman" w:hAnsi="TimesNewRoman" w:cs="TimesNewRoman"/>
          <w:szCs w:val="22"/>
        </w:rPr>
        <w:t xml:space="preserve">he Bureau </w:t>
      </w:r>
      <w:r w:rsidR="008E23F5">
        <w:rPr>
          <w:rFonts w:ascii="TimesNewRoman" w:hAnsi="TimesNewRoman" w:cs="TimesNewRoman"/>
          <w:szCs w:val="22"/>
        </w:rPr>
        <w:t xml:space="preserve">correctly </w:t>
      </w:r>
      <w:r w:rsidR="0027162D">
        <w:rPr>
          <w:rFonts w:ascii="TimesNewRoman" w:hAnsi="TimesNewRoman" w:cs="TimesNewRoman"/>
          <w:szCs w:val="22"/>
        </w:rPr>
        <w:t xml:space="preserve">dismissed </w:t>
      </w:r>
      <w:r w:rsidR="000C3B20">
        <w:rPr>
          <w:rFonts w:ascii="TimesNewRoman" w:hAnsi="TimesNewRoman" w:cs="TimesNewRoman"/>
          <w:szCs w:val="22"/>
        </w:rPr>
        <w:t>the</w:t>
      </w:r>
      <w:r w:rsidR="0027162D">
        <w:rPr>
          <w:rFonts w:ascii="TimesNewRoman" w:hAnsi="TimesNewRoman" w:cs="TimesNewRoman"/>
          <w:szCs w:val="22"/>
        </w:rPr>
        <w:t xml:space="preserve"> Application because </w:t>
      </w:r>
      <w:r w:rsidR="000C3B20">
        <w:rPr>
          <w:rFonts w:ascii="TimesNewRoman" w:hAnsi="TimesNewRoman" w:cs="TimesNewRoman"/>
          <w:szCs w:val="22"/>
        </w:rPr>
        <w:t>Petitioner</w:t>
      </w:r>
      <w:r w:rsidR="0027162D">
        <w:rPr>
          <w:rFonts w:ascii="TimesNewRoman" w:hAnsi="TimesNewRoman" w:cs="TimesNewRoman"/>
          <w:szCs w:val="22"/>
        </w:rPr>
        <w:t xml:space="preserve"> failed to meet the</w:t>
      </w:r>
      <w:r w:rsidR="00941AE1">
        <w:rPr>
          <w:rFonts w:ascii="TimesNewRoman" w:hAnsi="TimesNewRoman" w:cs="TimesNewRoman"/>
          <w:szCs w:val="22"/>
        </w:rPr>
        <w:t xml:space="preserve"> </w:t>
      </w:r>
      <w:r w:rsidR="0027162D">
        <w:rPr>
          <w:rFonts w:ascii="TimesNewRoman" w:hAnsi="TimesNewRoman" w:cs="TimesNewRoman"/>
          <w:szCs w:val="22"/>
        </w:rPr>
        <w:t xml:space="preserve">minimum spacing requirements of </w:t>
      </w:r>
      <w:r w:rsidR="00941AE1">
        <w:rPr>
          <w:rFonts w:ascii="TimesNewRoman" w:hAnsi="TimesNewRoman" w:cs="TimesNewRoman"/>
          <w:szCs w:val="22"/>
        </w:rPr>
        <w:t>s</w:t>
      </w:r>
      <w:r w:rsidR="0027162D">
        <w:rPr>
          <w:rFonts w:ascii="TimesNewRoman" w:hAnsi="TimesNewRoman" w:cs="TimesNewRoman"/>
          <w:szCs w:val="22"/>
        </w:rPr>
        <w:t xml:space="preserve">ection 73.807(a)(1) with </w:t>
      </w:r>
      <w:r w:rsidR="00941AE1">
        <w:rPr>
          <w:rFonts w:ascii="TimesNewRoman" w:hAnsi="TimesNewRoman" w:cs="TimesNewRoman"/>
          <w:szCs w:val="22"/>
        </w:rPr>
        <w:t>respect</w:t>
      </w:r>
      <w:r w:rsidR="0027162D">
        <w:rPr>
          <w:rFonts w:ascii="TimesNewRoman" w:hAnsi="TimesNewRoman" w:cs="TimesNewRoman"/>
          <w:szCs w:val="22"/>
        </w:rPr>
        <w:t xml:space="preserve"> to </w:t>
      </w:r>
      <w:r w:rsidR="008968F7">
        <w:rPr>
          <w:rFonts w:ascii="TimesNewRoman" w:hAnsi="TimesNewRoman" w:cs="TimesNewRoman"/>
          <w:szCs w:val="22"/>
        </w:rPr>
        <w:t>second-adjacent</w:t>
      </w:r>
      <w:r w:rsidR="0027162D">
        <w:rPr>
          <w:rFonts w:ascii="TimesNewRoman" w:hAnsi="TimesNewRoman" w:cs="TimesNewRoman"/>
          <w:szCs w:val="22"/>
        </w:rPr>
        <w:t xml:space="preserve"> </w:t>
      </w:r>
      <w:r w:rsidR="00941AE1">
        <w:rPr>
          <w:rFonts w:ascii="TimesNewRoman" w:hAnsi="TimesNewRoman" w:cs="TimesNewRoman"/>
          <w:szCs w:val="22"/>
        </w:rPr>
        <w:t>s</w:t>
      </w:r>
      <w:r w:rsidR="0027162D">
        <w:rPr>
          <w:rFonts w:ascii="TimesNewRoman" w:hAnsi="TimesNewRoman" w:cs="TimesNewRoman"/>
          <w:szCs w:val="22"/>
        </w:rPr>
        <w:t>tation</w:t>
      </w:r>
      <w:r w:rsidRPr="00941AE1" w:rsidR="00941AE1">
        <w:t xml:space="preserve"> </w:t>
      </w:r>
      <w:r w:rsidRPr="00ED2B65" w:rsidR="00941AE1">
        <w:t>WQKX(FM)</w:t>
      </w:r>
      <w:r w:rsidR="0088688B">
        <w:t>,</w:t>
      </w:r>
      <w:r w:rsidR="00D17C3F">
        <w:t xml:space="preserve"> and </w:t>
      </w:r>
      <w:r w:rsidR="00C04751">
        <w:t>failed to</w:t>
      </w:r>
      <w:r w:rsidR="00D17C3F">
        <w:t xml:space="preserve"> submit </w:t>
      </w:r>
      <w:r>
        <w:t xml:space="preserve">a waiver request and </w:t>
      </w:r>
      <w:r w:rsidR="00FA5D25">
        <w:t xml:space="preserve">supporting </w:t>
      </w:r>
      <w:r>
        <w:t>exhibit</w:t>
      </w:r>
      <w:r w:rsidR="00E36AE8">
        <w:t xml:space="preserve">.  </w:t>
      </w:r>
      <w:r w:rsidR="00870840">
        <w:t xml:space="preserve">The Commission has previously held that </w:t>
      </w:r>
      <w:r>
        <w:rPr>
          <w:rFonts w:ascii="TimesNewRoman" w:hAnsi="TimesNewRoman" w:cs="TimesNewRoman"/>
          <w:szCs w:val="22"/>
        </w:rPr>
        <w:t xml:space="preserve">the Bureau may properly prohibit dismissed LPFM applicants that did not submit waiver requests of the </w:t>
      </w:r>
      <w:r w:rsidR="00E23BFC">
        <w:rPr>
          <w:rFonts w:ascii="TimesNewRoman" w:hAnsi="TimesNewRoman" w:cs="TimesNewRoman"/>
          <w:szCs w:val="22"/>
        </w:rPr>
        <w:t xml:space="preserve">second-adjacent channel </w:t>
      </w:r>
      <w:r>
        <w:rPr>
          <w:rFonts w:ascii="TimesNewRoman" w:hAnsi="TimesNewRoman" w:cs="TimesNewRoman"/>
          <w:szCs w:val="22"/>
        </w:rPr>
        <w:t xml:space="preserve">spacing rules in the filing window from </w:t>
      </w:r>
      <w:r w:rsidR="00644D4D">
        <w:rPr>
          <w:rFonts w:ascii="TimesNewRoman" w:hAnsi="TimesNewRoman" w:cs="TimesNewRoman"/>
          <w:szCs w:val="22"/>
        </w:rPr>
        <w:t>filing</w:t>
      </w:r>
      <w:r>
        <w:rPr>
          <w:rFonts w:ascii="TimesNewRoman" w:hAnsi="TimesNewRoman" w:cs="TimesNewRoman"/>
          <w:szCs w:val="22"/>
        </w:rPr>
        <w:t xml:space="preserve"> amendments to correct violations of </w:t>
      </w:r>
      <w:r w:rsidR="00E23BFC">
        <w:rPr>
          <w:rFonts w:ascii="TimesNewRoman" w:hAnsi="TimesNewRoman" w:cs="TimesNewRoman"/>
          <w:szCs w:val="22"/>
        </w:rPr>
        <w:t xml:space="preserve">section </w:t>
      </w:r>
      <w:r>
        <w:rPr>
          <w:rFonts w:ascii="TimesNewRoman" w:hAnsi="TimesNewRoman" w:cs="TimesNewRoman"/>
          <w:szCs w:val="22"/>
        </w:rPr>
        <w:t>73.807.</w:t>
      </w:r>
      <w:r>
        <w:rPr>
          <w:rStyle w:val="FootnoteReference"/>
          <w:rFonts w:ascii="TimesNewRoman" w:hAnsi="TimesNewRoman" w:cs="TimesNewRoman"/>
          <w:szCs w:val="22"/>
        </w:rPr>
        <w:footnoteReference w:id="16"/>
      </w:r>
      <w:r w:rsidR="0060126E">
        <w:rPr>
          <w:rFonts w:ascii="TimesNewRoman" w:hAnsi="TimesNewRoman" w:cs="TimesNewRoman"/>
          <w:szCs w:val="22"/>
        </w:rPr>
        <w:t xml:space="preserve">  </w:t>
      </w:r>
      <w:r w:rsidR="004B4DA8">
        <w:rPr>
          <w:rFonts w:ascii="TimesNewRoman" w:hAnsi="TimesNewRoman" w:cs="TimesNewRoman"/>
          <w:szCs w:val="22"/>
        </w:rPr>
        <w:t>Petitioner has not demonstrated any</w:t>
      </w:r>
      <w:r w:rsidR="0060126E">
        <w:rPr>
          <w:rFonts w:ascii="TimesNewRoman" w:hAnsi="TimesNewRoman" w:cs="TimesNewRoman"/>
          <w:szCs w:val="22"/>
        </w:rPr>
        <w:t xml:space="preserve"> basis to </w:t>
      </w:r>
      <w:r w:rsidR="00954BDE">
        <w:rPr>
          <w:rFonts w:ascii="TimesNewRoman" w:hAnsi="TimesNewRoman" w:cs="TimesNewRoman"/>
          <w:szCs w:val="22"/>
        </w:rPr>
        <w:t xml:space="preserve">contravene the </w:t>
      </w:r>
      <w:r w:rsidR="00890C75">
        <w:rPr>
          <w:rFonts w:ascii="TimesNewRoman" w:hAnsi="TimesNewRoman" w:cs="TimesNewRoman"/>
          <w:szCs w:val="22"/>
        </w:rPr>
        <w:t>r</w:t>
      </w:r>
      <w:r w:rsidR="00954BDE">
        <w:rPr>
          <w:rFonts w:ascii="TimesNewRoman" w:hAnsi="TimesNewRoman" w:cs="TimesNewRoman"/>
          <w:szCs w:val="22"/>
        </w:rPr>
        <w:t xml:space="preserve">ules and established precedent and </w:t>
      </w:r>
      <w:r w:rsidR="0060126E">
        <w:rPr>
          <w:rFonts w:ascii="TimesNewRoman" w:hAnsi="TimesNewRoman" w:cs="TimesNewRoman"/>
          <w:szCs w:val="22"/>
        </w:rPr>
        <w:t>reinstate the Application.</w:t>
      </w:r>
    </w:p>
    <w:p w:rsidR="00AF6916" w:rsidRPr="00212C6F" w:rsidP="007E361C" w14:paraId="1AF770AC" w14:textId="4019A77E">
      <w:pPr>
        <w:tabs>
          <w:tab w:val="left" w:pos="0"/>
        </w:tabs>
        <w:suppressAutoHyphens/>
        <w:spacing w:after="120"/>
        <w:rPr>
          <w:color w:val="000000"/>
          <w:szCs w:val="22"/>
        </w:rPr>
      </w:pPr>
      <w:r>
        <w:tab/>
      </w:r>
      <w:r w:rsidRPr="00BE4237" w:rsidR="00E051B7">
        <w:rPr>
          <w:i/>
          <w:iCs/>
        </w:rPr>
        <w:t>Section 73. 870(c)</w:t>
      </w:r>
      <w:r w:rsidR="00E051B7">
        <w:t xml:space="preserve"> </w:t>
      </w:r>
      <w:r w:rsidR="00DD0B57">
        <w:rPr>
          <w:i/>
          <w:iCs/>
        </w:rPr>
        <w:t>Waiver Request.</w:t>
      </w:r>
      <w:r w:rsidR="00DD0B57">
        <w:t xml:space="preserve">  </w:t>
      </w:r>
      <w:r w:rsidR="008968F7">
        <w:t xml:space="preserve">We reject Petitioner’s request of a waiver of section 73.870(c) to allow it to amend the Application to include a </w:t>
      </w:r>
      <w:r w:rsidR="003E7783">
        <w:t xml:space="preserve">waiver of the section 73.807(a) </w:t>
      </w:r>
      <w:r w:rsidR="008968F7">
        <w:t xml:space="preserve">second-adjacent channel </w:t>
      </w:r>
      <w:r w:rsidR="00E24E17">
        <w:t>spacing rule</w:t>
      </w:r>
      <w:r w:rsidR="008968F7">
        <w:t xml:space="preserve">.  </w:t>
      </w:r>
      <w:r>
        <w:rPr>
          <w:color w:val="000000"/>
          <w:szCs w:val="22"/>
        </w:rPr>
        <w:t>The Commission's Rules may be waived only for good cause shown.</w:t>
      </w:r>
      <w:r>
        <w:rPr>
          <w:color w:val="000000"/>
          <w:szCs w:val="22"/>
          <w:vertAlign w:val="superscript"/>
        </w:rPr>
        <w:footnoteReference w:id="17"/>
      </w:r>
      <w:r>
        <w:rPr>
          <w:color w:val="000000"/>
          <w:szCs w:val="22"/>
        </w:rPr>
        <w:t xml:space="preserve">  The Commission must give </w:t>
      </w:r>
      <w:r>
        <w:rPr>
          <w:noProof/>
          <w:color w:val="000000"/>
          <w:szCs w:val="22"/>
        </w:rPr>
        <w:drawing>
          <wp:inline distT="0" distB="0" distL="0" distR="0">
            <wp:extent cx="9525" cy="9525"/>
            <wp:effectExtent l="0" t="0" r="0" b="0"/>
            <wp:docPr id="7" name="Picture 7" descr="previous hit">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previous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waiver</w:t>
      </w:r>
      <w:r>
        <w:rPr>
          <w:noProof/>
          <w:color w:val="000000"/>
          <w:szCs w:val="22"/>
        </w:rPr>
        <w:drawing>
          <wp:inline distT="0" distB="0" distL="0" distR="0">
            <wp:extent cx="9525" cy="9525"/>
            <wp:effectExtent l="0" t="0" r="0" b="0"/>
            <wp:docPr id="6" name="Picture 6" descr="next hit">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next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 xml:space="preserve"> requests “a hard look,” </w:t>
      </w:r>
      <w:r w:rsidR="00954BDE">
        <w:rPr>
          <w:color w:val="000000"/>
          <w:szCs w:val="22"/>
        </w:rPr>
        <w:t xml:space="preserve">but </w:t>
      </w:r>
      <w:r>
        <w:rPr>
          <w:color w:val="000000"/>
          <w:szCs w:val="22"/>
        </w:rPr>
        <w:t xml:space="preserve">an applicant for </w:t>
      </w:r>
      <w:bookmarkStart w:id="6" w:name="ctx37"/>
      <w:bookmarkEnd w:id="6"/>
      <w:r>
        <w:rPr>
          <w:noProof/>
          <w:color w:val="000000"/>
          <w:szCs w:val="22"/>
        </w:rPr>
        <w:drawing>
          <wp:inline distT="0" distB="0" distL="0" distR="0">
            <wp:extent cx="9525" cy="9525"/>
            <wp:effectExtent l="0" t="0" r="0" b="0"/>
            <wp:docPr id="5" name="Picture 5" descr="previous hit">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evious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waiver</w:t>
      </w:r>
      <w:r>
        <w:rPr>
          <w:noProof/>
          <w:color w:val="000000"/>
          <w:szCs w:val="22"/>
        </w:rPr>
        <w:drawing>
          <wp:inline distT="0" distB="0" distL="0" distR="0">
            <wp:extent cx="9525" cy="9525"/>
            <wp:effectExtent l="0" t="0" r="0" b="0"/>
            <wp:docPr id="4" name="Picture 4" descr="next hit">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next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 xml:space="preserve"> “faces a high hurdle even at the starting gate”</w:t>
      </w:r>
      <w:bookmarkStart w:id="7" w:name="a0d3g7u0u8_ref"/>
      <w:bookmarkStart w:id="8" w:name="a0d3g7u0u8_reffirst_footref"/>
      <w:bookmarkEnd w:id="7"/>
      <w:bookmarkEnd w:id="8"/>
      <w:r>
        <w:rPr>
          <w:color w:val="000000"/>
          <w:szCs w:val="22"/>
          <w:vertAlign w:val="superscript"/>
        </w:rPr>
        <w:footnoteReference w:id="18"/>
      </w:r>
      <w:r>
        <w:rPr>
          <w:color w:val="000000"/>
          <w:szCs w:val="22"/>
        </w:rPr>
        <w:t xml:space="preserve"> and must support its </w:t>
      </w:r>
      <w:bookmarkStart w:id="9" w:name="ctx38"/>
      <w:bookmarkEnd w:id="9"/>
      <w:r>
        <w:rPr>
          <w:noProof/>
          <w:color w:val="000000"/>
          <w:szCs w:val="22"/>
        </w:rPr>
        <w:drawing>
          <wp:inline distT="0" distB="0" distL="0" distR="0">
            <wp:extent cx="9525" cy="9525"/>
            <wp:effectExtent l="0" t="0" r="0" b="0"/>
            <wp:docPr id="3" name="Picture 3" descr="previous hit">
              <a:hlinkClick xmlns:a="http://schemas.openxmlformats.org/drawingml/2006/main" xmlns:r="http://schemas.openxmlformats.org/officeDocument/2006/relationships"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previous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waiver</w:t>
      </w:r>
      <w:r>
        <w:rPr>
          <w:noProof/>
          <w:color w:val="000000"/>
          <w:szCs w:val="22"/>
        </w:rPr>
        <w:drawing>
          <wp:inline distT="0" distB="0" distL="0" distR="0">
            <wp:extent cx="9525" cy="9525"/>
            <wp:effectExtent l="0" t="0" r="0" b="0"/>
            <wp:docPr id="2" name="Picture 2" descr="next hit">
              <a:hlinkClick xmlns:a="http://schemas.openxmlformats.org/drawingml/2006/main" xmlns:r="http://schemas.openxmlformats.org/officeDocument/2006/relationships"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next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Pr>
          <w:color w:val="000000"/>
          <w:szCs w:val="22"/>
        </w:rPr>
        <w:t xml:space="preserve"> request with a compelling showing.</w:t>
      </w:r>
      <w:bookmarkStart w:id="10" w:name="a0d3g7u0v0_ref"/>
      <w:bookmarkStart w:id="11" w:name="a0d3g7u0v0_reffirst_footref"/>
      <w:bookmarkEnd w:id="10"/>
      <w:bookmarkEnd w:id="11"/>
      <w:r>
        <w:rPr>
          <w:color w:val="000000"/>
          <w:szCs w:val="22"/>
          <w:vertAlign w:val="superscript"/>
        </w:rPr>
        <w:footnoteReference w:id="19"/>
      </w:r>
      <w:bookmarkStart w:id="12" w:name="ctx39"/>
      <w:bookmarkEnd w:id="12"/>
      <w:r>
        <w:rPr>
          <w:color w:val="000000"/>
          <w:szCs w:val="22"/>
        </w:rPr>
        <w:t xml:space="preserve">  Waiver is appropriate only if both (1) special circumstances warrant a deviation from the general rule, and (2) such deviation better serves the public interest.</w:t>
      </w:r>
      <w:r>
        <w:rPr>
          <w:color w:val="000000"/>
          <w:szCs w:val="22"/>
          <w:vertAlign w:val="superscript"/>
        </w:rPr>
        <w:footnoteReference w:id="20"/>
      </w:r>
      <w:r>
        <w:rPr>
          <w:color w:val="000000"/>
          <w:szCs w:val="22"/>
        </w:rPr>
        <w:t xml:space="preserve">  </w:t>
      </w:r>
      <w:r w:rsidR="008D7A36">
        <w:rPr>
          <w:szCs w:val="22"/>
        </w:rPr>
        <w:t xml:space="preserve"> </w:t>
      </w:r>
    </w:p>
    <w:p w:rsidR="00641EF5" w:rsidRPr="002C7A5F" w:rsidP="002C7A5F" w14:paraId="7B678C18" w14:textId="71D76C9A">
      <w:pPr>
        <w:spacing w:after="120"/>
        <w:ind w:firstLine="720"/>
        <w:rPr>
          <w:szCs w:val="22"/>
        </w:rPr>
      </w:pPr>
      <w:r>
        <w:rPr>
          <w:color w:val="000000"/>
          <w:szCs w:val="22"/>
        </w:rPr>
        <w:t xml:space="preserve">Petitioner </w:t>
      </w:r>
      <w:r w:rsidR="009B262B">
        <w:rPr>
          <w:color w:val="000000"/>
          <w:szCs w:val="22"/>
        </w:rPr>
        <w:t>fails</w:t>
      </w:r>
      <w:r>
        <w:rPr>
          <w:color w:val="000000"/>
          <w:szCs w:val="22"/>
        </w:rPr>
        <w:t xml:space="preserve"> to meet th</w:t>
      </w:r>
      <w:r w:rsidR="004D6CFF">
        <w:rPr>
          <w:color w:val="000000"/>
          <w:szCs w:val="22"/>
        </w:rPr>
        <w:t>is</w:t>
      </w:r>
      <w:r>
        <w:rPr>
          <w:color w:val="000000"/>
          <w:szCs w:val="22"/>
        </w:rPr>
        <w:t xml:space="preserve"> burden</w:t>
      </w:r>
      <w:r w:rsidR="00CB2148">
        <w:rPr>
          <w:color w:val="000000"/>
          <w:szCs w:val="22"/>
        </w:rPr>
        <w:t>.</w:t>
      </w:r>
      <w:r>
        <w:rPr>
          <w:color w:val="000000"/>
          <w:szCs w:val="22"/>
        </w:rPr>
        <w:t xml:space="preserve">  </w:t>
      </w:r>
      <w:r>
        <w:rPr>
          <w:szCs w:val="22"/>
        </w:rPr>
        <w:t>Petitioner states</w:t>
      </w:r>
      <w:r w:rsidR="006B07F1">
        <w:rPr>
          <w:szCs w:val="22"/>
        </w:rPr>
        <w:t xml:space="preserve"> </w:t>
      </w:r>
      <w:r w:rsidR="00954BDE">
        <w:rPr>
          <w:szCs w:val="22"/>
        </w:rPr>
        <w:t>generally</w:t>
      </w:r>
      <w:r w:rsidR="006B07F1">
        <w:rPr>
          <w:szCs w:val="22"/>
        </w:rPr>
        <w:t xml:space="preserve"> </w:t>
      </w:r>
      <w:r>
        <w:rPr>
          <w:szCs w:val="22"/>
        </w:rPr>
        <w:t xml:space="preserve">that a waiver </w:t>
      </w:r>
      <w:r w:rsidR="00220F4A">
        <w:rPr>
          <w:szCs w:val="22"/>
        </w:rPr>
        <w:t>“</w:t>
      </w:r>
      <w:r>
        <w:rPr>
          <w:szCs w:val="22"/>
        </w:rPr>
        <w:t xml:space="preserve">is </w:t>
      </w:r>
      <w:r w:rsidRPr="00220F4A" w:rsidR="00220F4A">
        <w:rPr>
          <w:szCs w:val="22"/>
        </w:rPr>
        <w:t>justified and aligns with the public</w:t>
      </w:r>
      <w:r w:rsidR="00220F4A">
        <w:rPr>
          <w:szCs w:val="22"/>
        </w:rPr>
        <w:t xml:space="preserve"> </w:t>
      </w:r>
      <w:r w:rsidRPr="00220F4A" w:rsidR="00220F4A">
        <w:rPr>
          <w:szCs w:val="22"/>
        </w:rPr>
        <w:t>interest</w:t>
      </w:r>
      <w:r w:rsidR="006B07F1">
        <w:rPr>
          <w:szCs w:val="22"/>
        </w:rPr>
        <w:t>,</w:t>
      </w:r>
      <w:r w:rsidR="00220F4A">
        <w:rPr>
          <w:szCs w:val="22"/>
        </w:rPr>
        <w:t>”</w:t>
      </w:r>
      <w:r>
        <w:rPr>
          <w:rStyle w:val="FootnoteReference"/>
          <w:szCs w:val="22"/>
        </w:rPr>
        <w:footnoteReference w:id="21"/>
      </w:r>
      <w:r w:rsidR="006B07F1">
        <w:rPr>
          <w:szCs w:val="22"/>
        </w:rPr>
        <w:t xml:space="preserve"> </w:t>
      </w:r>
      <w:r w:rsidR="00954BDE">
        <w:rPr>
          <w:szCs w:val="22"/>
        </w:rPr>
        <w:t>but</w:t>
      </w:r>
      <w:r w:rsidR="006B07F1">
        <w:rPr>
          <w:szCs w:val="22"/>
        </w:rPr>
        <w:t xml:space="preserve"> offers no other </w:t>
      </w:r>
      <w:r w:rsidR="00CB172C">
        <w:rPr>
          <w:szCs w:val="22"/>
        </w:rPr>
        <w:t xml:space="preserve">justification, circumstance, or precedent warranting grant of the request. </w:t>
      </w:r>
      <w:r w:rsidR="006B07F1">
        <w:rPr>
          <w:szCs w:val="22"/>
        </w:rPr>
        <w:t xml:space="preserve"> </w:t>
      </w:r>
      <w:r w:rsidR="00DE7D78">
        <w:rPr>
          <w:szCs w:val="22"/>
        </w:rPr>
        <w:t>Petitioner likewise fails to assert a</w:t>
      </w:r>
      <w:r>
        <w:rPr>
          <w:szCs w:val="22"/>
        </w:rPr>
        <w:t xml:space="preserve"> “special </w:t>
      </w:r>
      <w:r w:rsidRPr="00AB09F3">
        <w:rPr>
          <w:szCs w:val="22"/>
        </w:rPr>
        <w:t>circumstance”</w:t>
      </w:r>
      <w:r w:rsidR="00DE7D78">
        <w:rPr>
          <w:szCs w:val="22"/>
        </w:rPr>
        <w:t xml:space="preserve"> </w:t>
      </w:r>
      <w:r w:rsidR="00954BDE">
        <w:rPr>
          <w:szCs w:val="22"/>
        </w:rPr>
        <w:t xml:space="preserve">warranting the waiver </w:t>
      </w:r>
      <w:r w:rsidR="00C77C75">
        <w:rPr>
          <w:szCs w:val="22"/>
        </w:rPr>
        <w:t>beyond the error of its engineer</w:t>
      </w:r>
      <w:r w:rsidR="00954BDE">
        <w:rPr>
          <w:szCs w:val="22"/>
        </w:rPr>
        <w:t>.</w:t>
      </w:r>
      <w:r w:rsidR="009A258E">
        <w:rPr>
          <w:szCs w:val="22"/>
        </w:rPr>
        <w:t xml:space="preserve"> </w:t>
      </w:r>
      <w:r w:rsidR="007C6F95">
        <w:rPr>
          <w:szCs w:val="22"/>
        </w:rPr>
        <w:t xml:space="preserve"> </w:t>
      </w:r>
      <w:r w:rsidR="00954BDE">
        <w:rPr>
          <w:szCs w:val="22"/>
        </w:rPr>
        <w:t>T</w:t>
      </w:r>
      <w:r w:rsidR="007C6F95">
        <w:rPr>
          <w:szCs w:val="22"/>
        </w:rPr>
        <w:t>he Commission</w:t>
      </w:r>
      <w:r w:rsidR="00954BDE">
        <w:rPr>
          <w:szCs w:val="22"/>
        </w:rPr>
        <w:t>, however,</w:t>
      </w:r>
      <w:r w:rsidR="007C6F95">
        <w:rPr>
          <w:szCs w:val="22"/>
        </w:rPr>
        <w:t xml:space="preserve"> has </w:t>
      </w:r>
      <w:r w:rsidR="006A386C">
        <w:rPr>
          <w:szCs w:val="22"/>
        </w:rPr>
        <w:t xml:space="preserve">long </w:t>
      </w:r>
      <w:r w:rsidR="007C6F95">
        <w:rPr>
          <w:szCs w:val="22"/>
        </w:rPr>
        <w:t>held that errors of technical assistants are not an excuse for failure to adhere to the Rules</w:t>
      </w:r>
      <w:r w:rsidR="00DE7D78">
        <w:rPr>
          <w:szCs w:val="22"/>
        </w:rPr>
        <w:t>.</w:t>
      </w:r>
      <w:r>
        <w:rPr>
          <w:rStyle w:val="FootnoteReference"/>
          <w:szCs w:val="22"/>
        </w:rPr>
        <w:footnoteReference w:id="22"/>
      </w:r>
      <w:r w:rsidRPr="00AB09F3">
        <w:rPr>
          <w:szCs w:val="22"/>
        </w:rPr>
        <w:t xml:space="preserve"> </w:t>
      </w:r>
      <w:r w:rsidR="007C09B3">
        <w:rPr>
          <w:szCs w:val="22"/>
        </w:rPr>
        <w:t xml:space="preserve"> </w:t>
      </w:r>
      <w:r w:rsidRPr="007C5761">
        <w:rPr>
          <w:szCs w:val="22"/>
        </w:rPr>
        <w:t>Moreover, permitting applicants to file requests</w:t>
      </w:r>
      <w:r w:rsidR="008D4358">
        <w:rPr>
          <w:szCs w:val="22"/>
        </w:rPr>
        <w:t xml:space="preserve"> to waive section 73.807 minimum distance separation requirements after the close of the filing window and the Commission’s dismissal of their application for lack of such a waiver request</w:t>
      </w:r>
      <w:r w:rsidRPr="007C5761">
        <w:rPr>
          <w:szCs w:val="22"/>
        </w:rPr>
        <w:t xml:space="preserve"> would </w:t>
      </w:r>
      <w:r w:rsidRPr="007C5761">
        <w:rPr>
          <w:szCs w:val="22"/>
        </w:rPr>
        <w:t xml:space="preserve">frustrate the processing efficiencies which </w:t>
      </w:r>
      <w:r w:rsidR="00FE381E">
        <w:rPr>
          <w:szCs w:val="22"/>
        </w:rPr>
        <w:t>s</w:t>
      </w:r>
      <w:r w:rsidRPr="007C5761">
        <w:rPr>
          <w:szCs w:val="22"/>
        </w:rPr>
        <w:t>ections 73.807 and 73.870</w:t>
      </w:r>
      <w:r w:rsidR="00E23BFC">
        <w:rPr>
          <w:szCs w:val="22"/>
        </w:rPr>
        <w:t>(c)</w:t>
      </w:r>
      <w:r w:rsidRPr="007C5761">
        <w:rPr>
          <w:szCs w:val="22"/>
        </w:rPr>
        <w:t xml:space="preserve"> were designed to promote</w:t>
      </w:r>
      <w:r w:rsidR="00F72F25">
        <w:rPr>
          <w:szCs w:val="22"/>
        </w:rPr>
        <w:t>,</w:t>
      </w:r>
      <w:r w:rsidRPr="007C5761">
        <w:rPr>
          <w:szCs w:val="22"/>
        </w:rPr>
        <w:t xml:space="preserve"> be unfair to the many applicants who fully complied with</w:t>
      </w:r>
      <w:r w:rsidR="004D6CFF">
        <w:rPr>
          <w:szCs w:val="22"/>
        </w:rPr>
        <w:t xml:space="preserve"> the</w:t>
      </w:r>
      <w:r w:rsidRPr="007C5761">
        <w:rPr>
          <w:szCs w:val="22"/>
        </w:rPr>
        <w:t xml:space="preserve"> </w:t>
      </w:r>
      <w:r w:rsidR="00F72F25">
        <w:rPr>
          <w:szCs w:val="22"/>
        </w:rPr>
        <w:t xml:space="preserve">rules and </w:t>
      </w:r>
      <w:r w:rsidRPr="007C5761">
        <w:rPr>
          <w:szCs w:val="22"/>
        </w:rPr>
        <w:t>filing requirements</w:t>
      </w:r>
      <w:r w:rsidR="004D6CFF">
        <w:rPr>
          <w:szCs w:val="22"/>
        </w:rPr>
        <w:t>, and</w:t>
      </w:r>
      <w:r w:rsidR="00F72F25">
        <w:rPr>
          <w:szCs w:val="22"/>
        </w:rPr>
        <w:t xml:space="preserve"> </w:t>
      </w:r>
      <w:r w:rsidR="000C3B20">
        <w:rPr>
          <w:szCs w:val="22"/>
        </w:rPr>
        <w:t xml:space="preserve">is </w:t>
      </w:r>
      <w:r w:rsidR="004D6CFF">
        <w:rPr>
          <w:szCs w:val="22"/>
        </w:rPr>
        <w:t>therefore, contrary to the public interest</w:t>
      </w:r>
      <w:r w:rsidRPr="007C5761">
        <w:rPr>
          <w:szCs w:val="22"/>
        </w:rPr>
        <w:t>.</w:t>
      </w:r>
      <w:r>
        <w:rPr>
          <w:szCs w:val="22"/>
          <w:vertAlign w:val="superscript"/>
        </w:rPr>
        <w:footnoteReference w:id="23"/>
      </w:r>
      <w:r>
        <w:rPr>
          <w:szCs w:val="22"/>
        </w:rPr>
        <w:t xml:space="preserve">  </w:t>
      </w:r>
      <w:r w:rsidRPr="00331FBE">
        <w:rPr>
          <w:szCs w:val="22"/>
        </w:rPr>
        <w:t xml:space="preserve">Accordingly, </w:t>
      </w:r>
      <w:r w:rsidR="004D6CFF">
        <w:rPr>
          <w:szCs w:val="22"/>
        </w:rPr>
        <w:t xml:space="preserve">we find </w:t>
      </w:r>
      <w:r w:rsidRPr="00331FBE">
        <w:rPr>
          <w:szCs w:val="22"/>
        </w:rPr>
        <w:t>Petitioner fails to s</w:t>
      </w:r>
      <w:r w:rsidR="004D6CFF">
        <w:rPr>
          <w:szCs w:val="22"/>
        </w:rPr>
        <w:t>how</w:t>
      </w:r>
      <w:r w:rsidRPr="00331FBE">
        <w:rPr>
          <w:szCs w:val="22"/>
        </w:rPr>
        <w:t xml:space="preserve"> </w:t>
      </w:r>
      <w:r w:rsidR="004D6CFF">
        <w:rPr>
          <w:szCs w:val="22"/>
        </w:rPr>
        <w:t>that</w:t>
      </w:r>
      <w:r w:rsidR="003D0FA3">
        <w:rPr>
          <w:szCs w:val="22"/>
        </w:rPr>
        <w:t xml:space="preserve"> </w:t>
      </w:r>
      <w:r w:rsidRPr="00331FBE">
        <w:rPr>
          <w:szCs w:val="22"/>
        </w:rPr>
        <w:t xml:space="preserve">special circumstances </w:t>
      </w:r>
      <w:r w:rsidR="004D6CFF">
        <w:rPr>
          <w:szCs w:val="22"/>
        </w:rPr>
        <w:t xml:space="preserve">warrant a deviation from </w:t>
      </w:r>
      <w:r w:rsidR="00322C01">
        <w:rPr>
          <w:szCs w:val="22"/>
        </w:rPr>
        <w:t>our rules</w:t>
      </w:r>
      <w:r w:rsidR="004D6CFF">
        <w:rPr>
          <w:szCs w:val="22"/>
        </w:rPr>
        <w:t xml:space="preserve"> or that such deviation would serve the public interest</w:t>
      </w:r>
      <w:r w:rsidRPr="00331FBE">
        <w:rPr>
          <w:szCs w:val="22"/>
        </w:rPr>
        <w:t xml:space="preserve">.  </w:t>
      </w:r>
    </w:p>
    <w:p w:rsidR="003902A7" w:rsidRPr="00A5520D" w:rsidP="005D6E1D" w14:paraId="03C98756" w14:textId="156E6C4C">
      <w:pPr>
        <w:suppressAutoHyphens/>
        <w:ind w:firstLine="720"/>
        <w:contextualSpacing/>
        <w:rPr>
          <w:i/>
          <w:iCs/>
          <w:szCs w:val="22"/>
        </w:rPr>
      </w:pPr>
      <w:r w:rsidRPr="00C31B8E">
        <w:rPr>
          <w:rStyle w:val="SubtleEmphasis"/>
          <w:rFonts w:eastAsia="Calibri"/>
          <w:b/>
          <w:bCs/>
          <w:i w:val="0"/>
          <w:iCs w:val="0"/>
          <w:color w:val="auto"/>
        </w:rPr>
        <w:t>Conclusion</w:t>
      </w:r>
      <w:r w:rsidRPr="00C31B8E">
        <w:rPr>
          <w:rStyle w:val="SubtleEmphasis"/>
          <w:rFonts w:eastAsia="Calibri"/>
          <w:i w:val="0"/>
          <w:iCs w:val="0"/>
          <w:color w:val="auto"/>
        </w:rPr>
        <w:t xml:space="preserve">.  </w:t>
      </w:r>
      <w:r w:rsidRPr="00C31B8E" w:rsidR="008F7FC3">
        <w:rPr>
          <w:rStyle w:val="SubtleEmphasis"/>
          <w:rFonts w:eastAsia="Calibri"/>
          <w:i w:val="0"/>
          <w:iCs w:val="0"/>
          <w:color w:val="auto"/>
        </w:rPr>
        <w:t>For the reasons</w:t>
      </w:r>
      <w:r w:rsidRPr="00C31B8E" w:rsidR="00F0262E">
        <w:rPr>
          <w:rStyle w:val="SubtleEmphasis"/>
          <w:rFonts w:eastAsia="Calibri"/>
          <w:i w:val="0"/>
          <w:iCs w:val="0"/>
          <w:color w:val="auto"/>
        </w:rPr>
        <w:t xml:space="preserve"> set forth above</w:t>
      </w:r>
      <w:r w:rsidRPr="00C31B8E" w:rsidR="008F7FC3">
        <w:rPr>
          <w:rStyle w:val="SubtleEmphasis"/>
          <w:rFonts w:eastAsia="Calibri"/>
          <w:i w:val="0"/>
          <w:iCs w:val="0"/>
          <w:color w:val="auto"/>
        </w:rPr>
        <w:t xml:space="preserve">, </w:t>
      </w:r>
      <w:r w:rsidRPr="00C31B8E" w:rsidR="00F0262E">
        <w:rPr>
          <w:rStyle w:val="SubtleEmphasis"/>
          <w:rFonts w:eastAsia="Calibri"/>
          <w:b/>
          <w:bCs/>
          <w:i w:val="0"/>
          <w:iCs w:val="0"/>
          <w:color w:val="auto"/>
        </w:rPr>
        <w:t xml:space="preserve">IT IS ORDERED </w:t>
      </w:r>
      <w:r w:rsidRPr="00C31B8E" w:rsidR="00F0262E">
        <w:rPr>
          <w:rStyle w:val="SubtleEmphasis"/>
          <w:rFonts w:eastAsia="Calibri"/>
          <w:i w:val="0"/>
          <w:iCs w:val="0"/>
          <w:color w:val="auto"/>
        </w:rPr>
        <w:t>that</w:t>
      </w:r>
      <w:r w:rsidRPr="00C31B8E" w:rsidR="00F0262E">
        <w:rPr>
          <w:rStyle w:val="SubtleEmphasis"/>
          <w:rFonts w:eastAsia="Calibri"/>
          <w:b/>
          <w:bCs/>
          <w:i w:val="0"/>
          <w:iCs w:val="0"/>
          <w:color w:val="auto"/>
        </w:rPr>
        <w:t xml:space="preserve"> </w:t>
      </w:r>
      <w:r w:rsidRPr="00C31B8E" w:rsidR="008F7FC3">
        <w:rPr>
          <w:rStyle w:val="SubtleEmphasis"/>
          <w:rFonts w:eastAsia="Calibri"/>
          <w:i w:val="0"/>
          <w:iCs w:val="0"/>
          <w:color w:val="auto"/>
        </w:rPr>
        <w:t>t</w:t>
      </w:r>
      <w:r w:rsidRPr="00C31B8E" w:rsidR="001A7A2F">
        <w:rPr>
          <w:rStyle w:val="SubtleEmphasis"/>
          <w:rFonts w:eastAsia="Calibri"/>
          <w:i w:val="0"/>
          <w:iCs w:val="0"/>
          <w:color w:val="auto"/>
        </w:rPr>
        <w:t>he</w:t>
      </w:r>
      <w:r w:rsidRPr="00C31B8E">
        <w:rPr>
          <w:rStyle w:val="SubtleEmphasis"/>
          <w:rFonts w:eastAsia="Calibri"/>
          <w:i w:val="0"/>
          <w:iCs w:val="0"/>
          <w:color w:val="auto"/>
        </w:rPr>
        <w:t xml:space="preserve"> Petition for Reconsideration</w:t>
      </w:r>
      <w:r w:rsidRPr="00C31B8E" w:rsidR="001A7A2F">
        <w:rPr>
          <w:rStyle w:val="SubtleEmphasis"/>
          <w:rFonts w:eastAsia="Calibri"/>
          <w:i w:val="0"/>
          <w:iCs w:val="0"/>
          <w:color w:val="auto"/>
        </w:rPr>
        <w:t xml:space="preserve"> filed by </w:t>
      </w:r>
      <w:r w:rsidRPr="002763D4" w:rsidR="00C31B8E">
        <w:rPr>
          <w:szCs w:val="22"/>
        </w:rPr>
        <w:t>Aire Broadcasting Foundation</w:t>
      </w:r>
      <w:r w:rsidRPr="00C31B8E" w:rsidR="00EC5BE5">
        <w:rPr>
          <w:rStyle w:val="SubtleEmphasis"/>
          <w:rFonts w:eastAsia="Calibri"/>
          <w:i w:val="0"/>
          <w:iCs w:val="0"/>
          <w:color w:val="auto"/>
        </w:rPr>
        <w:t>,</w:t>
      </w:r>
      <w:r w:rsidRPr="00C31B8E" w:rsidR="009752D7">
        <w:rPr>
          <w:rStyle w:val="SubtleEmphasis"/>
          <w:rFonts w:eastAsia="Calibri"/>
          <w:i w:val="0"/>
          <w:iCs w:val="0"/>
          <w:color w:val="auto"/>
        </w:rPr>
        <w:t xml:space="preserve"> on </w:t>
      </w:r>
      <w:r w:rsidR="00C31B8E">
        <w:t>February 1, 2024</w:t>
      </w:r>
      <w:r w:rsidRPr="00C31B8E" w:rsidR="00C31B8E">
        <w:rPr>
          <w:rStyle w:val="SubtleEmphasis"/>
          <w:rFonts w:eastAsia="Calibri"/>
          <w:i w:val="0"/>
          <w:iCs w:val="0"/>
          <w:color w:val="auto"/>
        </w:rPr>
        <w:t xml:space="preserve"> </w:t>
      </w:r>
      <w:r w:rsidRPr="00C31B8E" w:rsidR="00F0262E">
        <w:rPr>
          <w:rStyle w:val="SubtleEmphasis"/>
          <w:rFonts w:eastAsia="Calibri"/>
          <w:i w:val="0"/>
          <w:iCs w:val="0"/>
          <w:color w:val="auto"/>
        </w:rPr>
        <w:t xml:space="preserve">(Pleading File No. </w:t>
      </w:r>
      <w:r w:rsidRPr="00C31B8E" w:rsidR="00C31B8E">
        <w:rPr>
          <w:rStyle w:val="SubtleEmphasis"/>
          <w:rFonts w:eastAsia="Calibri"/>
          <w:i w:val="0"/>
          <w:iCs w:val="0"/>
          <w:color w:val="auto"/>
        </w:rPr>
        <w:t>0000238019</w:t>
      </w:r>
      <w:r w:rsidRPr="00C31B8E" w:rsidR="00F0262E">
        <w:rPr>
          <w:rStyle w:val="SubtleEmphasis"/>
          <w:rFonts w:eastAsia="Calibri"/>
          <w:i w:val="0"/>
          <w:iCs w:val="0"/>
          <w:color w:val="auto"/>
        </w:rPr>
        <w:t>)</w:t>
      </w:r>
      <w:r w:rsidRPr="00C31B8E" w:rsidR="009752D7">
        <w:rPr>
          <w:rStyle w:val="SubtleEmphasis"/>
          <w:rFonts w:eastAsia="Calibri"/>
          <w:i w:val="0"/>
          <w:iCs w:val="0"/>
          <w:color w:val="auto"/>
        </w:rPr>
        <w:t>,</w:t>
      </w:r>
      <w:r w:rsidRPr="00C31B8E">
        <w:rPr>
          <w:rStyle w:val="SubtleEmphasis"/>
          <w:rFonts w:eastAsia="Calibri"/>
          <w:i w:val="0"/>
          <w:iCs w:val="0"/>
          <w:color w:val="auto"/>
        </w:rPr>
        <w:t xml:space="preserve"> </w:t>
      </w:r>
      <w:r w:rsidRPr="00C31B8E" w:rsidR="00D3647C">
        <w:rPr>
          <w:rStyle w:val="SubtleEmphasis"/>
          <w:rFonts w:eastAsia="Calibri"/>
          <w:i w:val="0"/>
          <w:iCs w:val="0"/>
          <w:color w:val="auto"/>
        </w:rPr>
        <w:t>IS DENIED</w:t>
      </w:r>
      <w:r w:rsidRPr="00C31B8E">
        <w:rPr>
          <w:rStyle w:val="SubtleEmphasis"/>
          <w:rFonts w:eastAsia="Calibri"/>
          <w:i w:val="0"/>
          <w:iCs w:val="0"/>
          <w:color w:val="auto"/>
        </w:rPr>
        <w:t>.</w:t>
      </w:r>
    </w:p>
    <w:p w:rsidR="005D6E1D" w:rsidP="005D6E1D" w14:paraId="189B915C" w14:textId="77777777">
      <w:pPr>
        <w:tabs>
          <w:tab w:val="left" w:pos="4680"/>
        </w:tabs>
        <w:suppressAutoHyphens/>
        <w:contextualSpacing/>
        <w:rPr>
          <w:szCs w:val="22"/>
        </w:rPr>
      </w:pPr>
      <w:r w:rsidRPr="003D4BCE">
        <w:rPr>
          <w:szCs w:val="22"/>
        </w:rPr>
        <w:tab/>
      </w:r>
    </w:p>
    <w:p w:rsidR="008A5EB0" w:rsidP="005D6E1D" w14:paraId="6559AF81" w14:textId="23243FEE">
      <w:pPr>
        <w:tabs>
          <w:tab w:val="left" w:pos="4680"/>
        </w:tabs>
        <w:suppressAutoHyphens/>
        <w:contextualSpacing/>
        <w:rPr>
          <w:szCs w:val="22"/>
        </w:rPr>
      </w:pPr>
      <w:r>
        <w:rPr>
          <w:szCs w:val="22"/>
        </w:rPr>
        <w:tab/>
      </w:r>
      <w:r w:rsidRPr="003D4BCE" w:rsidR="00533B3B">
        <w:rPr>
          <w:szCs w:val="22"/>
        </w:rPr>
        <w:t>Sincerely,</w:t>
      </w:r>
    </w:p>
    <w:p w:rsidR="008A5EB0" w:rsidP="005D6E1D" w14:paraId="3CAEC9B8" w14:textId="77777777">
      <w:pPr>
        <w:tabs>
          <w:tab w:val="left" w:pos="4680"/>
        </w:tabs>
        <w:suppressAutoHyphens/>
        <w:contextualSpacing/>
        <w:rPr>
          <w:szCs w:val="22"/>
        </w:rPr>
      </w:pPr>
    </w:p>
    <w:p w:rsidR="008A5EB0" w:rsidP="005D6E1D" w14:paraId="187D7A3A" w14:textId="77777777">
      <w:pPr>
        <w:tabs>
          <w:tab w:val="left" w:pos="4680"/>
        </w:tabs>
        <w:suppressAutoHyphens/>
        <w:contextualSpacing/>
        <w:rPr>
          <w:szCs w:val="22"/>
        </w:rPr>
      </w:pPr>
    </w:p>
    <w:p w:rsidR="008A5EB0" w:rsidRPr="003D4BCE" w:rsidP="005D6E1D" w14:paraId="20C6C981" w14:textId="77777777">
      <w:pPr>
        <w:tabs>
          <w:tab w:val="left" w:pos="4680"/>
        </w:tabs>
        <w:suppressAutoHyphens/>
        <w:contextualSpacing/>
        <w:rPr>
          <w:szCs w:val="22"/>
        </w:rPr>
      </w:pPr>
    </w:p>
    <w:p w:rsidR="00684FEE" w:rsidRPr="00FF24DF" w:rsidP="005D6E1D" w14:paraId="052D29D1" w14:textId="77777777">
      <w:pPr>
        <w:tabs>
          <w:tab w:val="left" w:pos="4680"/>
        </w:tabs>
        <w:suppressAutoHyphens/>
        <w:contextualSpacing/>
        <w:rPr>
          <w:szCs w:val="22"/>
        </w:rPr>
      </w:pPr>
      <w:r w:rsidRPr="00100C9F">
        <w:rPr>
          <w:szCs w:val="22"/>
        </w:rPr>
        <w:tab/>
        <w:t>Albert Shuldiner</w:t>
      </w:r>
    </w:p>
    <w:p w:rsidR="00684FEE" w:rsidRPr="00FF24DF" w:rsidP="005D6E1D" w14:paraId="30A9E322" w14:textId="77777777">
      <w:pPr>
        <w:pStyle w:val="EndnoteText"/>
        <w:widowControl/>
        <w:tabs>
          <w:tab w:val="left" w:pos="4680"/>
        </w:tabs>
        <w:suppressAutoHyphens/>
        <w:contextualSpacing/>
        <w:rPr>
          <w:rFonts w:ascii="Times New Roman" w:hAnsi="Times New Roman"/>
          <w:snapToGrid/>
          <w:szCs w:val="22"/>
        </w:rPr>
      </w:pPr>
      <w:r w:rsidRPr="00FF24DF">
        <w:rPr>
          <w:rFonts w:ascii="Times New Roman" w:hAnsi="Times New Roman"/>
          <w:snapToGrid/>
          <w:szCs w:val="22"/>
        </w:rPr>
        <w:tab/>
        <w:t>Chief, Audio Division</w:t>
      </w:r>
    </w:p>
    <w:p w:rsidR="00684FEE" w:rsidRPr="00FF24DF" w:rsidP="005D6E1D" w14:paraId="007B6FA3" w14:textId="77777777">
      <w:pPr>
        <w:tabs>
          <w:tab w:val="left" w:pos="3960"/>
          <w:tab w:val="left" w:pos="4680"/>
        </w:tabs>
        <w:contextualSpacing/>
        <w:rPr>
          <w:szCs w:val="22"/>
        </w:rPr>
      </w:pPr>
      <w:r w:rsidRPr="00FF24DF">
        <w:rPr>
          <w:szCs w:val="22"/>
        </w:rPr>
        <w:tab/>
      </w:r>
      <w:r w:rsidRPr="00FF24DF">
        <w:rPr>
          <w:szCs w:val="22"/>
        </w:rPr>
        <w:tab/>
        <w:t>Media Bureau</w:t>
      </w:r>
    </w:p>
    <w:p w:rsidR="00684FEE" w:rsidRPr="00FF24DF" w:rsidP="007E361C" w14:paraId="1A76835A" w14:textId="77777777">
      <w:pPr>
        <w:tabs>
          <w:tab w:val="left" w:pos="3960"/>
          <w:tab w:val="left" w:pos="4680"/>
        </w:tabs>
        <w:spacing w:after="120"/>
        <w:rPr>
          <w:szCs w:val="22"/>
        </w:rPr>
      </w:pPr>
    </w:p>
    <w:p w:rsidR="000343BF" w:rsidRPr="009E77D9" w:rsidP="007E361C" w14:paraId="5DCA8E7F" w14:textId="797D1AC4">
      <w:pPr>
        <w:tabs>
          <w:tab w:val="left" w:pos="3960"/>
          <w:tab w:val="left" w:pos="4680"/>
        </w:tabs>
        <w:spacing w:after="120"/>
        <w:rPr>
          <w:color w:val="333333"/>
          <w:szCs w:val="22"/>
        </w:rPr>
      </w:pPr>
    </w:p>
    <w:sectPr w:rsidSect="00676619">
      <w:footerReference w:type="default" r:id="rId13"/>
      <w:headerReference w:type="first" r:id="rId14"/>
      <w:footerReference w:type="first" r:id="rId15"/>
      <w:type w:val="continuous"/>
      <w:pgSz w:w="12240" w:h="15840"/>
      <w:pgMar w:top="1440" w:right="1440" w:bottom="1440" w:left="1440" w:header="576"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2A74DB1F" w14:textId="77777777">
    <w:pPr>
      <w:pStyle w:val="Footer"/>
      <w:jc w:val="center"/>
      <w:rPr>
        <w:sz w:val="20"/>
        <w:szCs w:val="20"/>
      </w:rPr>
    </w:pPr>
    <w:r w:rsidRPr="00FB0C7D">
      <w:rPr>
        <w:sz w:val="20"/>
        <w:szCs w:val="20"/>
      </w:rPr>
      <w:fldChar w:fldCharType="begin"/>
    </w:r>
    <w:r w:rsidRPr="00FB0C7D">
      <w:rPr>
        <w:sz w:val="20"/>
        <w:szCs w:val="20"/>
      </w:rPr>
      <w:instrText xml:space="preserve"> PAGE   \* MERGEFORMAT </w:instrText>
    </w:r>
    <w:r w:rsidRPr="00FB0C7D">
      <w:rPr>
        <w:sz w:val="20"/>
        <w:szCs w:val="20"/>
      </w:rPr>
      <w:fldChar w:fldCharType="separate"/>
    </w:r>
    <w:r w:rsidRPr="00FB0C7D">
      <w:rPr>
        <w:sz w:val="20"/>
        <w:szCs w:val="20"/>
      </w:rPr>
      <w:t>2</w:t>
    </w:r>
    <w:r w:rsidRPr="00FB0C7D">
      <w:rPr>
        <w:noProof/>
        <w:sz w:val="20"/>
        <w:szCs w:val="20"/>
      </w:rPr>
      <w:fldChar w:fldCharType="end"/>
    </w:r>
  </w:p>
  <w:p w:rsidR="00FB0C7D" w:rsidP="00FB0C7D" w14:paraId="6006FBBE" w14:textId="77777777">
    <w:pPr>
      <w:pStyle w:val="Footer"/>
      <w:jc w:val="center"/>
      <w:rPr>
        <w:sz w:val="20"/>
        <w:szCs w:val="20"/>
      </w:rPr>
    </w:pPr>
  </w:p>
  <w:p w:rsidR="00FB0C7D" w:rsidP="00FB0C7D" w14:paraId="06F48CCE" w14:textId="77777777">
    <w:pPr>
      <w:pStyle w:val="Footer"/>
      <w:jc w:val="center"/>
      <w:rPr>
        <w:sz w:val="20"/>
        <w:szCs w:val="20"/>
      </w:rPr>
    </w:pPr>
  </w:p>
  <w:p w:rsidR="00FB0C7D" w:rsidP="00FB0C7D" w14:paraId="6ECA7A13" w14:textId="77777777">
    <w:pPr>
      <w:pStyle w:val="Footer"/>
      <w:jc w:val="center"/>
      <w:rPr>
        <w:sz w:val="20"/>
        <w:szCs w:val="20"/>
      </w:rPr>
    </w:pPr>
  </w:p>
  <w:p w:rsidR="00FB0C7D" w:rsidRPr="00FB0C7D" w:rsidP="00FB0C7D" w14:paraId="68BA106E" w14:textId="77777777">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5E4B5326" w14:textId="77777777">
    <w:pPr>
      <w:pStyle w:val="Footer"/>
      <w:spacing w:after="480"/>
      <w:jc w:val="center"/>
    </w:pPr>
  </w:p>
  <w:p w:rsidR="0021051B" w14:paraId="0AC1C5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6619" w14:paraId="0A134855" w14:textId="77777777">
      <w:r>
        <w:separator/>
      </w:r>
    </w:p>
  </w:footnote>
  <w:footnote w:type="continuationSeparator" w:id="1">
    <w:p w:rsidR="00676619" w14:paraId="169174C0" w14:textId="77777777">
      <w:r>
        <w:continuationSeparator/>
      </w:r>
    </w:p>
  </w:footnote>
  <w:footnote w:type="continuationNotice" w:id="2">
    <w:p w:rsidR="00676619" w14:paraId="4BAEE0CE" w14:textId="77777777"/>
  </w:footnote>
  <w:footnote w:id="3">
    <w:p w:rsidR="0013577B" w14:paraId="595CDF57" w14:textId="066DE9CF">
      <w:pPr>
        <w:pStyle w:val="FootnoteText"/>
      </w:pPr>
      <w:r>
        <w:rPr>
          <w:rStyle w:val="FootnoteReference"/>
        </w:rPr>
        <w:footnoteRef/>
      </w:r>
      <w:r>
        <w:t xml:space="preserve"> </w:t>
      </w:r>
      <w:r w:rsidRPr="00B51A48">
        <w:t>Pleading File No. 0000238019 (filed Feb. 1, 2024).</w:t>
      </w:r>
    </w:p>
  </w:footnote>
  <w:footnote w:id="4">
    <w:p w:rsidR="00971A70" w:rsidRPr="00B51A48" w14:paraId="51963348" w14:textId="70892D9E">
      <w:pPr>
        <w:pStyle w:val="FootnoteText"/>
      </w:pPr>
      <w:r w:rsidRPr="00B51A48">
        <w:rPr>
          <w:rStyle w:val="FootnoteReference"/>
        </w:rPr>
        <w:footnoteRef/>
      </w:r>
      <w:r w:rsidRPr="00B51A48">
        <w:t xml:space="preserve"> Application File No. 0000232190 (filed </w:t>
      </w:r>
      <w:r w:rsidRPr="00B51A48" w:rsidR="005472C1">
        <w:t>Dec. 11, 2023</w:t>
      </w:r>
      <w:r w:rsidR="00E23BFC">
        <w:t xml:space="preserve">).  </w:t>
      </w:r>
    </w:p>
  </w:footnote>
  <w:footnote w:id="5">
    <w:p w:rsidR="008171BD" w:rsidRPr="00B51A48" w:rsidP="008171BD" w14:paraId="0E1688BE" w14:textId="77777777">
      <w:pPr>
        <w:pStyle w:val="FootnoteText"/>
      </w:pPr>
      <w:r w:rsidRPr="00B51A48">
        <w:rPr>
          <w:rStyle w:val="FootnoteReference"/>
        </w:rPr>
        <w:footnoteRef/>
      </w:r>
      <w:r w:rsidRPr="00B51A48">
        <w:t xml:space="preserve"> </w:t>
      </w:r>
      <w:r w:rsidRPr="00B51A48">
        <w:rPr>
          <w:i/>
          <w:iCs/>
        </w:rPr>
        <w:t>Media Bureau Announces Filing Procedures and Requirements for November 1 – November 8, 2023, Low Power FM Filing Window</w:t>
      </w:r>
      <w:r w:rsidRPr="00B51A48">
        <w:t>, Public Notice, DA 23-642 (MB July 31, 2023) (</w:t>
      </w:r>
      <w:r w:rsidRPr="00B51A48">
        <w:rPr>
          <w:i/>
          <w:iCs/>
        </w:rPr>
        <w:t>Procedures Public Notice</w:t>
      </w:r>
      <w:r w:rsidRPr="00B51A48">
        <w:t xml:space="preserve">).  Based on a request from LPFM advocates, the Bureau subsequently delayed the window until December 6, 2023.  </w:t>
      </w:r>
      <w:r w:rsidRPr="00B51A48">
        <w:rPr>
          <w:i/>
          <w:iCs/>
        </w:rPr>
        <w:t>Media Bureau Announces Revised Dates for LPFM New Station Application Filing Window</w:t>
      </w:r>
      <w:r w:rsidRPr="00B51A48">
        <w:t xml:space="preserve">, Public Notice, DA 23-984 (MB Oct. 17, 2023).  The Bureau subsequently extended the close of the window until December 15, 2023.  </w:t>
      </w:r>
      <w:r w:rsidRPr="00B51A48">
        <w:rPr>
          <w:i/>
          <w:iCs/>
        </w:rPr>
        <w:t>Media Bureau Announces Extension of LPFM New Station Application Filing Window</w:t>
      </w:r>
      <w:r w:rsidRPr="00B51A48">
        <w:t>, Public Notice, DA 23-1150 (MB Dec. 11, 2023).</w:t>
      </w:r>
    </w:p>
  </w:footnote>
  <w:footnote w:id="6">
    <w:p w:rsidR="008B3FE3" w:rsidP="008B3FE3" w14:paraId="3EA5BF6D" w14:textId="62571688">
      <w:pPr>
        <w:pStyle w:val="FootnoteText"/>
      </w:pPr>
      <w:r>
        <w:rPr>
          <w:rStyle w:val="FootnoteReference"/>
        </w:rPr>
        <w:footnoteRef/>
      </w:r>
      <w:r>
        <w:t xml:space="preserve"> </w:t>
      </w:r>
      <w:r w:rsidR="00047EE4">
        <w:t>Application at</w:t>
      </w:r>
      <w:r w:rsidRPr="00132AB8" w:rsidR="00132AB8">
        <w:t xml:space="preserve"> </w:t>
      </w:r>
      <w:r w:rsidR="0042057D">
        <w:t>Technical Certifications, Interference.</w:t>
      </w:r>
    </w:p>
  </w:footnote>
  <w:footnote w:id="7">
    <w:p w:rsidR="00B5225E" w:rsidRPr="00B51A48" w14:paraId="03E01F30" w14:textId="64DBBD1D">
      <w:pPr>
        <w:pStyle w:val="FootnoteText"/>
      </w:pPr>
      <w:r w:rsidRPr="00B51A48">
        <w:rPr>
          <w:rStyle w:val="FootnoteReference"/>
        </w:rPr>
        <w:footnoteRef/>
      </w:r>
      <w:r w:rsidRPr="00B51A48">
        <w:t xml:space="preserve"> </w:t>
      </w:r>
      <w:r w:rsidRPr="00B51A48">
        <w:rPr>
          <w:i/>
          <w:iCs/>
        </w:rPr>
        <w:t>See</w:t>
      </w:r>
      <w:r w:rsidRPr="00B51A48">
        <w:t xml:space="preserve"> 47 CFR § 73.807</w:t>
      </w:r>
      <w:r w:rsidR="00C350AB">
        <w:t>(a)</w:t>
      </w:r>
      <w:r w:rsidR="00A60757">
        <w:t>.</w:t>
      </w:r>
    </w:p>
  </w:footnote>
  <w:footnote w:id="8">
    <w:p w:rsidR="009F0C9B" w:rsidRPr="0094111F" w14:paraId="750CC947" w14:textId="6B2FA191">
      <w:pPr>
        <w:pStyle w:val="FootnoteText"/>
      </w:pPr>
      <w:r w:rsidRPr="00B51A48">
        <w:rPr>
          <w:rStyle w:val="FootnoteReference"/>
        </w:rPr>
        <w:footnoteRef/>
      </w:r>
      <w:r w:rsidRPr="00B51A48">
        <w:t xml:space="preserve"> </w:t>
      </w:r>
      <w:r w:rsidRPr="00BE4237" w:rsidR="00944B88">
        <w:rPr>
          <w:i/>
          <w:iCs/>
        </w:rPr>
        <w:t>See Broadcast Actions</w:t>
      </w:r>
      <w:r w:rsidRPr="00B51A48" w:rsidR="00944B88">
        <w:t xml:space="preserve">, Public Notice, Report No. </w:t>
      </w:r>
      <w:r w:rsidRPr="00B51A48" w:rsidR="008D7A93">
        <w:t xml:space="preserve">PN-2-240119-01 </w:t>
      </w:r>
      <w:r w:rsidRPr="00B51A48" w:rsidR="00944B88">
        <w:t>(</w:t>
      </w:r>
      <w:r w:rsidR="00EA2133">
        <w:t>MB</w:t>
      </w:r>
      <w:r w:rsidRPr="00B51A48" w:rsidR="00944B88">
        <w:t xml:space="preserve"> </w:t>
      </w:r>
      <w:r w:rsidRPr="00B51A48" w:rsidR="008D7A93">
        <w:t>Jan. 19, 2024</w:t>
      </w:r>
      <w:r w:rsidRPr="00B51A48" w:rsidR="00944B88">
        <w:t>)</w:t>
      </w:r>
      <w:r w:rsidR="00A60757">
        <w:t xml:space="preserve"> (citing 47 CFR </w:t>
      </w:r>
      <w:r w:rsidRPr="00B51A48" w:rsidR="00A60757">
        <w:t>§</w:t>
      </w:r>
      <w:r w:rsidR="00A60757">
        <w:t xml:space="preserve"> 73.870(c))</w:t>
      </w:r>
      <w:r w:rsidRPr="00B51A48" w:rsidR="00944B88">
        <w:t xml:space="preserve">.  </w:t>
      </w:r>
      <w:r w:rsidR="00EA2133">
        <w:rPr>
          <w:i/>
          <w:iCs/>
        </w:rPr>
        <w:t>See also</w:t>
      </w:r>
      <w:r w:rsidR="00A60757">
        <w:t xml:space="preserve"> Application File No. BMLH-20050822AAE</w:t>
      </w:r>
      <w:r w:rsidR="00E23BFC">
        <w:t xml:space="preserve"> (license application for WQKX(FM).  On </w:t>
      </w:r>
      <w:r w:rsidRPr="00B51A48" w:rsidR="00E23BFC">
        <w:t>Jan</w:t>
      </w:r>
      <w:r w:rsidR="00E23BFC">
        <w:t>uary</w:t>
      </w:r>
      <w:r w:rsidRPr="00B51A48" w:rsidR="00E23BFC">
        <w:t xml:space="preserve"> 8,</w:t>
      </w:r>
      <w:r w:rsidR="00E23BFC">
        <w:t xml:space="preserve"> </w:t>
      </w:r>
      <w:r w:rsidRPr="00B51A48" w:rsidR="00E23BFC">
        <w:t>2024</w:t>
      </w:r>
      <w:r w:rsidR="00E23BFC">
        <w:t>, Petitioner attempted to file an amendment to the Application.  The Bureau denied this amendment</w:t>
      </w:r>
      <w:r w:rsidR="0094111F">
        <w:t xml:space="preserve"> on January 9, 2024,</w:t>
      </w:r>
      <w:r w:rsidR="00E23BFC">
        <w:t xml:space="preserve"> because it was impermissibly filed during a filing freeze on amendments</w:t>
      </w:r>
      <w:r w:rsidR="0094111F">
        <w:t xml:space="preserve"> to applications </w:t>
      </w:r>
      <w:r w:rsidR="000C3B20">
        <w:t>submitted</w:t>
      </w:r>
      <w:r w:rsidR="0094111F">
        <w:t xml:space="preserve"> in the 2023 LPFM Filing Window.  </w:t>
      </w:r>
      <w:r w:rsidR="0094111F">
        <w:rPr>
          <w:i/>
          <w:iCs/>
        </w:rPr>
        <w:t>See Media Bureau Announces Close of LPFM New Station Filing Window and Temporary Filing Freeze on Amendments to Application</w:t>
      </w:r>
      <w:r w:rsidR="00C350AB">
        <w:rPr>
          <w:i/>
          <w:iCs/>
        </w:rPr>
        <w:t>s</w:t>
      </w:r>
      <w:r w:rsidR="0094111F">
        <w:rPr>
          <w:i/>
          <w:iCs/>
        </w:rPr>
        <w:t xml:space="preserve"> Submitted in the December 2023 Fiing Window</w:t>
      </w:r>
      <w:r w:rsidR="0094111F">
        <w:t>, Public Notice, DA 23-1165 (MB Dec. 15, 2023) (announcing filing freeze on amendments until January 31, 2024).</w:t>
      </w:r>
    </w:p>
  </w:footnote>
  <w:footnote w:id="9">
    <w:p w:rsidR="00844320" w:rsidRPr="00B51A48" w14:paraId="41C8C793" w14:textId="6EE11944">
      <w:pPr>
        <w:pStyle w:val="FootnoteText"/>
      </w:pPr>
      <w:r w:rsidRPr="00B51A48">
        <w:rPr>
          <w:rStyle w:val="FootnoteReference"/>
        </w:rPr>
        <w:footnoteRef/>
      </w:r>
      <w:r w:rsidRPr="00B51A48">
        <w:t xml:space="preserve"> Petition at 1</w:t>
      </w:r>
      <w:r w:rsidRPr="00B51A48" w:rsidR="00DD3A28">
        <w:t>.</w:t>
      </w:r>
    </w:p>
  </w:footnote>
  <w:footnote w:id="10">
    <w:p w:rsidR="00282A29" w:rsidRPr="00B51A48" w:rsidP="00EA1B47" w14:paraId="5332D7B7" w14:textId="77777777">
      <w:pPr>
        <w:pStyle w:val="FootnoteText"/>
      </w:pPr>
      <w:r w:rsidRPr="00B51A48">
        <w:rPr>
          <w:rStyle w:val="FootnoteReference"/>
        </w:rPr>
        <w:footnoteRef/>
      </w:r>
      <w:r w:rsidRPr="00B51A48">
        <w:t xml:space="preserve"> </w:t>
      </w:r>
      <w:r w:rsidRPr="00B51A48">
        <w:rPr>
          <w:i/>
          <w:iCs/>
        </w:rPr>
        <w:t>See</w:t>
      </w:r>
      <w:r w:rsidRPr="00B51A48">
        <w:t xml:space="preserve"> 47 CFR § 1.106(c), (d); </w:t>
      </w:r>
      <w:r w:rsidRPr="00B51A48">
        <w:rPr>
          <w:i/>
        </w:rPr>
        <w:t>s</w:t>
      </w:r>
      <w:r w:rsidRPr="00B51A48">
        <w:rPr>
          <w:i/>
          <w:iCs/>
        </w:rPr>
        <w:t>ee also WWIZ, Inc.,</w:t>
      </w:r>
      <w:r w:rsidRPr="00B51A48">
        <w:t xml:space="preserve"> Memorandum Opinion and Order, 37 FCC 685, 686 (1964).</w:t>
      </w:r>
    </w:p>
  </w:footnote>
  <w:footnote w:id="11">
    <w:p w:rsidR="00CA593E" w:rsidRPr="00B51A48" w14:paraId="7346A5DA" w14:textId="7417CA35">
      <w:pPr>
        <w:pStyle w:val="FootnoteText"/>
      </w:pPr>
      <w:r w:rsidRPr="00B51A48">
        <w:rPr>
          <w:rStyle w:val="FootnoteReference"/>
        </w:rPr>
        <w:footnoteRef/>
      </w:r>
      <w:r w:rsidRPr="00B51A48">
        <w:t xml:space="preserve"> </w:t>
      </w:r>
      <w:r w:rsidRPr="00B51A48">
        <w:rPr>
          <w:i/>
          <w:iCs/>
        </w:rPr>
        <w:t xml:space="preserve">See </w:t>
      </w:r>
      <w:r w:rsidRPr="00B51A48">
        <w:t>47 CFR § 73.807(a)(1).</w:t>
      </w:r>
    </w:p>
  </w:footnote>
  <w:footnote w:id="12">
    <w:p w:rsidR="0094418C" w:rsidRPr="00B51A48" w14:paraId="734E7E19" w14:textId="5DFE555C">
      <w:pPr>
        <w:pStyle w:val="FootnoteText"/>
      </w:pPr>
      <w:r w:rsidRPr="00B51A48">
        <w:rPr>
          <w:rStyle w:val="FootnoteReference"/>
        </w:rPr>
        <w:footnoteRef/>
      </w:r>
      <w:r w:rsidRPr="00B51A48">
        <w:t xml:space="preserve"> </w:t>
      </w:r>
      <w:r w:rsidRPr="00B51A48" w:rsidR="00971C97">
        <w:rPr>
          <w:i/>
          <w:iCs/>
        </w:rPr>
        <w:t xml:space="preserve">See </w:t>
      </w:r>
      <w:r w:rsidRPr="00B51A48" w:rsidR="00971C97">
        <w:t>47 CFR § 73.870(c).</w:t>
      </w:r>
    </w:p>
  </w:footnote>
  <w:footnote w:id="13">
    <w:p w:rsidR="006829A1" w:rsidRPr="00B51A48" w14:paraId="195C8B07" w14:textId="6A760053">
      <w:pPr>
        <w:pStyle w:val="FootnoteText"/>
      </w:pPr>
      <w:r w:rsidRPr="00B51A48">
        <w:rPr>
          <w:rStyle w:val="FootnoteReference"/>
        </w:rPr>
        <w:footnoteRef/>
      </w:r>
      <w:r w:rsidRPr="00B51A48">
        <w:t xml:space="preserve"> </w:t>
      </w:r>
      <w:r w:rsidRPr="00B51A48">
        <w:rPr>
          <w:i/>
          <w:iCs/>
        </w:rPr>
        <w:t>See P</w:t>
      </w:r>
      <w:r w:rsidRPr="00B51A48" w:rsidR="004523D8">
        <w:rPr>
          <w:i/>
          <w:iCs/>
        </w:rPr>
        <w:t>rocedures Public Notice</w:t>
      </w:r>
      <w:r w:rsidRPr="00B51A48" w:rsidR="004523D8">
        <w:t xml:space="preserve"> at </w:t>
      </w:r>
      <w:r w:rsidRPr="00B51A48" w:rsidR="006620F2">
        <w:t>3 and n.</w:t>
      </w:r>
      <w:r w:rsidRPr="00B51A48" w:rsidR="009F0804">
        <w:t>14</w:t>
      </w:r>
      <w:r w:rsidR="0080640B">
        <w:t xml:space="preserve"> (emphasis in original)</w:t>
      </w:r>
      <w:r w:rsidRPr="00B51A48" w:rsidR="009F0804">
        <w:t xml:space="preserve"> </w:t>
      </w:r>
      <w:r w:rsidRPr="00B51A48" w:rsidR="00E71250">
        <w:t>(</w:t>
      </w:r>
      <w:r w:rsidRPr="00B51A48" w:rsidR="009F0804">
        <w:t xml:space="preserve">citing </w:t>
      </w:r>
      <w:r w:rsidRPr="00B51A48" w:rsidR="009F0804">
        <w:rPr>
          <w:i/>
          <w:iCs/>
        </w:rPr>
        <w:t>Low Power FM Filing Window</w:t>
      </w:r>
      <w:r w:rsidRPr="00B51A48" w:rsidR="009F0804">
        <w:t xml:space="preserve">, Public Notice, 15 FCC Rcd 24817, 24818 (MB 2000); </w:t>
      </w:r>
      <w:r w:rsidRPr="00B51A48" w:rsidR="009F0804">
        <w:rPr>
          <w:i/>
          <w:iCs/>
        </w:rPr>
        <w:t>Media Bureau Announces Availability of the Revised FCC Form 318 and the Filing Procedures for October 15-October 29, 2013 Low Power FM Filing Window</w:t>
      </w:r>
      <w:r w:rsidRPr="00B51A48" w:rsidR="009F0804">
        <w:t>, Public Notice, 28 FCC Rcd 8854, 8855 (MB 2013); 47 CFR §73.870(c)</w:t>
      </w:r>
      <w:r w:rsidRPr="00B51A48" w:rsidR="00E71250">
        <w:t>)</w:t>
      </w:r>
      <w:r w:rsidRPr="00B51A48" w:rsidR="009F0804">
        <w:t>.</w:t>
      </w:r>
    </w:p>
  </w:footnote>
  <w:footnote w:id="14">
    <w:p w:rsidR="00E051B7" w:rsidRPr="00B51A48" w:rsidP="00E051B7" w14:paraId="640062F8" w14:textId="35AF1705">
      <w:pPr>
        <w:pStyle w:val="FootnoteText"/>
      </w:pPr>
      <w:r w:rsidRPr="00B51A48">
        <w:rPr>
          <w:rStyle w:val="FootnoteReference"/>
        </w:rPr>
        <w:footnoteRef/>
      </w:r>
      <w:r w:rsidRPr="00B51A48">
        <w:t xml:space="preserve"> Pub. L. No. 111-371, 124 Stat. 4072 (2011)</w:t>
      </w:r>
      <w:r w:rsidR="00BE0FCE">
        <w:t xml:space="preserve">; </w:t>
      </w:r>
      <w:r w:rsidR="00BE0FCE">
        <w:rPr>
          <w:i/>
          <w:iCs/>
        </w:rPr>
        <w:t>se</w:t>
      </w:r>
      <w:r w:rsidRPr="00B51A48" w:rsidR="00BE0FCE">
        <w:rPr>
          <w:i/>
          <w:iCs/>
        </w:rPr>
        <w:t>e</w:t>
      </w:r>
      <w:r w:rsidR="00BE0FCE">
        <w:rPr>
          <w:i/>
          <w:iCs/>
        </w:rPr>
        <w:t xml:space="preserve"> also</w:t>
      </w:r>
      <w:r w:rsidRPr="00B51A48" w:rsidR="00BE0FCE">
        <w:t xml:space="preserve"> 47 CFR § 73.807</w:t>
      </w:r>
      <w:r w:rsidR="00BE0FCE">
        <w:t>(e) (</w:t>
      </w:r>
      <w:r w:rsidR="005C4DC9">
        <w:t xml:space="preserve">outlining </w:t>
      </w:r>
      <w:r w:rsidR="00E727B4">
        <w:t xml:space="preserve">LPFM applicant requirements for a </w:t>
      </w:r>
      <w:r w:rsidR="007E738C">
        <w:t>s</w:t>
      </w:r>
      <w:r w:rsidRPr="00E727B4" w:rsidR="00E727B4">
        <w:t>econd-</w:t>
      </w:r>
      <w:r w:rsidR="007E738C">
        <w:t>a</w:t>
      </w:r>
      <w:r w:rsidRPr="00E727B4" w:rsidR="00E727B4">
        <w:t xml:space="preserve">djacent </w:t>
      </w:r>
      <w:r w:rsidR="007E738C">
        <w:t>c</w:t>
      </w:r>
      <w:r w:rsidRPr="00E727B4" w:rsidR="00E727B4">
        <w:t xml:space="preserve">hannel </w:t>
      </w:r>
      <w:r w:rsidR="007E738C">
        <w:t>s</w:t>
      </w:r>
      <w:r w:rsidRPr="00E727B4" w:rsidR="00E727B4">
        <w:t xml:space="preserve">pacing </w:t>
      </w:r>
      <w:r w:rsidR="007E738C">
        <w:t>w</w:t>
      </w:r>
      <w:r w:rsidRPr="00E727B4" w:rsidR="00E727B4">
        <w:t>aiver</w:t>
      </w:r>
      <w:r w:rsidR="00242A17">
        <w:t>)</w:t>
      </w:r>
      <w:r w:rsidR="00B00C95">
        <w:t>.</w:t>
      </w:r>
    </w:p>
  </w:footnote>
  <w:footnote w:id="15">
    <w:p w:rsidR="00C83380" w:rsidRPr="00B51A48" w14:paraId="3C2744DF" w14:textId="5FEF503B">
      <w:pPr>
        <w:pStyle w:val="FootnoteText"/>
      </w:pPr>
      <w:r w:rsidRPr="00B51A48">
        <w:rPr>
          <w:rStyle w:val="FootnoteReference"/>
        </w:rPr>
        <w:footnoteRef/>
      </w:r>
      <w:r w:rsidRPr="00B51A48">
        <w:t xml:space="preserve"> </w:t>
      </w:r>
      <w:r w:rsidR="000819BF">
        <w:rPr>
          <w:i/>
          <w:iCs/>
        </w:rPr>
        <w:t xml:space="preserve">See Procedures Public Notice </w:t>
      </w:r>
      <w:r w:rsidR="000819BF">
        <w:t xml:space="preserve">at 4; </w:t>
      </w:r>
      <w:r w:rsidR="000819BF">
        <w:rPr>
          <w:i/>
          <w:iCs/>
        </w:rPr>
        <w:t>s</w:t>
      </w:r>
      <w:r w:rsidRPr="00B51A48">
        <w:rPr>
          <w:i/>
          <w:iCs/>
        </w:rPr>
        <w:t xml:space="preserve">ee </w:t>
      </w:r>
      <w:r w:rsidR="000819BF">
        <w:rPr>
          <w:i/>
          <w:iCs/>
        </w:rPr>
        <w:t>also</w:t>
      </w:r>
      <w:r w:rsidRPr="00B51A48">
        <w:rPr>
          <w:i/>
          <w:iCs/>
        </w:rPr>
        <w:t xml:space="preserve"> Clifford Brown Jazz Foundation</w:t>
      </w:r>
      <w:r w:rsidRPr="00B51A48">
        <w:t>, Memorandum Opinion and Order, 29 FCC Rcd 13258 (2014)</w:t>
      </w:r>
      <w:r w:rsidRPr="00B51A48" w:rsidR="00A3713E">
        <w:t xml:space="preserve"> (</w:t>
      </w:r>
      <w:r w:rsidRPr="00B51A48" w:rsidR="00A3713E">
        <w:rPr>
          <w:i/>
          <w:iCs/>
        </w:rPr>
        <w:t>Clifford Brown</w:t>
      </w:r>
      <w:r w:rsidRPr="00B51A48" w:rsidR="00A3713E">
        <w:t>)</w:t>
      </w:r>
      <w:r w:rsidRPr="00B51A48">
        <w:t xml:space="preserve"> (affirming dismissal of application, without ability to amend and seek reinstatement, where applicant failed to comply with second-adjacent spacing rules and failed to include a waiver request with its application) (citing 47 CFR § 73.870(c)).</w:t>
      </w:r>
    </w:p>
  </w:footnote>
  <w:footnote w:id="16">
    <w:p w:rsidR="00FF02AA" w:rsidRPr="00B51A48" w:rsidP="00FF02AA" w14:paraId="5E112148" w14:textId="09CBB9D8">
      <w:pPr>
        <w:autoSpaceDE w:val="0"/>
        <w:autoSpaceDN w:val="0"/>
        <w:adjustRightInd w:val="0"/>
        <w:rPr>
          <w:sz w:val="20"/>
          <w:szCs w:val="20"/>
        </w:rPr>
      </w:pPr>
      <w:r w:rsidRPr="00B51A48">
        <w:rPr>
          <w:rStyle w:val="FootnoteReference"/>
          <w:sz w:val="20"/>
          <w:szCs w:val="20"/>
        </w:rPr>
        <w:footnoteRef/>
      </w:r>
      <w:r w:rsidRPr="00B51A48">
        <w:rPr>
          <w:sz w:val="20"/>
          <w:szCs w:val="20"/>
        </w:rPr>
        <w:t xml:space="preserve"> </w:t>
      </w:r>
      <w:r w:rsidRPr="00B51A48" w:rsidR="00B34C5E">
        <w:rPr>
          <w:i/>
          <w:iCs/>
          <w:sz w:val="20"/>
          <w:szCs w:val="20"/>
        </w:rPr>
        <w:t xml:space="preserve">See </w:t>
      </w:r>
      <w:r w:rsidRPr="00B51A48" w:rsidR="00B51A48">
        <w:rPr>
          <w:i/>
          <w:iCs/>
          <w:sz w:val="20"/>
          <w:szCs w:val="20"/>
        </w:rPr>
        <w:t>Christian Charities Deliverance Church</w:t>
      </w:r>
      <w:r w:rsidRPr="00B51A48" w:rsidR="00B51A48">
        <w:rPr>
          <w:sz w:val="20"/>
          <w:szCs w:val="20"/>
        </w:rPr>
        <w:t>, Memorandum Opinion and Order, 30 FCC Rcd 10548</w:t>
      </w:r>
      <w:r w:rsidR="00CF6225">
        <w:rPr>
          <w:sz w:val="20"/>
          <w:szCs w:val="20"/>
        </w:rPr>
        <w:t>, 10549</w:t>
      </w:r>
      <w:r w:rsidR="004E58A0">
        <w:rPr>
          <w:sz w:val="20"/>
          <w:szCs w:val="20"/>
        </w:rPr>
        <w:t>, para. 5</w:t>
      </w:r>
      <w:r w:rsidR="00B51A48">
        <w:rPr>
          <w:sz w:val="20"/>
          <w:szCs w:val="20"/>
        </w:rPr>
        <w:t xml:space="preserve"> (</w:t>
      </w:r>
      <w:r w:rsidR="00307814">
        <w:rPr>
          <w:sz w:val="20"/>
          <w:szCs w:val="20"/>
        </w:rPr>
        <w:t>2015)</w:t>
      </w:r>
      <w:r w:rsidRPr="00B51A48" w:rsidR="00B51A48">
        <w:rPr>
          <w:sz w:val="20"/>
          <w:szCs w:val="20"/>
        </w:rPr>
        <w:t xml:space="preserve"> </w:t>
      </w:r>
      <w:r w:rsidRPr="00B51A48" w:rsidR="00B34C5E">
        <w:rPr>
          <w:sz w:val="20"/>
          <w:szCs w:val="20"/>
        </w:rPr>
        <w:t>(</w:t>
      </w:r>
      <w:r w:rsidR="009148FC">
        <w:rPr>
          <w:sz w:val="20"/>
          <w:szCs w:val="20"/>
        </w:rPr>
        <w:t xml:space="preserve">finding </w:t>
      </w:r>
      <w:r w:rsidR="00AE553D">
        <w:rPr>
          <w:i/>
          <w:iCs/>
          <w:sz w:val="20"/>
          <w:szCs w:val="20"/>
        </w:rPr>
        <w:t>nunc</w:t>
      </w:r>
      <w:r w:rsidR="00AE553D">
        <w:rPr>
          <w:i/>
          <w:iCs/>
          <w:sz w:val="20"/>
          <w:szCs w:val="20"/>
        </w:rPr>
        <w:t xml:space="preserve"> pro </w:t>
      </w:r>
      <w:r w:rsidRPr="0072550D" w:rsidR="00AE553D">
        <w:rPr>
          <w:i/>
          <w:iCs/>
          <w:sz w:val="20"/>
          <w:szCs w:val="20"/>
        </w:rPr>
        <w:t>tunc</w:t>
      </w:r>
      <w:r w:rsidRPr="0072550D" w:rsidR="00AE553D">
        <w:rPr>
          <w:i/>
          <w:iCs/>
          <w:sz w:val="20"/>
          <w:szCs w:val="20"/>
        </w:rPr>
        <w:t xml:space="preserve"> </w:t>
      </w:r>
      <w:r w:rsidR="0072550D">
        <w:rPr>
          <w:sz w:val="20"/>
          <w:szCs w:val="20"/>
        </w:rPr>
        <w:t>reinstatement inapplicable because it is superseded by section 73.870(c)</w:t>
      </w:r>
      <w:r w:rsidR="00C93455">
        <w:rPr>
          <w:sz w:val="20"/>
          <w:szCs w:val="20"/>
        </w:rPr>
        <w:t>) (</w:t>
      </w:r>
      <w:r w:rsidRPr="00AE553D" w:rsidR="00B34C5E">
        <w:rPr>
          <w:sz w:val="20"/>
          <w:szCs w:val="20"/>
        </w:rPr>
        <w:t>citing</w:t>
      </w:r>
      <w:r w:rsidRPr="00B51A48">
        <w:rPr>
          <w:i/>
          <w:iCs/>
          <w:sz w:val="20"/>
          <w:szCs w:val="20"/>
        </w:rPr>
        <w:t xml:space="preserve"> People of Progress</w:t>
      </w:r>
      <w:r w:rsidRPr="00B51A48">
        <w:rPr>
          <w:sz w:val="20"/>
          <w:szCs w:val="20"/>
        </w:rPr>
        <w:t xml:space="preserve">, Memorandum Opinion and Order, 29 FCC Rcd 15065 (2014); </w:t>
      </w:r>
      <w:r w:rsidRPr="00B51A48">
        <w:rPr>
          <w:i/>
          <w:iCs/>
          <w:sz w:val="20"/>
          <w:szCs w:val="20"/>
        </w:rPr>
        <w:t>Clifford Brown</w:t>
      </w:r>
      <w:r w:rsidRPr="00B51A48">
        <w:rPr>
          <w:sz w:val="20"/>
          <w:szCs w:val="20"/>
        </w:rPr>
        <w:t>,</w:t>
      </w:r>
    </w:p>
    <w:p w:rsidR="00FF02AA" w:rsidRPr="00B51A48" w:rsidP="00FF02AA" w14:paraId="7F5EED36" w14:textId="3DFF414A">
      <w:pPr>
        <w:pStyle w:val="FootnoteText"/>
      </w:pPr>
      <w:r w:rsidRPr="00B51A48">
        <w:t>29 FCC Rcd 13258</w:t>
      </w:r>
      <w:r w:rsidR="00434437">
        <w:t>)</w:t>
      </w:r>
      <w:r w:rsidRPr="00B51A48">
        <w:t>.</w:t>
      </w:r>
    </w:p>
  </w:footnote>
  <w:footnote w:id="17">
    <w:p w:rsidR="00AF6916" w:rsidP="00AF6916" w14:paraId="731C709D" w14:textId="7CC4938F">
      <w:pPr>
        <w:pStyle w:val="FootnoteText"/>
      </w:pPr>
      <w:r>
        <w:rPr>
          <w:rStyle w:val="FootnoteReference"/>
        </w:rPr>
        <w:footnoteRef/>
      </w:r>
      <w:r>
        <w:t xml:space="preserve"> 47 C</w:t>
      </w:r>
      <w:r w:rsidR="00A651AA">
        <w:t>FR</w:t>
      </w:r>
      <w:r>
        <w:t xml:space="preserve"> § 1.3.</w:t>
      </w:r>
    </w:p>
  </w:footnote>
  <w:footnote w:id="18">
    <w:p w:rsidR="00AF6916" w:rsidP="00AF6916" w14:paraId="25192F86" w14:textId="77777777">
      <w:pPr>
        <w:pStyle w:val="FootnoteText"/>
      </w:pPr>
      <w:r>
        <w:rPr>
          <w:rStyle w:val="FootnoteReference"/>
        </w:rPr>
        <w:footnoteRef/>
      </w:r>
      <w:r>
        <w:t xml:space="preserve"> </w:t>
      </w:r>
      <w:r>
        <w:rPr>
          <w:i/>
        </w:rPr>
        <w:t>WAIT Radio v. FCC</w:t>
      </w:r>
      <w:r>
        <w:t>, 418 F.2d 1153, 1157 (D.C. Cir. 1969) (subsequent history omitted).</w:t>
      </w:r>
    </w:p>
  </w:footnote>
  <w:footnote w:id="19">
    <w:p w:rsidR="00AF6916" w:rsidP="00AF6916" w14:paraId="5240DE27" w14:textId="77777777">
      <w:pPr>
        <w:pStyle w:val="FootnoteText"/>
      </w:pPr>
      <w:r>
        <w:rPr>
          <w:rStyle w:val="FootnoteReference"/>
        </w:rPr>
        <w:footnoteRef/>
      </w:r>
      <w:r>
        <w:t xml:space="preserve"> </w:t>
      </w:r>
      <w:r>
        <w:rPr>
          <w:i/>
        </w:rPr>
        <w:t>Greater Media Radio Co., Inc</w:t>
      </w:r>
      <w:r>
        <w:t xml:space="preserve">., Memorandum Opinion and Order, 15 FCC Rcd 7090 (1999) (citing </w:t>
      </w:r>
      <w:r>
        <w:rPr>
          <w:i/>
        </w:rPr>
        <w:t>Stoner Broadcasting System, Inc.</w:t>
      </w:r>
      <w:r>
        <w:t>, Memorandum Opinion and Order, 49 FCC 2d 1011, 1012 (1974)).</w:t>
      </w:r>
    </w:p>
  </w:footnote>
  <w:footnote w:id="20">
    <w:p w:rsidR="00AF6916" w:rsidP="00AF6916" w14:paraId="1D975A08" w14:textId="77777777">
      <w:pPr>
        <w:pStyle w:val="FootnoteText"/>
      </w:pPr>
      <w:r>
        <w:rPr>
          <w:rStyle w:val="FootnoteReference"/>
        </w:rPr>
        <w:footnoteRef/>
      </w:r>
      <w:r>
        <w:t xml:space="preserve"> </w:t>
      </w:r>
      <w:r>
        <w:rPr>
          <w:i/>
        </w:rPr>
        <w:t>NetworkIP</w:t>
      </w:r>
      <w:r>
        <w:rPr>
          <w:i/>
        </w:rPr>
        <w:t>, LLC v. FCC</w:t>
      </w:r>
      <w:r>
        <w:t xml:space="preserve">, 548 F.3d 116, 125-128 (D.C. Cir. 2008); </w:t>
      </w:r>
      <w:r>
        <w:rPr>
          <w:i/>
        </w:rPr>
        <w:t>Northeast Cellular</w:t>
      </w:r>
      <w:r>
        <w:rPr>
          <w:i/>
          <w:noProof/>
        </w:rPr>
        <w:drawing>
          <wp:inline distT="0" distB="0" distL="0" distR="0">
            <wp:extent cx="9525" cy="9525"/>
            <wp:effectExtent l="0" t="0" r="0" b="0"/>
            <wp:docPr id="8" name="Picture 8" descr="next hit">
              <a:hlinkClick xmlns:a="http://schemas.openxmlformats.org/drawingml/2006/main" xmlns:r="http://schemas.openxmlformats.org/officeDocument/2006/relationships"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next hit"/>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bookmarkStart w:id="13" w:name="a0e3a6q7z1"/>
      <w:bookmarkEnd w:id="13"/>
      <w:r>
        <w:rPr>
          <w:i/>
        </w:rPr>
        <w:t xml:space="preserve"> Telephone Co. v. FCC</w:t>
      </w:r>
      <w:r>
        <w:t>,</w:t>
      </w:r>
      <w:r>
        <w:rPr>
          <w:i/>
        </w:rPr>
        <w:t xml:space="preserve"> </w:t>
      </w:r>
      <w:r>
        <w:t>897 F.2d 1164, 1166 (D.C. Cir. 1990).</w:t>
      </w:r>
    </w:p>
  </w:footnote>
  <w:footnote w:id="21">
    <w:p w:rsidR="00E26FBF" w14:paraId="33A294D8" w14:textId="22127AF4">
      <w:pPr>
        <w:pStyle w:val="FootnoteText"/>
      </w:pPr>
      <w:r>
        <w:rPr>
          <w:rStyle w:val="FootnoteReference"/>
        </w:rPr>
        <w:footnoteRef/>
      </w:r>
      <w:r>
        <w:t xml:space="preserve"> Petition at 1.  Petitioner </w:t>
      </w:r>
      <w:r w:rsidR="00741C12">
        <w:t>requests</w:t>
      </w:r>
      <w:r>
        <w:t xml:space="preserve"> waiver of section 73.870(c)</w:t>
      </w:r>
      <w:r w:rsidR="00741C12">
        <w:t xml:space="preserve">, but later in </w:t>
      </w:r>
      <w:r w:rsidR="00FD48B9">
        <w:t xml:space="preserve">its </w:t>
      </w:r>
      <w:r w:rsidR="00CA556C">
        <w:t>supporting engineering exhibit,</w:t>
      </w:r>
      <w:r w:rsidR="00741C12">
        <w:t xml:space="preserve"> requests waiver of section 73.807.  </w:t>
      </w:r>
      <w:r w:rsidR="00954BDE">
        <w:t>Because</w:t>
      </w:r>
      <w:r w:rsidR="00741C12">
        <w:t xml:space="preserve"> the Application was dismissed for failure to comply with the </w:t>
      </w:r>
      <w:r w:rsidR="00C12858">
        <w:t xml:space="preserve">spacing </w:t>
      </w:r>
      <w:r w:rsidR="00741C12">
        <w:t xml:space="preserve">requirements of section 73.807, and because </w:t>
      </w:r>
      <w:r w:rsidR="00430616">
        <w:t xml:space="preserve">Petitioner refers to “second channel waiver request” </w:t>
      </w:r>
      <w:r w:rsidR="00C12858">
        <w:t>in other parts of</w:t>
      </w:r>
      <w:r w:rsidR="00430616">
        <w:t xml:space="preserve"> the Petition,</w:t>
      </w:r>
      <w:r w:rsidR="008131E6">
        <w:t xml:space="preserve"> we will treat the waiver request as applicable to section 73.807 of the Rules. </w:t>
      </w:r>
    </w:p>
  </w:footnote>
  <w:footnote w:id="22">
    <w:p w:rsidR="007C6F95" w14:paraId="188BAD6D" w14:textId="16A2BFF4">
      <w:pPr>
        <w:pStyle w:val="FootnoteText"/>
      </w:pPr>
      <w:r>
        <w:rPr>
          <w:rStyle w:val="FootnoteReference"/>
        </w:rPr>
        <w:footnoteRef/>
      </w:r>
      <w:r>
        <w:t xml:space="preserve"> </w:t>
      </w:r>
      <w:r w:rsidR="00DB2A85">
        <w:rPr>
          <w:i/>
          <w:iCs/>
        </w:rPr>
        <w:t>See</w:t>
      </w:r>
      <w:r w:rsidR="00B10C83">
        <w:rPr>
          <w:i/>
          <w:iCs/>
        </w:rPr>
        <w:t xml:space="preserve"> </w:t>
      </w:r>
      <w:r w:rsidR="00DB6003">
        <w:rPr>
          <w:i/>
          <w:iCs/>
        </w:rPr>
        <w:t>Roy E. Henderson</w:t>
      </w:r>
      <w:r w:rsidRPr="00BE4237" w:rsidR="00DB6003">
        <w:t>, Memora</w:t>
      </w:r>
      <w:r w:rsidR="00DB6003">
        <w:t>n</w:t>
      </w:r>
      <w:r w:rsidRPr="00BE4237" w:rsidR="00DB6003">
        <w:t>dum Opinion and Or</w:t>
      </w:r>
      <w:r w:rsidR="00A622B8">
        <w:t>d</w:t>
      </w:r>
      <w:r w:rsidRPr="00BE4237" w:rsidR="00DB6003">
        <w:t>er, 33 FCC 3385, 3387-88</w:t>
      </w:r>
      <w:r w:rsidRPr="00DB6003" w:rsidR="00DB6003">
        <w:t>,</w:t>
      </w:r>
      <w:r w:rsidR="00DB6003">
        <w:t xml:space="preserve"> para. 6  (2018) (rejecting argument that licensee’s engineer was to blame for station’s unauthorized operations); </w:t>
      </w:r>
      <w:r w:rsidRPr="00DB6003" w:rsidR="00B10C83">
        <w:rPr>
          <w:i/>
          <w:iCs/>
        </w:rPr>
        <w:t>Whidbey</w:t>
      </w:r>
      <w:r w:rsidRPr="00B10C83" w:rsidR="00B10C83">
        <w:rPr>
          <w:i/>
          <w:iCs/>
        </w:rPr>
        <w:t xml:space="preserve"> Island Ctr. for the Arts</w:t>
      </w:r>
      <w:r w:rsidRPr="00B10C83" w:rsidR="00B10C83">
        <w:t>,</w:t>
      </w:r>
      <w:r w:rsidR="00B10C83">
        <w:t xml:space="preserve"> Forfeiture Order,</w:t>
      </w:r>
      <w:r w:rsidRPr="00B10C83" w:rsidR="00B10C83">
        <w:t xml:space="preserve"> 25 FCC Rcd 8204, 8205</w:t>
      </w:r>
      <w:r w:rsidR="00B10C83">
        <w:t xml:space="preserve">, para. </w:t>
      </w:r>
      <w:r w:rsidR="009222BF">
        <w:t>6 and</w:t>
      </w:r>
      <w:r w:rsidR="00B10C83">
        <w:t xml:space="preserve"> </w:t>
      </w:r>
      <w:r w:rsidRPr="00B10C83" w:rsidR="00B10C83">
        <w:t>n.12 (</w:t>
      </w:r>
      <w:r w:rsidR="00DB6003">
        <w:t xml:space="preserve">MB </w:t>
      </w:r>
      <w:r w:rsidRPr="00B10C83" w:rsidR="00B10C83">
        <w:t>2010</w:t>
      </w:r>
      <w:r w:rsidRPr="009222BF" w:rsidR="00B10C83">
        <w:t>)</w:t>
      </w:r>
      <w:r w:rsidR="009222BF">
        <w:t xml:space="preserve"> (</w:t>
      </w:r>
      <w:r w:rsidR="00856846">
        <w:t>“</w:t>
      </w:r>
      <w:r w:rsidRPr="009222BF" w:rsidR="009222BF">
        <w:t xml:space="preserve">the Commission has long held that </w:t>
      </w:r>
      <w:r w:rsidR="00856846">
        <w:t>‘</w:t>
      </w:r>
      <w:r w:rsidRPr="009222BF" w:rsidR="009222BF">
        <w:t>licensees are responsible for the acts and omissions of their employees and independent contractors</w:t>
      </w:r>
      <w:r w:rsidR="00856846">
        <w:t>’</w:t>
      </w:r>
      <w:r w:rsidRPr="009222BF" w:rsidR="009222BF">
        <w:t>”</w:t>
      </w:r>
      <w:r w:rsidR="00856846">
        <w:t>);</w:t>
      </w:r>
      <w:r w:rsidR="00DB2A85">
        <w:rPr>
          <w:i/>
          <w:iCs/>
        </w:rPr>
        <w:t xml:space="preserve"> </w:t>
      </w:r>
      <w:r w:rsidRPr="00DB2A85" w:rsidR="00DB2A85">
        <w:rPr>
          <w:i/>
          <w:iCs/>
        </w:rPr>
        <w:t>Vista Services Corporation</w:t>
      </w:r>
      <w:r w:rsidRPr="00DB2A85" w:rsidR="00DB2A85">
        <w:t>, Forfeiture Order, 15 FCC Rcd 20646, 20650 para. 9, n.24 (2000) (“</w:t>
      </w:r>
      <w:r w:rsidR="00203445">
        <w:t>[e]</w:t>
      </w:r>
      <w:r w:rsidRPr="00DB2A85" w:rsidR="00DB2A85">
        <w:t>mployers</w:t>
      </w:r>
      <w:r w:rsidRPr="00DB2A85" w:rsidR="00DB2A85">
        <w:t xml:space="preserve"> are routinely held liable for breach of statutory duties, even where the failings are those of an independent contractor”)</w:t>
      </w:r>
      <w:r w:rsidR="00B10C83">
        <w:t>.</w:t>
      </w:r>
    </w:p>
  </w:footnote>
  <w:footnote w:id="23">
    <w:p w:rsidR="00AF6916" w:rsidRPr="002E2CCB" w:rsidP="00AF6916" w14:paraId="5356849C" w14:textId="77777777">
      <w:pPr>
        <w:pStyle w:val="FootnoteText"/>
      </w:pPr>
      <w:r w:rsidRPr="002E2CCB">
        <w:rPr>
          <w:rStyle w:val="FootnoteReference"/>
        </w:rPr>
        <w:footnoteRef/>
      </w:r>
      <w:r w:rsidRPr="002E2CCB">
        <w:t xml:space="preserve"> </w:t>
      </w:r>
      <w:r w:rsidRPr="002E2CCB">
        <w:rPr>
          <w:i/>
        </w:rPr>
        <w:t>See Creation of a Low Power Radio Service</w:t>
      </w:r>
      <w:r w:rsidRPr="002E2CCB">
        <w:t xml:space="preserve">, Report and Order, 15 FCC Rcd 2205, 2257 (2000) (“In accordance with our window filing procedure for commercial broadcast applications, after the LPFM window closes, the staff initially will screen applications for the purpose of identifying those that are mutually exclusive and those that fail to protect existing broadcast stations in accordance with the standards adopted herein.  Applications that fail to properly protect these existing stations will be dismissed without the applicant being afforded an opportunity to amend.  This will increase the speed and efficiency with which LPFM applications can be processed by the staff.”).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21051B" w14:paraId="580FF2DE" w14:textId="77777777">
    <w:pPr>
      <w:pStyle w:val="Header"/>
      <w:spacing w:before="360" w:line="228" w:lineRule="auto"/>
      <w:ind w:firstLine="1440"/>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9525" b="9525"/>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 xml:space="preserve">     Federal Communications Commission</w:t>
    </w:r>
  </w:p>
  <w:p w:rsidR="0021051B" w:rsidP="0021051B" w14:paraId="76E50CD5"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1051B" w:rsidP="0021051B" w14:paraId="4C2A2D95" w14:textId="77777777">
    <w:pPr>
      <w:pStyle w:val="Header"/>
      <w:jc w:val="center"/>
    </w:pPr>
  </w:p>
  <w:p w:rsidR="0021051B" w:rsidRPr="00004D12" w:rsidP="00D333E4" w14:paraId="09237DAE" w14:textId="33AD3110">
    <w:pPr>
      <w:pStyle w:val="Header"/>
      <w:spacing w:after="240"/>
      <w:jc w:val="center"/>
      <w:rPr>
        <w:noProof/>
      </w:rPr>
    </w:pPr>
    <w:r>
      <w:rPr>
        <w:noProof/>
      </w:rPr>
      <w:fldChar w:fldCharType="begin"/>
    </w:r>
    <w:r>
      <w:rPr>
        <w:noProof/>
      </w:rPr>
      <w:instrText xml:space="preserve"> DATE \@ "MMMM d, yyyy" </w:instrText>
    </w:r>
    <w:r>
      <w:rPr>
        <w:noProof/>
      </w:rPr>
      <w:fldChar w:fldCharType="separate"/>
    </w:r>
    <w:r w:rsidR="006E001E">
      <w:rPr>
        <w:noProof/>
      </w:rPr>
      <w:t>February 29, 2024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6"/>
    <w:rsid w:val="00000816"/>
    <w:rsid w:val="00000CB8"/>
    <w:rsid w:val="000027B9"/>
    <w:rsid w:val="00003AC9"/>
    <w:rsid w:val="0000467A"/>
    <w:rsid w:val="00004D12"/>
    <w:rsid w:val="00006099"/>
    <w:rsid w:val="00006FC8"/>
    <w:rsid w:val="00010C7F"/>
    <w:rsid w:val="00011904"/>
    <w:rsid w:val="00011E5D"/>
    <w:rsid w:val="000132E2"/>
    <w:rsid w:val="000141D6"/>
    <w:rsid w:val="00014245"/>
    <w:rsid w:val="000154F5"/>
    <w:rsid w:val="000168D0"/>
    <w:rsid w:val="00016F66"/>
    <w:rsid w:val="000176FA"/>
    <w:rsid w:val="00020DCD"/>
    <w:rsid w:val="0002309F"/>
    <w:rsid w:val="00023508"/>
    <w:rsid w:val="00023B45"/>
    <w:rsid w:val="00025C1E"/>
    <w:rsid w:val="00026506"/>
    <w:rsid w:val="00026BB2"/>
    <w:rsid w:val="00026C71"/>
    <w:rsid w:val="000279DA"/>
    <w:rsid w:val="00030E23"/>
    <w:rsid w:val="0003125D"/>
    <w:rsid w:val="00031F98"/>
    <w:rsid w:val="00034285"/>
    <w:rsid w:val="000343BF"/>
    <w:rsid w:val="00036A6D"/>
    <w:rsid w:val="00037B76"/>
    <w:rsid w:val="000404AF"/>
    <w:rsid w:val="000407B0"/>
    <w:rsid w:val="00041A39"/>
    <w:rsid w:val="00046F10"/>
    <w:rsid w:val="0004721B"/>
    <w:rsid w:val="00047EE4"/>
    <w:rsid w:val="000537B2"/>
    <w:rsid w:val="000552BD"/>
    <w:rsid w:val="00055940"/>
    <w:rsid w:val="00055A80"/>
    <w:rsid w:val="000612D2"/>
    <w:rsid w:val="00061915"/>
    <w:rsid w:val="0006288E"/>
    <w:rsid w:val="000630FA"/>
    <w:rsid w:val="0006771C"/>
    <w:rsid w:val="0007143D"/>
    <w:rsid w:val="00072A06"/>
    <w:rsid w:val="00073094"/>
    <w:rsid w:val="000738DB"/>
    <w:rsid w:val="00077685"/>
    <w:rsid w:val="00077766"/>
    <w:rsid w:val="00077D17"/>
    <w:rsid w:val="0008096A"/>
    <w:rsid w:val="000819BF"/>
    <w:rsid w:val="000836ED"/>
    <w:rsid w:val="00083D95"/>
    <w:rsid w:val="0008480C"/>
    <w:rsid w:val="00085031"/>
    <w:rsid w:val="00087679"/>
    <w:rsid w:val="0009147C"/>
    <w:rsid w:val="000931C5"/>
    <w:rsid w:val="00096A7C"/>
    <w:rsid w:val="00097750"/>
    <w:rsid w:val="00097D02"/>
    <w:rsid w:val="000A1B4C"/>
    <w:rsid w:val="000A23B1"/>
    <w:rsid w:val="000A2B32"/>
    <w:rsid w:val="000A3F27"/>
    <w:rsid w:val="000A4B36"/>
    <w:rsid w:val="000A4E97"/>
    <w:rsid w:val="000A4EC1"/>
    <w:rsid w:val="000A676A"/>
    <w:rsid w:val="000A6F26"/>
    <w:rsid w:val="000A78E9"/>
    <w:rsid w:val="000A7ECA"/>
    <w:rsid w:val="000B089B"/>
    <w:rsid w:val="000B0B5F"/>
    <w:rsid w:val="000B0CFC"/>
    <w:rsid w:val="000B0DF8"/>
    <w:rsid w:val="000B0FAC"/>
    <w:rsid w:val="000B2682"/>
    <w:rsid w:val="000B2F22"/>
    <w:rsid w:val="000B3551"/>
    <w:rsid w:val="000B40D0"/>
    <w:rsid w:val="000B45B6"/>
    <w:rsid w:val="000B47AF"/>
    <w:rsid w:val="000B617B"/>
    <w:rsid w:val="000C0CBD"/>
    <w:rsid w:val="000C2409"/>
    <w:rsid w:val="000C25FA"/>
    <w:rsid w:val="000C3B20"/>
    <w:rsid w:val="000C3B7B"/>
    <w:rsid w:val="000D0E14"/>
    <w:rsid w:val="000D0E37"/>
    <w:rsid w:val="000D23D3"/>
    <w:rsid w:val="000D3FC1"/>
    <w:rsid w:val="000D7139"/>
    <w:rsid w:val="000D7245"/>
    <w:rsid w:val="000D76B0"/>
    <w:rsid w:val="000D7728"/>
    <w:rsid w:val="000E1705"/>
    <w:rsid w:val="000E1F9B"/>
    <w:rsid w:val="000E3006"/>
    <w:rsid w:val="000E4726"/>
    <w:rsid w:val="000E5D57"/>
    <w:rsid w:val="000F16A8"/>
    <w:rsid w:val="000F3761"/>
    <w:rsid w:val="000F3F61"/>
    <w:rsid w:val="000F469A"/>
    <w:rsid w:val="00100C9F"/>
    <w:rsid w:val="00100D92"/>
    <w:rsid w:val="00100EF1"/>
    <w:rsid w:val="001021F5"/>
    <w:rsid w:val="00103302"/>
    <w:rsid w:val="00104813"/>
    <w:rsid w:val="00107A16"/>
    <w:rsid w:val="00110647"/>
    <w:rsid w:val="00111449"/>
    <w:rsid w:val="00113F82"/>
    <w:rsid w:val="00115628"/>
    <w:rsid w:val="00115971"/>
    <w:rsid w:val="00115B01"/>
    <w:rsid w:val="001164E1"/>
    <w:rsid w:val="0012415A"/>
    <w:rsid w:val="00124AE7"/>
    <w:rsid w:val="00126E0C"/>
    <w:rsid w:val="00132973"/>
    <w:rsid w:val="00132AB0"/>
    <w:rsid w:val="00132AB8"/>
    <w:rsid w:val="00132DD8"/>
    <w:rsid w:val="0013577B"/>
    <w:rsid w:val="00137566"/>
    <w:rsid w:val="00140359"/>
    <w:rsid w:val="00140FA3"/>
    <w:rsid w:val="00141ED4"/>
    <w:rsid w:val="00142641"/>
    <w:rsid w:val="0014293C"/>
    <w:rsid w:val="00142BAA"/>
    <w:rsid w:val="001440A3"/>
    <w:rsid w:val="00144110"/>
    <w:rsid w:val="001453AA"/>
    <w:rsid w:val="00145FC6"/>
    <w:rsid w:val="0014601E"/>
    <w:rsid w:val="0015187F"/>
    <w:rsid w:val="00152DFE"/>
    <w:rsid w:val="00156A1A"/>
    <w:rsid w:val="00156F21"/>
    <w:rsid w:val="001626D1"/>
    <w:rsid w:val="0016396C"/>
    <w:rsid w:val="0016441B"/>
    <w:rsid w:val="00166C7E"/>
    <w:rsid w:val="00166D7F"/>
    <w:rsid w:val="001674F9"/>
    <w:rsid w:val="0017361F"/>
    <w:rsid w:val="00175D4B"/>
    <w:rsid w:val="0017639A"/>
    <w:rsid w:val="001765DD"/>
    <w:rsid w:val="00177335"/>
    <w:rsid w:val="001807DA"/>
    <w:rsid w:val="00180DB4"/>
    <w:rsid w:val="00182F1E"/>
    <w:rsid w:val="00182F97"/>
    <w:rsid w:val="0018375D"/>
    <w:rsid w:val="001844A7"/>
    <w:rsid w:val="001906AC"/>
    <w:rsid w:val="001956B3"/>
    <w:rsid w:val="00195D21"/>
    <w:rsid w:val="001A2265"/>
    <w:rsid w:val="001A50E8"/>
    <w:rsid w:val="001A7A2F"/>
    <w:rsid w:val="001B13A8"/>
    <w:rsid w:val="001B2839"/>
    <w:rsid w:val="001B68C7"/>
    <w:rsid w:val="001C1E09"/>
    <w:rsid w:val="001C2C4D"/>
    <w:rsid w:val="001C444E"/>
    <w:rsid w:val="001C57B4"/>
    <w:rsid w:val="001C6F9C"/>
    <w:rsid w:val="001C70FE"/>
    <w:rsid w:val="001C7490"/>
    <w:rsid w:val="001C77A8"/>
    <w:rsid w:val="001C7EDD"/>
    <w:rsid w:val="001D32D2"/>
    <w:rsid w:val="001D498E"/>
    <w:rsid w:val="001D4B37"/>
    <w:rsid w:val="001D6ABB"/>
    <w:rsid w:val="001D717D"/>
    <w:rsid w:val="001D74CA"/>
    <w:rsid w:val="001E24D6"/>
    <w:rsid w:val="001E25D0"/>
    <w:rsid w:val="001E47D8"/>
    <w:rsid w:val="001E48D9"/>
    <w:rsid w:val="001E4979"/>
    <w:rsid w:val="001E60E5"/>
    <w:rsid w:val="001F08C4"/>
    <w:rsid w:val="001F16E6"/>
    <w:rsid w:val="001F18E5"/>
    <w:rsid w:val="001F241D"/>
    <w:rsid w:val="001F2AF4"/>
    <w:rsid w:val="001F5300"/>
    <w:rsid w:val="00202183"/>
    <w:rsid w:val="002031F6"/>
    <w:rsid w:val="00203445"/>
    <w:rsid w:val="00203C91"/>
    <w:rsid w:val="002042D4"/>
    <w:rsid w:val="00207D32"/>
    <w:rsid w:val="0021051B"/>
    <w:rsid w:val="002119E5"/>
    <w:rsid w:val="0021244A"/>
    <w:rsid w:val="00212553"/>
    <w:rsid w:val="00212B73"/>
    <w:rsid w:val="00212BAF"/>
    <w:rsid w:val="00212C6F"/>
    <w:rsid w:val="002134BE"/>
    <w:rsid w:val="00216CB1"/>
    <w:rsid w:val="00216D8A"/>
    <w:rsid w:val="00220C1B"/>
    <w:rsid w:val="00220C34"/>
    <w:rsid w:val="00220F4A"/>
    <w:rsid w:val="002233C8"/>
    <w:rsid w:val="002233F1"/>
    <w:rsid w:val="0022535E"/>
    <w:rsid w:val="002268AE"/>
    <w:rsid w:val="00231ED3"/>
    <w:rsid w:val="00233E88"/>
    <w:rsid w:val="00234E4C"/>
    <w:rsid w:val="00235EF8"/>
    <w:rsid w:val="00236228"/>
    <w:rsid w:val="00236A85"/>
    <w:rsid w:val="0024021B"/>
    <w:rsid w:val="002421E6"/>
    <w:rsid w:val="00242A17"/>
    <w:rsid w:val="00245E8A"/>
    <w:rsid w:val="00246593"/>
    <w:rsid w:val="00246D7A"/>
    <w:rsid w:val="002501A4"/>
    <w:rsid w:val="00253113"/>
    <w:rsid w:val="002533E3"/>
    <w:rsid w:val="002547F1"/>
    <w:rsid w:val="00255B20"/>
    <w:rsid w:val="002561D5"/>
    <w:rsid w:val="00256659"/>
    <w:rsid w:val="00256AC9"/>
    <w:rsid w:val="0025729B"/>
    <w:rsid w:val="00257F00"/>
    <w:rsid w:val="0026036C"/>
    <w:rsid w:val="00261A69"/>
    <w:rsid w:val="002663B3"/>
    <w:rsid w:val="002667CB"/>
    <w:rsid w:val="00266E6B"/>
    <w:rsid w:val="00267469"/>
    <w:rsid w:val="00267A61"/>
    <w:rsid w:val="0027162D"/>
    <w:rsid w:val="002723A2"/>
    <w:rsid w:val="0027299C"/>
    <w:rsid w:val="00272DDF"/>
    <w:rsid w:val="002753C5"/>
    <w:rsid w:val="002763D4"/>
    <w:rsid w:val="002806C0"/>
    <w:rsid w:val="00281714"/>
    <w:rsid w:val="00281A43"/>
    <w:rsid w:val="00282A29"/>
    <w:rsid w:val="00284603"/>
    <w:rsid w:val="002873FC"/>
    <w:rsid w:val="00287C97"/>
    <w:rsid w:val="00290EA1"/>
    <w:rsid w:val="00291053"/>
    <w:rsid w:val="00291337"/>
    <w:rsid w:val="0029252C"/>
    <w:rsid w:val="002929CE"/>
    <w:rsid w:val="00292AE3"/>
    <w:rsid w:val="00292EEF"/>
    <w:rsid w:val="00294837"/>
    <w:rsid w:val="0029507D"/>
    <w:rsid w:val="00295891"/>
    <w:rsid w:val="00297E2C"/>
    <w:rsid w:val="002A036C"/>
    <w:rsid w:val="002A17F4"/>
    <w:rsid w:val="002A4DC0"/>
    <w:rsid w:val="002A50F6"/>
    <w:rsid w:val="002A640C"/>
    <w:rsid w:val="002A6702"/>
    <w:rsid w:val="002A6E02"/>
    <w:rsid w:val="002A7C27"/>
    <w:rsid w:val="002B0554"/>
    <w:rsid w:val="002B28FF"/>
    <w:rsid w:val="002B2B52"/>
    <w:rsid w:val="002B3117"/>
    <w:rsid w:val="002B361E"/>
    <w:rsid w:val="002B70ED"/>
    <w:rsid w:val="002B7C49"/>
    <w:rsid w:val="002C0B2E"/>
    <w:rsid w:val="002C11D7"/>
    <w:rsid w:val="002C29D9"/>
    <w:rsid w:val="002C2E20"/>
    <w:rsid w:val="002C4D24"/>
    <w:rsid w:val="002C5A7A"/>
    <w:rsid w:val="002C7A5F"/>
    <w:rsid w:val="002D0F75"/>
    <w:rsid w:val="002D2305"/>
    <w:rsid w:val="002D249F"/>
    <w:rsid w:val="002D2F5A"/>
    <w:rsid w:val="002D52EF"/>
    <w:rsid w:val="002D7746"/>
    <w:rsid w:val="002E2080"/>
    <w:rsid w:val="002E2522"/>
    <w:rsid w:val="002E2CCB"/>
    <w:rsid w:val="002E3691"/>
    <w:rsid w:val="002E4376"/>
    <w:rsid w:val="002E5D59"/>
    <w:rsid w:val="002E6C69"/>
    <w:rsid w:val="002E6D97"/>
    <w:rsid w:val="002F01EE"/>
    <w:rsid w:val="002F25B7"/>
    <w:rsid w:val="002F3E4F"/>
    <w:rsid w:val="002F45CF"/>
    <w:rsid w:val="002F7D46"/>
    <w:rsid w:val="00300F95"/>
    <w:rsid w:val="0030340A"/>
    <w:rsid w:val="00303ECD"/>
    <w:rsid w:val="003042A1"/>
    <w:rsid w:val="00306F92"/>
    <w:rsid w:val="00307814"/>
    <w:rsid w:val="003112C0"/>
    <w:rsid w:val="00312FF3"/>
    <w:rsid w:val="0031337E"/>
    <w:rsid w:val="00314FBC"/>
    <w:rsid w:val="003153AA"/>
    <w:rsid w:val="00315620"/>
    <w:rsid w:val="00315A50"/>
    <w:rsid w:val="00321221"/>
    <w:rsid w:val="0032248F"/>
    <w:rsid w:val="00322721"/>
    <w:rsid w:val="00322BF9"/>
    <w:rsid w:val="00322C01"/>
    <w:rsid w:val="00324FB1"/>
    <w:rsid w:val="003252AB"/>
    <w:rsid w:val="00325A69"/>
    <w:rsid w:val="003264FF"/>
    <w:rsid w:val="00326ADB"/>
    <w:rsid w:val="00330556"/>
    <w:rsid w:val="00330AF2"/>
    <w:rsid w:val="0033180E"/>
    <w:rsid w:val="00331D87"/>
    <w:rsid w:val="00331FBE"/>
    <w:rsid w:val="0033327A"/>
    <w:rsid w:val="003335AC"/>
    <w:rsid w:val="00333D10"/>
    <w:rsid w:val="00334F5C"/>
    <w:rsid w:val="00336BC7"/>
    <w:rsid w:val="0033796D"/>
    <w:rsid w:val="00337FB4"/>
    <w:rsid w:val="0034048B"/>
    <w:rsid w:val="00340B7D"/>
    <w:rsid w:val="00341DCB"/>
    <w:rsid w:val="00342622"/>
    <w:rsid w:val="00344686"/>
    <w:rsid w:val="00344BEF"/>
    <w:rsid w:val="00345402"/>
    <w:rsid w:val="00346624"/>
    <w:rsid w:val="00346794"/>
    <w:rsid w:val="00347422"/>
    <w:rsid w:val="003519E4"/>
    <w:rsid w:val="003522A6"/>
    <w:rsid w:val="00352503"/>
    <w:rsid w:val="00353D2C"/>
    <w:rsid w:val="003579BC"/>
    <w:rsid w:val="003614F1"/>
    <w:rsid w:val="00362A02"/>
    <w:rsid w:val="00362B39"/>
    <w:rsid w:val="00362DF7"/>
    <w:rsid w:val="0036310E"/>
    <w:rsid w:val="003672E2"/>
    <w:rsid w:val="00371CBA"/>
    <w:rsid w:val="00372444"/>
    <w:rsid w:val="00372448"/>
    <w:rsid w:val="00372B80"/>
    <w:rsid w:val="003742D9"/>
    <w:rsid w:val="00376AC9"/>
    <w:rsid w:val="00377B70"/>
    <w:rsid w:val="00383527"/>
    <w:rsid w:val="00385E01"/>
    <w:rsid w:val="0038773F"/>
    <w:rsid w:val="00387DA4"/>
    <w:rsid w:val="003902A7"/>
    <w:rsid w:val="00391530"/>
    <w:rsid w:val="00391C99"/>
    <w:rsid w:val="00394BB5"/>
    <w:rsid w:val="0039638E"/>
    <w:rsid w:val="00397613"/>
    <w:rsid w:val="003A11CF"/>
    <w:rsid w:val="003A34AC"/>
    <w:rsid w:val="003A5D7F"/>
    <w:rsid w:val="003A5FE9"/>
    <w:rsid w:val="003A7DDF"/>
    <w:rsid w:val="003B12D1"/>
    <w:rsid w:val="003B199D"/>
    <w:rsid w:val="003B2070"/>
    <w:rsid w:val="003B32D5"/>
    <w:rsid w:val="003B3AAF"/>
    <w:rsid w:val="003B4E7B"/>
    <w:rsid w:val="003B540D"/>
    <w:rsid w:val="003B5A9F"/>
    <w:rsid w:val="003C0C29"/>
    <w:rsid w:val="003C38DA"/>
    <w:rsid w:val="003C4039"/>
    <w:rsid w:val="003C7B65"/>
    <w:rsid w:val="003D0FA3"/>
    <w:rsid w:val="003D1A4A"/>
    <w:rsid w:val="003D2F47"/>
    <w:rsid w:val="003D4151"/>
    <w:rsid w:val="003D4BCE"/>
    <w:rsid w:val="003D6B7B"/>
    <w:rsid w:val="003E1BE7"/>
    <w:rsid w:val="003E28D3"/>
    <w:rsid w:val="003E3F55"/>
    <w:rsid w:val="003E63F1"/>
    <w:rsid w:val="003E7783"/>
    <w:rsid w:val="003F038B"/>
    <w:rsid w:val="003F0E2C"/>
    <w:rsid w:val="003F1AC2"/>
    <w:rsid w:val="003F1DF9"/>
    <w:rsid w:val="003F3527"/>
    <w:rsid w:val="003F6920"/>
    <w:rsid w:val="00400B63"/>
    <w:rsid w:val="00401915"/>
    <w:rsid w:val="00401CD3"/>
    <w:rsid w:val="004034AD"/>
    <w:rsid w:val="004038EB"/>
    <w:rsid w:val="00403A73"/>
    <w:rsid w:val="00404A4B"/>
    <w:rsid w:val="00405A79"/>
    <w:rsid w:val="0040601D"/>
    <w:rsid w:val="0040798A"/>
    <w:rsid w:val="0041095A"/>
    <w:rsid w:val="00412379"/>
    <w:rsid w:val="00414F0E"/>
    <w:rsid w:val="0041666A"/>
    <w:rsid w:val="00416E7B"/>
    <w:rsid w:val="0042057D"/>
    <w:rsid w:val="0042066A"/>
    <w:rsid w:val="0042372B"/>
    <w:rsid w:val="004249A8"/>
    <w:rsid w:val="0042505D"/>
    <w:rsid w:val="0042531E"/>
    <w:rsid w:val="004258FF"/>
    <w:rsid w:val="00427328"/>
    <w:rsid w:val="00427FC6"/>
    <w:rsid w:val="00430616"/>
    <w:rsid w:val="00431247"/>
    <w:rsid w:val="00431EBA"/>
    <w:rsid w:val="004336F9"/>
    <w:rsid w:val="00434437"/>
    <w:rsid w:val="00436311"/>
    <w:rsid w:val="0043768C"/>
    <w:rsid w:val="00440486"/>
    <w:rsid w:val="004427C0"/>
    <w:rsid w:val="00442ABB"/>
    <w:rsid w:val="0044429D"/>
    <w:rsid w:val="0044503A"/>
    <w:rsid w:val="00445055"/>
    <w:rsid w:val="00445799"/>
    <w:rsid w:val="00445D4A"/>
    <w:rsid w:val="00445FDB"/>
    <w:rsid w:val="004473DB"/>
    <w:rsid w:val="004523D8"/>
    <w:rsid w:val="00455CB4"/>
    <w:rsid w:val="00457AAA"/>
    <w:rsid w:val="0046200A"/>
    <w:rsid w:val="004663C2"/>
    <w:rsid w:val="00466D31"/>
    <w:rsid w:val="00470BD6"/>
    <w:rsid w:val="00471DE4"/>
    <w:rsid w:val="004731BF"/>
    <w:rsid w:val="0047349A"/>
    <w:rsid w:val="0047368F"/>
    <w:rsid w:val="00474915"/>
    <w:rsid w:val="00474E36"/>
    <w:rsid w:val="00476A28"/>
    <w:rsid w:val="0047709F"/>
    <w:rsid w:val="004776B1"/>
    <w:rsid w:val="00480B6B"/>
    <w:rsid w:val="00480EA5"/>
    <w:rsid w:val="0048373A"/>
    <w:rsid w:val="00484B7D"/>
    <w:rsid w:val="00485453"/>
    <w:rsid w:val="00485A9F"/>
    <w:rsid w:val="00487954"/>
    <w:rsid w:val="00487DCF"/>
    <w:rsid w:val="00491B36"/>
    <w:rsid w:val="00491E4B"/>
    <w:rsid w:val="0049504D"/>
    <w:rsid w:val="00495961"/>
    <w:rsid w:val="004979B5"/>
    <w:rsid w:val="00497D47"/>
    <w:rsid w:val="004A1542"/>
    <w:rsid w:val="004A18BE"/>
    <w:rsid w:val="004A26ED"/>
    <w:rsid w:val="004A5F6C"/>
    <w:rsid w:val="004A651E"/>
    <w:rsid w:val="004A6C03"/>
    <w:rsid w:val="004A6C1F"/>
    <w:rsid w:val="004B0220"/>
    <w:rsid w:val="004B249E"/>
    <w:rsid w:val="004B4DA8"/>
    <w:rsid w:val="004B52DD"/>
    <w:rsid w:val="004B601F"/>
    <w:rsid w:val="004C196F"/>
    <w:rsid w:val="004C3D4C"/>
    <w:rsid w:val="004C3D8C"/>
    <w:rsid w:val="004D0C50"/>
    <w:rsid w:val="004D2520"/>
    <w:rsid w:val="004D6CFF"/>
    <w:rsid w:val="004E01A6"/>
    <w:rsid w:val="004E0397"/>
    <w:rsid w:val="004E13BB"/>
    <w:rsid w:val="004E1F6A"/>
    <w:rsid w:val="004E2BBA"/>
    <w:rsid w:val="004E504A"/>
    <w:rsid w:val="004E58A0"/>
    <w:rsid w:val="004E60B5"/>
    <w:rsid w:val="004E78D4"/>
    <w:rsid w:val="004E7D23"/>
    <w:rsid w:val="004F068C"/>
    <w:rsid w:val="004F3251"/>
    <w:rsid w:val="004F337C"/>
    <w:rsid w:val="004F7473"/>
    <w:rsid w:val="004F7E8D"/>
    <w:rsid w:val="00502048"/>
    <w:rsid w:val="005030BB"/>
    <w:rsid w:val="005048E1"/>
    <w:rsid w:val="0050551D"/>
    <w:rsid w:val="00507989"/>
    <w:rsid w:val="00512199"/>
    <w:rsid w:val="00512491"/>
    <w:rsid w:val="00513127"/>
    <w:rsid w:val="00515D26"/>
    <w:rsid w:val="005160F0"/>
    <w:rsid w:val="00516223"/>
    <w:rsid w:val="00522177"/>
    <w:rsid w:val="00522507"/>
    <w:rsid w:val="0052262E"/>
    <w:rsid w:val="00524F25"/>
    <w:rsid w:val="005267AA"/>
    <w:rsid w:val="005306AE"/>
    <w:rsid w:val="005324A2"/>
    <w:rsid w:val="00533536"/>
    <w:rsid w:val="00533B3B"/>
    <w:rsid w:val="00534B41"/>
    <w:rsid w:val="00536C96"/>
    <w:rsid w:val="00537B80"/>
    <w:rsid w:val="00537F27"/>
    <w:rsid w:val="005406CF"/>
    <w:rsid w:val="00540C46"/>
    <w:rsid w:val="00542B52"/>
    <w:rsid w:val="005459E3"/>
    <w:rsid w:val="005472C1"/>
    <w:rsid w:val="00555E16"/>
    <w:rsid w:val="00556541"/>
    <w:rsid w:val="00561443"/>
    <w:rsid w:val="00561F19"/>
    <w:rsid w:val="005630DA"/>
    <w:rsid w:val="005633F1"/>
    <w:rsid w:val="005634FF"/>
    <w:rsid w:val="00563FFA"/>
    <w:rsid w:val="00565715"/>
    <w:rsid w:val="00570913"/>
    <w:rsid w:val="0057206F"/>
    <w:rsid w:val="005726D0"/>
    <w:rsid w:val="0057369E"/>
    <w:rsid w:val="00573B5D"/>
    <w:rsid w:val="0057577F"/>
    <w:rsid w:val="00576949"/>
    <w:rsid w:val="00576ADA"/>
    <w:rsid w:val="00580045"/>
    <w:rsid w:val="00580582"/>
    <w:rsid w:val="00582186"/>
    <w:rsid w:val="00585437"/>
    <w:rsid w:val="005856E7"/>
    <w:rsid w:val="00585F7D"/>
    <w:rsid w:val="00586837"/>
    <w:rsid w:val="00587A1E"/>
    <w:rsid w:val="0059149D"/>
    <w:rsid w:val="0059228A"/>
    <w:rsid w:val="00594F70"/>
    <w:rsid w:val="00595023"/>
    <w:rsid w:val="005967B3"/>
    <w:rsid w:val="00597B31"/>
    <w:rsid w:val="00597E9A"/>
    <w:rsid w:val="005A0328"/>
    <w:rsid w:val="005A12EF"/>
    <w:rsid w:val="005A1AFC"/>
    <w:rsid w:val="005A2A16"/>
    <w:rsid w:val="005A2F8A"/>
    <w:rsid w:val="005A3CB1"/>
    <w:rsid w:val="005B337A"/>
    <w:rsid w:val="005B3EFB"/>
    <w:rsid w:val="005B4AA0"/>
    <w:rsid w:val="005B4C2E"/>
    <w:rsid w:val="005B510C"/>
    <w:rsid w:val="005B5D87"/>
    <w:rsid w:val="005B77EE"/>
    <w:rsid w:val="005C0A1E"/>
    <w:rsid w:val="005C3E7A"/>
    <w:rsid w:val="005C4DC9"/>
    <w:rsid w:val="005C5C7D"/>
    <w:rsid w:val="005C7778"/>
    <w:rsid w:val="005D06EC"/>
    <w:rsid w:val="005D08F2"/>
    <w:rsid w:val="005D5880"/>
    <w:rsid w:val="005D6E1D"/>
    <w:rsid w:val="005E2A2E"/>
    <w:rsid w:val="005E4257"/>
    <w:rsid w:val="005E6F8E"/>
    <w:rsid w:val="005E7078"/>
    <w:rsid w:val="005E7F37"/>
    <w:rsid w:val="005F0139"/>
    <w:rsid w:val="005F04C9"/>
    <w:rsid w:val="005F2920"/>
    <w:rsid w:val="005F35E9"/>
    <w:rsid w:val="005F4156"/>
    <w:rsid w:val="005F5BF5"/>
    <w:rsid w:val="005F5FBF"/>
    <w:rsid w:val="005F662B"/>
    <w:rsid w:val="005F6B53"/>
    <w:rsid w:val="00600347"/>
    <w:rsid w:val="0060126E"/>
    <w:rsid w:val="006017C2"/>
    <w:rsid w:val="00601965"/>
    <w:rsid w:val="00603ED2"/>
    <w:rsid w:val="006046F7"/>
    <w:rsid w:val="00604D77"/>
    <w:rsid w:val="00604F85"/>
    <w:rsid w:val="006079B1"/>
    <w:rsid w:val="00611DF6"/>
    <w:rsid w:val="006121CF"/>
    <w:rsid w:val="00612592"/>
    <w:rsid w:val="006135F7"/>
    <w:rsid w:val="00614306"/>
    <w:rsid w:val="00615015"/>
    <w:rsid w:val="00615419"/>
    <w:rsid w:val="0061689A"/>
    <w:rsid w:val="006249EA"/>
    <w:rsid w:val="00625CD5"/>
    <w:rsid w:val="00631373"/>
    <w:rsid w:val="006330F3"/>
    <w:rsid w:val="006331C1"/>
    <w:rsid w:val="006332AC"/>
    <w:rsid w:val="0063331C"/>
    <w:rsid w:val="00634EF3"/>
    <w:rsid w:val="00641EF5"/>
    <w:rsid w:val="00642B34"/>
    <w:rsid w:val="0064338D"/>
    <w:rsid w:val="00643FD0"/>
    <w:rsid w:val="00644D4D"/>
    <w:rsid w:val="006459FD"/>
    <w:rsid w:val="00646DAF"/>
    <w:rsid w:val="00651772"/>
    <w:rsid w:val="0065187E"/>
    <w:rsid w:val="00652286"/>
    <w:rsid w:val="0065486E"/>
    <w:rsid w:val="0065499F"/>
    <w:rsid w:val="00654B3D"/>
    <w:rsid w:val="0065710C"/>
    <w:rsid w:val="006573CD"/>
    <w:rsid w:val="0066002A"/>
    <w:rsid w:val="00660F9F"/>
    <w:rsid w:val="00661FBA"/>
    <w:rsid w:val="00661FF0"/>
    <w:rsid w:val="006620F2"/>
    <w:rsid w:val="00667CBD"/>
    <w:rsid w:val="006703A2"/>
    <w:rsid w:val="00670732"/>
    <w:rsid w:val="00670853"/>
    <w:rsid w:val="00672263"/>
    <w:rsid w:val="00676619"/>
    <w:rsid w:val="006829A1"/>
    <w:rsid w:val="00683DAC"/>
    <w:rsid w:val="00684224"/>
    <w:rsid w:val="006844A0"/>
    <w:rsid w:val="00684FEE"/>
    <w:rsid w:val="006858F8"/>
    <w:rsid w:val="006923D2"/>
    <w:rsid w:val="00692C79"/>
    <w:rsid w:val="00692D9F"/>
    <w:rsid w:val="00692F14"/>
    <w:rsid w:val="006935C1"/>
    <w:rsid w:val="00694729"/>
    <w:rsid w:val="00695DAD"/>
    <w:rsid w:val="006966DB"/>
    <w:rsid w:val="0069698B"/>
    <w:rsid w:val="00696A78"/>
    <w:rsid w:val="00697851"/>
    <w:rsid w:val="006979C3"/>
    <w:rsid w:val="006A0B86"/>
    <w:rsid w:val="006A12B2"/>
    <w:rsid w:val="006A19EB"/>
    <w:rsid w:val="006A1F55"/>
    <w:rsid w:val="006A2383"/>
    <w:rsid w:val="006A386C"/>
    <w:rsid w:val="006A429E"/>
    <w:rsid w:val="006A4857"/>
    <w:rsid w:val="006A4A34"/>
    <w:rsid w:val="006A504B"/>
    <w:rsid w:val="006A59FA"/>
    <w:rsid w:val="006B0742"/>
    <w:rsid w:val="006B07F1"/>
    <w:rsid w:val="006B23B6"/>
    <w:rsid w:val="006B2A57"/>
    <w:rsid w:val="006B3FC6"/>
    <w:rsid w:val="006B41E6"/>
    <w:rsid w:val="006B6038"/>
    <w:rsid w:val="006B663B"/>
    <w:rsid w:val="006B678B"/>
    <w:rsid w:val="006B6B24"/>
    <w:rsid w:val="006B7F4D"/>
    <w:rsid w:val="006C0503"/>
    <w:rsid w:val="006C0BE0"/>
    <w:rsid w:val="006C100D"/>
    <w:rsid w:val="006C15D9"/>
    <w:rsid w:val="006C19BD"/>
    <w:rsid w:val="006C2C1E"/>
    <w:rsid w:val="006C2F00"/>
    <w:rsid w:val="006C6B76"/>
    <w:rsid w:val="006C6CC3"/>
    <w:rsid w:val="006C73D4"/>
    <w:rsid w:val="006C7717"/>
    <w:rsid w:val="006D3580"/>
    <w:rsid w:val="006D3726"/>
    <w:rsid w:val="006D430F"/>
    <w:rsid w:val="006D50F0"/>
    <w:rsid w:val="006D5516"/>
    <w:rsid w:val="006D617F"/>
    <w:rsid w:val="006D6D27"/>
    <w:rsid w:val="006D6D86"/>
    <w:rsid w:val="006E001E"/>
    <w:rsid w:val="006E1EDC"/>
    <w:rsid w:val="006E2E5F"/>
    <w:rsid w:val="006E3306"/>
    <w:rsid w:val="006E38C4"/>
    <w:rsid w:val="006E3D18"/>
    <w:rsid w:val="006E445D"/>
    <w:rsid w:val="006E6487"/>
    <w:rsid w:val="006E6A5D"/>
    <w:rsid w:val="006F2519"/>
    <w:rsid w:val="006F30A9"/>
    <w:rsid w:val="006F3ABE"/>
    <w:rsid w:val="006F4705"/>
    <w:rsid w:val="006F4FE0"/>
    <w:rsid w:val="006F5CEA"/>
    <w:rsid w:val="006F68B9"/>
    <w:rsid w:val="006F69F5"/>
    <w:rsid w:val="006F7B9E"/>
    <w:rsid w:val="007021AF"/>
    <w:rsid w:val="007028AD"/>
    <w:rsid w:val="00703E95"/>
    <w:rsid w:val="00706748"/>
    <w:rsid w:val="00706A26"/>
    <w:rsid w:val="00707E17"/>
    <w:rsid w:val="00710C96"/>
    <w:rsid w:val="00710F71"/>
    <w:rsid w:val="00711190"/>
    <w:rsid w:val="00711F6B"/>
    <w:rsid w:val="007129EE"/>
    <w:rsid w:val="00713E8B"/>
    <w:rsid w:val="007156F6"/>
    <w:rsid w:val="007216F3"/>
    <w:rsid w:val="00721A58"/>
    <w:rsid w:val="007238A5"/>
    <w:rsid w:val="00725000"/>
    <w:rsid w:val="0072550D"/>
    <w:rsid w:val="00725B08"/>
    <w:rsid w:val="0072635A"/>
    <w:rsid w:val="00726D36"/>
    <w:rsid w:val="00727A26"/>
    <w:rsid w:val="007303A6"/>
    <w:rsid w:val="00736AAE"/>
    <w:rsid w:val="00741C12"/>
    <w:rsid w:val="0074258A"/>
    <w:rsid w:val="0074366B"/>
    <w:rsid w:val="007446F0"/>
    <w:rsid w:val="00745337"/>
    <w:rsid w:val="00745685"/>
    <w:rsid w:val="00745E03"/>
    <w:rsid w:val="0074650C"/>
    <w:rsid w:val="0074667C"/>
    <w:rsid w:val="00751A5A"/>
    <w:rsid w:val="00757FB3"/>
    <w:rsid w:val="00762134"/>
    <w:rsid w:val="00763A18"/>
    <w:rsid w:val="00763A27"/>
    <w:rsid w:val="00763CE9"/>
    <w:rsid w:val="00764342"/>
    <w:rsid w:val="00764BB6"/>
    <w:rsid w:val="00765D2B"/>
    <w:rsid w:val="00766A05"/>
    <w:rsid w:val="00766D7D"/>
    <w:rsid w:val="0077045D"/>
    <w:rsid w:val="00772D76"/>
    <w:rsid w:val="00773C1B"/>
    <w:rsid w:val="00774DC6"/>
    <w:rsid w:val="00774DF8"/>
    <w:rsid w:val="00774E64"/>
    <w:rsid w:val="00775904"/>
    <w:rsid w:val="00777328"/>
    <w:rsid w:val="00780CBF"/>
    <w:rsid w:val="00781652"/>
    <w:rsid w:val="00784080"/>
    <w:rsid w:val="0078463E"/>
    <w:rsid w:val="00784903"/>
    <w:rsid w:val="00784B63"/>
    <w:rsid w:val="00785062"/>
    <w:rsid w:val="0078578F"/>
    <w:rsid w:val="007858AA"/>
    <w:rsid w:val="00787894"/>
    <w:rsid w:val="007900B2"/>
    <w:rsid w:val="0079025A"/>
    <w:rsid w:val="00790337"/>
    <w:rsid w:val="00790D22"/>
    <w:rsid w:val="00792378"/>
    <w:rsid w:val="007935AC"/>
    <w:rsid w:val="00796FCA"/>
    <w:rsid w:val="00797D96"/>
    <w:rsid w:val="007A03B9"/>
    <w:rsid w:val="007A0604"/>
    <w:rsid w:val="007A17AE"/>
    <w:rsid w:val="007A19B0"/>
    <w:rsid w:val="007A2817"/>
    <w:rsid w:val="007A3EEE"/>
    <w:rsid w:val="007A427A"/>
    <w:rsid w:val="007A43D1"/>
    <w:rsid w:val="007A4BD0"/>
    <w:rsid w:val="007A4DB9"/>
    <w:rsid w:val="007A5D77"/>
    <w:rsid w:val="007A78C5"/>
    <w:rsid w:val="007B2588"/>
    <w:rsid w:val="007B3B74"/>
    <w:rsid w:val="007B4ACD"/>
    <w:rsid w:val="007B68DF"/>
    <w:rsid w:val="007C09B3"/>
    <w:rsid w:val="007C0ECC"/>
    <w:rsid w:val="007C26DA"/>
    <w:rsid w:val="007C3557"/>
    <w:rsid w:val="007C4D66"/>
    <w:rsid w:val="007C52B5"/>
    <w:rsid w:val="007C5761"/>
    <w:rsid w:val="007C6F95"/>
    <w:rsid w:val="007C79EF"/>
    <w:rsid w:val="007C7E77"/>
    <w:rsid w:val="007D05C5"/>
    <w:rsid w:val="007D0914"/>
    <w:rsid w:val="007D37CF"/>
    <w:rsid w:val="007D38DE"/>
    <w:rsid w:val="007D5CF1"/>
    <w:rsid w:val="007D67C2"/>
    <w:rsid w:val="007D6C23"/>
    <w:rsid w:val="007E04EA"/>
    <w:rsid w:val="007E14B4"/>
    <w:rsid w:val="007E2F91"/>
    <w:rsid w:val="007E361C"/>
    <w:rsid w:val="007E3624"/>
    <w:rsid w:val="007E42CD"/>
    <w:rsid w:val="007E57BE"/>
    <w:rsid w:val="007E625E"/>
    <w:rsid w:val="007E738C"/>
    <w:rsid w:val="007E7E65"/>
    <w:rsid w:val="007F03A2"/>
    <w:rsid w:val="007F155B"/>
    <w:rsid w:val="007F1ED2"/>
    <w:rsid w:val="007F3477"/>
    <w:rsid w:val="007F374C"/>
    <w:rsid w:val="007F4062"/>
    <w:rsid w:val="007F6F86"/>
    <w:rsid w:val="007F7F49"/>
    <w:rsid w:val="00802A9B"/>
    <w:rsid w:val="00804921"/>
    <w:rsid w:val="00805141"/>
    <w:rsid w:val="0080627D"/>
    <w:rsid w:val="0080640B"/>
    <w:rsid w:val="00807BDA"/>
    <w:rsid w:val="0081076B"/>
    <w:rsid w:val="00811129"/>
    <w:rsid w:val="0081224B"/>
    <w:rsid w:val="0081255C"/>
    <w:rsid w:val="008131E6"/>
    <w:rsid w:val="008137E5"/>
    <w:rsid w:val="008144CF"/>
    <w:rsid w:val="008171BD"/>
    <w:rsid w:val="00820637"/>
    <w:rsid w:val="00820C5A"/>
    <w:rsid w:val="008216A8"/>
    <w:rsid w:val="008231D2"/>
    <w:rsid w:val="00824197"/>
    <w:rsid w:val="00824B2E"/>
    <w:rsid w:val="00830321"/>
    <w:rsid w:val="0083092D"/>
    <w:rsid w:val="00831F36"/>
    <w:rsid w:val="00832901"/>
    <w:rsid w:val="00833894"/>
    <w:rsid w:val="00834058"/>
    <w:rsid w:val="008429C8"/>
    <w:rsid w:val="00844320"/>
    <w:rsid w:val="008449AB"/>
    <w:rsid w:val="0084538D"/>
    <w:rsid w:val="00845591"/>
    <w:rsid w:val="00845E69"/>
    <w:rsid w:val="0084780E"/>
    <w:rsid w:val="00850EF0"/>
    <w:rsid w:val="008523EE"/>
    <w:rsid w:val="00852B09"/>
    <w:rsid w:val="00852EFF"/>
    <w:rsid w:val="00853508"/>
    <w:rsid w:val="0085395B"/>
    <w:rsid w:val="00853CBA"/>
    <w:rsid w:val="0085497A"/>
    <w:rsid w:val="00855607"/>
    <w:rsid w:val="0085656C"/>
    <w:rsid w:val="00856846"/>
    <w:rsid w:val="00861EAD"/>
    <w:rsid w:val="00862433"/>
    <w:rsid w:val="008649A2"/>
    <w:rsid w:val="00864AC2"/>
    <w:rsid w:val="00867407"/>
    <w:rsid w:val="00867774"/>
    <w:rsid w:val="00867F14"/>
    <w:rsid w:val="0087025F"/>
    <w:rsid w:val="00870840"/>
    <w:rsid w:val="008720A0"/>
    <w:rsid w:val="008724B7"/>
    <w:rsid w:val="00873E04"/>
    <w:rsid w:val="00876E17"/>
    <w:rsid w:val="00877257"/>
    <w:rsid w:val="00877E23"/>
    <w:rsid w:val="0088158E"/>
    <w:rsid w:val="0088189B"/>
    <w:rsid w:val="0088248F"/>
    <w:rsid w:val="00883021"/>
    <w:rsid w:val="008834C7"/>
    <w:rsid w:val="00884D63"/>
    <w:rsid w:val="00884DCA"/>
    <w:rsid w:val="00885943"/>
    <w:rsid w:val="0088688B"/>
    <w:rsid w:val="008871D5"/>
    <w:rsid w:val="00887B37"/>
    <w:rsid w:val="0089078F"/>
    <w:rsid w:val="00890C75"/>
    <w:rsid w:val="00892A15"/>
    <w:rsid w:val="00892BE4"/>
    <w:rsid w:val="008962B6"/>
    <w:rsid w:val="008968F7"/>
    <w:rsid w:val="008A097D"/>
    <w:rsid w:val="008A13BA"/>
    <w:rsid w:val="008A564E"/>
    <w:rsid w:val="008A5EB0"/>
    <w:rsid w:val="008B0B53"/>
    <w:rsid w:val="008B0D33"/>
    <w:rsid w:val="008B0D3F"/>
    <w:rsid w:val="008B15BD"/>
    <w:rsid w:val="008B1895"/>
    <w:rsid w:val="008B1A26"/>
    <w:rsid w:val="008B3FE3"/>
    <w:rsid w:val="008C156D"/>
    <w:rsid w:val="008C314E"/>
    <w:rsid w:val="008C5DD8"/>
    <w:rsid w:val="008C6A0F"/>
    <w:rsid w:val="008C7255"/>
    <w:rsid w:val="008D02E7"/>
    <w:rsid w:val="008D10DA"/>
    <w:rsid w:val="008D20F9"/>
    <w:rsid w:val="008D28A8"/>
    <w:rsid w:val="008D4358"/>
    <w:rsid w:val="008D4D8C"/>
    <w:rsid w:val="008D5432"/>
    <w:rsid w:val="008D7A36"/>
    <w:rsid w:val="008D7A93"/>
    <w:rsid w:val="008E0577"/>
    <w:rsid w:val="008E23F5"/>
    <w:rsid w:val="008F16CF"/>
    <w:rsid w:val="008F2BD2"/>
    <w:rsid w:val="008F44AE"/>
    <w:rsid w:val="008F4C10"/>
    <w:rsid w:val="008F4DDB"/>
    <w:rsid w:val="008F66B5"/>
    <w:rsid w:val="008F7A65"/>
    <w:rsid w:val="008F7FC3"/>
    <w:rsid w:val="00900651"/>
    <w:rsid w:val="009006A8"/>
    <w:rsid w:val="00903B07"/>
    <w:rsid w:val="009064F2"/>
    <w:rsid w:val="009068E4"/>
    <w:rsid w:val="009100B5"/>
    <w:rsid w:val="009111EA"/>
    <w:rsid w:val="0091275B"/>
    <w:rsid w:val="00912836"/>
    <w:rsid w:val="00913357"/>
    <w:rsid w:val="009141EF"/>
    <w:rsid w:val="009148FC"/>
    <w:rsid w:val="00916E41"/>
    <w:rsid w:val="0091720E"/>
    <w:rsid w:val="00917380"/>
    <w:rsid w:val="009201F4"/>
    <w:rsid w:val="00921A4A"/>
    <w:rsid w:val="009222BF"/>
    <w:rsid w:val="009225AC"/>
    <w:rsid w:val="00923E00"/>
    <w:rsid w:val="00923E9C"/>
    <w:rsid w:val="00925EF2"/>
    <w:rsid w:val="009262C2"/>
    <w:rsid w:val="009273B0"/>
    <w:rsid w:val="0092742C"/>
    <w:rsid w:val="00927941"/>
    <w:rsid w:val="00927CDA"/>
    <w:rsid w:val="00930D2C"/>
    <w:rsid w:val="009312C1"/>
    <w:rsid w:val="009312F0"/>
    <w:rsid w:val="00931430"/>
    <w:rsid w:val="00933157"/>
    <w:rsid w:val="00933FB9"/>
    <w:rsid w:val="0093418B"/>
    <w:rsid w:val="00935F5E"/>
    <w:rsid w:val="0093614A"/>
    <w:rsid w:val="0094111F"/>
    <w:rsid w:val="00941AE1"/>
    <w:rsid w:val="00943484"/>
    <w:rsid w:val="0094418C"/>
    <w:rsid w:val="00944B88"/>
    <w:rsid w:val="00946B9E"/>
    <w:rsid w:val="00947E73"/>
    <w:rsid w:val="00950F6B"/>
    <w:rsid w:val="00952912"/>
    <w:rsid w:val="00952AD5"/>
    <w:rsid w:val="00953B8A"/>
    <w:rsid w:val="00954BDE"/>
    <w:rsid w:val="00954DF8"/>
    <w:rsid w:val="0095587E"/>
    <w:rsid w:val="009565F3"/>
    <w:rsid w:val="00960C1D"/>
    <w:rsid w:val="00961AC1"/>
    <w:rsid w:val="00962D12"/>
    <w:rsid w:val="009708B9"/>
    <w:rsid w:val="00970D68"/>
    <w:rsid w:val="0097162C"/>
    <w:rsid w:val="00971998"/>
    <w:rsid w:val="00971A70"/>
    <w:rsid w:val="00971C97"/>
    <w:rsid w:val="00972222"/>
    <w:rsid w:val="00972D89"/>
    <w:rsid w:val="00973F1B"/>
    <w:rsid w:val="009752D7"/>
    <w:rsid w:val="0097573C"/>
    <w:rsid w:val="00977E85"/>
    <w:rsid w:val="00980DA1"/>
    <w:rsid w:val="00982222"/>
    <w:rsid w:val="00982AC3"/>
    <w:rsid w:val="0098305F"/>
    <w:rsid w:val="00983736"/>
    <w:rsid w:val="00985831"/>
    <w:rsid w:val="009858B0"/>
    <w:rsid w:val="0098660D"/>
    <w:rsid w:val="009874C5"/>
    <w:rsid w:val="0099408E"/>
    <w:rsid w:val="00996AFE"/>
    <w:rsid w:val="009A1D6A"/>
    <w:rsid w:val="009A258E"/>
    <w:rsid w:val="009A481B"/>
    <w:rsid w:val="009A502F"/>
    <w:rsid w:val="009A5C44"/>
    <w:rsid w:val="009A7143"/>
    <w:rsid w:val="009B04E3"/>
    <w:rsid w:val="009B0E0D"/>
    <w:rsid w:val="009B1159"/>
    <w:rsid w:val="009B262B"/>
    <w:rsid w:val="009B297D"/>
    <w:rsid w:val="009B45CB"/>
    <w:rsid w:val="009B68AA"/>
    <w:rsid w:val="009B68BC"/>
    <w:rsid w:val="009B7DBF"/>
    <w:rsid w:val="009C0697"/>
    <w:rsid w:val="009C0732"/>
    <w:rsid w:val="009C15E6"/>
    <w:rsid w:val="009C2753"/>
    <w:rsid w:val="009C2A52"/>
    <w:rsid w:val="009C4ADB"/>
    <w:rsid w:val="009C7640"/>
    <w:rsid w:val="009D0A61"/>
    <w:rsid w:val="009D239F"/>
    <w:rsid w:val="009D2924"/>
    <w:rsid w:val="009D4662"/>
    <w:rsid w:val="009D6E99"/>
    <w:rsid w:val="009D72DB"/>
    <w:rsid w:val="009D78ED"/>
    <w:rsid w:val="009E0D2A"/>
    <w:rsid w:val="009E5CB4"/>
    <w:rsid w:val="009E6DB8"/>
    <w:rsid w:val="009E77D9"/>
    <w:rsid w:val="009E78E6"/>
    <w:rsid w:val="009F0804"/>
    <w:rsid w:val="009F0C9B"/>
    <w:rsid w:val="009F128F"/>
    <w:rsid w:val="009F16CE"/>
    <w:rsid w:val="009F2564"/>
    <w:rsid w:val="009F408E"/>
    <w:rsid w:val="009F5876"/>
    <w:rsid w:val="00A01E0F"/>
    <w:rsid w:val="00A0407B"/>
    <w:rsid w:val="00A04F8C"/>
    <w:rsid w:val="00A109DA"/>
    <w:rsid w:val="00A11540"/>
    <w:rsid w:val="00A12957"/>
    <w:rsid w:val="00A14B6C"/>
    <w:rsid w:val="00A16169"/>
    <w:rsid w:val="00A22125"/>
    <w:rsid w:val="00A2447F"/>
    <w:rsid w:val="00A25C51"/>
    <w:rsid w:val="00A27F8E"/>
    <w:rsid w:val="00A3008F"/>
    <w:rsid w:val="00A30BD5"/>
    <w:rsid w:val="00A30DB7"/>
    <w:rsid w:val="00A31947"/>
    <w:rsid w:val="00A32212"/>
    <w:rsid w:val="00A33D52"/>
    <w:rsid w:val="00A34A44"/>
    <w:rsid w:val="00A36A44"/>
    <w:rsid w:val="00A3713E"/>
    <w:rsid w:val="00A406FB"/>
    <w:rsid w:val="00A41A38"/>
    <w:rsid w:val="00A42746"/>
    <w:rsid w:val="00A42CDF"/>
    <w:rsid w:val="00A46C8F"/>
    <w:rsid w:val="00A512D9"/>
    <w:rsid w:val="00A51E97"/>
    <w:rsid w:val="00A538F1"/>
    <w:rsid w:val="00A53963"/>
    <w:rsid w:val="00A54C62"/>
    <w:rsid w:val="00A5520D"/>
    <w:rsid w:val="00A558EB"/>
    <w:rsid w:val="00A5647F"/>
    <w:rsid w:val="00A57D5C"/>
    <w:rsid w:val="00A60616"/>
    <w:rsid w:val="00A60757"/>
    <w:rsid w:val="00A60CFC"/>
    <w:rsid w:val="00A61B6A"/>
    <w:rsid w:val="00A622B8"/>
    <w:rsid w:val="00A62CD0"/>
    <w:rsid w:val="00A62ED5"/>
    <w:rsid w:val="00A6320C"/>
    <w:rsid w:val="00A63D23"/>
    <w:rsid w:val="00A651AA"/>
    <w:rsid w:val="00A662B5"/>
    <w:rsid w:val="00A7051C"/>
    <w:rsid w:val="00A7086F"/>
    <w:rsid w:val="00A708F6"/>
    <w:rsid w:val="00A70BA7"/>
    <w:rsid w:val="00A72CA2"/>
    <w:rsid w:val="00A75A06"/>
    <w:rsid w:val="00A80D14"/>
    <w:rsid w:val="00A81FE6"/>
    <w:rsid w:val="00A82E4D"/>
    <w:rsid w:val="00A83186"/>
    <w:rsid w:val="00A8394F"/>
    <w:rsid w:val="00A83F00"/>
    <w:rsid w:val="00A86210"/>
    <w:rsid w:val="00A862C2"/>
    <w:rsid w:val="00A86CB5"/>
    <w:rsid w:val="00A86E36"/>
    <w:rsid w:val="00A90C1D"/>
    <w:rsid w:val="00A96994"/>
    <w:rsid w:val="00AA0B2A"/>
    <w:rsid w:val="00AA3D6D"/>
    <w:rsid w:val="00AA3F29"/>
    <w:rsid w:val="00AA4E01"/>
    <w:rsid w:val="00AB0660"/>
    <w:rsid w:val="00AB09F3"/>
    <w:rsid w:val="00AB0A5C"/>
    <w:rsid w:val="00AB62D1"/>
    <w:rsid w:val="00AC0861"/>
    <w:rsid w:val="00AC27DF"/>
    <w:rsid w:val="00AC3AA6"/>
    <w:rsid w:val="00AC466B"/>
    <w:rsid w:val="00AC58B5"/>
    <w:rsid w:val="00AD0822"/>
    <w:rsid w:val="00AD1E51"/>
    <w:rsid w:val="00AD3547"/>
    <w:rsid w:val="00AD3A8C"/>
    <w:rsid w:val="00AD4A8E"/>
    <w:rsid w:val="00AD53A8"/>
    <w:rsid w:val="00AD6054"/>
    <w:rsid w:val="00AE0CFB"/>
    <w:rsid w:val="00AE28F1"/>
    <w:rsid w:val="00AE30C2"/>
    <w:rsid w:val="00AE3AE5"/>
    <w:rsid w:val="00AE51D3"/>
    <w:rsid w:val="00AE553D"/>
    <w:rsid w:val="00AF338C"/>
    <w:rsid w:val="00AF4D4F"/>
    <w:rsid w:val="00AF59F3"/>
    <w:rsid w:val="00AF5DF6"/>
    <w:rsid w:val="00AF6916"/>
    <w:rsid w:val="00AF7721"/>
    <w:rsid w:val="00B00889"/>
    <w:rsid w:val="00B00C95"/>
    <w:rsid w:val="00B01779"/>
    <w:rsid w:val="00B0273E"/>
    <w:rsid w:val="00B02C07"/>
    <w:rsid w:val="00B02EE4"/>
    <w:rsid w:val="00B03CF8"/>
    <w:rsid w:val="00B05000"/>
    <w:rsid w:val="00B05235"/>
    <w:rsid w:val="00B06441"/>
    <w:rsid w:val="00B0657D"/>
    <w:rsid w:val="00B06D3E"/>
    <w:rsid w:val="00B10525"/>
    <w:rsid w:val="00B10C83"/>
    <w:rsid w:val="00B110EF"/>
    <w:rsid w:val="00B12DD5"/>
    <w:rsid w:val="00B14717"/>
    <w:rsid w:val="00B14B1F"/>
    <w:rsid w:val="00B1548D"/>
    <w:rsid w:val="00B20AE2"/>
    <w:rsid w:val="00B21D14"/>
    <w:rsid w:val="00B23486"/>
    <w:rsid w:val="00B239C6"/>
    <w:rsid w:val="00B25B42"/>
    <w:rsid w:val="00B2775D"/>
    <w:rsid w:val="00B303CD"/>
    <w:rsid w:val="00B31F7F"/>
    <w:rsid w:val="00B3205D"/>
    <w:rsid w:val="00B34C5E"/>
    <w:rsid w:val="00B36C49"/>
    <w:rsid w:val="00B4129F"/>
    <w:rsid w:val="00B45DA7"/>
    <w:rsid w:val="00B465A9"/>
    <w:rsid w:val="00B46D15"/>
    <w:rsid w:val="00B46ED7"/>
    <w:rsid w:val="00B474C3"/>
    <w:rsid w:val="00B476DA"/>
    <w:rsid w:val="00B5007E"/>
    <w:rsid w:val="00B51A48"/>
    <w:rsid w:val="00B51C3F"/>
    <w:rsid w:val="00B5225E"/>
    <w:rsid w:val="00B53152"/>
    <w:rsid w:val="00B54B17"/>
    <w:rsid w:val="00B57EC8"/>
    <w:rsid w:val="00B60EF6"/>
    <w:rsid w:val="00B6189C"/>
    <w:rsid w:val="00B626DB"/>
    <w:rsid w:val="00B636E3"/>
    <w:rsid w:val="00B63897"/>
    <w:rsid w:val="00B63BFE"/>
    <w:rsid w:val="00B64762"/>
    <w:rsid w:val="00B64F08"/>
    <w:rsid w:val="00B65B95"/>
    <w:rsid w:val="00B679B8"/>
    <w:rsid w:val="00B733C1"/>
    <w:rsid w:val="00B7607A"/>
    <w:rsid w:val="00B775A6"/>
    <w:rsid w:val="00B81707"/>
    <w:rsid w:val="00B833A2"/>
    <w:rsid w:val="00B83CD9"/>
    <w:rsid w:val="00B84A33"/>
    <w:rsid w:val="00B8648B"/>
    <w:rsid w:val="00B87110"/>
    <w:rsid w:val="00B87A45"/>
    <w:rsid w:val="00B90738"/>
    <w:rsid w:val="00B90F78"/>
    <w:rsid w:val="00B91521"/>
    <w:rsid w:val="00B92D26"/>
    <w:rsid w:val="00B9302A"/>
    <w:rsid w:val="00B957B3"/>
    <w:rsid w:val="00B95910"/>
    <w:rsid w:val="00B95E32"/>
    <w:rsid w:val="00B97B55"/>
    <w:rsid w:val="00B97E47"/>
    <w:rsid w:val="00BA1587"/>
    <w:rsid w:val="00BB0EC9"/>
    <w:rsid w:val="00BB2680"/>
    <w:rsid w:val="00BB3E7E"/>
    <w:rsid w:val="00BB4216"/>
    <w:rsid w:val="00BB46D7"/>
    <w:rsid w:val="00BB4A78"/>
    <w:rsid w:val="00BB53F1"/>
    <w:rsid w:val="00BB5FFF"/>
    <w:rsid w:val="00BB6211"/>
    <w:rsid w:val="00BC099D"/>
    <w:rsid w:val="00BC1075"/>
    <w:rsid w:val="00BC1730"/>
    <w:rsid w:val="00BC34C5"/>
    <w:rsid w:val="00BC3616"/>
    <w:rsid w:val="00BC4D4B"/>
    <w:rsid w:val="00BC52BF"/>
    <w:rsid w:val="00BC6EBE"/>
    <w:rsid w:val="00BC7C5F"/>
    <w:rsid w:val="00BD0002"/>
    <w:rsid w:val="00BD0990"/>
    <w:rsid w:val="00BD0A3C"/>
    <w:rsid w:val="00BD6D9B"/>
    <w:rsid w:val="00BD7EC6"/>
    <w:rsid w:val="00BE0FCE"/>
    <w:rsid w:val="00BE2204"/>
    <w:rsid w:val="00BE378F"/>
    <w:rsid w:val="00BE4237"/>
    <w:rsid w:val="00BE5D9E"/>
    <w:rsid w:val="00BE671B"/>
    <w:rsid w:val="00BE795B"/>
    <w:rsid w:val="00BF4629"/>
    <w:rsid w:val="00BF4D18"/>
    <w:rsid w:val="00BF562B"/>
    <w:rsid w:val="00C010A0"/>
    <w:rsid w:val="00C01215"/>
    <w:rsid w:val="00C03A64"/>
    <w:rsid w:val="00C04751"/>
    <w:rsid w:val="00C060E8"/>
    <w:rsid w:val="00C06BBF"/>
    <w:rsid w:val="00C06C40"/>
    <w:rsid w:val="00C06E48"/>
    <w:rsid w:val="00C07DAD"/>
    <w:rsid w:val="00C11257"/>
    <w:rsid w:val="00C11709"/>
    <w:rsid w:val="00C12858"/>
    <w:rsid w:val="00C12C34"/>
    <w:rsid w:val="00C12F6B"/>
    <w:rsid w:val="00C1447F"/>
    <w:rsid w:val="00C15B4B"/>
    <w:rsid w:val="00C172C7"/>
    <w:rsid w:val="00C20312"/>
    <w:rsid w:val="00C21F42"/>
    <w:rsid w:val="00C221AB"/>
    <w:rsid w:val="00C25E69"/>
    <w:rsid w:val="00C267A8"/>
    <w:rsid w:val="00C277DB"/>
    <w:rsid w:val="00C31B8E"/>
    <w:rsid w:val="00C31BAB"/>
    <w:rsid w:val="00C350AB"/>
    <w:rsid w:val="00C351ED"/>
    <w:rsid w:val="00C358AE"/>
    <w:rsid w:val="00C359C2"/>
    <w:rsid w:val="00C37722"/>
    <w:rsid w:val="00C415EE"/>
    <w:rsid w:val="00C420E4"/>
    <w:rsid w:val="00C4411E"/>
    <w:rsid w:val="00C4489A"/>
    <w:rsid w:val="00C52FFE"/>
    <w:rsid w:val="00C534A4"/>
    <w:rsid w:val="00C5378D"/>
    <w:rsid w:val="00C53888"/>
    <w:rsid w:val="00C54162"/>
    <w:rsid w:val="00C54D2B"/>
    <w:rsid w:val="00C558D0"/>
    <w:rsid w:val="00C56BB7"/>
    <w:rsid w:val="00C57A3A"/>
    <w:rsid w:val="00C60175"/>
    <w:rsid w:val="00C60228"/>
    <w:rsid w:val="00C63F64"/>
    <w:rsid w:val="00C650AC"/>
    <w:rsid w:val="00C65842"/>
    <w:rsid w:val="00C6713C"/>
    <w:rsid w:val="00C67E59"/>
    <w:rsid w:val="00C70009"/>
    <w:rsid w:val="00C75AAE"/>
    <w:rsid w:val="00C77C75"/>
    <w:rsid w:val="00C82D25"/>
    <w:rsid w:val="00C83380"/>
    <w:rsid w:val="00C87EA9"/>
    <w:rsid w:val="00C93455"/>
    <w:rsid w:val="00C9353C"/>
    <w:rsid w:val="00C93B5C"/>
    <w:rsid w:val="00C9710A"/>
    <w:rsid w:val="00C97A26"/>
    <w:rsid w:val="00CA063E"/>
    <w:rsid w:val="00CA2481"/>
    <w:rsid w:val="00CA37AC"/>
    <w:rsid w:val="00CA4BC6"/>
    <w:rsid w:val="00CA556C"/>
    <w:rsid w:val="00CA593E"/>
    <w:rsid w:val="00CA6758"/>
    <w:rsid w:val="00CA76E1"/>
    <w:rsid w:val="00CA7FE2"/>
    <w:rsid w:val="00CB172C"/>
    <w:rsid w:val="00CB2148"/>
    <w:rsid w:val="00CB4EA5"/>
    <w:rsid w:val="00CB5E3F"/>
    <w:rsid w:val="00CB696A"/>
    <w:rsid w:val="00CC07D6"/>
    <w:rsid w:val="00CC136D"/>
    <w:rsid w:val="00CC1C08"/>
    <w:rsid w:val="00CC4E82"/>
    <w:rsid w:val="00CD030D"/>
    <w:rsid w:val="00CD05AD"/>
    <w:rsid w:val="00CD0A12"/>
    <w:rsid w:val="00CD1CD4"/>
    <w:rsid w:val="00CD5967"/>
    <w:rsid w:val="00CE0FB6"/>
    <w:rsid w:val="00CE472F"/>
    <w:rsid w:val="00CE6A81"/>
    <w:rsid w:val="00CE6FBB"/>
    <w:rsid w:val="00CE7D89"/>
    <w:rsid w:val="00CF135C"/>
    <w:rsid w:val="00CF5622"/>
    <w:rsid w:val="00CF6225"/>
    <w:rsid w:val="00CF6908"/>
    <w:rsid w:val="00CF72F4"/>
    <w:rsid w:val="00CF7C35"/>
    <w:rsid w:val="00D00BEE"/>
    <w:rsid w:val="00D011B5"/>
    <w:rsid w:val="00D0304B"/>
    <w:rsid w:val="00D045E7"/>
    <w:rsid w:val="00D06391"/>
    <w:rsid w:val="00D11A2E"/>
    <w:rsid w:val="00D12277"/>
    <w:rsid w:val="00D131C8"/>
    <w:rsid w:val="00D1321A"/>
    <w:rsid w:val="00D132A7"/>
    <w:rsid w:val="00D1680C"/>
    <w:rsid w:val="00D1771E"/>
    <w:rsid w:val="00D17C3F"/>
    <w:rsid w:val="00D20371"/>
    <w:rsid w:val="00D205CB"/>
    <w:rsid w:val="00D22593"/>
    <w:rsid w:val="00D230A6"/>
    <w:rsid w:val="00D239D5"/>
    <w:rsid w:val="00D2497C"/>
    <w:rsid w:val="00D25041"/>
    <w:rsid w:val="00D25B09"/>
    <w:rsid w:val="00D26F03"/>
    <w:rsid w:val="00D305AB"/>
    <w:rsid w:val="00D333E4"/>
    <w:rsid w:val="00D33651"/>
    <w:rsid w:val="00D339CA"/>
    <w:rsid w:val="00D33D19"/>
    <w:rsid w:val="00D34B0D"/>
    <w:rsid w:val="00D3514A"/>
    <w:rsid w:val="00D358B2"/>
    <w:rsid w:val="00D35F89"/>
    <w:rsid w:val="00D3647C"/>
    <w:rsid w:val="00D4358E"/>
    <w:rsid w:val="00D441CE"/>
    <w:rsid w:val="00D4643B"/>
    <w:rsid w:val="00D47535"/>
    <w:rsid w:val="00D47E56"/>
    <w:rsid w:val="00D51AEC"/>
    <w:rsid w:val="00D52E50"/>
    <w:rsid w:val="00D53307"/>
    <w:rsid w:val="00D5569E"/>
    <w:rsid w:val="00D5602B"/>
    <w:rsid w:val="00D567F1"/>
    <w:rsid w:val="00D571B0"/>
    <w:rsid w:val="00D57885"/>
    <w:rsid w:val="00D60DB0"/>
    <w:rsid w:val="00D616F7"/>
    <w:rsid w:val="00D6254B"/>
    <w:rsid w:val="00D62659"/>
    <w:rsid w:val="00D652AA"/>
    <w:rsid w:val="00D6675D"/>
    <w:rsid w:val="00D67989"/>
    <w:rsid w:val="00D70E7A"/>
    <w:rsid w:val="00D7104C"/>
    <w:rsid w:val="00D73143"/>
    <w:rsid w:val="00D740B1"/>
    <w:rsid w:val="00D745D7"/>
    <w:rsid w:val="00D8166C"/>
    <w:rsid w:val="00D8211A"/>
    <w:rsid w:val="00D83643"/>
    <w:rsid w:val="00D84398"/>
    <w:rsid w:val="00D86330"/>
    <w:rsid w:val="00D921A7"/>
    <w:rsid w:val="00D95D23"/>
    <w:rsid w:val="00D96D34"/>
    <w:rsid w:val="00D971DC"/>
    <w:rsid w:val="00DA047B"/>
    <w:rsid w:val="00DA048F"/>
    <w:rsid w:val="00DA745B"/>
    <w:rsid w:val="00DB036A"/>
    <w:rsid w:val="00DB04B4"/>
    <w:rsid w:val="00DB0692"/>
    <w:rsid w:val="00DB14A2"/>
    <w:rsid w:val="00DB2A85"/>
    <w:rsid w:val="00DB4F40"/>
    <w:rsid w:val="00DB5C78"/>
    <w:rsid w:val="00DB6003"/>
    <w:rsid w:val="00DB75A3"/>
    <w:rsid w:val="00DC0B50"/>
    <w:rsid w:val="00DC70D2"/>
    <w:rsid w:val="00DD0B57"/>
    <w:rsid w:val="00DD0D6F"/>
    <w:rsid w:val="00DD29CD"/>
    <w:rsid w:val="00DD3A28"/>
    <w:rsid w:val="00DD3C0C"/>
    <w:rsid w:val="00DD52F6"/>
    <w:rsid w:val="00DD65BC"/>
    <w:rsid w:val="00DE11EC"/>
    <w:rsid w:val="00DE1724"/>
    <w:rsid w:val="00DE1813"/>
    <w:rsid w:val="00DE1A12"/>
    <w:rsid w:val="00DE2D3D"/>
    <w:rsid w:val="00DE2D60"/>
    <w:rsid w:val="00DE687B"/>
    <w:rsid w:val="00DE7CA9"/>
    <w:rsid w:val="00DE7D78"/>
    <w:rsid w:val="00DE7DDE"/>
    <w:rsid w:val="00DF10D1"/>
    <w:rsid w:val="00DF1FDD"/>
    <w:rsid w:val="00DF2B63"/>
    <w:rsid w:val="00DF3991"/>
    <w:rsid w:val="00DF39A0"/>
    <w:rsid w:val="00DF4BB2"/>
    <w:rsid w:val="00DF5114"/>
    <w:rsid w:val="00DF6C5D"/>
    <w:rsid w:val="00E0303D"/>
    <w:rsid w:val="00E03ADA"/>
    <w:rsid w:val="00E0519D"/>
    <w:rsid w:val="00E051B7"/>
    <w:rsid w:val="00E056D8"/>
    <w:rsid w:val="00E06433"/>
    <w:rsid w:val="00E06A77"/>
    <w:rsid w:val="00E10033"/>
    <w:rsid w:val="00E115DB"/>
    <w:rsid w:val="00E14B6A"/>
    <w:rsid w:val="00E1608C"/>
    <w:rsid w:val="00E173D4"/>
    <w:rsid w:val="00E175A6"/>
    <w:rsid w:val="00E1787D"/>
    <w:rsid w:val="00E17D8A"/>
    <w:rsid w:val="00E20465"/>
    <w:rsid w:val="00E207A2"/>
    <w:rsid w:val="00E22A6C"/>
    <w:rsid w:val="00E23BFC"/>
    <w:rsid w:val="00E2432A"/>
    <w:rsid w:val="00E24E17"/>
    <w:rsid w:val="00E2589B"/>
    <w:rsid w:val="00E26310"/>
    <w:rsid w:val="00E26FBF"/>
    <w:rsid w:val="00E2725C"/>
    <w:rsid w:val="00E3008E"/>
    <w:rsid w:val="00E300AA"/>
    <w:rsid w:val="00E30A6E"/>
    <w:rsid w:val="00E31F14"/>
    <w:rsid w:val="00E329EB"/>
    <w:rsid w:val="00E32AC0"/>
    <w:rsid w:val="00E32D34"/>
    <w:rsid w:val="00E33E89"/>
    <w:rsid w:val="00E36AE8"/>
    <w:rsid w:val="00E36FBB"/>
    <w:rsid w:val="00E37B6D"/>
    <w:rsid w:val="00E44C61"/>
    <w:rsid w:val="00E47042"/>
    <w:rsid w:val="00E50A7E"/>
    <w:rsid w:val="00E50F08"/>
    <w:rsid w:val="00E52E0A"/>
    <w:rsid w:val="00E56231"/>
    <w:rsid w:val="00E5791F"/>
    <w:rsid w:val="00E61B9A"/>
    <w:rsid w:val="00E62524"/>
    <w:rsid w:val="00E653D7"/>
    <w:rsid w:val="00E71250"/>
    <w:rsid w:val="00E713C4"/>
    <w:rsid w:val="00E722BC"/>
    <w:rsid w:val="00E727B4"/>
    <w:rsid w:val="00E736DE"/>
    <w:rsid w:val="00E744FE"/>
    <w:rsid w:val="00E77C6A"/>
    <w:rsid w:val="00E80970"/>
    <w:rsid w:val="00E80E52"/>
    <w:rsid w:val="00E81323"/>
    <w:rsid w:val="00E827DE"/>
    <w:rsid w:val="00E8332B"/>
    <w:rsid w:val="00E83BF9"/>
    <w:rsid w:val="00E86793"/>
    <w:rsid w:val="00E86A29"/>
    <w:rsid w:val="00E90041"/>
    <w:rsid w:val="00E90C14"/>
    <w:rsid w:val="00E9291D"/>
    <w:rsid w:val="00E94940"/>
    <w:rsid w:val="00E94A80"/>
    <w:rsid w:val="00E952AA"/>
    <w:rsid w:val="00E958DE"/>
    <w:rsid w:val="00E95B64"/>
    <w:rsid w:val="00E95B9B"/>
    <w:rsid w:val="00E97535"/>
    <w:rsid w:val="00E97802"/>
    <w:rsid w:val="00EA1B47"/>
    <w:rsid w:val="00EA2047"/>
    <w:rsid w:val="00EA2133"/>
    <w:rsid w:val="00EA3E31"/>
    <w:rsid w:val="00EA44CC"/>
    <w:rsid w:val="00EA6E90"/>
    <w:rsid w:val="00EA7D60"/>
    <w:rsid w:val="00EB4752"/>
    <w:rsid w:val="00EB5ED4"/>
    <w:rsid w:val="00EB7478"/>
    <w:rsid w:val="00EC084B"/>
    <w:rsid w:val="00EC5BE5"/>
    <w:rsid w:val="00EC6D27"/>
    <w:rsid w:val="00ED2B65"/>
    <w:rsid w:val="00ED31E5"/>
    <w:rsid w:val="00ED601F"/>
    <w:rsid w:val="00ED65D0"/>
    <w:rsid w:val="00ED7502"/>
    <w:rsid w:val="00EE080D"/>
    <w:rsid w:val="00EE0FCA"/>
    <w:rsid w:val="00EE1811"/>
    <w:rsid w:val="00EE1A30"/>
    <w:rsid w:val="00EE2849"/>
    <w:rsid w:val="00EE2960"/>
    <w:rsid w:val="00EE360E"/>
    <w:rsid w:val="00EE3BA3"/>
    <w:rsid w:val="00EE4FD3"/>
    <w:rsid w:val="00EE5C90"/>
    <w:rsid w:val="00EE6582"/>
    <w:rsid w:val="00EF3DC7"/>
    <w:rsid w:val="00EF475F"/>
    <w:rsid w:val="00EF5424"/>
    <w:rsid w:val="00EF5775"/>
    <w:rsid w:val="00EF6293"/>
    <w:rsid w:val="00F01B3C"/>
    <w:rsid w:val="00F0262E"/>
    <w:rsid w:val="00F05232"/>
    <w:rsid w:val="00F058E4"/>
    <w:rsid w:val="00F06A6E"/>
    <w:rsid w:val="00F07D65"/>
    <w:rsid w:val="00F10E06"/>
    <w:rsid w:val="00F11D14"/>
    <w:rsid w:val="00F12D72"/>
    <w:rsid w:val="00F14956"/>
    <w:rsid w:val="00F15610"/>
    <w:rsid w:val="00F15AFD"/>
    <w:rsid w:val="00F17483"/>
    <w:rsid w:val="00F2122A"/>
    <w:rsid w:val="00F216A9"/>
    <w:rsid w:val="00F238AE"/>
    <w:rsid w:val="00F24023"/>
    <w:rsid w:val="00F24A80"/>
    <w:rsid w:val="00F2580B"/>
    <w:rsid w:val="00F27F64"/>
    <w:rsid w:val="00F27FB3"/>
    <w:rsid w:val="00F3215C"/>
    <w:rsid w:val="00F33FE1"/>
    <w:rsid w:val="00F3472F"/>
    <w:rsid w:val="00F349D2"/>
    <w:rsid w:val="00F358B4"/>
    <w:rsid w:val="00F36865"/>
    <w:rsid w:val="00F40220"/>
    <w:rsid w:val="00F410BB"/>
    <w:rsid w:val="00F43F75"/>
    <w:rsid w:val="00F440DF"/>
    <w:rsid w:val="00F458A1"/>
    <w:rsid w:val="00F471F4"/>
    <w:rsid w:val="00F51704"/>
    <w:rsid w:val="00F54AE8"/>
    <w:rsid w:val="00F55965"/>
    <w:rsid w:val="00F56852"/>
    <w:rsid w:val="00F57389"/>
    <w:rsid w:val="00F57BC7"/>
    <w:rsid w:val="00F615A2"/>
    <w:rsid w:val="00F61C8F"/>
    <w:rsid w:val="00F61F79"/>
    <w:rsid w:val="00F62369"/>
    <w:rsid w:val="00F62FEC"/>
    <w:rsid w:val="00F63D15"/>
    <w:rsid w:val="00F6623C"/>
    <w:rsid w:val="00F67812"/>
    <w:rsid w:val="00F67C15"/>
    <w:rsid w:val="00F67E57"/>
    <w:rsid w:val="00F72F25"/>
    <w:rsid w:val="00F7377B"/>
    <w:rsid w:val="00F75EAC"/>
    <w:rsid w:val="00F827B8"/>
    <w:rsid w:val="00F83A88"/>
    <w:rsid w:val="00F85233"/>
    <w:rsid w:val="00F85D43"/>
    <w:rsid w:val="00F85E06"/>
    <w:rsid w:val="00F86D2A"/>
    <w:rsid w:val="00F924A8"/>
    <w:rsid w:val="00F94DD7"/>
    <w:rsid w:val="00F97FDE"/>
    <w:rsid w:val="00FA0B9E"/>
    <w:rsid w:val="00FA2F81"/>
    <w:rsid w:val="00FA3884"/>
    <w:rsid w:val="00FA4719"/>
    <w:rsid w:val="00FA49EA"/>
    <w:rsid w:val="00FA52AE"/>
    <w:rsid w:val="00FA5D25"/>
    <w:rsid w:val="00FA6550"/>
    <w:rsid w:val="00FA7E7D"/>
    <w:rsid w:val="00FB0C7D"/>
    <w:rsid w:val="00FB0D06"/>
    <w:rsid w:val="00FB16D0"/>
    <w:rsid w:val="00FB18C1"/>
    <w:rsid w:val="00FB45BB"/>
    <w:rsid w:val="00FB52C4"/>
    <w:rsid w:val="00FB63FD"/>
    <w:rsid w:val="00FC08DA"/>
    <w:rsid w:val="00FC49AD"/>
    <w:rsid w:val="00FC70C4"/>
    <w:rsid w:val="00FC72B6"/>
    <w:rsid w:val="00FC738E"/>
    <w:rsid w:val="00FC75C3"/>
    <w:rsid w:val="00FD3BF0"/>
    <w:rsid w:val="00FD3E9B"/>
    <w:rsid w:val="00FD482E"/>
    <w:rsid w:val="00FD48B9"/>
    <w:rsid w:val="00FD574B"/>
    <w:rsid w:val="00FD5F26"/>
    <w:rsid w:val="00FE066E"/>
    <w:rsid w:val="00FE381E"/>
    <w:rsid w:val="00FE3AF8"/>
    <w:rsid w:val="00FE46E1"/>
    <w:rsid w:val="00FE6226"/>
    <w:rsid w:val="00FE6749"/>
    <w:rsid w:val="00FE729B"/>
    <w:rsid w:val="00FE7316"/>
    <w:rsid w:val="00FE74A6"/>
    <w:rsid w:val="00FE7C11"/>
    <w:rsid w:val="00FF0229"/>
    <w:rsid w:val="00FF02AA"/>
    <w:rsid w:val="00FF1243"/>
    <w:rsid w:val="00FF14EE"/>
    <w:rsid w:val="00FF1538"/>
    <w:rsid w:val="00FF16FD"/>
    <w:rsid w:val="00FF21C8"/>
    <w:rsid w:val="00FF24DF"/>
    <w:rsid w:val="00FF427E"/>
    <w:rsid w:val="00FF47E5"/>
    <w:rsid w:val="00FF57E4"/>
    <w:rsid w:val="00FF5CB1"/>
    <w:rsid w:val="00FF6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E95F2E"/>
  <w15:docId w15:val="{C7E2A65C-6DEC-43F1-AD6C-FD660AF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49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FFF"/>
    <w:pPr>
      <w:jc w:val="center"/>
    </w:pPr>
    <w:rPr>
      <w:rFonts w:ascii="CG Times" w:hAnsi="CG Times"/>
      <w:sz w:val="28"/>
      <w:szCs w:val="20"/>
    </w:rPr>
  </w:style>
  <w:style w:type="paragraph" w:styleId="EndnoteText">
    <w:name w:val="endnote text"/>
    <w:basedOn w:val="Normal"/>
    <w:semiHidden/>
    <w:rsid w:val="003F038B"/>
    <w:pPr>
      <w:widowControl w:val="0"/>
    </w:pPr>
    <w:rPr>
      <w:rFonts w:ascii="Courier" w:hAnsi="Courier"/>
      <w:snapToGrid w:val="0"/>
      <w:szCs w:val="20"/>
    </w:rPr>
  </w:style>
  <w:style w:type="paragraph" w:styleId="BalloonText">
    <w:name w:val="Balloon Text"/>
    <w:basedOn w:val="Normal"/>
    <w:semiHidden/>
    <w:rsid w:val="00DB75A3"/>
    <w:rPr>
      <w:rFonts w:ascii="Tahoma" w:hAnsi="Tahoma" w:cs="Tahoma"/>
      <w:sz w:val="16"/>
      <w:szCs w:val="16"/>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qFormat/>
    <w:rsid w:val="000B2F22"/>
    <w:pPr>
      <w:spacing w:after="120"/>
    </w:pPr>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6D617F"/>
    <w:rPr>
      <w:vertAlign w:val="superscript"/>
    </w:rPr>
  </w:style>
  <w:style w:type="paragraph" w:styleId="Header">
    <w:name w:val="header"/>
    <w:basedOn w:val="Normal"/>
    <w:link w:val="HeaderChar"/>
    <w:rsid w:val="006D3580"/>
    <w:pPr>
      <w:tabs>
        <w:tab w:val="center" w:pos="4680"/>
        <w:tab w:val="right" w:pos="9360"/>
      </w:tabs>
    </w:pPr>
  </w:style>
  <w:style w:type="character" w:customStyle="1" w:styleId="HeaderChar">
    <w:name w:val="Header Char"/>
    <w:basedOn w:val="DefaultParagraphFont"/>
    <w:link w:val="Header"/>
    <w:rsid w:val="006D3580"/>
    <w:rPr>
      <w:sz w:val="24"/>
      <w:szCs w:val="24"/>
    </w:rPr>
  </w:style>
  <w:style w:type="paragraph" w:styleId="Footer">
    <w:name w:val="footer"/>
    <w:basedOn w:val="Normal"/>
    <w:link w:val="FooterChar"/>
    <w:rsid w:val="006D3580"/>
    <w:pPr>
      <w:tabs>
        <w:tab w:val="center" w:pos="4680"/>
        <w:tab w:val="right" w:pos="9360"/>
      </w:tabs>
    </w:pPr>
  </w:style>
  <w:style w:type="character" w:customStyle="1" w:styleId="FooterChar">
    <w:name w:val="Footer Char"/>
    <w:basedOn w:val="DefaultParagraphFont"/>
    <w:link w:val="Footer"/>
    <w:rsid w:val="006D3580"/>
    <w:rPr>
      <w:sz w:val="24"/>
      <w:szCs w:val="24"/>
    </w:rPr>
  </w:style>
  <w:style w:type="character" w:styleId="Hyperlink">
    <w:name w:val="Hyperlink"/>
    <w:basedOn w:val="DefaultParagraphFont"/>
    <w:unhideWhenUsed/>
    <w:rsid w:val="0085497A"/>
    <w:rPr>
      <w:color w:val="0000FF" w:themeColor="hyperlink"/>
      <w:u w:val="single"/>
    </w:rPr>
  </w:style>
  <w:style w:type="character" w:customStyle="1" w:styleId="FootnoteTextChar">
    <w:name w:val="Footnote Text Char"/>
    <w:aliases w:val="ALTS FOOTNOT Char,Footnote Text Char Char6 Char Char,Footnote Text Char Char6 Char Char1 Char1 Char,Footnote Text Char1 Char,Footnote Text Char2 Char3 Char,Footnote Text Char4 Char2 Char Char Char Char Char,fn Char1"/>
    <w:basedOn w:val="DefaultParagraphFont"/>
    <w:link w:val="FootnoteText"/>
    <w:rsid w:val="000B2F22"/>
  </w:style>
  <w:style w:type="character" w:styleId="UnresolvedMention">
    <w:name w:val="Unresolved Mention"/>
    <w:basedOn w:val="DefaultParagraphFont"/>
    <w:uiPriority w:val="99"/>
    <w:semiHidden/>
    <w:unhideWhenUsed/>
    <w:rsid w:val="00D26F03"/>
    <w:rPr>
      <w:color w:val="605E5C"/>
      <w:shd w:val="clear" w:color="auto" w:fill="E1DFDD"/>
    </w:rPr>
  </w:style>
  <w:style w:type="character" w:styleId="CommentReference">
    <w:name w:val="annotation reference"/>
    <w:basedOn w:val="DefaultParagraphFont"/>
    <w:semiHidden/>
    <w:unhideWhenUsed/>
    <w:rsid w:val="00BC3616"/>
    <w:rPr>
      <w:sz w:val="16"/>
      <w:szCs w:val="16"/>
    </w:rPr>
  </w:style>
  <w:style w:type="paragraph" w:styleId="CommentText">
    <w:name w:val="annotation text"/>
    <w:basedOn w:val="Normal"/>
    <w:link w:val="CommentTextChar"/>
    <w:unhideWhenUsed/>
    <w:rsid w:val="00BC3616"/>
    <w:rPr>
      <w:sz w:val="20"/>
      <w:szCs w:val="20"/>
    </w:rPr>
  </w:style>
  <w:style w:type="character" w:customStyle="1" w:styleId="CommentTextChar">
    <w:name w:val="Comment Text Char"/>
    <w:basedOn w:val="DefaultParagraphFont"/>
    <w:link w:val="CommentText"/>
    <w:rsid w:val="00BC3616"/>
  </w:style>
  <w:style w:type="paragraph" w:styleId="CommentSubject">
    <w:name w:val="annotation subject"/>
    <w:basedOn w:val="CommentText"/>
    <w:next w:val="CommentText"/>
    <w:link w:val="CommentSubjectChar"/>
    <w:semiHidden/>
    <w:unhideWhenUsed/>
    <w:rsid w:val="00BC3616"/>
    <w:rPr>
      <w:b/>
      <w:bCs/>
    </w:rPr>
  </w:style>
  <w:style w:type="character" w:customStyle="1" w:styleId="CommentSubjectChar">
    <w:name w:val="Comment Subject Char"/>
    <w:basedOn w:val="CommentTextChar"/>
    <w:link w:val="CommentSubject"/>
    <w:semiHidden/>
    <w:rsid w:val="00BC3616"/>
    <w:rPr>
      <w:b/>
      <w:bCs/>
    </w:rPr>
  </w:style>
  <w:style w:type="paragraph" w:styleId="NormalWeb">
    <w:name w:val="Normal (Web)"/>
    <w:basedOn w:val="Normal"/>
    <w:uiPriority w:val="99"/>
    <w:unhideWhenUsed/>
    <w:rsid w:val="00111449"/>
    <w:pPr>
      <w:spacing w:before="100" w:beforeAutospacing="1" w:after="100" w:afterAutospacing="1"/>
    </w:pPr>
  </w:style>
  <w:style w:type="character" w:customStyle="1" w:styleId="cohl">
    <w:name w:val="co_hl"/>
    <w:basedOn w:val="DefaultParagraphFont"/>
    <w:rsid w:val="00B02C07"/>
  </w:style>
  <w:style w:type="paragraph" w:styleId="Revision">
    <w:name w:val="Revision"/>
    <w:hidden/>
    <w:uiPriority w:val="99"/>
    <w:semiHidden/>
    <w:rsid w:val="00A406FB"/>
    <w:rPr>
      <w:sz w:val="24"/>
      <w:szCs w:val="24"/>
    </w:rPr>
  </w:style>
  <w:style w:type="character" w:styleId="FollowedHyperlink">
    <w:name w:val="FollowedHyperlink"/>
    <w:basedOn w:val="DefaultParagraphFont"/>
    <w:semiHidden/>
    <w:unhideWhenUsed/>
    <w:rsid w:val="0098660D"/>
    <w:rPr>
      <w:color w:val="800080" w:themeColor="followedHyperlink"/>
      <w:u w:val="single"/>
    </w:rPr>
  </w:style>
  <w:style w:type="character" w:customStyle="1" w:styleId="cf01">
    <w:name w:val="cf01"/>
    <w:basedOn w:val="DefaultParagraphFont"/>
    <w:rsid w:val="00C420E4"/>
    <w:rPr>
      <w:rFonts w:ascii="Segoe UI" w:hAnsi="Segoe UI" w:cs="Segoe UI" w:hint="default"/>
      <w:sz w:val="18"/>
      <w:szCs w:val="18"/>
    </w:rPr>
  </w:style>
  <w:style w:type="character" w:styleId="SubtleEmphasis">
    <w:name w:val="Subtle Emphasis"/>
    <w:basedOn w:val="DefaultParagraphFont"/>
    <w:uiPriority w:val="19"/>
    <w:qFormat/>
    <w:rsid w:val="006B23B6"/>
    <w:rPr>
      <w:i/>
      <w:iCs/>
      <w:color w:val="404040" w:themeColor="text1" w:themeTint="BF"/>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fn Char"/>
    <w:rsid w:val="00282A29"/>
    <w:rPr>
      <w:lang w:val="en-US" w:eastAsia="en-US" w:bidi="ar-SA"/>
    </w:rPr>
  </w:style>
  <w:style w:type="character" w:styleId="Emphasis">
    <w:name w:val="Emphasis"/>
    <w:basedOn w:val="DefaultParagraphFont"/>
    <w:uiPriority w:val="20"/>
    <w:qFormat/>
    <w:rsid w:val="0033327A"/>
    <w:rPr>
      <w:i/>
      <w:iCs/>
    </w:rPr>
  </w:style>
  <w:style w:type="character" w:customStyle="1" w:styleId="coconcept4146">
    <w:name w:val="co_concept_41_46"/>
    <w:basedOn w:val="DefaultParagraphFont"/>
    <w:rsid w:val="0033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top.docjs.next_hit(37)" TargetMode="External" /><Relationship Id="rId11" Type="http://schemas.openxmlformats.org/officeDocument/2006/relationships/hyperlink" Target="javascript:top.docjs.prev_hit(38)" TargetMode="External" /><Relationship Id="rId12" Type="http://schemas.openxmlformats.org/officeDocument/2006/relationships/hyperlink" Target="javascript:top.docjs.next_hit(38)"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kimomartinez@gmail.com" TargetMode="External" /><Relationship Id="rId6" Type="http://schemas.openxmlformats.org/officeDocument/2006/relationships/hyperlink" Target="javascript:top.docjs.prev_hit(36)" TargetMode="External" /><Relationship Id="rId7" Type="http://schemas.openxmlformats.org/officeDocument/2006/relationships/image" Target="media/image1.png" /><Relationship Id="rId8" Type="http://schemas.openxmlformats.org/officeDocument/2006/relationships/hyperlink" Target="javascript:top.docjs.next_hit(36)" TargetMode="External" /><Relationship Id="rId9" Type="http://schemas.openxmlformats.org/officeDocument/2006/relationships/hyperlink" Target="javascript:top.docjs.prev_hit(37)"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javascript:top.docjs.next_hit(80)" TargetMode="External" /><Relationship Id="rId2"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