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901" w:rsidRPr="00511023" w:rsidP="001B7CF4" w14:paraId="677093E1" w14:textId="77777777">
      <w:pPr>
        <w:spacing w:after="0"/>
        <w:jc w:val="center"/>
        <w:rPr>
          <w:rFonts w:ascii="Times New Roman" w:hAnsi="Times New Roman" w:cs="Times New Roman"/>
        </w:rPr>
      </w:pPr>
    </w:p>
    <w:p w:rsidR="000E4E16" w:rsidP="00511023" w14:paraId="677093E2" w14:textId="50DFB630">
      <w:pPr>
        <w:spacing w:after="0"/>
        <w:jc w:val="right"/>
        <w:rPr>
          <w:rFonts w:ascii="Times New Roman" w:hAnsi="Times New Roman" w:cs="Times New Roman"/>
          <w:b/>
          <w:sz w:val="24"/>
          <w:szCs w:val="24"/>
        </w:rPr>
      </w:pPr>
      <w:r w:rsidRPr="001B7CF4">
        <w:rPr>
          <w:rFonts w:ascii="Times New Roman" w:hAnsi="Times New Roman" w:cs="Times New Roman"/>
          <w:b/>
          <w:sz w:val="24"/>
          <w:szCs w:val="24"/>
        </w:rPr>
        <w:t xml:space="preserve">DA </w:t>
      </w:r>
      <w:r w:rsidR="00814C65">
        <w:rPr>
          <w:rFonts w:ascii="Times New Roman" w:hAnsi="Times New Roman" w:cs="Times New Roman"/>
          <w:b/>
          <w:sz w:val="24"/>
          <w:szCs w:val="24"/>
        </w:rPr>
        <w:t>24</w:t>
      </w:r>
      <w:r w:rsidRPr="001B7CF4" w:rsidR="00B34540">
        <w:rPr>
          <w:rFonts w:ascii="Times New Roman" w:hAnsi="Times New Roman" w:cs="Times New Roman"/>
          <w:b/>
          <w:sz w:val="24"/>
          <w:szCs w:val="24"/>
        </w:rPr>
        <w:t>-</w:t>
      </w:r>
      <w:r w:rsidR="00301192">
        <w:rPr>
          <w:rFonts w:ascii="Times New Roman" w:hAnsi="Times New Roman" w:cs="Times New Roman"/>
          <w:b/>
          <w:sz w:val="24"/>
          <w:szCs w:val="24"/>
        </w:rPr>
        <w:t>190</w:t>
      </w:r>
    </w:p>
    <w:p w:rsidR="006F117F" w:rsidRPr="00511023" w:rsidP="00511023" w14:paraId="677093E3" w14:textId="77777777">
      <w:pPr>
        <w:spacing w:after="0"/>
        <w:jc w:val="right"/>
        <w:rPr>
          <w:rFonts w:ascii="Times New Roman" w:hAnsi="Times New Roman" w:cs="Times New Roman"/>
          <w:sz w:val="24"/>
          <w:szCs w:val="24"/>
        </w:rPr>
      </w:pPr>
    </w:p>
    <w:p w:rsidR="000E4E16" w:rsidRPr="00504A2F" w:rsidP="00F976BA" w14:paraId="677093E4" w14:textId="77777777">
      <w:pPr>
        <w:spacing w:after="0"/>
        <w:jc w:val="center"/>
        <w:rPr>
          <w:rFonts w:ascii="Times New Roman" w:hAnsi="Times New Roman" w:cs="Times New Roman"/>
          <w:b/>
          <w:sz w:val="28"/>
          <w:szCs w:val="28"/>
        </w:rPr>
      </w:pPr>
      <w:r w:rsidRPr="001B7CF4">
        <w:rPr>
          <w:rFonts w:ascii="Times New Roman" w:hAnsi="Times New Roman" w:cs="Times New Roman"/>
          <w:b/>
          <w:sz w:val="28"/>
          <w:szCs w:val="28"/>
        </w:rPr>
        <w:t>SMALL ENTITY COMPLIANCE GUIDE</w:t>
      </w:r>
    </w:p>
    <w:p w:rsidR="00CE24E8" w:rsidP="00F976BA" w14:paraId="677093E5" w14:textId="77777777">
      <w:pPr>
        <w:spacing w:after="0"/>
        <w:ind w:hanging="90"/>
        <w:jc w:val="center"/>
        <w:rPr>
          <w:rFonts w:ascii="Times New Roman" w:hAnsi="Times New Roman" w:cs="Times New Roman"/>
          <w:b/>
        </w:rPr>
      </w:pPr>
    </w:p>
    <w:p w:rsidR="00091369" w:rsidRPr="001B7CF4" w:rsidP="00F976BA" w14:paraId="677093E6" w14:textId="77777777">
      <w:pPr>
        <w:spacing w:after="0"/>
        <w:jc w:val="center"/>
        <w:rPr>
          <w:rFonts w:ascii="Times New Roman" w:hAnsi="Times New Roman" w:cs="Times New Roman"/>
          <w:b/>
        </w:rPr>
      </w:pPr>
      <w:r w:rsidRPr="001B7CF4">
        <w:rPr>
          <w:rFonts w:ascii="Times New Roman" w:hAnsi="Times New Roman" w:cs="Times New Roman"/>
          <w:b/>
        </w:rPr>
        <w:t>Video Description:  Implementation of the Twenty-First Century</w:t>
      </w:r>
    </w:p>
    <w:p w:rsidR="006F2901" w:rsidRPr="001B7CF4" w:rsidP="00F976BA" w14:paraId="677093E7" w14:textId="77777777">
      <w:pPr>
        <w:spacing w:after="0"/>
        <w:jc w:val="center"/>
        <w:rPr>
          <w:rFonts w:ascii="Times New Roman" w:hAnsi="Times New Roman" w:cs="Times New Roman"/>
          <w:b/>
        </w:rPr>
      </w:pPr>
      <w:r w:rsidRPr="001B7CF4">
        <w:rPr>
          <w:rFonts w:ascii="Times New Roman" w:hAnsi="Times New Roman" w:cs="Times New Roman"/>
          <w:b/>
        </w:rPr>
        <w:t>Communications and Video Accessibility Act of 2010</w:t>
      </w:r>
    </w:p>
    <w:p w:rsidR="00F976BA" w:rsidRPr="001B7CF4" w:rsidP="00F976BA" w14:paraId="677093E8" w14:textId="77777777">
      <w:pPr>
        <w:spacing w:after="0"/>
        <w:jc w:val="center"/>
        <w:rPr>
          <w:rFonts w:ascii="Times New Roman" w:hAnsi="Times New Roman" w:cs="Times New Roman"/>
        </w:rPr>
      </w:pPr>
    </w:p>
    <w:p w:rsidR="006F2901" w:rsidRPr="001B7CF4" w:rsidP="00F976BA" w14:paraId="677093E9" w14:textId="7B233E83">
      <w:pPr>
        <w:spacing w:after="0"/>
        <w:jc w:val="center"/>
        <w:rPr>
          <w:rFonts w:ascii="Times New Roman" w:hAnsi="Times New Roman" w:cs="Times New Roman"/>
          <w:b/>
        </w:rPr>
      </w:pPr>
      <w:bookmarkStart w:id="0" w:name="_Hlk156826853"/>
      <w:r w:rsidRPr="001B7CF4">
        <w:rPr>
          <w:rFonts w:ascii="Times New Roman" w:hAnsi="Times New Roman" w:cs="Times New Roman"/>
          <w:b/>
        </w:rPr>
        <w:t xml:space="preserve">FCC </w:t>
      </w:r>
      <w:r w:rsidRPr="001B7CF4" w:rsidR="00EB2506">
        <w:rPr>
          <w:rFonts w:ascii="Times New Roman" w:hAnsi="Times New Roman" w:cs="Times New Roman"/>
          <w:b/>
        </w:rPr>
        <w:t>2</w:t>
      </w:r>
      <w:r w:rsidRPr="001B7CF4" w:rsidR="00263D5E">
        <w:rPr>
          <w:rFonts w:ascii="Times New Roman" w:hAnsi="Times New Roman" w:cs="Times New Roman"/>
          <w:b/>
        </w:rPr>
        <w:t>3</w:t>
      </w:r>
      <w:r w:rsidRPr="001B7CF4" w:rsidR="00EB2506">
        <w:rPr>
          <w:rFonts w:ascii="Times New Roman" w:hAnsi="Times New Roman" w:cs="Times New Roman"/>
          <w:b/>
        </w:rPr>
        <w:t>-</w:t>
      </w:r>
      <w:r w:rsidRPr="001B7CF4" w:rsidR="005C7C48">
        <w:rPr>
          <w:rFonts w:ascii="Times New Roman" w:hAnsi="Times New Roman" w:cs="Times New Roman"/>
          <w:b/>
        </w:rPr>
        <w:t>82</w:t>
      </w:r>
      <w:bookmarkEnd w:id="0"/>
    </w:p>
    <w:p w:rsidR="006F2901" w:rsidRPr="001B7CF4" w:rsidP="00F976BA" w14:paraId="677093EA" w14:textId="77777777">
      <w:pPr>
        <w:spacing w:after="0"/>
        <w:jc w:val="center"/>
        <w:rPr>
          <w:rFonts w:ascii="Times New Roman" w:hAnsi="Times New Roman" w:cs="Times New Roman"/>
          <w:b/>
        </w:rPr>
      </w:pPr>
      <w:r w:rsidRPr="001B7CF4">
        <w:rPr>
          <w:rFonts w:ascii="Times New Roman" w:hAnsi="Times New Roman" w:cs="Times New Roman"/>
          <w:b/>
        </w:rPr>
        <w:t>MB</w:t>
      </w:r>
      <w:r w:rsidRPr="001B7CF4" w:rsidR="00C37AC8">
        <w:rPr>
          <w:rFonts w:ascii="Times New Roman" w:hAnsi="Times New Roman" w:cs="Times New Roman"/>
          <w:b/>
        </w:rPr>
        <w:t xml:space="preserve"> Docket N</w:t>
      </w:r>
      <w:r w:rsidRPr="001B7CF4">
        <w:rPr>
          <w:rFonts w:ascii="Times New Roman" w:hAnsi="Times New Roman" w:cs="Times New Roman"/>
          <w:b/>
        </w:rPr>
        <w:t>o</w:t>
      </w:r>
      <w:r w:rsidRPr="001B7CF4" w:rsidR="00C37AC8">
        <w:rPr>
          <w:rFonts w:ascii="Times New Roman" w:hAnsi="Times New Roman" w:cs="Times New Roman"/>
          <w:b/>
        </w:rPr>
        <w:t xml:space="preserve">. </w:t>
      </w:r>
      <w:r w:rsidRPr="001B7CF4">
        <w:rPr>
          <w:rFonts w:ascii="Times New Roman" w:hAnsi="Times New Roman" w:cs="Times New Roman"/>
          <w:b/>
        </w:rPr>
        <w:t>1</w:t>
      </w:r>
      <w:r w:rsidRPr="001B7CF4" w:rsidR="00091369">
        <w:rPr>
          <w:rFonts w:ascii="Times New Roman" w:hAnsi="Times New Roman" w:cs="Times New Roman"/>
          <w:b/>
        </w:rPr>
        <w:t>1</w:t>
      </w:r>
      <w:r w:rsidRPr="001B7CF4">
        <w:rPr>
          <w:rFonts w:ascii="Times New Roman" w:hAnsi="Times New Roman" w:cs="Times New Roman"/>
          <w:b/>
        </w:rPr>
        <w:t>-</w:t>
      </w:r>
      <w:r w:rsidRPr="001B7CF4" w:rsidR="00091369">
        <w:rPr>
          <w:rFonts w:ascii="Times New Roman" w:hAnsi="Times New Roman" w:cs="Times New Roman"/>
          <w:b/>
        </w:rPr>
        <w:t>43</w:t>
      </w:r>
    </w:p>
    <w:p w:rsidR="00C95DBB" w:rsidRPr="001B7CF4" w:rsidP="00F976BA" w14:paraId="6F3CB5EB" w14:textId="0CD899A5">
      <w:pPr>
        <w:spacing w:after="0"/>
        <w:jc w:val="center"/>
        <w:rPr>
          <w:rFonts w:ascii="Times New Roman" w:hAnsi="Times New Roman" w:cs="Times New Roman"/>
        </w:rPr>
      </w:pPr>
      <w:r w:rsidRPr="001B7CF4">
        <w:rPr>
          <w:rFonts w:ascii="Times New Roman" w:hAnsi="Times New Roman" w:cs="Times New Roman"/>
          <w:b/>
        </w:rPr>
        <w:t>Adopted October 17, 2023</w:t>
      </w:r>
    </w:p>
    <w:p w:rsidR="00FE346F" w:rsidRPr="00CE24E8" w:rsidP="000E4E16" w14:paraId="677093EB" w14:textId="77777777">
      <w:pPr>
        <w:spacing w:after="0"/>
        <w:rPr>
          <w:rFonts w:ascii="Times New Roman" w:hAnsi="Times New Roman" w:cs="Times New Roman"/>
          <w:b/>
          <w:sz w:val="24"/>
          <w:szCs w:val="24"/>
        </w:rPr>
      </w:pPr>
    </w:p>
    <w:p w:rsidR="006F2901" w:rsidRPr="001B7CF4" w:rsidP="001B7CF4" w14:paraId="677093EC" w14:textId="7761B582">
      <w:pPr>
        <w:pStyle w:val="ListParagraph"/>
        <w:ind w:left="36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In</w:t>
      </w:r>
      <w:r w:rsidRPr="001B7CF4" w:rsidR="006046BF">
        <w:rPr>
          <w:rFonts w:ascii="Times New Roman" w:eastAsia="Times New Roman" w:hAnsi="Times New Roman" w:cs="Times New Roman"/>
          <w:snapToGrid w:val="0"/>
          <w:kern w:val="28"/>
          <w:szCs w:val="20"/>
        </w:rPr>
        <w:t xml:space="preserve"> accordance with the requirements of </w:t>
      </w:r>
      <w:r w:rsidRPr="001B7CF4" w:rsidR="00A5424A">
        <w:rPr>
          <w:rFonts w:ascii="Times New Roman" w:eastAsia="Times New Roman" w:hAnsi="Times New Roman" w:cs="Times New Roman"/>
          <w:snapToGrid w:val="0"/>
          <w:kern w:val="28"/>
          <w:szCs w:val="20"/>
        </w:rPr>
        <w:t xml:space="preserve">section </w:t>
      </w:r>
      <w:r w:rsidRPr="001B7CF4" w:rsidR="006046BF">
        <w:rPr>
          <w:rFonts w:ascii="Times New Roman" w:eastAsia="Times New Roman" w:hAnsi="Times New Roman" w:cs="Times New Roman"/>
          <w:snapToGrid w:val="0"/>
          <w:kern w:val="28"/>
          <w:szCs w:val="20"/>
        </w:rPr>
        <w:t>212 of the Small Business Regulatory Enforcement Fairness Act of 1996</w:t>
      </w:r>
      <w:r w:rsidR="002102CE">
        <w:rPr>
          <w:rFonts w:ascii="Times New Roman" w:eastAsia="Times New Roman" w:hAnsi="Times New Roman" w:cs="Times New Roman"/>
          <w:snapToGrid w:val="0"/>
          <w:kern w:val="28"/>
          <w:szCs w:val="20"/>
        </w:rPr>
        <w:t xml:space="preserve">, </w:t>
      </w:r>
      <w:r w:rsidRPr="0033200C" w:rsidR="002102CE">
        <w:rPr>
          <w:rFonts w:ascii="Times New Roman" w:eastAsia="Times New Roman" w:hAnsi="Times New Roman" w:cs="Times New Roman"/>
          <w:snapToGrid w:val="0"/>
          <w:kern w:val="28"/>
        </w:rPr>
        <w:t>this Small Entity Compliance Guide (Guide)</w:t>
      </w:r>
      <w:r w:rsidR="002102CE">
        <w:rPr>
          <w:rFonts w:ascii="Times New Roman" w:eastAsia="Times New Roman" w:hAnsi="Times New Roman" w:cs="Times New Roman"/>
          <w:snapToGrid w:val="0"/>
          <w:kern w:val="28"/>
        </w:rPr>
        <w:t xml:space="preserve"> </w:t>
      </w:r>
      <w:r w:rsidRPr="001B7CF4" w:rsidR="006046BF">
        <w:rPr>
          <w:rFonts w:ascii="Times New Roman" w:eastAsia="Times New Roman" w:hAnsi="Times New Roman" w:cs="Times New Roman"/>
          <w:snapToGrid w:val="0"/>
          <w:kern w:val="28"/>
          <w:szCs w:val="20"/>
        </w:rPr>
        <w:t xml:space="preserve">is intended to help small entities—small businesses, small organizations (non-profits), and small governmental jurisdictions—comply with the </w:t>
      </w:r>
      <w:r w:rsidRPr="001B7CF4" w:rsidR="00C47CEF">
        <w:rPr>
          <w:rFonts w:ascii="Times New Roman" w:eastAsia="Times New Roman" w:hAnsi="Times New Roman" w:cs="Times New Roman"/>
          <w:snapToGrid w:val="0"/>
          <w:kern w:val="28"/>
          <w:szCs w:val="20"/>
        </w:rPr>
        <w:t xml:space="preserve">revised </w:t>
      </w:r>
      <w:r w:rsidRPr="001B7CF4" w:rsidR="006046BF">
        <w:rPr>
          <w:rFonts w:ascii="Times New Roman" w:eastAsia="Times New Roman" w:hAnsi="Times New Roman" w:cs="Times New Roman"/>
          <w:snapToGrid w:val="0"/>
          <w:kern w:val="28"/>
          <w:szCs w:val="20"/>
        </w:rPr>
        <w:t xml:space="preserve">rules adopted in the above-referenced </w:t>
      </w:r>
      <w:r w:rsidRPr="001B7CF4" w:rsidR="00C47CEF">
        <w:rPr>
          <w:rFonts w:ascii="Times New Roman" w:eastAsia="Times New Roman" w:hAnsi="Times New Roman" w:cs="Times New Roman"/>
          <w:snapToGrid w:val="0"/>
          <w:kern w:val="28"/>
          <w:szCs w:val="20"/>
        </w:rPr>
        <w:t>Federal Communications Commission (</w:t>
      </w:r>
      <w:r w:rsidRPr="001B7CF4" w:rsidR="006046BF">
        <w:rPr>
          <w:rFonts w:ascii="Times New Roman" w:eastAsia="Times New Roman" w:hAnsi="Times New Roman" w:cs="Times New Roman"/>
          <w:snapToGrid w:val="0"/>
          <w:kern w:val="28"/>
          <w:szCs w:val="20"/>
        </w:rPr>
        <w:t>FCC</w:t>
      </w:r>
      <w:r w:rsidRPr="001B7CF4" w:rsidR="00C47CEF">
        <w:rPr>
          <w:rFonts w:ascii="Times New Roman" w:eastAsia="Times New Roman" w:hAnsi="Times New Roman" w:cs="Times New Roman"/>
          <w:snapToGrid w:val="0"/>
          <w:kern w:val="28"/>
          <w:szCs w:val="20"/>
        </w:rPr>
        <w:t xml:space="preserve"> or Commission)</w:t>
      </w:r>
      <w:r w:rsidRPr="001B7CF4" w:rsidR="006046BF">
        <w:rPr>
          <w:rFonts w:ascii="Times New Roman" w:eastAsia="Times New Roman" w:hAnsi="Times New Roman" w:cs="Times New Roman"/>
          <w:snapToGrid w:val="0"/>
          <w:kern w:val="28"/>
          <w:szCs w:val="20"/>
        </w:rPr>
        <w:t xml:space="preserve"> rulemaking dockets.  This Guide is not intended to replace </w:t>
      </w:r>
      <w:r w:rsidRPr="001B7CF4" w:rsidR="00C47CEF">
        <w:rPr>
          <w:rFonts w:ascii="Times New Roman" w:eastAsia="Times New Roman" w:hAnsi="Times New Roman" w:cs="Times New Roman"/>
          <w:snapToGrid w:val="0"/>
          <w:kern w:val="28"/>
          <w:szCs w:val="20"/>
        </w:rPr>
        <w:t xml:space="preserve">or supersede </w:t>
      </w:r>
      <w:r w:rsidRPr="001B7CF4" w:rsidR="006046BF">
        <w:rPr>
          <w:rFonts w:ascii="Times New Roman" w:eastAsia="Times New Roman" w:hAnsi="Times New Roman" w:cs="Times New Roman"/>
          <w:snapToGrid w:val="0"/>
          <w:kern w:val="28"/>
          <w:szCs w:val="20"/>
        </w:rPr>
        <w:t>the</w:t>
      </w:r>
      <w:r w:rsidRPr="001B7CF4" w:rsidR="00C47CEF">
        <w:rPr>
          <w:rFonts w:ascii="Times New Roman" w:eastAsia="Times New Roman" w:hAnsi="Times New Roman" w:cs="Times New Roman"/>
          <w:snapToGrid w:val="0"/>
          <w:kern w:val="28"/>
          <w:szCs w:val="20"/>
        </w:rPr>
        <w:t>se</w:t>
      </w:r>
      <w:r w:rsidRPr="001B7CF4" w:rsidR="006046BF">
        <w:rPr>
          <w:rFonts w:ascii="Times New Roman" w:eastAsia="Times New Roman" w:hAnsi="Times New Roman" w:cs="Times New Roman"/>
          <w:snapToGrid w:val="0"/>
          <w:kern w:val="28"/>
          <w:szCs w:val="20"/>
        </w:rPr>
        <w:t xml:space="preserve"> rules</w:t>
      </w:r>
      <w:r w:rsidRPr="001B7CF4" w:rsidR="00C47CEF">
        <w:rPr>
          <w:rFonts w:ascii="Times New Roman" w:eastAsia="Times New Roman" w:hAnsi="Times New Roman" w:cs="Times New Roman"/>
          <w:snapToGrid w:val="0"/>
          <w:kern w:val="28"/>
          <w:szCs w:val="20"/>
        </w:rPr>
        <w:t xml:space="preserve">, but to facilitate compliance with the rules. </w:t>
      </w:r>
      <w:r w:rsidRPr="001B7CF4" w:rsidR="006046BF">
        <w:rPr>
          <w:rFonts w:ascii="Times New Roman" w:eastAsia="Times New Roman" w:hAnsi="Times New Roman" w:cs="Times New Roman"/>
          <w:snapToGrid w:val="0"/>
          <w:kern w:val="28"/>
          <w:szCs w:val="20"/>
        </w:rPr>
        <w:t xml:space="preserve"> Although we have attempted to cover all parts of the rules that might be especially important to small entities, the coverage may not be exhaustive.  This Guide </w:t>
      </w:r>
      <w:r w:rsidRPr="001B7CF4" w:rsidR="00B629FE">
        <w:rPr>
          <w:rFonts w:ascii="Times New Roman" w:eastAsia="Times New Roman" w:hAnsi="Times New Roman" w:cs="Times New Roman"/>
          <w:snapToGrid w:val="0"/>
          <w:kern w:val="28"/>
          <w:szCs w:val="20"/>
        </w:rPr>
        <w:t xml:space="preserve">cannot anticipate all situations in which the rules apply.  Furthermore, the Commission </w:t>
      </w:r>
      <w:r w:rsidRPr="001B7CF4" w:rsidR="006046BF">
        <w:rPr>
          <w:rFonts w:ascii="Times New Roman" w:eastAsia="Times New Roman" w:hAnsi="Times New Roman" w:cs="Times New Roman"/>
          <w:snapToGrid w:val="0"/>
          <w:kern w:val="28"/>
          <w:szCs w:val="20"/>
        </w:rPr>
        <w:t xml:space="preserve">retains the discretion to adopt </w:t>
      </w:r>
      <w:r w:rsidRPr="001B7CF4" w:rsidR="00B629FE">
        <w:rPr>
          <w:rFonts w:ascii="Times New Roman" w:eastAsia="Times New Roman" w:hAnsi="Times New Roman" w:cs="Times New Roman"/>
          <w:snapToGrid w:val="0"/>
          <w:kern w:val="28"/>
          <w:szCs w:val="20"/>
        </w:rPr>
        <w:t xml:space="preserve">case-by-case </w:t>
      </w:r>
      <w:r w:rsidRPr="001B7CF4" w:rsidR="006046BF">
        <w:rPr>
          <w:rFonts w:ascii="Times New Roman" w:eastAsia="Times New Roman" w:hAnsi="Times New Roman" w:cs="Times New Roman"/>
          <w:snapToGrid w:val="0"/>
          <w:kern w:val="28"/>
          <w:szCs w:val="20"/>
        </w:rPr>
        <w:t>approaches</w:t>
      </w:r>
      <w:r w:rsidRPr="001B7CF4" w:rsidR="00B629FE">
        <w:rPr>
          <w:rFonts w:ascii="Times New Roman" w:eastAsia="Times New Roman" w:hAnsi="Times New Roman" w:cs="Times New Roman"/>
          <w:snapToGrid w:val="0"/>
          <w:kern w:val="28"/>
          <w:szCs w:val="20"/>
        </w:rPr>
        <w:t>, where appropriate,</w:t>
      </w:r>
      <w:r w:rsidRPr="001B7CF4" w:rsidR="006046BF">
        <w:rPr>
          <w:rFonts w:ascii="Times New Roman" w:eastAsia="Times New Roman" w:hAnsi="Times New Roman" w:cs="Times New Roman"/>
          <w:snapToGrid w:val="0"/>
          <w:kern w:val="28"/>
          <w:szCs w:val="20"/>
        </w:rPr>
        <w:t xml:space="preserve"> that may differ from this Guide.  Any decision regarding a particular small entity will be based on the statute and</w:t>
      </w:r>
      <w:r w:rsidRPr="001B7CF4" w:rsidR="008E2841">
        <w:rPr>
          <w:rFonts w:ascii="Times New Roman" w:eastAsia="Times New Roman" w:hAnsi="Times New Roman" w:cs="Times New Roman"/>
          <w:snapToGrid w:val="0"/>
          <w:kern w:val="28"/>
          <w:szCs w:val="20"/>
        </w:rPr>
        <w:t xml:space="preserve"> any relevant rules</w:t>
      </w:r>
      <w:r w:rsidRPr="001B7CF4" w:rsidR="006046BF">
        <w:rPr>
          <w:rFonts w:ascii="Times New Roman" w:eastAsia="Times New Roman" w:hAnsi="Times New Roman" w:cs="Times New Roman"/>
          <w:snapToGrid w:val="0"/>
          <w:kern w:val="28"/>
          <w:szCs w:val="20"/>
        </w:rPr>
        <w:t xml:space="preserve">. </w:t>
      </w:r>
    </w:p>
    <w:p w:rsidR="006F2901" w:rsidRPr="00CE24E8" w:rsidP="00CE24E8" w14:paraId="677093ED" w14:textId="77777777">
      <w:pPr>
        <w:pStyle w:val="ListParagraph"/>
        <w:ind w:left="360" w:hanging="1080"/>
        <w:rPr>
          <w:rFonts w:ascii="Times New Roman" w:hAnsi="Times New Roman" w:cs="Times New Roman"/>
          <w:b/>
          <w:sz w:val="24"/>
          <w:szCs w:val="24"/>
        </w:rPr>
      </w:pPr>
    </w:p>
    <w:p w:rsidR="006F2901" w:rsidRPr="001B7CF4" w:rsidP="00CE24E8" w14:paraId="677093EE" w14:textId="77777777">
      <w:pPr>
        <w:pStyle w:val="ListParagraph"/>
        <w:ind w:left="360"/>
        <w:rPr>
          <w:rFonts w:ascii="Times New Roman" w:eastAsia="Times New Roman" w:hAnsi="Times New Roman" w:cs="Times New Roman"/>
          <w:snapToGrid w:val="0"/>
          <w:kern w:val="28"/>
          <w:szCs w:val="20"/>
        </w:rPr>
      </w:pPr>
      <w:r w:rsidRPr="001B7CF4">
        <w:rPr>
          <w:rFonts w:ascii="Times New Roman" w:eastAsia="Times New Roman" w:hAnsi="Times New Roman" w:cs="Times New Roman"/>
          <w:snapToGrid w:val="0"/>
          <w:kern w:val="28"/>
          <w:szCs w:val="20"/>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1B7CF4" w:rsidR="00B47D0B">
        <w:rPr>
          <w:rFonts w:ascii="Times New Roman" w:eastAsia="Times New Roman" w:hAnsi="Times New Roman" w:cs="Times New Roman"/>
          <w:snapToGrid w:val="0"/>
          <w:kern w:val="28"/>
          <w:szCs w:val="20"/>
        </w:rPr>
        <w:t>. T</w:t>
      </w:r>
      <w:r w:rsidRPr="001B7CF4">
        <w:rPr>
          <w:rFonts w:ascii="Times New Roman" w:eastAsia="Times New Roman" w:hAnsi="Times New Roman" w:cs="Times New Roman"/>
          <w:snapToGrid w:val="0"/>
          <w:kern w:val="28"/>
          <w:szCs w:val="20"/>
        </w:rPr>
        <w:t xml:space="preserve">he FCC will </w:t>
      </w:r>
      <w:r w:rsidRPr="001B7CF4" w:rsidR="00FE30EB">
        <w:rPr>
          <w:rFonts w:ascii="Times New Roman" w:eastAsia="Times New Roman" w:hAnsi="Times New Roman" w:cs="Times New Roman"/>
          <w:snapToGrid w:val="0"/>
          <w:kern w:val="28"/>
          <w:szCs w:val="20"/>
        </w:rPr>
        <w:t xml:space="preserve">then </w:t>
      </w:r>
      <w:r w:rsidRPr="001B7CF4">
        <w:rPr>
          <w:rFonts w:ascii="Times New Roman" w:eastAsia="Times New Roman" w:hAnsi="Times New Roman" w:cs="Times New Roman"/>
          <w:snapToGrid w:val="0"/>
          <w:kern w:val="28"/>
          <w:szCs w:val="20"/>
        </w:rPr>
        <w:t xml:space="preserve">consider whether the recommendations or interpretations in the Guide are appropriate in that situation.  The FCC may decide to revise this Guide without public notice to reflect changes in the FCC’s approach to implementing a rule, or </w:t>
      </w:r>
      <w:r w:rsidRPr="001B7CF4" w:rsidR="00B47D0B">
        <w:rPr>
          <w:rFonts w:ascii="Times New Roman" w:eastAsia="Times New Roman" w:hAnsi="Times New Roman" w:cs="Times New Roman"/>
          <w:snapToGrid w:val="0"/>
          <w:kern w:val="28"/>
          <w:szCs w:val="20"/>
        </w:rPr>
        <w:t>i</w:t>
      </w:r>
      <w:r w:rsidRPr="001B7CF4">
        <w:rPr>
          <w:rFonts w:ascii="Times New Roman" w:eastAsia="Times New Roman" w:hAnsi="Times New Roman" w:cs="Times New Roman"/>
          <w:snapToGrid w:val="0"/>
          <w:kern w:val="28"/>
          <w:szCs w:val="20"/>
        </w:rPr>
        <w:t>t</w:t>
      </w:r>
      <w:r w:rsidRPr="001B7CF4" w:rsidR="00B47D0B">
        <w:rPr>
          <w:rFonts w:ascii="Times New Roman" w:eastAsia="Times New Roman" w:hAnsi="Times New Roman" w:cs="Times New Roman"/>
          <w:snapToGrid w:val="0"/>
          <w:kern w:val="28"/>
          <w:szCs w:val="20"/>
        </w:rPr>
        <w:t xml:space="preserve"> may</w:t>
      </w:r>
      <w:r w:rsidRPr="001B7CF4">
        <w:rPr>
          <w:rFonts w:ascii="Times New Roman" w:eastAsia="Times New Roman" w:hAnsi="Times New Roman" w:cs="Times New Roman"/>
          <w:snapToGrid w:val="0"/>
          <w:kern w:val="28"/>
          <w:szCs w:val="20"/>
        </w:rPr>
        <w:t xml:space="preserve"> clarify or update the text of the Guide.  Direct your comments and recommendations, or calls for further assistance, to the FCC’s Consumer Center:</w:t>
      </w:r>
    </w:p>
    <w:p w:rsidR="000E4E16" w:rsidRPr="00CE24E8" w:rsidP="00CE24E8" w14:paraId="677093EF" w14:textId="77777777">
      <w:pPr>
        <w:pStyle w:val="ListParagraph"/>
        <w:ind w:left="360"/>
        <w:rPr>
          <w:rFonts w:ascii="Times New Roman" w:hAnsi="Times New Roman" w:cs="Times New Roman"/>
          <w:b/>
          <w:sz w:val="24"/>
          <w:szCs w:val="24"/>
        </w:rPr>
      </w:pPr>
    </w:p>
    <w:p w:rsidR="006F2901" w:rsidRPr="00CE24E8" w:rsidP="00CE24E8" w14:paraId="677093F0" w14:textId="77777777">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1-888-CALL-FCC (1-888-225-5322)</w:t>
      </w:r>
    </w:p>
    <w:p w:rsidR="006F2901" w:rsidRPr="00CE24E8" w:rsidP="00CE24E8" w14:paraId="677093F2" w14:textId="4B701A03">
      <w:pPr>
        <w:pStyle w:val="ListParagraph"/>
        <w:ind w:left="360"/>
        <w:jc w:val="center"/>
        <w:rPr>
          <w:rFonts w:ascii="Times New Roman" w:hAnsi="Times New Roman" w:cs="Times New Roman"/>
          <w:b/>
          <w:sz w:val="24"/>
          <w:szCs w:val="24"/>
        </w:rPr>
      </w:pPr>
      <w:r w:rsidRPr="001B7CF4">
        <w:rPr>
          <w:rFonts w:ascii="Times New Roman" w:hAnsi="Times New Roman" w:cs="Times New Roman"/>
          <w:b/>
          <w:sz w:val="24"/>
          <w:szCs w:val="24"/>
        </w:rPr>
        <w:t>Videophone</w:t>
      </w:r>
      <w:r w:rsidRPr="001B7CF4" w:rsidR="006A5AB8">
        <w:rPr>
          <w:rFonts w:ascii="Times New Roman" w:hAnsi="Times New Roman" w:cs="Times New Roman"/>
          <w:b/>
          <w:sz w:val="24"/>
          <w:szCs w:val="24"/>
        </w:rPr>
        <w:t>: 1-844-4-FCC-ASL (1-844-432-2275)</w:t>
      </w:r>
    </w:p>
    <w:p w:rsidR="0095132F" w:rsidP="00CE24E8" w14:paraId="0A8310D1" w14:textId="77777777">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Fax: 1-866-418-0232</w:t>
      </w:r>
    </w:p>
    <w:p w:rsidR="00BD28D6" w:rsidP="00CE24E8" w14:paraId="7810D0C2" w14:textId="77777777">
      <w:pPr>
        <w:pStyle w:val="ListParagraph"/>
        <w:ind w:left="360"/>
        <w:jc w:val="center"/>
        <w:rPr>
          <w:rFonts w:ascii="Times New Roman" w:hAnsi="Times New Roman" w:cs="Times New Roman"/>
          <w:b/>
          <w:sz w:val="24"/>
          <w:szCs w:val="24"/>
        </w:rPr>
      </w:pPr>
    </w:p>
    <w:p w:rsidR="00BD28D6" w:rsidRPr="00CE24E8" w:rsidP="00CE24E8" w14:paraId="677093F3" w14:textId="77777777">
      <w:pPr>
        <w:pStyle w:val="ListParagraph"/>
        <w:ind w:left="360"/>
        <w:jc w:val="center"/>
        <w:rPr>
          <w:rFonts w:ascii="Times New Roman" w:hAnsi="Times New Roman" w:cs="Times New Roman"/>
          <w:b/>
          <w:sz w:val="24"/>
          <w:szCs w:val="24"/>
        </w:rPr>
        <w:sectPr w:rsidSect="002F5A9D">
          <w:headerReference w:type="even" r:id="rId5"/>
          <w:headerReference w:type="default" r:id="rId6"/>
          <w:footerReference w:type="even" r:id="rId7"/>
          <w:footerReference w:type="default" r:id="rId8"/>
          <w:headerReference w:type="first" r:id="rId9"/>
          <w:footerReference w:type="first" r:id="rId10"/>
          <w:pgSz w:w="12240" w:h="15840"/>
          <w:pgMar w:top="1440" w:right="1440" w:bottom="1008" w:left="1440" w:header="720" w:footer="187" w:gutter="0"/>
          <w:cols w:space="720"/>
          <w:titlePg/>
          <w:docGrid w:linePitch="360"/>
        </w:sectPr>
      </w:pPr>
    </w:p>
    <w:p w:rsidR="00CD624E" w:rsidP="00CD624E" w14:paraId="677093F4"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677093F5" w14:textId="77777777">
      <w:pPr>
        <w:rPr>
          <w:rFonts w:ascii="Times New Roman" w:hAnsi="Times New Roman" w:cs="Times New Roman"/>
        </w:rPr>
      </w:pPr>
    </w:p>
    <w:p w:rsidR="00CD624E" w:rsidRPr="001B7CF4" w:rsidP="001B7CF4" w14:paraId="677093F6" w14:textId="6390BF58">
      <w:pPr>
        <w:tabs>
          <w:tab w:val="right" w:leader="dot" w:pos="8640"/>
        </w:tabs>
        <w:spacing w:after="120" w:line="240" w:lineRule="auto"/>
        <w:rPr>
          <w:rFonts w:ascii="Times New Roman" w:hAnsi="Times New Roman" w:cs="Times New Roman"/>
          <w:bCs/>
        </w:rPr>
      </w:pPr>
      <w:r w:rsidRPr="001B7CF4">
        <w:rPr>
          <w:rFonts w:ascii="Times New Roman" w:hAnsi="Times New Roman" w:cs="Times New Roman"/>
          <w:bCs/>
        </w:rPr>
        <w:t xml:space="preserve">I.          OBJECTIVES OF THE PROCEEDING </w:t>
      </w:r>
      <w:r w:rsidRPr="001B7CF4">
        <w:rPr>
          <w:rFonts w:ascii="Times New Roman" w:hAnsi="Times New Roman" w:cs="Times New Roman"/>
          <w:bCs/>
        </w:rPr>
        <w:tab/>
      </w:r>
      <w:r w:rsidRPr="001B7CF4" w:rsidR="008F3800">
        <w:rPr>
          <w:rFonts w:ascii="Times New Roman" w:hAnsi="Times New Roman" w:cs="Times New Roman"/>
          <w:bCs/>
        </w:rPr>
        <w:t>1</w:t>
      </w:r>
    </w:p>
    <w:p w:rsidR="00CD624E" w:rsidRPr="001B7CF4" w:rsidP="001B7CF4" w14:paraId="677093F7" w14:textId="43098B14">
      <w:pPr>
        <w:tabs>
          <w:tab w:val="right" w:leader="dot" w:pos="8640"/>
        </w:tabs>
        <w:spacing w:after="120" w:line="240" w:lineRule="auto"/>
        <w:rPr>
          <w:rFonts w:ascii="Times New Roman" w:hAnsi="Times New Roman" w:cs="Times New Roman"/>
          <w:bCs/>
        </w:rPr>
      </w:pPr>
      <w:r w:rsidRPr="001B7CF4">
        <w:rPr>
          <w:rFonts w:ascii="Times New Roman" w:hAnsi="Times New Roman" w:cs="Times New Roman"/>
          <w:bCs/>
        </w:rPr>
        <w:t xml:space="preserve">II.         COMPLIANCE REQUIREMENTS </w:t>
      </w:r>
      <w:r w:rsidRPr="001B7CF4">
        <w:rPr>
          <w:rFonts w:ascii="Times New Roman" w:hAnsi="Times New Roman" w:cs="Times New Roman"/>
          <w:bCs/>
        </w:rPr>
        <w:tab/>
      </w:r>
      <w:r w:rsidRPr="001B7CF4" w:rsidR="00486802">
        <w:rPr>
          <w:rFonts w:ascii="Times New Roman" w:hAnsi="Times New Roman" w:cs="Times New Roman"/>
          <w:bCs/>
        </w:rPr>
        <w:t>1</w:t>
      </w:r>
    </w:p>
    <w:p w:rsidR="00486802" w:rsidRPr="001B7CF4" w:rsidP="001B7CF4" w14:paraId="30ED2EA7" w14:textId="2811B264">
      <w:pPr>
        <w:pStyle w:val="ListParagraph"/>
        <w:numPr>
          <w:ilvl w:val="0"/>
          <w:numId w:val="32"/>
        </w:numPr>
        <w:tabs>
          <w:tab w:val="right" w:leader="dot" w:pos="8640"/>
        </w:tabs>
        <w:spacing w:after="120" w:line="240" w:lineRule="auto"/>
        <w:contextualSpacing w:val="0"/>
        <w:rPr>
          <w:rFonts w:ascii="Times New Roman" w:hAnsi="Times New Roman" w:cs="Times New Roman"/>
          <w:bCs/>
        </w:rPr>
      </w:pPr>
      <w:r w:rsidRPr="001B7CF4">
        <w:rPr>
          <w:rFonts w:ascii="Times New Roman" w:hAnsi="Times New Roman" w:cs="Times New Roman"/>
          <w:bCs/>
        </w:rPr>
        <w:t>The Schedule to Phase-in the Additional Designated Market Areas</w:t>
      </w:r>
      <w:r w:rsidRPr="001B7CF4" w:rsidR="006C55AF">
        <w:rPr>
          <w:rFonts w:ascii="Times New Roman" w:hAnsi="Times New Roman" w:cs="Times New Roman"/>
          <w:bCs/>
        </w:rPr>
        <w:tab/>
        <w:t>1</w:t>
      </w:r>
    </w:p>
    <w:p w:rsidR="006C55AF" w:rsidRPr="001B7CF4" w:rsidP="001B7CF4" w14:paraId="74CC1DE9" w14:textId="09D4C7A1">
      <w:pPr>
        <w:pStyle w:val="ListParagraph"/>
        <w:numPr>
          <w:ilvl w:val="0"/>
          <w:numId w:val="32"/>
        </w:numPr>
        <w:tabs>
          <w:tab w:val="right" w:leader="dot" w:pos="8640"/>
        </w:tabs>
        <w:spacing w:after="120" w:line="240" w:lineRule="auto"/>
        <w:contextualSpacing w:val="0"/>
        <w:rPr>
          <w:rFonts w:ascii="Times New Roman" w:hAnsi="Times New Roman" w:cs="Times New Roman"/>
          <w:bCs/>
        </w:rPr>
      </w:pPr>
      <w:r w:rsidRPr="001B7CF4">
        <w:rPr>
          <w:rFonts w:ascii="Times New Roman" w:hAnsi="Times New Roman" w:cs="Times New Roman"/>
          <w:bCs/>
        </w:rPr>
        <w:t xml:space="preserve">Updated Nielsen </w:t>
      </w:r>
      <w:r w:rsidR="00B06F2B">
        <w:rPr>
          <w:rFonts w:ascii="Times New Roman" w:hAnsi="Times New Roman" w:cs="Times New Roman"/>
          <w:bCs/>
        </w:rPr>
        <w:t>D</w:t>
      </w:r>
      <w:r w:rsidRPr="001B7CF4">
        <w:rPr>
          <w:rFonts w:ascii="Times New Roman" w:hAnsi="Times New Roman" w:cs="Times New Roman"/>
          <w:bCs/>
        </w:rPr>
        <w:t xml:space="preserve">etermination of </w:t>
      </w:r>
      <w:r w:rsidR="00B06F2B">
        <w:rPr>
          <w:rFonts w:ascii="Times New Roman" w:hAnsi="Times New Roman" w:cs="Times New Roman"/>
          <w:bCs/>
        </w:rPr>
        <w:t>M</w:t>
      </w:r>
      <w:r w:rsidRPr="001B7CF4">
        <w:rPr>
          <w:rFonts w:ascii="Times New Roman" w:hAnsi="Times New Roman" w:cs="Times New Roman"/>
          <w:bCs/>
        </w:rPr>
        <w:t xml:space="preserve">arket </w:t>
      </w:r>
      <w:r w:rsidR="00B06F2B">
        <w:rPr>
          <w:rFonts w:ascii="Times New Roman" w:hAnsi="Times New Roman" w:cs="Times New Roman"/>
          <w:bCs/>
        </w:rPr>
        <w:t>R</w:t>
      </w:r>
      <w:r w:rsidRPr="001B7CF4">
        <w:rPr>
          <w:rFonts w:ascii="Times New Roman" w:hAnsi="Times New Roman" w:cs="Times New Roman"/>
          <w:bCs/>
        </w:rPr>
        <w:t>ankings</w:t>
      </w:r>
      <w:r w:rsidRPr="001B7CF4">
        <w:rPr>
          <w:rFonts w:ascii="Times New Roman" w:hAnsi="Times New Roman" w:cs="Times New Roman"/>
          <w:bCs/>
        </w:rPr>
        <w:tab/>
        <w:t>2</w:t>
      </w:r>
    </w:p>
    <w:p w:rsidR="006C55AF" w:rsidRPr="001B7CF4" w:rsidP="001B7CF4" w14:paraId="61E8573C" w14:textId="32580EB8">
      <w:pPr>
        <w:pStyle w:val="ListParagraph"/>
        <w:numPr>
          <w:ilvl w:val="0"/>
          <w:numId w:val="32"/>
        </w:numPr>
        <w:tabs>
          <w:tab w:val="right" w:leader="dot" w:pos="8640"/>
        </w:tabs>
        <w:spacing w:after="120" w:line="240" w:lineRule="auto"/>
        <w:contextualSpacing w:val="0"/>
        <w:rPr>
          <w:rFonts w:ascii="Times New Roman" w:hAnsi="Times New Roman" w:cs="Times New Roman"/>
          <w:bCs/>
        </w:rPr>
      </w:pPr>
      <w:r w:rsidRPr="001B7CF4">
        <w:rPr>
          <w:rFonts w:ascii="Times New Roman" w:hAnsi="Times New Roman" w:cs="Times New Roman"/>
          <w:bCs/>
        </w:rPr>
        <w:t xml:space="preserve">Exemptions and </w:t>
      </w:r>
      <w:r w:rsidR="00B06F2B">
        <w:rPr>
          <w:rFonts w:ascii="Times New Roman" w:hAnsi="Times New Roman" w:cs="Times New Roman"/>
          <w:bCs/>
        </w:rPr>
        <w:t>W</w:t>
      </w:r>
      <w:r w:rsidRPr="001B7CF4">
        <w:rPr>
          <w:rFonts w:ascii="Times New Roman" w:hAnsi="Times New Roman" w:cs="Times New Roman"/>
          <w:bCs/>
        </w:rPr>
        <w:t xml:space="preserve">aivers of the </w:t>
      </w:r>
      <w:r w:rsidR="00B06F2B">
        <w:rPr>
          <w:rFonts w:ascii="Times New Roman" w:hAnsi="Times New Roman" w:cs="Times New Roman"/>
          <w:bCs/>
        </w:rPr>
        <w:t>A</w:t>
      </w:r>
      <w:r w:rsidRPr="001B7CF4">
        <w:rPr>
          <w:rFonts w:ascii="Times New Roman" w:hAnsi="Times New Roman" w:cs="Times New Roman"/>
          <w:bCs/>
        </w:rPr>
        <w:t xml:space="preserve">udio </w:t>
      </w:r>
      <w:r w:rsidR="00B06F2B">
        <w:rPr>
          <w:rFonts w:ascii="Times New Roman" w:hAnsi="Times New Roman" w:cs="Times New Roman"/>
          <w:bCs/>
        </w:rPr>
        <w:t>D</w:t>
      </w:r>
      <w:r w:rsidRPr="001B7CF4">
        <w:rPr>
          <w:rFonts w:ascii="Times New Roman" w:hAnsi="Times New Roman" w:cs="Times New Roman"/>
          <w:bCs/>
        </w:rPr>
        <w:t xml:space="preserve">escription </w:t>
      </w:r>
      <w:r w:rsidR="00B06F2B">
        <w:rPr>
          <w:rFonts w:ascii="Times New Roman" w:hAnsi="Times New Roman" w:cs="Times New Roman"/>
          <w:bCs/>
        </w:rPr>
        <w:t>R</w:t>
      </w:r>
      <w:r w:rsidRPr="001B7CF4">
        <w:rPr>
          <w:rFonts w:ascii="Times New Roman" w:hAnsi="Times New Roman" w:cs="Times New Roman"/>
          <w:bCs/>
        </w:rPr>
        <w:t>ules</w:t>
      </w:r>
      <w:r w:rsidRPr="001B7CF4">
        <w:rPr>
          <w:rFonts w:ascii="Times New Roman" w:hAnsi="Times New Roman" w:cs="Times New Roman"/>
          <w:bCs/>
        </w:rPr>
        <w:tab/>
        <w:t>2</w:t>
      </w:r>
    </w:p>
    <w:p w:rsidR="00CD624E" w:rsidRPr="001B7CF4" w:rsidP="001B7CF4" w14:paraId="677093F8" w14:textId="60295E9F">
      <w:pPr>
        <w:tabs>
          <w:tab w:val="right" w:leader="dot" w:pos="8640"/>
        </w:tabs>
        <w:spacing w:after="120" w:line="240" w:lineRule="auto"/>
        <w:rPr>
          <w:rFonts w:ascii="Times New Roman" w:hAnsi="Times New Roman" w:cs="Times New Roman"/>
          <w:bCs/>
        </w:rPr>
      </w:pPr>
      <w:r w:rsidRPr="001B7CF4">
        <w:rPr>
          <w:rFonts w:ascii="Times New Roman" w:hAnsi="Times New Roman" w:cs="Times New Roman"/>
          <w:bCs/>
        </w:rPr>
        <w:t xml:space="preserve">III.        RECORDKEEPING AND REPORTING REQUIREMENTS </w:t>
      </w:r>
      <w:r w:rsidRPr="001B7CF4">
        <w:rPr>
          <w:rFonts w:ascii="Times New Roman" w:hAnsi="Times New Roman" w:cs="Times New Roman"/>
          <w:bCs/>
        </w:rPr>
        <w:tab/>
      </w:r>
      <w:r w:rsidRPr="001B7CF4" w:rsidR="00486802">
        <w:rPr>
          <w:rFonts w:ascii="Times New Roman" w:hAnsi="Times New Roman" w:cs="Times New Roman"/>
          <w:bCs/>
        </w:rPr>
        <w:t>2</w:t>
      </w:r>
    </w:p>
    <w:p w:rsidR="00CD624E" w:rsidRPr="001B7CF4" w:rsidP="001B7CF4" w14:paraId="677093F9" w14:textId="2E1FEA3B">
      <w:pPr>
        <w:tabs>
          <w:tab w:val="right" w:leader="dot" w:pos="8640"/>
        </w:tabs>
        <w:spacing w:after="120" w:line="240" w:lineRule="auto"/>
        <w:rPr>
          <w:rFonts w:ascii="Times New Roman" w:hAnsi="Times New Roman" w:cs="Times New Roman"/>
          <w:bCs/>
        </w:rPr>
      </w:pPr>
      <w:r w:rsidRPr="001B7CF4">
        <w:rPr>
          <w:rFonts w:ascii="Times New Roman" w:hAnsi="Times New Roman" w:cs="Times New Roman"/>
          <w:bCs/>
        </w:rPr>
        <w:t xml:space="preserve">IV.        IMPLEMENTATION DATE </w:t>
      </w:r>
      <w:r w:rsidRPr="001B7CF4">
        <w:rPr>
          <w:rFonts w:ascii="Times New Roman" w:hAnsi="Times New Roman" w:cs="Times New Roman"/>
          <w:bCs/>
        </w:rPr>
        <w:tab/>
      </w:r>
      <w:r w:rsidRPr="001B7CF4" w:rsidR="00486802">
        <w:rPr>
          <w:rFonts w:ascii="Times New Roman" w:hAnsi="Times New Roman" w:cs="Times New Roman"/>
          <w:bCs/>
        </w:rPr>
        <w:t>2</w:t>
      </w:r>
    </w:p>
    <w:p w:rsidR="00CD624E" w:rsidRPr="001B7CF4" w:rsidP="001B7CF4" w14:paraId="677093FA" w14:textId="1969A590">
      <w:pPr>
        <w:tabs>
          <w:tab w:val="right" w:leader="dot" w:pos="8640"/>
        </w:tabs>
        <w:spacing w:after="120" w:line="240" w:lineRule="auto"/>
        <w:rPr>
          <w:rFonts w:ascii="Times New Roman" w:hAnsi="Times New Roman" w:cs="Times New Roman"/>
          <w:bCs/>
        </w:rPr>
      </w:pPr>
      <w:r w:rsidRPr="001B7CF4">
        <w:rPr>
          <w:rFonts w:ascii="Times New Roman" w:hAnsi="Times New Roman" w:cs="Times New Roman"/>
          <w:bCs/>
        </w:rPr>
        <w:t xml:space="preserve">V.         INTERNET LINKS </w:t>
      </w:r>
      <w:r w:rsidRPr="001B7CF4">
        <w:rPr>
          <w:rFonts w:ascii="Times New Roman" w:hAnsi="Times New Roman" w:cs="Times New Roman"/>
          <w:bCs/>
        </w:rPr>
        <w:tab/>
      </w:r>
      <w:r w:rsidRPr="001B7CF4" w:rsidR="00486802">
        <w:rPr>
          <w:rFonts w:ascii="Times New Roman" w:hAnsi="Times New Roman" w:cs="Times New Roman"/>
          <w:bCs/>
        </w:rPr>
        <w:t>2</w:t>
      </w:r>
    </w:p>
    <w:p w:rsidR="001743EF" w:rsidP="00E97A21" w14:paraId="677093FB" w14:textId="77777777">
      <w:pPr>
        <w:rPr>
          <w:rFonts w:ascii="Times New Roman" w:hAnsi="Times New Roman" w:cs="Times New Roman"/>
          <w:b/>
        </w:rPr>
        <w:sectPr w:rsidSect="002F5A9D">
          <w:headerReference w:type="default" r:id="rId11"/>
          <w:pgSz w:w="12240" w:h="15840"/>
          <w:pgMar w:top="1440" w:right="1440" w:bottom="1008" w:left="1440" w:header="720" w:footer="187" w:gutter="0"/>
          <w:cols w:space="720"/>
          <w:docGrid w:linePitch="360"/>
        </w:sectPr>
      </w:pPr>
    </w:p>
    <w:p w:rsidR="00E97A21" w:rsidRPr="001B7CF4" w:rsidP="001B7CF4" w14:paraId="677093FC" w14:textId="77777777">
      <w:pPr>
        <w:pStyle w:val="ListParagraph"/>
        <w:numPr>
          <w:ilvl w:val="0"/>
          <w:numId w:val="20"/>
        </w:numPr>
        <w:ind w:left="0" w:firstLine="0"/>
        <w:rPr>
          <w:rFonts w:ascii="Times New Roman" w:hAnsi="Times New Roman" w:cs="Times New Roman"/>
          <w:b/>
        </w:rPr>
      </w:pPr>
      <w:r w:rsidRPr="001B7CF4">
        <w:rPr>
          <w:rFonts w:ascii="Times New Roman" w:hAnsi="Times New Roman" w:cs="Times New Roman"/>
          <w:b/>
        </w:rPr>
        <w:t>OBJECTIVES OF THE PROCEEDING</w:t>
      </w:r>
    </w:p>
    <w:p w:rsidR="00A5424A" w:rsidRPr="001B7CF4" w:rsidP="001B7CF4" w14:paraId="677093FD" w14:textId="2125A18C">
      <w:pPr>
        <w:pStyle w:val="ParaNum"/>
        <w:numPr>
          <w:ilvl w:val="0"/>
          <w:numId w:val="0"/>
        </w:numPr>
        <w:ind w:firstLine="720"/>
        <w:rPr>
          <w:color w:val="000000"/>
          <w:szCs w:val="22"/>
        </w:rPr>
      </w:pPr>
      <w:r w:rsidRPr="001B7CF4">
        <w:rPr>
          <w:rFonts w:eastAsiaTheme="minorHAnsi"/>
          <w:snapToGrid/>
          <w:kern w:val="0"/>
          <w:szCs w:val="22"/>
        </w:rPr>
        <w:t>Audio description makes video programming more accessible to individuals who are blind or visually impaired through “[t]he insertion of audio narrated descriptions of a television program’s key visual elements into natural pauses between the program’s dialogue.”</w:t>
      </w:r>
      <w:r>
        <w:rPr>
          <w:rStyle w:val="FootnoteReference"/>
          <w:rFonts w:eastAsiaTheme="minorHAnsi"/>
          <w:snapToGrid/>
          <w:kern w:val="0"/>
          <w:szCs w:val="22"/>
        </w:rPr>
        <w:footnoteReference w:id="3"/>
      </w:r>
      <w:r w:rsidRPr="001B7CF4">
        <w:rPr>
          <w:rFonts w:eastAsiaTheme="minorHAnsi"/>
          <w:snapToGrid/>
          <w:kern w:val="0"/>
          <w:szCs w:val="22"/>
        </w:rPr>
        <w:t xml:space="preserve"> </w:t>
      </w:r>
      <w:r w:rsidRPr="001B7CF4" w:rsidR="00BC5696">
        <w:rPr>
          <w:rFonts w:eastAsiaTheme="minorHAnsi"/>
          <w:snapToGrid/>
          <w:kern w:val="0"/>
          <w:szCs w:val="22"/>
        </w:rPr>
        <w:t xml:space="preserve"> </w:t>
      </w:r>
      <w:r w:rsidRPr="001B7CF4">
        <w:rPr>
          <w:rFonts w:eastAsiaTheme="minorHAnsi"/>
          <w:snapToGrid/>
          <w:kern w:val="0"/>
          <w:szCs w:val="22"/>
        </w:rPr>
        <w:t>To access audio description, consumers generally switch from the main program audio to the secondary audio stream on which audio description is typically provided</w:t>
      </w:r>
      <w:r w:rsidRPr="001B7CF4">
        <w:rPr>
          <w:color w:val="000000"/>
          <w:szCs w:val="22"/>
        </w:rPr>
        <w:t xml:space="preserve">. </w:t>
      </w:r>
    </w:p>
    <w:p w:rsidR="00353B31" w:rsidRPr="001B7CF4" w:rsidP="001B7CF4" w14:paraId="368704BC" w14:textId="1148AD67">
      <w:pPr>
        <w:pStyle w:val="ParaNum"/>
        <w:numPr>
          <w:ilvl w:val="0"/>
          <w:numId w:val="0"/>
        </w:numPr>
        <w:ind w:firstLine="720"/>
        <w:rPr>
          <w:color w:val="000000"/>
          <w:szCs w:val="22"/>
        </w:rPr>
      </w:pPr>
      <w:r w:rsidRPr="001B7CF4">
        <w:rPr>
          <w:color w:val="000000"/>
          <w:szCs w:val="22"/>
        </w:rPr>
        <w:t xml:space="preserve">The Commission’s audio description rules currently require certain television broadcast stations and multichannel video programming distributors (MVPDs) to provide audio description for a portion of the video programming they distribute to consumers.  </w:t>
      </w:r>
      <w:r w:rsidRPr="001B7CF4" w:rsidR="00280EC6">
        <w:rPr>
          <w:color w:val="000000"/>
          <w:szCs w:val="22"/>
        </w:rPr>
        <w:t xml:space="preserve">The rules apply to commercial television broadcast stations that are affiliated with one of the top four commercial television broadcast networks (ABC, CBS, Fox, and NBC) and are located in certain designated market areas (DMAs).  </w:t>
      </w:r>
      <w:r w:rsidRPr="001B7CF4">
        <w:rPr>
          <w:color w:val="000000"/>
          <w:szCs w:val="22"/>
        </w:rPr>
        <w:t xml:space="preserve">Audio description is required in DMAs 1 through 60, pursuant to an order the Commission </w:t>
      </w:r>
      <w:r w:rsidRPr="001B7CF4" w:rsidR="00280EC6">
        <w:rPr>
          <w:color w:val="000000"/>
          <w:szCs w:val="22"/>
        </w:rPr>
        <w:t xml:space="preserve">adopted </w:t>
      </w:r>
      <w:r w:rsidRPr="001B7CF4">
        <w:rPr>
          <w:color w:val="000000"/>
          <w:szCs w:val="22"/>
        </w:rPr>
        <w:t xml:space="preserve">in 2011.  In 2020, the Commission expanded the audio description requirements to DMAs 61 through 100 on a phased schedule that </w:t>
      </w:r>
      <w:r w:rsidR="00EE63F9">
        <w:rPr>
          <w:color w:val="000000"/>
          <w:szCs w:val="22"/>
        </w:rPr>
        <w:t>was</w:t>
      </w:r>
      <w:r w:rsidRPr="001B7CF4">
        <w:rPr>
          <w:color w:val="000000"/>
          <w:szCs w:val="22"/>
        </w:rPr>
        <w:t xml:space="preserve"> complete</w:t>
      </w:r>
      <w:r w:rsidR="00313E2A">
        <w:rPr>
          <w:color w:val="000000"/>
          <w:szCs w:val="22"/>
        </w:rPr>
        <w:t>d</w:t>
      </w:r>
      <w:r w:rsidRPr="001B7CF4">
        <w:rPr>
          <w:color w:val="000000"/>
          <w:szCs w:val="22"/>
        </w:rPr>
        <w:t xml:space="preserve"> on January 1, 2024.  </w:t>
      </w:r>
    </w:p>
    <w:p w:rsidR="00DE0E77" w:rsidRPr="001B7CF4" w:rsidP="001B7CF4" w14:paraId="677093FE" w14:textId="5D8DAB94">
      <w:pPr>
        <w:pStyle w:val="ParaNum"/>
        <w:numPr>
          <w:ilvl w:val="0"/>
          <w:numId w:val="0"/>
        </w:numPr>
        <w:ind w:firstLine="720"/>
        <w:rPr>
          <w:szCs w:val="22"/>
        </w:rPr>
      </w:pPr>
      <w:r w:rsidRPr="001B7CF4">
        <w:rPr>
          <w:szCs w:val="22"/>
        </w:rPr>
        <w:t>In th</w:t>
      </w:r>
      <w:r w:rsidRPr="001B7CF4" w:rsidR="00280EC6">
        <w:rPr>
          <w:szCs w:val="22"/>
        </w:rPr>
        <w:t>e</w:t>
      </w:r>
      <w:r w:rsidRPr="001B7CF4" w:rsidR="000E2E09">
        <w:rPr>
          <w:szCs w:val="22"/>
        </w:rPr>
        <w:t xml:space="preserve"> </w:t>
      </w:r>
      <w:bookmarkStart w:id="1" w:name="_Hlk153538574"/>
      <w:r w:rsidRPr="001B7CF4" w:rsidR="000E2E09">
        <w:rPr>
          <w:i/>
          <w:iCs/>
          <w:szCs w:val="22"/>
        </w:rPr>
        <w:t>Second</w:t>
      </w:r>
      <w:r w:rsidRPr="001B7CF4">
        <w:rPr>
          <w:i/>
          <w:iCs/>
          <w:szCs w:val="22"/>
        </w:rPr>
        <w:t xml:space="preserve"> Report and Order</w:t>
      </w:r>
      <w:r w:rsidRPr="001B7CF4">
        <w:rPr>
          <w:szCs w:val="22"/>
        </w:rPr>
        <w:t xml:space="preserve"> </w:t>
      </w:r>
      <w:bookmarkEnd w:id="1"/>
      <w:r w:rsidRPr="001B7CF4" w:rsidR="003D74EC">
        <w:rPr>
          <w:szCs w:val="22"/>
        </w:rPr>
        <w:t>(</w:t>
      </w:r>
      <w:r w:rsidRPr="001B7CF4" w:rsidR="003D74EC">
        <w:rPr>
          <w:i/>
          <w:iCs/>
          <w:szCs w:val="22"/>
        </w:rPr>
        <w:t>Order</w:t>
      </w:r>
      <w:r w:rsidRPr="001B7CF4" w:rsidR="003D74EC">
        <w:rPr>
          <w:szCs w:val="22"/>
        </w:rPr>
        <w:t xml:space="preserve">) </w:t>
      </w:r>
      <w:r w:rsidRPr="001B7CF4">
        <w:rPr>
          <w:szCs w:val="22"/>
        </w:rPr>
        <w:t xml:space="preserve">in MB Docket No. 11-43, the Commission took the unopposed action of expanding its </w:t>
      </w:r>
      <w:r w:rsidRPr="001B7CF4" w:rsidR="00A5424A">
        <w:rPr>
          <w:szCs w:val="22"/>
        </w:rPr>
        <w:t xml:space="preserve">audio </w:t>
      </w:r>
      <w:r w:rsidRPr="001B7CF4">
        <w:rPr>
          <w:szCs w:val="22"/>
        </w:rPr>
        <w:t xml:space="preserve">description requirements by phasing them in for an additional 10 designated market areas (DMAs) each year </w:t>
      </w:r>
      <w:r w:rsidRPr="001B7CF4" w:rsidR="00A17110">
        <w:rPr>
          <w:szCs w:val="22"/>
        </w:rPr>
        <w:t xml:space="preserve">until all </w:t>
      </w:r>
      <w:r w:rsidRPr="001B7CF4" w:rsidR="00280EC6">
        <w:rPr>
          <w:szCs w:val="22"/>
        </w:rPr>
        <w:t xml:space="preserve">210 </w:t>
      </w:r>
      <w:r w:rsidRPr="001B7CF4" w:rsidR="00A17110">
        <w:rPr>
          <w:szCs w:val="22"/>
        </w:rPr>
        <w:t>DMAs are included</w:t>
      </w:r>
      <w:r w:rsidRPr="001B7CF4">
        <w:rPr>
          <w:szCs w:val="22"/>
        </w:rPr>
        <w:t xml:space="preserve">.  </w:t>
      </w:r>
      <w:r w:rsidRPr="001B7CF4" w:rsidR="00445C02">
        <w:rPr>
          <w:szCs w:val="22"/>
        </w:rPr>
        <w:t>Consistent with the requirements of the Twenty-First Century Communications and Video Accessibility Act of 2010 (CVAA),</w:t>
      </w:r>
      <w:r>
        <w:rPr>
          <w:szCs w:val="22"/>
          <w:vertAlign w:val="superscript"/>
        </w:rPr>
        <w:footnoteReference w:id="4"/>
      </w:r>
      <w:r w:rsidRPr="001B7CF4" w:rsidR="00445C02">
        <w:rPr>
          <w:szCs w:val="22"/>
        </w:rPr>
        <w:t xml:space="preserve"> </w:t>
      </w:r>
      <w:r w:rsidRPr="001B7CF4" w:rsidR="00280EC6">
        <w:rPr>
          <w:szCs w:val="22"/>
        </w:rPr>
        <w:t>the Commission found</w:t>
      </w:r>
      <w:r w:rsidRPr="001B7CF4" w:rsidR="00445C02">
        <w:rPr>
          <w:szCs w:val="22"/>
        </w:rPr>
        <w:t xml:space="preserve"> that the costs of expanding the audio description regulations to DMAs 101 through 210 are reasonable for program owners, providers, and distributors.</w:t>
      </w:r>
      <w:r w:rsidRPr="001B7CF4">
        <w:rPr>
          <w:szCs w:val="22"/>
        </w:rPr>
        <w:t xml:space="preserve">  The Commission’s action will help ensure that a greater number of individuals who are blind or visually impaired can be connected, informed, and entertained by television programming.  </w:t>
      </w:r>
    </w:p>
    <w:p w:rsidR="00EF4B82" w:rsidRPr="001B7CF4" w:rsidP="001B7CF4" w14:paraId="67709400" w14:textId="77777777">
      <w:pPr>
        <w:pStyle w:val="ParaNum"/>
        <w:numPr>
          <w:ilvl w:val="0"/>
          <w:numId w:val="0"/>
        </w:numPr>
        <w:rPr>
          <w:szCs w:val="22"/>
        </w:rPr>
      </w:pPr>
      <w:r w:rsidRPr="001B7CF4">
        <w:rPr>
          <w:b/>
          <w:szCs w:val="22"/>
        </w:rPr>
        <w:t xml:space="preserve">II. </w:t>
      </w:r>
      <w:r w:rsidRPr="001B7CF4" w:rsidR="00286EA8">
        <w:rPr>
          <w:b/>
          <w:szCs w:val="22"/>
        </w:rPr>
        <w:tab/>
      </w:r>
      <w:r w:rsidRPr="001B7CF4">
        <w:rPr>
          <w:b/>
          <w:szCs w:val="22"/>
        </w:rPr>
        <w:t>COMPLIANCE REQUIREMENTS</w:t>
      </w:r>
    </w:p>
    <w:p w:rsidR="00AA0187" w:rsidRPr="001B7CF4" w:rsidP="001B7CF4" w14:paraId="32AE4BCD" w14:textId="4A9199BB">
      <w:pPr>
        <w:pStyle w:val="ListParagraph"/>
        <w:numPr>
          <w:ilvl w:val="0"/>
          <w:numId w:val="27"/>
        </w:numPr>
        <w:spacing w:after="120" w:line="240" w:lineRule="auto"/>
        <w:ind w:left="990" w:hanging="630"/>
        <w:rPr>
          <w:rFonts w:ascii="Times New Roman" w:hAnsi="Times New Roman" w:cs="Times New Roman"/>
          <w:bCs/>
        </w:rPr>
      </w:pPr>
      <w:r>
        <w:rPr>
          <w:rFonts w:ascii="Times New Roman" w:hAnsi="Times New Roman" w:cs="Times New Roman"/>
          <w:b/>
        </w:rPr>
        <w:t xml:space="preserve">The </w:t>
      </w:r>
      <w:r w:rsidR="00F02335">
        <w:rPr>
          <w:rFonts w:ascii="Times New Roman" w:hAnsi="Times New Roman" w:cs="Times New Roman"/>
          <w:b/>
        </w:rPr>
        <w:t xml:space="preserve">Schedule </w:t>
      </w:r>
      <w:r>
        <w:rPr>
          <w:rFonts w:ascii="Times New Roman" w:hAnsi="Times New Roman" w:cs="Times New Roman"/>
          <w:b/>
        </w:rPr>
        <w:t xml:space="preserve">to </w:t>
      </w:r>
      <w:r w:rsidRPr="00A12AAA">
        <w:rPr>
          <w:rFonts w:ascii="Times New Roman" w:hAnsi="Times New Roman" w:cs="Times New Roman"/>
          <w:b/>
        </w:rPr>
        <w:t>Phase</w:t>
      </w:r>
      <w:r>
        <w:rPr>
          <w:rFonts w:ascii="Times New Roman" w:hAnsi="Times New Roman" w:cs="Times New Roman"/>
          <w:b/>
        </w:rPr>
        <w:t>-</w:t>
      </w:r>
      <w:r w:rsidRPr="00A12AAA">
        <w:rPr>
          <w:rFonts w:ascii="Times New Roman" w:hAnsi="Times New Roman" w:cs="Times New Roman"/>
          <w:b/>
        </w:rPr>
        <w:t xml:space="preserve">in </w:t>
      </w:r>
      <w:r w:rsidR="00F02335">
        <w:rPr>
          <w:rFonts w:ascii="Times New Roman" w:hAnsi="Times New Roman" w:cs="Times New Roman"/>
          <w:b/>
        </w:rPr>
        <w:t>the A</w:t>
      </w:r>
      <w:r w:rsidRPr="001B7CF4" w:rsidR="006046BF">
        <w:rPr>
          <w:rFonts w:ascii="Times New Roman" w:hAnsi="Times New Roman" w:cs="Times New Roman"/>
          <w:b/>
        </w:rPr>
        <w:t>dditional D</w:t>
      </w:r>
      <w:r w:rsidRPr="001B7CF4" w:rsidR="009F688B">
        <w:rPr>
          <w:rFonts w:ascii="Times New Roman" w:hAnsi="Times New Roman" w:cs="Times New Roman"/>
          <w:b/>
        </w:rPr>
        <w:t xml:space="preserve">esignated </w:t>
      </w:r>
      <w:r w:rsidR="009F688B">
        <w:rPr>
          <w:rFonts w:ascii="Times New Roman" w:hAnsi="Times New Roman" w:cs="Times New Roman"/>
          <w:b/>
        </w:rPr>
        <w:t>M</w:t>
      </w:r>
      <w:r w:rsidRPr="001B7CF4" w:rsidR="009F688B">
        <w:rPr>
          <w:rFonts w:ascii="Times New Roman" w:hAnsi="Times New Roman" w:cs="Times New Roman"/>
          <w:b/>
        </w:rPr>
        <w:t xml:space="preserve">arket </w:t>
      </w:r>
      <w:r w:rsidR="009F688B">
        <w:rPr>
          <w:rFonts w:ascii="Times New Roman" w:hAnsi="Times New Roman" w:cs="Times New Roman"/>
          <w:b/>
        </w:rPr>
        <w:t>A</w:t>
      </w:r>
      <w:r w:rsidRPr="001B7CF4" w:rsidR="009F688B">
        <w:rPr>
          <w:rFonts w:ascii="Times New Roman" w:hAnsi="Times New Roman" w:cs="Times New Roman"/>
          <w:b/>
        </w:rPr>
        <w:t>reas</w:t>
      </w:r>
      <w:r w:rsidRPr="001B7CF4" w:rsidR="006046BF">
        <w:rPr>
          <w:rFonts w:ascii="Times New Roman" w:hAnsi="Times New Roman" w:cs="Times New Roman"/>
          <w:b/>
        </w:rPr>
        <w:t xml:space="preserve">.  </w:t>
      </w:r>
    </w:p>
    <w:p w:rsidR="00A06C83" w:rsidRPr="001B7CF4" w:rsidP="001B7CF4" w14:paraId="7766D97C" w14:textId="34F48DDC">
      <w:pPr>
        <w:pStyle w:val="ParaNum"/>
        <w:numPr>
          <w:ilvl w:val="0"/>
          <w:numId w:val="0"/>
        </w:numPr>
        <w:ind w:firstLine="720"/>
        <w:rPr>
          <w:bCs/>
        </w:rPr>
      </w:pPr>
      <w:r w:rsidRPr="001B7CF4">
        <w:rPr>
          <w:bCs/>
        </w:rPr>
        <w:t xml:space="preserve">The </w:t>
      </w:r>
      <w:r w:rsidRPr="001B7CF4">
        <w:rPr>
          <w:i/>
          <w:iCs/>
          <w:szCs w:val="22"/>
        </w:rPr>
        <w:t>Order</w:t>
      </w:r>
      <w:r w:rsidRPr="001B7CF4">
        <w:rPr>
          <w:bCs/>
        </w:rPr>
        <w:t xml:space="preserve"> </w:t>
      </w:r>
      <w:r w:rsidRPr="00281261" w:rsidR="009F347A">
        <w:rPr>
          <w:szCs w:val="22"/>
        </w:rPr>
        <w:t>modifies</w:t>
      </w:r>
      <w:r w:rsidRPr="00AB205D" w:rsidR="009F347A">
        <w:rPr>
          <w:bCs/>
        </w:rPr>
        <w:t xml:space="preserve"> 47 CFR § 79.3(</w:t>
      </w:r>
      <w:r w:rsidRPr="00AB205D" w:rsidR="00AC272C">
        <w:rPr>
          <w:bCs/>
        </w:rPr>
        <w:t>b)(1)</w:t>
      </w:r>
      <w:r w:rsidR="00E64E47">
        <w:rPr>
          <w:bCs/>
        </w:rPr>
        <w:t>, which</w:t>
      </w:r>
      <w:r w:rsidRPr="00AB205D" w:rsidR="00411719">
        <w:rPr>
          <w:bCs/>
        </w:rPr>
        <w:t xml:space="preserve"> </w:t>
      </w:r>
      <w:r w:rsidRPr="001B7CF4">
        <w:rPr>
          <w:bCs/>
        </w:rPr>
        <w:t>will phas</w:t>
      </w:r>
      <w:r w:rsidRPr="001B7CF4" w:rsidR="00C37A89">
        <w:rPr>
          <w:bCs/>
        </w:rPr>
        <w:t>e</w:t>
      </w:r>
      <w:r w:rsidRPr="001B7CF4">
        <w:rPr>
          <w:bCs/>
        </w:rPr>
        <w:t xml:space="preserve"> in the existing audio description requirements for an additional 10 DMAs each year</w:t>
      </w:r>
      <w:r w:rsidRPr="001B7CF4" w:rsidR="00C37A89">
        <w:rPr>
          <w:bCs/>
        </w:rPr>
        <w:t xml:space="preserve"> until all 210 DMAs are covered</w:t>
      </w:r>
      <w:r w:rsidR="00EA20A6">
        <w:rPr>
          <w:bCs/>
        </w:rPr>
        <w:t xml:space="preserve">.  </w:t>
      </w:r>
      <w:r w:rsidRPr="00E61CE2" w:rsidR="00EA20A6">
        <w:rPr>
          <w:bCs/>
          <w:szCs w:val="22"/>
        </w:rPr>
        <w:t xml:space="preserve">The substance of the audio description requirements will not change, but rather, </w:t>
      </w:r>
      <w:r w:rsidR="007A1362">
        <w:rPr>
          <w:bCs/>
          <w:szCs w:val="22"/>
        </w:rPr>
        <w:t>expands</w:t>
      </w:r>
      <w:r w:rsidRPr="00E61CE2" w:rsidR="00EA20A6">
        <w:rPr>
          <w:bCs/>
          <w:szCs w:val="22"/>
        </w:rPr>
        <w:t xml:space="preserve"> the DMAs in which broadcast television stations in the additional markets </w:t>
      </w:r>
      <w:r w:rsidR="008B650E">
        <w:rPr>
          <w:bCs/>
          <w:szCs w:val="22"/>
        </w:rPr>
        <w:t>must</w:t>
      </w:r>
      <w:r w:rsidRPr="00E61CE2" w:rsidR="00EA20A6">
        <w:rPr>
          <w:bCs/>
          <w:szCs w:val="22"/>
        </w:rPr>
        <w:t xml:space="preserve"> comply with the requirements.  </w:t>
      </w:r>
      <w:r w:rsidR="00317C74">
        <w:rPr>
          <w:bCs/>
          <w:szCs w:val="22"/>
        </w:rPr>
        <w:t xml:space="preserve">The DMAs will be phased in </w:t>
      </w:r>
      <w:r w:rsidR="002F4B0B">
        <w:rPr>
          <w:bCs/>
          <w:szCs w:val="22"/>
        </w:rPr>
        <w:t xml:space="preserve">the following time </w:t>
      </w:r>
      <w:r w:rsidR="006B2B0F">
        <w:rPr>
          <w:bCs/>
          <w:szCs w:val="22"/>
        </w:rPr>
        <w:t>frame</w:t>
      </w:r>
      <w:r w:rsidR="00E3052E">
        <w:rPr>
          <w:bCs/>
          <w:szCs w:val="22"/>
        </w:rPr>
        <w:t>s</w:t>
      </w:r>
      <w:r w:rsidRPr="001B7CF4">
        <w:rPr>
          <w:bCs/>
        </w:rPr>
        <w:t>:</w:t>
      </w:r>
      <w:r w:rsidRPr="001B7CF4">
        <w:rPr>
          <w:bCs/>
        </w:rPr>
        <w:t xml:space="preserve"> </w:t>
      </w:r>
    </w:p>
    <w:p w:rsidR="00A06C83" w:rsidRPr="001B7CF4" w:rsidP="00A06C83" w14:paraId="3E699F7B" w14:textId="4F870B36">
      <w:pPr>
        <w:pStyle w:val="ListParagraph"/>
        <w:numPr>
          <w:ilvl w:val="0"/>
          <w:numId w:val="21"/>
        </w:numPr>
        <w:rPr>
          <w:rFonts w:ascii="Times New Roman" w:hAnsi="Times New Roman" w:cs="Times New Roman"/>
          <w:bCs/>
        </w:rPr>
      </w:pPr>
      <w:bookmarkStart w:id="2" w:name="_Hlk156827023"/>
      <w:r w:rsidRPr="001B7CF4">
        <w:rPr>
          <w:rFonts w:ascii="Times New Roman" w:hAnsi="Times New Roman" w:cs="Times New Roman"/>
          <w:bCs/>
        </w:rPr>
        <w:t xml:space="preserve">Expansion to </w:t>
      </w:r>
      <w:r w:rsidRPr="001B7CF4" w:rsidR="00D13345">
        <w:rPr>
          <w:rFonts w:ascii="Times New Roman" w:hAnsi="Times New Roman" w:cs="Times New Roman"/>
          <w:bCs/>
        </w:rPr>
        <w:t>DMAs 101 through 110 on January 1, 2025</w:t>
      </w:r>
    </w:p>
    <w:p w:rsidR="00A06C83" w:rsidRPr="001B7CF4" w:rsidP="00A06C83" w14:paraId="673C9211" w14:textId="78F57043">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111 through 120 on January 1, 2026</w:t>
      </w:r>
    </w:p>
    <w:p w:rsidR="00A06C83" w:rsidRPr="001B7CF4" w:rsidP="00A06C83" w14:paraId="3C944235" w14:textId="02A07D4F">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121 through 130 on January 1, 2027</w:t>
      </w:r>
    </w:p>
    <w:p w:rsidR="00A06C83" w:rsidRPr="001B7CF4" w:rsidP="00A06C83" w14:paraId="0988F272" w14:textId="608D461B">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131 through 140 on January 1, 2028</w:t>
      </w:r>
    </w:p>
    <w:p w:rsidR="00A06C83" w:rsidRPr="001B7CF4" w:rsidP="00A06C83" w14:paraId="7D1AC6E0" w14:textId="17A29B8A">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141 through 150 on January 1, 2029</w:t>
      </w:r>
    </w:p>
    <w:p w:rsidR="00A06C83" w:rsidRPr="001B7CF4" w:rsidP="00A06C83" w14:paraId="1B7A2DAE" w14:textId="25CF08EB">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151 through 160 on January 1, 2030</w:t>
      </w:r>
    </w:p>
    <w:p w:rsidR="00A06C83" w:rsidRPr="001B7CF4" w:rsidP="00A06C83" w14:paraId="489CD624" w14:textId="69A2B71D">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161 through 170 on January 1, 2031</w:t>
      </w:r>
    </w:p>
    <w:p w:rsidR="00A06C83" w:rsidRPr="001B7CF4" w:rsidP="00A06C83" w14:paraId="2674D1DA" w14:textId="3818F6CC">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171 through 180 on January 1, 2032</w:t>
      </w:r>
    </w:p>
    <w:p w:rsidR="00A06C83" w:rsidRPr="001B7CF4" w:rsidP="00A06C83" w14:paraId="1E3BF6EC" w14:textId="7AAAC6C0">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181 through 190 on January 1, 2033</w:t>
      </w:r>
    </w:p>
    <w:p w:rsidR="00A06C83" w:rsidRPr="001B7CF4" w:rsidP="00A06C83" w14:paraId="338611FB" w14:textId="146D6B67">
      <w:pPr>
        <w:pStyle w:val="ListParagraph"/>
        <w:numPr>
          <w:ilvl w:val="0"/>
          <w:numId w:val="21"/>
        </w:numPr>
        <w:rPr>
          <w:rFonts w:ascii="Times New Roman" w:hAnsi="Times New Roman" w:cs="Times New Roman"/>
          <w:bCs/>
        </w:rPr>
      </w:pPr>
      <w:r w:rsidRPr="001B7CF4">
        <w:rPr>
          <w:rFonts w:ascii="Times New Roman" w:hAnsi="Times New Roman" w:cs="Times New Roman"/>
          <w:bCs/>
        </w:rPr>
        <w:t>Expansion to DMAs 191 through 200 on January 1, 2034</w:t>
      </w:r>
    </w:p>
    <w:p w:rsidR="00317C74" w:rsidP="001A0B07" w14:paraId="0BFD1251" w14:textId="1ECE0AF2">
      <w:pPr>
        <w:pStyle w:val="ListParagraph"/>
        <w:numPr>
          <w:ilvl w:val="0"/>
          <w:numId w:val="21"/>
        </w:numPr>
        <w:rPr>
          <w:rFonts w:ascii="Times New Roman" w:hAnsi="Times New Roman" w:cs="Times New Roman"/>
          <w:bCs/>
        </w:rPr>
      </w:pPr>
      <w:r w:rsidRPr="001B7CF4">
        <w:rPr>
          <w:rFonts w:ascii="Times New Roman" w:hAnsi="Times New Roman" w:cs="Times New Roman"/>
          <w:bCs/>
        </w:rPr>
        <w:t xml:space="preserve">Expansion to </w:t>
      </w:r>
      <w:r w:rsidRPr="001B7CF4" w:rsidR="00C37A89">
        <w:rPr>
          <w:rFonts w:ascii="Times New Roman" w:hAnsi="Times New Roman" w:cs="Times New Roman"/>
          <w:bCs/>
        </w:rPr>
        <w:t>DMAs 201 through 210</w:t>
      </w:r>
      <w:r w:rsidRPr="001B7CF4" w:rsidR="00D13345">
        <w:rPr>
          <w:rFonts w:ascii="Times New Roman" w:hAnsi="Times New Roman" w:cs="Times New Roman"/>
          <w:bCs/>
        </w:rPr>
        <w:t xml:space="preserve"> on January 1, 203</w:t>
      </w:r>
      <w:r w:rsidRPr="001B7CF4" w:rsidR="00D13345">
        <w:rPr>
          <w:rFonts w:ascii="Times New Roman" w:hAnsi="Times New Roman" w:cs="Times New Roman"/>
          <w:bCs/>
        </w:rPr>
        <w:t>5</w:t>
      </w:r>
    </w:p>
    <w:bookmarkEnd w:id="2"/>
    <w:p w:rsidR="001E6277" w:rsidRPr="001B7CF4" w:rsidP="001B7CF4" w14:paraId="4FA49576" w14:textId="77777777">
      <w:pPr>
        <w:rPr>
          <w:rFonts w:ascii="Times New Roman" w:hAnsi="Times New Roman" w:cs="Times New Roman"/>
          <w:bCs/>
        </w:rPr>
      </w:pPr>
    </w:p>
    <w:p w:rsidR="00AB205D" w:rsidP="001B7CF4" w14:paraId="4C39D937" w14:textId="60CA7A9F">
      <w:pPr>
        <w:pStyle w:val="ListParagraph"/>
        <w:keepNext/>
        <w:numPr>
          <w:ilvl w:val="0"/>
          <w:numId w:val="27"/>
        </w:numPr>
        <w:spacing w:after="120" w:line="240" w:lineRule="auto"/>
        <w:rPr>
          <w:rFonts w:ascii="Times New Roman" w:hAnsi="Times New Roman" w:cs="Times New Roman"/>
          <w:bCs/>
        </w:rPr>
      </w:pPr>
      <w:r w:rsidRPr="001B7CF4">
        <w:rPr>
          <w:rFonts w:ascii="Times New Roman" w:hAnsi="Times New Roman" w:cs="Times New Roman"/>
          <w:b/>
        </w:rPr>
        <w:t xml:space="preserve">Updated Nielsen </w:t>
      </w:r>
      <w:r w:rsidR="00322955">
        <w:rPr>
          <w:rFonts w:ascii="Times New Roman" w:hAnsi="Times New Roman" w:cs="Times New Roman"/>
          <w:b/>
        </w:rPr>
        <w:t>D</w:t>
      </w:r>
      <w:r w:rsidRPr="001B7CF4">
        <w:rPr>
          <w:rFonts w:ascii="Times New Roman" w:hAnsi="Times New Roman" w:cs="Times New Roman"/>
          <w:b/>
        </w:rPr>
        <w:t xml:space="preserve">etermination of </w:t>
      </w:r>
      <w:r w:rsidR="00322955">
        <w:rPr>
          <w:rFonts w:ascii="Times New Roman" w:hAnsi="Times New Roman" w:cs="Times New Roman"/>
          <w:b/>
        </w:rPr>
        <w:t>M</w:t>
      </w:r>
      <w:r w:rsidRPr="001B7CF4">
        <w:rPr>
          <w:rFonts w:ascii="Times New Roman" w:hAnsi="Times New Roman" w:cs="Times New Roman"/>
          <w:b/>
        </w:rPr>
        <w:t xml:space="preserve">arket </w:t>
      </w:r>
      <w:r w:rsidR="00322955">
        <w:rPr>
          <w:rFonts w:ascii="Times New Roman" w:hAnsi="Times New Roman" w:cs="Times New Roman"/>
          <w:b/>
        </w:rPr>
        <w:t>R</w:t>
      </w:r>
      <w:r w:rsidRPr="001B7CF4">
        <w:rPr>
          <w:rFonts w:ascii="Times New Roman" w:hAnsi="Times New Roman" w:cs="Times New Roman"/>
          <w:b/>
        </w:rPr>
        <w:t>ankings.</w:t>
      </w:r>
      <w:r w:rsidRPr="001B7CF4">
        <w:rPr>
          <w:rFonts w:ascii="Times New Roman" w:hAnsi="Times New Roman" w:cs="Times New Roman"/>
          <w:bCs/>
        </w:rPr>
        <w:t xml:space="preserve">  </w:t>
      </w:r>
    </w:p>
    <w:p w:rsidR="00313E57" w:rsidRPr="001B7CF4" w:rsidP="001B7CF4" w14:paraId="67ECFE6A" w14:textId="456A77F5">
      <w:pPr>
        <w:pStyle w:val="ParaNum"/>
        <w:numPr>
          <w:ilvl w:val="0"/>
          <w:numId w:val="0"/>
        </w:numPr>
        <w:ind w:firstLine="720"/>
        <w:rPr>
          <w:bCs/>
          <w:szCs w:val="22"/>
        </w:rPr>
      </w:pPr>
      <w:r w:rsidRPr="001B7CF4">
        <w:rPr>
          <w:bCs/>
          <w:szCs w:val="22"/>
        </w:rPr>
        <w:t xml:space="preserve">The </w:t>
      </w:r>
      <w:r w:rsidRPr="001B7CF4" w:rsidR="003517AE">
        <w:rPr>
          <w:bCs/>
          <w:szCs w:val="22"/>
        </w:rPr>
        <w:t>revised</w:t>
      </w:r>
      <w:r w:rsidRPr="001B7CF4">
        <w:rPr>
          <w:bCs/>
          <w:szCs w:val="22"/>
        </w:rPr>
        <w:t xml:space="preserve"> </w:t>
      </w:r>
      <w:r w:rsidRPr="001B7CF4">
        <w:rPr>
          <w:szCs w:val="22"/>
        </w:rPr>
        <w:t>rules</w:t>
      </w:r>
      <w:r w:rsidRPr="001B7CF4">
        <w:rPr>
          <w:bCs/>
          <w:szCs w:val="22"/>
        </w:rPr>
        <w:t xml:space="preserve"> utilize DMA rankings “as determined by The Nielsen Company as of January 1, 202</w:t>
      </w:r>
      <w:r w:rsidRPr="001B7CF4" w:rsidR="003517AE">
        <w:rPr>
          <w:bCs/>
          <w:szCs w:val="22"/>
        </w:rPr>
        <w:t>3</w:t>
      </w:r>
      <w:r w:rsidRPr="000023EE" w:rsidR="00683572">
        <w:rPr>
          <w:bCs/>
          <w:szCs w:val="22"/>
        </w:rPr>
        <w:t>,</w:t>
      </w:r>
      <w:r w:rsidRPr="000023EE" w:rsidR="00574411">
        <w:rPr>
          <w:bCs/>
          <w:szCs w:val="22"/>
        </w:rPr>
        <w:t>”</w:t>
      </w:r>
      <w:r w:rsidRPr="001B7CF4" w:rsidR="003517AE">
        <w:rPr>
          <w:bCs/>
          <w:szCs w:val="22"/>
        </w:rPr>
        <w:t xml:space="preserve"> rather than </w:t>
      </w:r>
      <w:r w:rsidRPr="001B7CF4" w:rsidR="006F03D8">
        <w:rPr>
          <w:rFonts w:eastAsiaTheme="minorHAnsi"/>
          <w:szCs w:val="22"/>
        </w:rPr>
        <w:t>the</w:t>
      </w:r>
      <w:r w:rsidRPr="001B7CF4" w:rsidR="003517AE">
        <w:rPr>
          <w:bCs/>
          <w:szCs w:val="22"/>
        </w:rPr>
        <w:t xml:space="preserve"> January 1, 2020</w:t>
      </w:r>
      <w:r w:rsidRPr="000023EE" w:rsidR="00574411">
        <w:rPr>
          <w:bCs/>
          <w:szCs w:val="22"/>
        </w:rPr>
        <w:t>,</w:t>
      </w:r>
      <w:r w:rsidRPr="000023EE" w:rsidR="006F03D8">
        <w:rPr>
          <w:bCs/>
          <w:szCs w:val="22"/>
        </w:rPr>
        <w:t xml:space="preserve"> date used in the </w:t>
      </w:r>
      <w:r w:rsidRPr="000023EE" w:rsidR="00074123">
        <w:rPr>
          <w:bCs/>
          <w:szCs w:val="22"/>
        </w:rPr>
        <w:t>previous rules</w:t>
      </w:r>
      <w:r w:rsidRPr="001B7CF4" w:rsidR="003517AE">
        <w:rPr>
          <w:bCs/>
          <w:szCs w:val="22"/>
        </w:rPr>
        <w:t>.</w:t>
      </w:r>
      <w:r w:rsidRPr="001B7CF4">
        <w:rPr>
          <w:bCs/>
          <w:szCs w:val="22"/>
        </w:rPr>
        <w:t xml:space="preserve"> </w:t>
      </w:r>
      <w:r w:rsidRPr="001B7CF4" w:rsidR="00CA459D">
        <w:rPr>
          <w:bCs/>
          <w:szCs w:val="22"/>
        </w:rPr>
        <w:t xml:space="preserve"> </w:t>
      </w:r>
      <w:r w:rsidRPr="001B7CF4" w:rsidR="003517AE">
        <w:rPr>
          <w:bCs/>
          <w:szCs w:val="22"/>
        </w:rPr>
        <w:t>T</w:t>
      </w:r>
      <w:r w:rsidRPr="001B7CF4" w:rsidR="00CA459D">
        <w:rPr>
          <w:bCs/>
          <w:szCs w:val="22"/>
        </w:rPr>
        <w:t>h</w:t>
      </w:r>
      <w:r w:rsidRPr="001B7CF4" w:rsidR="00C24E35">
        <w:rPr>
          <w:bCs/>
          <w:szCs w:val="22"/>
        </w:rPr>
        <w:t xml:space="preserve">is change </w:t>
      </w:r>
      <w:r w:rsidR="00A924B7">
        <w:rPr>
          <w:bCs/>
          <w:szCs w:val="22"/>
        </w:rPr>
        <w:t>extend</w:t>
      </w:r>
      <w:r w:rsidR="000E116E">
        <w:rPr>
          <w:bCs/>
          <w:szCs w:val="22"/>
        </w:rPr>
        <w:t>ed</w:t>
      </w:r>
      <w:r w:rsidR="00A924B7">
        <w:rPr>
          <w:bCs/>
          <w:szCs w:val="22"/>
        </w:rPr>
        <w:t xml:space="preserve"> </w:t>
      </w:r>
      <w:r w:rsidRPr="001B7CF4" w:rsidR="00C24E35">
        <w:rPr>
          <w:bCs/>
          <w:szCs w:val="22"/>
        </w:rPr>
        <w:t>the</w:t>
      </w:r>
      <w:r w:rsidRPr="001B7CF4" w:rsidR="00CA459D">
        <w:rPr>
          <w:bCs/>
          <w:szCs w:val="22"/>
        </w:rPr>
        <w:t xml:space="preserve"> audio description requirements to DMAs 91 through 100 </w:t>
      </w:r>
      <w:r w:rsidR="009E54BB">
        <w:rPr>
          <w:bCs/>
          <w:szCs w:val="22"/>
        </w:rPr>
        <w:t>as of</w:t>
      </w:r>
      <w:r w:rsidRPr="001B7CF4" w:rsidR="009E54BB">
        <w:rPr>
          <w:bCs/>
          <w:szCs w:val="22"/>
        </w:rPr>
        <w:t xml:space="preserve"> </w:t>
      </w:r>
      <w:r w:rsidRPr="001B7CF4" w:rsidR="00CA459D">
        <w:rPr>
          <w:bCs/>
          <w:szCs w:val="22"/>
        </w:rPr>
        <w:t>January 1, 2024</w:t>
      </w:r>
      <w:r w:rsidR="00EA3D59">
        <w:rPr>
          <w:bCs/>
          <w:szCs w:val="22"/>
        </w:rPr>
        <w:t>.</w:t>
      </w:r>
      <w:r w:rsidR="00A93C17">
        <w:rPr>
          <w:bCs/>
          <w:szCs w:val="22"/>
        </w:rPr>
        <w:t xml:space="preserve">  </w:t>
      </w:r>
      <w:r w:rsidR="00A93C17">
        <w:t>Utilizing the</w:t>
      </w:r>
      <w:r w:rsidRPr="00FA0E7F" w:rsidR="00A93C17">
        <w:t xml:space="preserve"> updated Nielsen market rankings</w:t>
      </w:r>
      <w:r w:rsidR="00A93C17">
        <w:t xml:space="preserve"> result</w:t>
      </w:r>
      <w:r w:rsidR="009D5B00">
        <w:t>ed</w:t>
      </w:r>
      <w:r w:rsidR="00A93C17">
        <w:t xml:space="preserve"> in certain DMAs falling into different categories than they were prior to this change, which impacted </w:t>
      </w:r>
      <w:r w:rsidR="004D6BE6">
        <w:t>corresponding</w:t>
      </w:r>
      <w:r w:rsidR="001E7B1D">
        <w:t xml:space="preserve"> dates for</w:t>
      </w:r>
      <w:r w:rsidR="00A93C17">
        <w:t xml:space="preserve"> compliance prior to January 1, 2024.  </w:t>
      </w:r>
    </w:p>
    <w:p w:rsidR="00551425" w:rsidRPr="001B7CF4" w:rsidP="5CF0520C" w14:paraId="50D48F60" w14:textId="059F4DCD">
      <w:pPr>
        <w:pStyle w:val="ListParagraph"/>
        <w:numPr>
          <w:ilvl w:val="0"/>
          <w:numId w:val="33"/>
        </w:numPr>
        <w:spacing w:after="120" w:line="240" w:lineRule="auto"/>
        <w:rPr>
          <w:rFonts w:ascii="Times New Roman" w:hAnsi="Times New Roman" w:cs="Times New Roman"/>
        </w:rPr>
      </w:pPr>
      <w:r w:rsidRPr="004A4C5C">
        <w:rPr>
          <w:rFonts w:ascii="Times New Roman" w:hAnsi="Times New Roman" w:cs="Times New Roman"/>
          <w:b/>
          <w:bCs/>
        </w:rPr>
        <w:t>Paducah-Cape Girardeau-Harrisburg DMA and Cedar Rapids-Waterloo-Iowa City and Dubuque DMA</w:t>
      </w:r>
      <w:r w:rsidR="00D81F5F">
        <w:rPr>
          <w:rFonts w:ascii="Times New Roman" w:hAnsi="Times New Roman" w:cs="Times New Roman"/>
        </w:rPr>
        <w:t xml:space="preserve">. </w:t>
      </w:r>
      <w:r w:rsidR="00C9263A">
        <w:rPr>
          <w:rFonts w:ascii="Times New Roman" w:hAnsi="Times New Roman" w:cs="Times New Roman"/>
        </w:rPr>
        <w:t xml:space="preserve"> </w:t>
      </w:r>
      <w:r w:rsidRPr="003A4B69" w:rsidR="00935E10">
        <w:rPr>
          <w:rFonts w:ascii="Times New Roman" w:hAnsi="Times New Roman" w:cs="Times New Roman"/>
          <w:bCs/>
        </w:rPr>
        <w:t>Utilizing the updated Nielsen market rankings</w:t>
      </w:r>
      <w:r w:rsidR="00C9263A">
        <w:rPr>
          <w:rFonts w:ascii="Times New Roman" w:hAnsi="Times New Roman" w:cs="Times New Roman"/>
          <w:bCs/>
        </w:rPr>
        <w:t>,</w:t>
      </w:r>
      <w:r w:rsidR="00935E10">
        <w:t xml:space="preserve"> </w:t>
      </w:r>
      <w:r w:rsidR="0027606A">
        <w:rPr>
          <w:rFonts w:ascii="Times New Roman" w:hAnsi="Times New Roman" w:cs="Times New Roman"/>
        </w:rPr>
        <w:t>t</w:t>
      </w:r>
      <w:r w:rsidRPr="5CF0520C">
        <w:rPr>
          <w:rFonts w:ascii="Times New Roman" w:hAnsi="Times New Roman" w:cs="Times New Roman"/>
        </w:rPr>
        <w:t>hese</w:t>
      </w:r>
      <w:r w:rsidRPr="5CF0520C" w:rsidR="00CA459D">
        <w:rPr>
          <w:rFonts w:ascii="Times New Roman" w:hAnsi="Times New Roman" w:cs="Times New Roman"/>
        </w:rPr>
        <w:t xml:space="preserve"> </w:t>
      </w:r>
      <w:r w:rsidRPr="5CF0520C">
        <w:rPr>
          <w:rFonts w:ascii="Times New Roman" w:hAnsi="Times New Roman" w:cs="Times New Roman"/>
        </w:rPr>
        <w:t xml:space="preserve">two </w:t>
      </w:r>
      <w:r w:rsidRPr="5CF0520C" w:rsidR="00CA459D">
        <w:rPr>
          <w:rFonts w:ascii="Times New Roman" w:hAnsi="Times New Roman" w:cs="Times New Roman"/>
        </w:rPr>
        <w:t>DMAs</w:t>
      </w:r>
      <w:r w:rsidR="00541F43">
        <w:rPr>
          <w:rFonts w:ascii="Times New Roman" w:hAnsi="Times New Roman" w:cs="Times New Roman"/>
        </w:rPr>
        <w:t xml:space="preserve"> </w:t>
      </w:r>
      <w:r w:rsidR="00BA723A">
        <w:rPr>
          <w:rFonts w:ascii="Times New Roman" w:hAnsi="Times New Roman" w:cs="Times New Roman"/>
        </w:rPr>
        <w:t>we</w:t>
      </w:r>
      <w:r w:rsidR="00F75F4B">
        <w:rPr>
          <w:rFonts w:ascii="Times New Roman" w:hAnsi="Times New Roman" w:cs="Times New Roman"/>
        </w:rPr>
        <w:t>re required to comply with</w:t>
      </w:r>
      <w:r w:rsidR="006D18F2">
        <w:rPr>
          <w:rFonts w:ascii="Times New Roman" w:hAnsi="Times New Roman" w:cs="Times New Roman"/>
        </w:rPr>
        <w:t xml:space="preserve"> the</w:t>
      </w:r>
      <w:r w:rsidRPr="5CF0520C" w:rsidR="00CA459D">
        <w:rPr>
          <w:rFonts w:ascii="Times New Roman" w:hAnsi="Times New Roman" w:cs="Times New Roman"/>
        </w:rPr>
        <w:t xml:space="preserve"> deadline for DMAs 91 through 100 utilizing the Nielsen figures as of January 1, 2023.</w:t>
      </w:r>
      <w:r>
        <w:rPr>
          <w:vertAlign w:val="superscript"/>
        </w:rPr>
        <w:footnoteReference w:id="5"/>
      </w:r>
      <w:r w:rsidRPr="5CF0520C" w:rsidR="00CA459D">
        <w:rPr>
          <w:rFonts w:ascii="Times New Roman" w:hAnsi="Times New Roman" w:cs="Times New Roman"/>
        </w:rPr>
        <w:t xml:space="preserve">  </w:t>
      </w:r>
    </w:p>
    <w:p w:rsidR="00110DB4" w:rsidRPr="001B7CF4" w:rsidP="00EF3032" w14:paraId="4B1F169B" w14:textId="3A8E1AF6">
      <w:pPr>
        <w:pStyle w:val="ListParagraph"/>
        <w:numPr>
          <w:ilvl w:val="0"/>
          <w:numId w:val="33"/>
        </w:numPr>
        <w:spacing w:after="240" w:line="240" w:lineRule="auto"/>
        <w:contextualSpacing w:val="0"/>
        <w:rPr>
          <w:rFonts w:ascii="Times New Roman" w:hAnsi="Times New Roman" w:cs="Times New Roman"/>
          <w:bCs/>
        </w:rPr>
      </w:pPr>
      <w:r w:rsidRPr="004A4C5C">
        <w:rPr>
          <w:rFonts w:ascii="Times New Roman" w:hAnsi="Times New Roman" w:cs="Times New Roman"/>
          <w:b/>
        </w:rPr>
        <w:t>Chattanooga DMA and Charleston, SC DMA</w:t>
      </w:r>
      <w:r w:rsidR="00C9263A">
        <w:rPr>
          <w:rFonts w:ascii="Times New Roman" w:hAnsi="Times New Roman" w:cs="Times New Roman"/>
          <w:bCs/>
        </w:rPr>
        <w:t>.</w:t>
      </w:r>
      <w:r w:rsidRPr="00EA3D59">
        <w:rPr>
          <w:rFonts w:ascii="Times New Roman" w:hAnsi="Times New Roman" w:cs="Times New Roman"/>
          <w:bCs/>
        </w:rPr>
        <w:t xml:space="preserve"> </w:t>
      </w:r>
      <w:r w:rsidR="003A4B69">
        <w:rPr>
          <w:rFonts w:ascii="Times New Roman" w:hAnsi="Times New Roman" w:cs="Times New Roman"/>
          <w:bCs/>
        </w:rPr>
        <w:t xml:space="preserve"> </w:t>
      </w:r>
      <w:r w:rsidRPr="00EA3D59" w:rsidR="00CA459D">
        <w:rPr>
          <w:rFonts w:ascii="Times New Roman" w:hAnsi="Times New Roman" w:cs="Times New Roman"/>
          <w:bCs/>
        </w:rPr>
        <w:t xml:space="preserve">Conversely, </w:t>
      </w:r>
      <w:r w:rsidR="000B6768">
        <w:rPr>
          <w:rFonts w:ascii="Times New Roman" w:hAnsi="Times New Roman" w:cs="Times New Roman"/>
          <w:bCs/>
        </w:rPr>
        <w:t>u</w:t>
      </w:r>
      <w:r w:rsidRPr="003A4B69" w:rsidR="000B6768">
        <w:rPr>
          <w:rFonts w:ascii="Times New Roman" w:hAnsi="Times New Roman" w:cs="Times New Roman"/>
          <w:bCs/>
        </w:rPr>
        <w:t>tilizing the updated Nielsen market rankings</w:t>
      </w:r>
      <w:r w:rsidR="00C9263A">
        <w:rPr>
          <w:rFonts w:ascii="Times New Roman" w:hAnsi="Times New Roman" w:cs="Times New Roman"/>
          <w:bCs/>
        </w:rPr>
        <w:t>,</w:t>
      </w:r>
      <w:r w:rsidRPr="003A4B69" w:rsidR="000B6768">
        <w:rPr>
          <w:rFonts w:ascii="Times New Roman" w:hAnsi="Times New Roman" w:cs="Times New Roman"/>
          <w:bCs/>
        </w:rPr>
        <w:t xml:space="preserve"> </w:t>
      </w:r>
      <w:r w:rsidRPr="00EA3D59" w:rsidR="00CA459D">
        <w:rPr>
          <w:rFonts w:ascii="Times New Roman" w:hAnsi="Times New Roman" w:cs="Times New Roman"/>
          <w:bCs/>
        </w:rPr>
        <w:t>the</w:t>
      </w:r>
      <w:r w:rsidRPr="00EA3D59">
        <w:rPr>
          <w:rFonts w:ascii="Times New Roman" w:hAnsi="Times New Roman" w:cs="Times New Roman"/>
          <w:bCs/>
        </w:rPr>
        <w:t>s</w:t>
      </w:r>
      <w:r w:rsidRPr="00EA3D59" w:rsidR="00CA459D">
        <w:rPr>
          <w:rFonts w:ascii="Times New Roman" w:hAnsi="Times New Roman" w:cs="Times New Roman"/>
          <w:bCs/>
        </w:rPr>
        <w:t>e</w:t>
      </w:r>
      <w:r w:rsidRPr="00EA3D59">
        <w:rPr>
          <w:rFonts w:ascii="Times New Roman" w:hAnsi="Times New Roman" w:cs="Times New Roman"/>
          <w:bCs/>
        </w:rPr>
        <w:t xml:space="preserve"> </w:t>
      </w:r>
      <w:r w:rsidRPr="00EA3D59" w:rsidR="00CA459D">
        <w:rPr>
          <w:rFonts w:ascii="Times New Roman" w:hAnsi="Times New Roman" w:cs="Times New Roman"/>
          <w:bCs/>
        </w:rPr>
        <w:t xml:space="preserve">two DMAs </w:t>
      </w:r>
      <w:r w:rsidR="00FC6827">
        <w:rPr>
          <w:rFonts w:ascii="Times New Roman" w:hAnsi="Times New Roman" w:cs="Times New Roman"/>
          <w:bCs/>
        </w:rPr>
        <w:t>were required to comply with</w:t>
      </w:r>
      <w:r w:rsidRPr="00EA3D59" w:rsidR="00CA459D">
        <w:rPr>
          <w:rFonts w:ascii="Times New Roman" w:hAnsi="Times New Roman" w:cs="Times New Roman"/>
          <w:bCs/>
        </w:rPr>
        <w:t xml:space="preserve"> the earlier deadline for DMAs 81 through 90 utilizing the Nielsen figures as of January 1, 2023.</w:t>
      </w:r>
      <w:r>
        <w:rPr>
          <w:rFonts w:ascii="Times New Roman" w:hAnsi="Times New Roman" w:cs="Times New Roman"/>
          <w:vertAlign w:val="superscript"/>
        </w:rPr>
        <w:footnoteReference w:id="6"/>
      </w:r>
      <w:r w:rsidRPr="00EA3D59" w:rsidR="005D717B">
        <w:rPr>
          <w:rFonts w:ascii="Times New Roman" w:hAnsi="Times New Roman" w:cs="Times New Roman"/>
          <w:bCs/>
        </w:rPr>
        <w:t xml:space="preserve">  </w:t>
      </w:r>
    </w:p>
    <w:p w:rsidR="00AB205D" w:rsidRPr="00EA3D59" w:rsidP="00EF3032" w14:paraId="373960D7" w14:textId="6F5066D3">
      <w:pPr>
        <w:pStyle w:val="ListParagraph"/>
        <w:numPr>
          <w:ilvl w:val="0"/>
          <w:numId w:val="27"/>
        </w:numPr>
        <w:spacing w:after="120" w:line="240" w:lineRule="auto"/>
        <w:rPr>
          <w:rFonts w:ascii="Times New Roman" w:hAnsi="Times New Roman" w:cs="Times New Roman"/>
          <w:bCs/>
        </w:rPr>
      </w:pPr>
      <w:r w:rsidRPr="00EA3D59">
        <w:rPr>
          <w:rFonts w:ascii="Times New Roman" w:hAnsi="Times New Roman" w:cs="Times New Roman"/>
          <w:b/>
        </w:rPr>
        <w:t xml:space="preserve">Exemptions and </w:t>
      </w:r>
      <w:r w:rsidRPr="00EA3D59" w:rsidR="00956456">
        <w:rPr>
          <w:rFonts w:ascii="Times New Roman" w:hAnsi="Times New Roman" w:cs="Times New Roman"/>
          <w:b/>
        </w:rPr>
        <w:t>W</w:t>
      </w:r>
      <w:r w:rsidRPr="00EA3D59">
        <w:rPr>
          <w:rFonts w:ascii="Times New Roman" w:hAnsi="Times New Roman" w:cs="Times New Roman"/>
          <w:b/>
        </w:rPr>
        <w:t>aivers</w:t>
      </w:r>
      <w:r w:rsidRPr="00EA3D59" w:rsidR="007E3774">
        <w:rPr>
          <w:rFonts w:ascii="Times New Roman" w:hAnsi="Times New Roman" w:cs="Times New Roman"/>
          <w:b/>
        </w:rPr>
        <w:t xml:space="preserve"> of the </w:t>
      </w:r>
      <w:r w:rsidRPr="00EA3D59" w:rsidR="00956456">
        <w:rPr>
          <w:rFonts w:ascii="Times New Roman" w:hAnsi="Times New Roman" w:cs="Times New Roman"/>
          <w:b/>
        </w:rPr>
        <w:t>A</w:t>
      </w:r>
      <w:r w:rsidRPr="00EA3D59" w:rsidR="007E3774">
        <w:rPr>
          <w:rFonts w:ascii="Times New Roman" w:hAnsi="Times New Roman" w:cs="Times New Roman"/>
          <w:b/>
        </w:rPr>
        <w:t xml:space="preserve">udio </w:t>
      </w:r>
      <w:r w:rsidRPr="00EA3D59" w:rsidR="00956456">
        <w:rPr>
          <w:rFonts w:ascii="Times New Roman" w:hAnsi="Times New Roman" w:cs="Times New Roman"/>
          <w:b/>
        </w:rPr>
        <w:t>D</w:t>
      </w:r>
      <w:r w:rsidRPr="00EA3D59" w:rsidR="007E3774">
        <w:rPr>
          <w:rFonts w:ascii="Times New Roman" w:hAnsi="Times New Roman" w:cs="Times New Roman"/>
          <w:b/>
        </w:rPr>
        <w:t xml:space="preserve">escription </w:t>
      </w:r>
      <w:r w:rsidRPr="00EA3D59" w:rsidR="00956456">
        <w:rPr>
          <w:rFonts w:ascii="Times New Roman" w:hAnsi="Times New Roman" w:cs="Times New Roman"/>
          <w:b/>
        </w:rPr>
        <w:t>R</w:t>
      </w:r>
      <w:r w:rsidRPr="00EA3D59" w:rsidR="007E3774">
        <w:rPr>
          <w:rFonts w:ascii="Times New Roman" w:hAnsi="Times New Roman" w:cs="Times New Roman"/>
          <w:b/>
        </w:rPr>
        <w:t>ules</w:t>
      </w:r>
      <w:r w:rsidRPr="00EA3D59">
        <w:rPr>
          <w:rFonts w:ascii="Times New Roman" w:hAnsi="Times New Roman" w:cs="Times New Roman"/>
          <w:b/>
        </w:rPr>
        <w:t>.</w:t>
      </w:r>
      <w:r w:rsidRPr="00EA3D59">
        <w:rPr>
          <w:rFonts w:ascii="Times New Roman" w:hAnsi="Times New Roman" w:cs="Times New Roman"/>
          <w:bCs/>
        </w:rPr>
        <w:t xml:space="preserve">  </w:t>
      </w:r>
    </w:p>
    <w:p w:rsidR="00DB0BA0" w:rsidRPr="001B7CF4" w:rsidP="001B7CF4" w14:paraId="67709403" w14:textId="5605CA94">
      <w:pPr>
        <w:pStyle w:val="ParaNum"/>
        <w:numPr>
          <w:ilvl w:val="0"/>
          <w:numId w:val="0"/>
        </w:numPr>
        <w:ind w:firstLine="720"/>
        <w:rPr>
          <w:bCs/>
          <w:szCs w:val="22"/>
        </w:rPr>
      </w:pPr>
      <w:r w:rsidRPr="001B7CF4">
        <w:rPr>
          <w:bCs/>
        </w:rPr>
        <w:t>S</w:t>
      </w:r>
      <w:r w:rsidRPr="001B7CF4" w:rsidR="006046BF">
        <w:rPr>
          <w:bCs/>
        </w:rPr>
        <w:t>ection</w:t>
      </w:r>
      <w:r w:rsidRPr="001B7CF4" w:rsidR="006046BF">
        <w:rPr>
          <w:bCs/>
          <w:szCs w:val="22"/>
        </w:rPr>
        <w:t xml:space="preserve"> 79.3 of the Commission’s rules will continue to govern any petitions for exemption due to economic burden, and section 1.3 will continue to govern waivers of the Commission’s rules generally.</w:t>
      </w:r>
    </w:p>
    <w:p w:rsidR="008B4C8B" w:rsidRPr="001B7CF4" w:rsidP="001B7CF4" w14:paraId="67709407" w14:textId="4E705FD9">
      <w:pPr>
        <w:spacing w:after="120" w:line="240" w:lineRule="auto"/>
        <w:rPr>
          <w:rFonts w:ascii="Times New Roman" w:hAnsi="Times New Roman" w:cs="Times New Roman"/>
          <w:bCs/>
        </w:rPr>
      </w:pPr>
    </w:p>
    <w:p w:rsidR="004749A4" w:rsidRPr="001B7CF4" w:rsidP="001B7CF4" w14:paraId="67709408" w14:textId="77777777">
      <w:pPr>
        <w:pStyle w:val="ParaNum"/>
        <w:numPr>
          <w:ilvl w:val="0"/>
          <w:numId w:val="0"/>
        </w:numPr>
        <w:rPr>
          <w:b/>
          <w:szCs w:val="22"/>
        </w:rPr>
      </w:pPr>
      <w:r w:rsidRPr="001B7CF4">
        <w:rPr>
          <w:b/>
          <w:szCs w:val="22"/>
        </w:rPr>
        <w:t>I</w:t>
      </w:r>
      <w:r w:rsidRPr="001B7CF4" w:rsidR="00BA1697">
        <w:rPr>
          <w:b/>
          <w:szCs w:val="22"/>
        </w:rPr>
        <w:t>II.</w:t>
      </w:r>
      <w:r w:rsidRPr="001B7CF4" w:rsidR="00286EA8">
        <w:rPr>
          <w:b/>
          <w:szCs w:val="22"/>
        </w:rPr>
        <w:tab/>
      </w:r>
      <w:r w:rsidRPr="001B7CF4" w:rsidR="00DE567B">
        <w:rPr>
          <w:b/>
          <w:szCs w:val="22"/>
        </w:rPr>
        <w:t xml:space="preserve">RECORDKEEPING </w:t>
      </w:r>
      <w:r w:rsidRPr="001B7CF4" w:rsidR="00292357">
        <w:rPr>
          <w:b/>
          <w:szCs w:val="22"/>
        </w:rPr>
        <w:t xml:space="preserve">AND REPORTING </w:t>
      </w:r>
      <w:r w:rsidRPr="001B7CF4" w:rsidR="00DE567B">
        <w:rPr>
          <w:b/>
          <w:szCs w:val="22"/>
        </w:rPr>
        <w:t>REQUIREMENTS</w:t>
      </w:r>
    </w:p>
    <w:p w:rsidR="001961AA" w:rsidRPr="001B7CF4" w:rsidP="001B7CF4" w14:paraId="67709409" w14:textId="4013FFB1">
      <w:pPr>
        <w:ind w:firstLine="720"/>
        <w:rPr>
          <w:rFonts w:ascii="Times New Roman" w:hAnsi="Times New Roman" w:cs="Times New Roman"/>
          <w:color w:val="010101"/>
        </w:rPr>
      </w:pPr>
      <w:r w:rsidRPr="001B7CF4">
        <w:rPr>
          <w:rFonts w:ascii="Times New Roman" w:hAnsi="Times New Roman" w:cs="Times New Roman"/>
          <w:color w:val="010101"/>
        </w:rPr>
        <w:t xml:space="preserve">The Commission’s </w:t>
      </w:r>
      <w:r w:rsidRPr="001B7CF4">
        <w:rPr>
          <w:rFonts w:ascii="Times New Roman" w:hAnsi="Times New Roman" w:cs="Times New Roman"/>
          <w:bCs/>
        </w:rPr>
        <w:t>actions</w:t>
      </w:r>
      <w:r w:rsidRPr="001B7CF4">
        <w:rPr>
          <w:rFonts w:ascii="Times New Roman" w:hAnsi="Times New Roman" w:cs="Times New Roman"/>
          <w:color w:val="010101"/>
        </w:rPr>
        <w:t xml:space="preserve"> in the </w:t>
      </w:r>
      <w:r w:rsidRPr="001B7CF4" w:rsidR="005C7C48">
        <w:rPr>
          <w:rFonts w:ascii="Times New Roman" w:hAnsi="Times New Roman" w:cs="Times New Roman"/>
          <w:i/>
          <w:iCs/>
          <w:color w:val="010101"/>
        </w:rPr>
        <w:t>Order</w:t>
      </w:r>
      <w:r w:rsidRPr="001B7CF4" w:rsidR="005C7C48">
        <w:rPr>
          <w:rFonts w:ascii="Times New Roman" w:hAnsi="Times New Roman" w:cs="Times New Roman"/>
          <w:color w:val="010101"/>
        </w:rPr>
        <w:t xml:space="preserve"> did not create any additional</w:t>
      </w:r>
      <w:r w:rsidRPr="001B7CF4" w:rsidR="00E25B0B">
        <w:rPr>
          <w:rFonts w:ascii="Times New Roman" w:hAnsi="Times New Roman" w:cs="Times New Roman"/>
          <w:color w:val="010101"/>
        </w:rPr>
        <w:t xml:space="preserve"> recordkeeping or other </w:t>
      </w:r>
      <w:r w:rsidRPr="001B7CF4" w:rsidR="005C7C48">
        <w:rPr>
          <w:rFonts w:ascii="Times New Roman" w:hAnsi="Times New Roman" w:cs="Times New Roman"/>
          <w:color w:val="010101"/>
        </w:rPr>
        <w:t>reporting</w:t>
      </w:r>
      <w:r w:rsidRPr="001B7CF4" w:rsidR="00E25B0B">
        <w:rPr>
          <w:rFonts w:ascii="Times New Roman" w:hAnsi="Times New Roman" w:cs="Times New Roman"/>
          <w:color w:val="010101"/>
        </w:rPr>
        <w:t xml:space="preserve"> requirements.</w:t>
      </w:r>
    </w:p>
    <w:p w:rsidR="00066CB4" w:rsidRPr="001B7CF4" w:rsidP="001B7CF4" w14:paraId="6770940C" w14:textId="77777777">
      <w:pPr>
        <w:pStyle w:val="ParaNum"/>
        <w:numPr>
          <w:ilvl w:val="0"/>
          <w:numId w:val="0"/>
        </w:numPr>
        <w:rPr>
          <w:b/>
          <w:szCs w:val="22"/>
        </w:rPr>
      </w:pPr>
      <w:r w:rsidRPr="001B7CF4">
        <w:rPr>
          <w:b/>
          <w:szCs w:val="22"/>
        </w:rPr>
        <w:t xml:space="preserve">IV. </w:t>
      </w:r>
      <w:r w:rsidRPr="001B7CF4" w:rsidR="00286EA8">
        <w:rPr>
          <w:b/>
          <w:szCs w:val="22"/>
        </w:rPr>
        <w:tab/>
      </w:r>
      <w:r w:rsidRPr="001B7CF4">
        <w:rPr>
          <w:b/>
          <w:szCs w:val="22"/>
        </w:rPr>
        <w:t>IMPLEMENTATION</w:t>
      </w:r>
      <w:r w:rsidRPr="001B7CF4" w:rsidR="00716724">
        <w:rPr>
          <w:b/>
          <w:szCs w:val="22"/>
        </w:rPr>
        <w:t xml:space="preserve"> DATE</w:t>
      </w:r>
    </w:p>
    <w:p w:rsidR="00AB1D1E" w:rsidRPr="001B7CF4" w:rsidP="001B7CF4" w14:paraId="6770940E" w14:textId="4497E34A">
      <w:r>
        <w:rPr>
          <w:rFonts w:ascii="Times New Roman" w:hAnsi="Times New Roman" w:cs="Times New Roman"/>
          <w:b/>
        </w:rPr>
        <w:tab/>
      </w:r>
      <w:r w:rsidRPr="001B7CF4" w:rsidR="006046BF">
        <w:rPr>
          <w:rFonts w:ascii="Times New Roman" w:hAnsi="Times New Roman" w:cs="Times New Roman"/>
        </w:rPr>
        <w:t>T</w:t>
      </w:r>
      <w:r w:rsidRPr="001B7CF4" w:rsidR="00491F77">
        <w:rPr>
          <w:rFonts w:ascii="Times New Roman" w:hAnsi="Times New Roman" w:cs="Times New Roman"/>
        </w:rPr>
        <w:t xml:space="preserve">he </w:t>
      </w:r>
      <w:r w:rsidRPr="001B7CF4" w:rsidR="00A41A97">
        <w:rPr>
          <w:rFonts w:ascii="Times New Roman" w:hAnsi="Times New Roman" w:cs="Times New Roman"/>
        </w:rPr>
        <w:t xml:space="preserve">amended </w:t>
      </w:r>
      <w:r w:rsidRPr="001B7CF4" w:rsidR="00491F77">
        <w:rPr>
          <w:rFonts w:ascii="Times New Roman" w:hAnsi="Times New Roman" w:cs="Times New Roman"/>
        </w:rPr>
        <w:t>rules</w:t>
      </w:r>
      <w:r w:rsidRPr="001B7CF4" w:rsidR="00132323">
        <w:rPr>
          <w:rFonts w:ascii="Times New Roman" w:hAnsi="Times New Roman" w:cs="Times New Roman"/>
        </w:rPr>
        <w:t xml:space="preserve"> </w:t>
      </w:r>
      <w:r>
        <w:rPr>
          <w:rFonts w:ascii="Times New Roman" w:hAnsi="Times New Roman" w:cs="Times New Roman"/>
        </w:rPr>
        <w:t xml:space="preserve">in the </w:t>
      </w:r>
      <w:r w:rsidRPr="001B7CF4" w:rsidR="00420F9F">
        <w:rPr>
          <w:rFonts w:ascii="Times New Roman" w:hAnsi="Times New Roman" w:cs="Times New Roman"/>
          <w:i/>
          <w:iCs/>
        </w:rPr>
        <w:t>Order</w:t>
      </w:r>
      <w:r w:rsidRPr="00E61CE2" w:rsidR="00420F9F">
        <w:t xml:space="preserve"> </w:t>
      </w:r>
      <w:r w:rsidRPr="001B7CF4" w:rsidR="005E50D5">
        <w:rPr>
          <w:rFonts w:ascii="Times New Roman" w:hAnsi="Times New Roman" w:cs="Times New Roman"/>
        </w:rPr>
        <w:t>became</w:t>
      </w:r>
      <w:r w:rsidRPr="001B7CF4" w:rsidR="00491F77">
        <w:rPr>
          <w:rFonts w:ascii="Times New Roman" w:hAnsi="Times New Roman" w:cs="Times New Roman"/>
        </w:rPr>
        <w:t xml:space="preserve"> effective </w:t>
      </w:r>
      <w:r w:rsidRPr="001B7CF4" w:rsidR="005E50D5">
        <w:rPr>
          <w:rFonts w:ascii="Times New Roman" w:hAnsi="Times New Roman" w:cs="Times New Roman"/>
        </w:rPr>
        <w:t>November 27, 2</w:t>
      </w:r>
      <w:r w:rsidRPr="001B7CF4" w:rsidR="002772CC">
        <w:rPr>
          <w:rFonts w:ascii="Times New Roman" w:hAnsi="Times New Roman" w:cs="Times New Roman"/>
        </w:rPr>
        <w:t>02</w:t>
      </w:r>
      <w:r w:rsidRPr="001B7CF4" w:rsidR="00233CFA">
        <w:rPr>
          <w:rFonts w:ascii="Times New Roman" w:hAnsi="Times New Roman" w:cs="Times New Roman"/>
        </w:rPr>
        <w:t>3</w:t>
      </w:r>
      <w:r w:rsidRPr="001B7CF4" w:rsidR="008A65E4">
        <w:rPr>
          <w:rFonts w:ascii="Times New Roman" w:hAnsi="Times New Roman" w:cs="Times New Roman"/>
        </w:rPr>
        <w:t>.</w:t>
      </w:r>
    </w:p>
    <w:p w:rsidR="00C5062A" w:rsidRPr="001B7CF4" w:rsidP="001B7CF4" w14:paraId="67709410" w14:textId="72F35F06">
      <w:pPr>
        <w:rPr>
          <w:rFonts w:ascii="Times New Roman" w:hAnsi="Times New Roman" w:cs="Times New Roman"/>
          <w:b/>
        </w:rPr>
      </w:pPr>
      <w:r w:rsidRPr="001B7CF4">
        <w:rPr>
          <w:rFonts w:ascii="Times New Roman" w:eastAsia="Times New Roman" w:hAnsi="Times New Roman" w:cs="Times New Roman"/>
          <w:b/>
          <w:snapToGrid w:val="0"/>
          <w:kern w:val="28"/>
        </w:rPr>
        <w:t>V.</w:t>
      </w:r>
      <w:r w:rsidRPr="001B7CF4">
        <w:rPr>
          <w:rFonts w:ascii="Times New Roman" w:eastAsia="Times New Roman" w:hAnsi="Times New Roman" w:cs="Times New Roman"/>
          <w:b/>
          <w:snapToGrid w:val="0"/>
          <w:kern w:val="28"/>
        </w:rPr>
        <w:tab/>
        <w:t>INTERNET</w:t>
      </w:r>
      <w:r w:rsidRPr="001B7CF4">
        <w:rPr>
          <w:rFonts w:ascii="Times New Roman" w:eastAsia="Times New Roman" w:hAnsi="Times New Roman" w:cs="Times New Roman"/>
          <w:b/>
          <w:kern w:val="28"/>
        </w:rPr>
        <w:t xml:space="preserve"> LINKS</w:t>
      </w:r>
    </w:p>
    <w:p w:rsidR="00E6683B" w:rsidRPr="001B7CF4" w:rsidP="00C5062A" w14:paraId="67709413" w14:textId="599CD0A2">
      <w:pPr>
        <w:spacing w:after="0"/>
        <w:rPr>
          <w:rFonts w:ascii="Times New Roman" w:hAnsi="Times New Roman" w:cs="Times New Roman"/>
          <w:bCs/>
        </w:rPr>
      </w:pPr>
      <w:r w:rsidRPr="001B7CF4">
        <w:rPr>
          <w:rFonts w:ascii="Times New Roman" w:hAnsi="Times New Roman" w:cs="Times New Roman"/>
          <w:bCs/>
        </w:rPr>
        <w:t>A copy of the</w:t>
      </w:r>
      <w:r w:rsidRPr="001B7CF4" w:rsidR="00132323">
        <w:rPr>
          <w:rFonts w:ascii="Times New Roman" w:hAnsi="Times New Roman" w:cs="Times New Roman"/>
          <w:bCs/>
          <w:iCs/>
        </w:rPr>
        <w:t xml:space="preserve"> </w:t>
      </w:r>
      <w:r w:rsidRPr="001B7CF4" w:rsidR="00420F9F">
        <w:rPr>
          <w:rFonts w:ascii="Times New Roman" w:hAnsi="Times New Roman" w:cs="Times New Roman"/>
          <w:i/>
          <w:iCs/>
        </w:rPr>
        <w:t>Second Report and Order</w:t>
      </w:r>
      <w:r w:rsidRPr="001B7CF4" w:rsidR="00132323">
        <w:rPr>
          <w:rFonts w:ascii="Times New Roman" w:hAnsi="Times New Roman" w:cs="Times New Roman"/>
          <w:bCs/>
          <w:iCs/>
        </w:rPr>
        <w:t>, FCC 2</w:t>
      </w:r>
      <w:r w:rsidRPr="001B7CF4" w:rsidR="00E25B0B">
        <w:rPr>
          <w:rFonts w:ascii="Times New Roman" w:hAnsi="Times New Roman" w:cs="Times New Roman"/>
          <w:bCs/>
          <w:iCs/>
        </w:rPr>
        <w:t>3</w:t>
      </w:r>
      <w:r w:rsidRPr="001B7CF4" w:rsidR="00132323">
        <w:rPr>
          <w:rFonts w:ascii="Times New Roman" w:hAnsi="Times New Roman" w:cs="Times New Roman"/>
          <w:bCs/>
          <w:iCs/>
        </w:rPr>
        <w:t>-</w:t>
      </w:r>
      <w:r w:rsidRPr="001B7CF4" w:rsidR="005C7C48">
        <w:rPr>
          <w:rFonts w:ascii="Times New Roman" w:hAnsi="Times New Roman" w:cs="Times New Roman"/>
          <w:bCs/>
          <w:iCs/>
        </w:rPr>
        <w:t>82</w:t>
      </w:r>
      <w:r w:rsidRPr="001B7CF4" w:rsidR="00132323">
        <w:rPr>
          <w:rFonts w:ascii="Times New Roman" w:hAnsi="Times New Roman" w:cs="Times New Roman"/>
          <w:bCs/>
          <w:iCs/>
        </w:rPr>
        <w:t>,</w:t>
      </w:r>
      <w:r w:rsidRPr="001B7CF4">
        <w:rPr>
          <w:rFonts w:ascii="Times New Roman" w:hAnsi="Times New Roman" w:cs="Times New Roman"/>
          <w:bCs/>
          <w:iCs/>
        </w:rPr>
        <w:t xml:space="preserve"> MB Docket No. </w:t>
      </w:r>
      <w:r w:rsidRPr="001B7CF4">
        <w:rPr>
          <w:rFonts w:ascii="Times New Roman" w:hAnsi="Times New Roman" w:cs="Times New Roman"/>
          <w:bCs/>
          <w:iCs/>
        </w:rPr>
        <w:t>11-43,</w:t>
      </w:r>
      <w:r w:rsidRPr="001B7CF4">
        <w:rPr>
          <w:rFonts w:ascii="Times New Roman" w:hAnsi="Times New Roman" w:cs="Times New Roman"/>
          <w:bCs/>
          <w:i/>
        </w:rPr>
        <w:t xml:space="preserve"> </w:t>
      </w:r>
      <w:r w:rsidRPr="001B7CF4">
        <w:rPr>
          <w:rFonts w:ascii="Times New Roman" w:hAnsi="Times New Roman" w:cs="Times New Roman"/>
          <w:bCs/>
        </w:rPr>
        <w:t xml:space="preserve">is available at: </w:t>
      </w:r>
    </w:p>
    <w:p w:rsidR="001D0D51" w:rsidRPr="001B7CF4" w:rsidP="00C5062A" w14:paraId="38C31EE4" w14:textId="3BFCD629">
      <w:pPr>
        <w:spacing w:after="0"/>
        <w:rPr>
          <w:rFonts w:ascii="Times New Roman" w:hAnsi="Times New Roman" w:cs="Times New Roman"/>
          <w:bCs/>
        </w:rPr>
      </w:pPr>
      <w:hyperlink r:id="rId12" w:history="1">
        <w:r w:rsidRPr="001B7CF4">
          <w:rPr>
            <w:rStyle w:val="Hyperlink"/>
            <w:rFonts w:ascii="Times New Roman" w:hAnsi="Times New Roman" w:cs="Times New Roman"/>
            <w:bCs/>
          </w:rPr>
          <w:t>https://www.fcc.gov/document/fcc-expands-audio-description-requirements-all-television-markets</w:t>
        </w:r>
      </w:hyperlink>
    </w:p>
    <w:p w:rsidR="002973BD" w:rsidRPr="001B7CF4" w:rsidP="00C5062A" w14:paraId="67709414" w14:textId="77777777">
      <w:pPr>
        <w:spacing w:after="0"/>
        <w:rPr>
          <w:rFonts w:ascii="Times New Roman" w:hAnsi="Times New Roman" w:cs="Times New Roman"/>
          <w:bCs/>
        </w:rPr>
      </w:pPr>
    </w:p>
    <w:p w:rsidR="00423AE5" w:rsidRPr="001B7CF4" w:rsidP="00972776" w14:paraId="67709415" w14:textId="70DA6DF1">
      <w:pPr>
        <w:spacing w:after="0"/>
        <w:rPr>
          <w:rFonts w:ascii="Times New Roman" w:hAnsi="Times New Roman" w:cs="Times New Roman"/>
          <w:bCs/>
        </w:rPr>
      </w:pPr>
      <w:r w:rsidRPr="001B7CF4">
        <w:rPr>
          <w:rFonts w:ascii="Times New Roman" w:hAnsi="Times New Roman" w:cs="Times New Roman"/>
          <w:bCs/>
        </w:rPr>
        <w:t xml:space="preserve">A copy of the Federal Register Summary of the </w:t>
      </w:r>
      <w:r w:rsidRPr="00420F9F" w:rsidR="00420F9F">
        <w:rPr>
          <w:rFonts w:ascii="Times New Roman" w:hAnsi="Times New Roman" w:cs="Times New Roman"/>
          <w:bCs/>
          <w:i/>
          <w:iCs/>
        </w:rPr>
        <w:t>Second Report and Order</w:t>
      </w:r>
      <w:r w:rsidRPr="00420F9F" w:rsidR="00420F9F">
        <w:rPr>
          <w:rFonts w:ascii="Times New Roman" w:hAnsi="Times New Roman" w:cs="Times New Roman"/>
          <w:bCs/>
          <w:i/>
        </w:rPr>
        <w:t xml:space="preserve"> </w:t>
      </w:r>
      <w:r w:rsidRPr="001B7CF4">
        <w:rPr>
          <w:rFonts w:ascii="Times New Roman" w:hAnsi="Times New Roman" w:cs="Times New Roman"/>
          <w:bCs/>
        </w:rPr>
        <w:t>is available at:</w:t>
      </w:r>
      <w:r w:rsidRPr="001B7CF4" w:rsidR="008A65E4">
        <w:rPr>
          <w:rFonts w:ascii="Times New Roman" w:hAnsi="Times New Roman" w:cs="Times New Roman"/>
          <w:bCs/>
        </w:rPr>
        <w:t xml:space="preserve"> </w:t>
      </w:r>
    </w:p>
    <w:p w:rsidR="004008B8" w:rsidRPr="0099590C" w:rsidP="00972776" w14:paraId="67709416" w14:textId="06B8B063">
      <w:pPr>
        <w:spacing w:after="0"/>
        <w:rPr>
          <w:rFonts w:ascii="Times New Roman" w:hAnsi="Times New Roman" w:cs="Times New Roman"/>
          <w:bCs/>
          <w:sz w:val="24"/>
          <w:szCs w:val="24"/>
        </w:rPr>
      </w:pPr>
      <w:hyperlink r:id="rId13" w:history="1">
        <w:r w:rsidRPr="00244AA3" w:rsidR="00244AA3">
          <w:rPr>
            <w:rStyle w:val="Hyperlink"/>
            <w:rFonts w:ascii="Times New Roman" w:hAnsi="Times New Roman" w:cs="Times New Roman"/>
          </w:rPr>
          <w:t>https://www.govinfo.gov/content/pkg/FR-2023-10-27/pdf/2023-23760.pdf</w:t>
        </w:r>
      </w:hyperlink>
      <w:r w:rsidR="00244AA3">
        <w:rPr>
          <w:rFonts w:ascii="Times New Roman" w:hAnsi="Times New Roman" w:cs="Times New Roman"/>
        </w:rPr>
        <w:t xml:space="preserve"> </w:t>
      </w:r>
      <w:r w:rsidRPr="00244AA3" w:rsidR="00244AA3">
        <w:rPr>
          <w:rFonts w:ascii="Times New Roman" w:hAnsi="Times New Roman" w:cs="Times New Roman"/>
          <w:highlight w:val="yellow"/>
        </w:rPr>
        <w:t xml:space="preserve"> </w:t>
      </w:r>
    </w:p>
    <w:sectPr w:rsidSect="002F5A9D">
      <w:headerReference w:type="default" r:id="rId14"/>
      <w:footerReference w:type="default" r:id="rId15"/>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192" w14:paraId="18D824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49B5" w14:paraId="610ECF09" w14:textId="4544A5B5">
    <w:pPr>
      <w:pStyle w:val="Footer"/>
      <w:jc w:val="right"/>
    </w:pPr>
  </w:p>
  <w:p w:rsidR="00121A4A" w:rsidP="00C949B5" w14:paraId="6770941C"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192" w14:paraId="1349380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677094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5A9D" w:rsidP="00034878" w14:paraId="1312DD8C" w14:textId="77777777">
      <w:pPr>
        <w:spacing w:after="0" w:line="240" w:lineRule="auto"/>
      </w:pPr>
      <w:r>
        <w:separator/>
      </w:r>
    </w:p>
  </w:footnote>
  <w:footnote w:type="continuationSeparator" w:id="1">
    <w:p w:rsidR="002F5A9D" w:rsidP="00034878" w14:paraId="41D75C42" w14:textId="77777777">
      <w:pPr>
        <w:spacing w:after="0" w:line="240" w:lineRule="auto"/>
      </w:pPr>
      <w:r>
        <w:continuationSeparator/>
      </w:r>
    </w:p>
  </w:footnote>
  <w:footnote w:type="continuationNotice" w:id="2">
    <w:p w:rsidR="002F5A9D" w14:paraId="258BDF1A" w14:textId="77777777">
      <w:pPr>
        <w:spacing w:after="0" w:line="240" w:lineRule="auto"/>
      </w:pPr>
    </w:p>
  </w:footnote>
  <w:footnote w:id="3">
    <w:p w:rsidR="00CB43FE" w:rsidP="00602075" w14:paraId="3BB32BB6" w14:textId="4AE7D54B">
      <w:pPr>
        <w:pStyle w:val="FootnoteText"/>
        <w:spacing w:after="120"/>
      </w:pPr>
      <w:r>
        <w:rPr>
          <w:rStyle w:val="FootnoteReference"/>
        </w:rPr>
        <w:footnoteRef/>
      </w:r>
      <w:r>
        <w:t xml:space="preserve"> </w:t>
      </w:r>
      <w:r w:rsidRPr="00290B6C">
        <w:rPr>
          <w:rFonts w:ascii="Times New Roman" w:hAnsi="Times New Roman" w:cs="Times New Roman"/>
          <w:color w:val="000000"/>
        </w:rPr>
        <w:t>47 CFR § 79.3(a)(</w:t>
      </w:r>
      <w:r>
        <w:rPr>
          <w:rFonts w:ascii="Times New Roman" w:hAnsi="Times New Roman" w:cs="Times New Roman"/>
          <w:color w:val="000000"/>
        </w:rPr>
        <w:t>3</w:t>
      </w:r>
      <w:r w:rsidRPr="00290B6C">
        <w:rPr>
          <w:rFonts w:ascii="Times New Roman" w:hAnsi="Times New Roman" w:cs="Times New Roman"/>
          <w:color w:val="000000"/>
        </w:rPr>
        <w:t>)</w:t>
      </w:r>
      <w:r>
        <w:rPr>
          <w:rFonts w:ascii="Times New Roman" w:hAnsi="Times New Roman" w:cs="Times New Roman"/>
          <w:color w:val="000000"/>
        </w:rPr>
        <w:t>.</w:t>
      </w:r>
    </w:p>
  </w:footnote>
  <w:footnote w:id="4">
    <w:p w:rsidR="00445C02" w:rsidRPr="00290B6C" w:rsidP="00290B6C" w14:paraId="79461D30" w14:textId="77777777">
      <w:pPr>
        <w:pStyle w:val="FootnoteText"/>
        <w:widowControl w:val="0"/>
        <w:spacing w:after="120"/>
        <w:rPr>
          <w:rFonts w:ascii="Times New Roman" w:hAnsi="Times New Roman" w:cs="Times New Roman"/>
        </w:rPr>
      </w:pPr>
      <w:r w:rsidRPr="00290B6C">
        <w:rPr>
          <w:rStyle w:val="FootnoteReference"/>
          <w:rFonts w:ascii="Times New Roman" w:hAnsi="Times New Roman" w:cs="Times New Roman"/>
        </w:rPr>
        <w:footnoteRef/>
      </w:r>
      <w:r w:rsidRPr="00290B6C">
        <w:rPr>
          <w:rFonts w:ascii="Times New Roman" w:hAnsi="Times New Roman" w:cs="Times New Roman"/>
        </w:rPr>
        <w:t xml:space="preserve"> Pub. L. No. 111-260, § 202(a); 47 U.S.C. § 613(f)(4)(C)(iv).</w:t>
      </w:r>
    </w:p>
  </w:footnote>
  <w:footnote w:id="5">
    <w:p w:rsidR="00CA459D" w:rsidRPr="00290B6C" w:rsidP="00290B6C" w14:paraId="67D43D9C" w14:textId="4B7FCF06">
      <w:pPr>
        <w:pStyle w:val="FootnoteText"/>
        <w:widowControl w:val="0"/>
        <w:spacing w:after="120"/>
        <w:rPr>
          <w:rFonts w:ascii="Times New Roman" w:hAnsi="Times New Roman" w:cs="Times New Roman"/>
        </w:rPr>
      </w:pPr>
      <w:r w:rsidRPr="00290B6C">
        <w:rPr>
          <w:rStyle w:val="FootnoteReference"/>
          <w:rFonts w:ascii="Times New Roman" w:hAnsi="Times New Roman" w:cs="Times New Roman"/>
        </w:rPr>
        <w:footnoteRef/>
      </w:r>
      <w:r w:rsidRPr="00290B6C">
        <w:rPr>
          <w:rFonts w:ascii="Times New Roman" w:hAnsi="Times New Roman" w:cs="Times New Roman"/>
        </w:rPr>
        <w:t xml:space="preserve"> Paducah-Cape Girardeau-Harrisburg moved from DMA 84 to DMA 92</w:t>
      </w:r>
      <w:r w:rsidR="00097DEA">
        <w:rPr>
          <w:rFonts w:ascii="Times New Roman" w:hAnsi="Times New Roman" w:cs="Times New Roman"/>
        </w:rPr>
        <w:t>,</w:t>
      </w:r>
      <w:r w:rsidRPr="00290B6C">
        <w:rPr>
          <w:rFonts w:ascii="Times New Roman" w:hAnsi="Times New Roman" w:cs="Times New Roman"/>
        </w:rPr>
        <w:t xml:space="preserve"> and Cedar Rapids-Waterloo-Iowa City and Dubuque moved from DMA 90 to DMA 93.</w:t>
      </w:r>
    </w:p>
  </w:footnote>
  <w:footnote w:id="6">
    <w:p w:rsidR="00CA459D" w:rsidRPr="00290B6C" w:rsidP="00290B6C" w14:paraId="544C89CC" w14:textId="4256986D">
      <w:pPr>
        <w:pStyle w:val="FootnoteText"/>
        <w:widowControl w:val="0"/>
        <w:spacing w:after="120"/>
        <w:rPr>
          <w:rFonts w:ascii="Times New Roman" w:hAnsi="Times New Roman" w:cs="Times New Roman"/>
        </w:rPr>
      </w:pPr>
      <w:r w:rsidRPr="00290B6C">
        <w:rPr>
          <w:rStyle w:val="FootnoteReference"/>
          <w:rFonts w:ascii="Times New Roman" w:hAnsi="Times New Roman" w:cs="Times New Roman"/>
        </w:rPr>
        <w:footnoteRef/>
      </w:r>
      <w:r w:rsidRPr="00290B6C">
        <w:rPr>
          <w:rFonts w:ascii="Times New Roman" w:hAnsi="Times New Roman" w:cs="Times New Roman"/>
        </w:rPr>
        <w:t xml:space="preserve"> Chattanooga moved from DMA 92 to DMA 84</w:t>
      </w:r>
      <w:r w:rsidR="00623785">
        <w:rPr>
          <w:rFonts w:ascii="Times New Roman" w:hAnsi="Times New Roman" w:cs="Times New Roman"/>
        </w:rPr>
        <w:t>,</w:t>
      </w:r>
      <w:r w:rsidRPr="00290B6C">
        <w:rPr>
          <w:rFonts w:ascii="Times New Roman" w:hAnsi="Times New Roman" w:cs="Times New Roman"/>
        </w:rPr>
        <w:t xml:space="preserve"> and Charleston, SC moved from DMA 91 to DMA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192" w14:paraId="5FE844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3172B5" w:rsidP="000273B2" w14:paraId="6770941B" w14:textId="3DC28A7E">
    <w:pPr>
      <w:tabs>
        <w:tab w:val="center" w:pos="4320"/>
      </w:tabs>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5D7" w:rsidRPr="004E6854" w:rsidP="00253785" w14:paraId="63E6A993" w14:textId="71E81768">
    <w:pPr>
      <w:pStyle w:val="Header"/>
      <w:spacing w:before="360" w:line="228" w:lineRule="auto"/>
      <w:jc w:val="center"/>
      <w:rPr>
        <w:rFonts w:ascii="Times New Roman" w:hAnsi="Times New Roman" w:cs="Times New Roman"/>
      </w:rPr>
    </w:pPr>
    <w:r w:rsidRPr="004E6854">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-405130</wp:posOffset>
          </wp:positionH>
          <wp:positionV relativeFrom="paragraph">
            <wp:posOffset>0</wp:posOffset>
          </wp:positionV>
          <wp:extent cx="752475" cy="752475"/>
          <wp:effectExtent l="0" t="0" r="9525" b="9525"/>
          <wp:wrapNone/>
          <wp:docPr id="1835569299" name="Picture 18355692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69299"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854">
      <w:rPr>
        <w:rFonts w:ascii="Times New Roman" w:hAnsi="Times New Roman" w:cs="Times New Roman"/>
        <w:sz w:val="28"/>
      </w:rPr>
      <w:t>Federal Communications Commission</w:t>
    </w:r>
  </w:p>
  <w:p w:rsidR="003E75D7" w:rsidRPr="004E6854" w:rsidP="001B7CF4" w14:paraId="23046AF5" w14:textId="6C024D0E">
    <w:pPr>
      <w:pStyle w:val="Header"/>
      <w:spacing w:line="228" w:lineRule="auto"/>
      <w:rPr>
        <w:rFonts w:ascii="Times New Roman" w:hAnsi="Times New Roman" w:cs="Times New Roman"/>
      </w:rPr>
    </w:pPr>
    <w:r>
      <w:rPr>
        <w:rFonts w:ascii="Times New Roman" w:hAnsi="Times New Roman" w:cs="Times New Roman"/>
        <w:sz w:val="28"/>
      </w:rPr>
      <w:tab/>
    </w:r>
    <w:r w:rsidRPr="004E6854">
      <w:rPr>
        <w:rFonts w:ascii="Times New Roman" w:hAnsi="Times New Roman" w:cs="Times New Roman"/>
        <w:sz w:val="28"/>
      </w:rPr>
      <w:t>Washington, D.C. 20554</w:t>
    </w:r>
  </w:p>
  <w:p w:rsidR="003E75D7" w:rsidRPr="004E6854" w:rsidP="00846FEB" w14:paraId="2D1427FB" w14:textId="77777777">
    <w:pPr>
      <w:pStyle w:val="Header"/>
      <w:rPr>
        <w:rFonts w:ascii="Times New Roman" w:hAnsi="Times New Roman" w:cs="Times New Roman"/>
      </w:rPr>
    </w:pPr>
  </w:p>
  <w:p w:rsidR="003E75D7" w:rsidRPr="00846FEB" w:rsidP="00846FEB" w14:paraId="629B0F79" w14:textId="2BA8D44A">
    <w:pPr>
      <w:pStyle w:val="Header"/>
      <w:jc w:val="center"/>
      <w:rPr>
        <w:rFonts w:ascii="Times New Roman" w:hAnsi="Times New Roman" w:cs="Times New Roman"/>
        <w:sz w:val="24"/>
      </w:rPr>
    </w:pPr>
    <w:r>
      <w:rPr>
        <w:rFonts w:ascii="Times New Roman" w:hAnsi="Times New Roman" w:cs="Times New Roman"/>
        <w:sz w:val="24"/>
      </w:rPr>
      <w:t>February</w:t>
    </w:r>
    <w:r w:rsidR="00581E3C">
      <w:rPr>
        <w:rFonts w:ascii="Times New Roman" w:hAnsi="Times New Roman" w:cs="Times New Roman"/>
        <w:sz w:val="24"/>
      </w:rPr>
      <w:t xml:space="preserve"> </w:t>
    </w:r>
    <w:r w:rsidR="00301192">
      <w:rPr>
        <w:rFonts w:ascii="Times New Roman" w:hAnsi="Times New Roman" w:cs="Times New Roman"/>
        <w:sz w:val="24"/>
      </w:rPr>
      <w:t>29</w:t>
    </w:r>
    <w:r w:rsidR="00581E3C">
      <w:rPr>
        <w:rFonts w:ascii="Times New Roman" w:hAnsi="Times New Roman" w:cs="Times New Roman"/>
        <w:sz w:val="24"/>
      </w:rPr>
      <w:t>, 202</w:t>
    </w:r>
    <w:r w:rsidR="00814C65">
      <w:rPr>
        <w:rFonts w:ascii="Times New Roman" w:hAnsi="Times New Roman" w:cs="Times New Roman"/>
        <w:sz w:val="24"/>
      </w:rPr>
      <w:t>4</w:t>
    </w:r>
  </w:p>
  <w:p w:rsidR="003E75D7" w14:paraId="69A71DE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6770941D" w14:textId="77777777">
    <w:pPr>
      <w:pStyle w:val="Header"/>
      <w:spacing w:before="360" w:line="228"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770941E"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877FF"/>
    <w:multiLevelType w:val="hybridMultilevel"/>
    <w:tmpl w:val="27F89D5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360145"/>
    <w:multiLevelType w:val="hybridMultilevel"/>
    <w:tmpl w:val="7AD48DC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BF416A0"/>
    <w:multiLevelType w:val="hybridMultilevel"/>
    <w:tmpl w:val="6E8ECB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42A2A52"/>
    <w:multiLevelType w:val="hybridMultilevel"/>
    <w:tmpl w:val="67CA0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7F72E66"/>
    <w:multiLevelType w:val="hybridMultilevel"/>
    <w:tmpl w:val="61186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AF3541"/>
    <w:multiLevelType w:val="hybridMultilevel"/>
    <w:tmpl w:val="E1CA9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110E86"/>
    <w:multiLevelType w:val="hybridMultilevel"/>
    <w:tmpl w:val="DC264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431406"/>
    <w:multiLevelType w:val="hybridMultilevel"/>
    <w:tmpl w:val="419436F4"/>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3CB697E"/>
    <w:multiLevelType w:val="hybridMultilevel"/>
    <w:tmpl w:val="E63895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49458C1"/>
    <w:multiLevelType w:val="hybridMultilevel"/>
    <w:tmpl w:val="E85CD6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6"/>
  </w:num>
  <w:num w:numId="5">
    <w:abstractNumId w:val="20"/>
  </w:num>
  <w:num w:numId="6">
    <w:abstractNumId w:val="10"/>
  </w:num>
  <w:num w:numId="7">
    <w:abstractNumId w:val="4"/>
  </w:num>
  <w:num w:numId="8">
    <w:abstractNumId w:val="18"/>
  </w:num>
  <w:num w:numId="9">
    <w:abstractNumId w:val="14"/>
  </w:num>
  <w:num w:numId="10">
    <w:abstractNumId w:val="5"/>
  </w:num>
  <w:num w:numId="11">
    <w:abstractNumId w:val="11"/>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3"/>
    </w:lvlOverride>
  </w:num>
  <w:num w:numId="14">
    <w:abstractNumId w:val="21"/>
  </w:num>
  <w:num w:numId="15">
    <w:abstractNumId w:val="12"/>
  </w:num>
  <w:num w:numId="16">
    <w:abstractNumId w:val="8"/>
  </w:num>
  <w:num w:numId="17">
    <w:abstractNumId w:val="19"/>
  </w:num>
  <w:num w:numId="18">
    <w:abstractNumId w:val="2"/>
  </w:num>
  <w:num w:numId="19">
    <w:abstractNumId w:val="15"/>
  </w:num>
  <w:num w:numId="20">
    <w:abstractNumId w:val="0"/>
  </w:num>
  <w:num w:numId="21">
    <w:abstractNumId w:val="3"/>
  </w:num>
  <w:num w:numId="22">
    <w:abstractNumId w:val="18"/>
  </w:num>
  <w:num w:numId="23">
    <w:abstractNumId w:val="18"/>
  </w:num>
  <w:num w:numId="24">
    <w:abstractNumId w:val="18"/>
  </w:num>
  <w:num w:numId="25">
    <w:abstractNumId w:val="18"/>
  </w:num>
  <w:num w:numId="26">
    <w:abstractNumId w:val="18"/>
  </w:num>
  <w:num w:numId="27">
    <w:abstractNumId w:val="13"/>
  </w:num>
  <w:num w:numId="28">
    <w:abstractNumId w:val="18"/>
  </w:num>
  <w:num w:numId="29">
    <w:abstractNumId w:val="18"/>
  </w:num>
  <w:num w:numId="30">
    <w:abstractNumId w:val="18"/>
  </w:num>
  <w:num w:numId="31">
    <w:abstractNumId w:val="18"/>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23EE"/>
    <w:rsid w:val="0000705E"/>
    <w:rsid w:val="00011DA9"/>
    <w:rsid w:val="00013982"/>
    <w:rsid w:val="0001453A"/>
    <w:rsid w:val="00025AB0"/>
    <w:rsid w:val="000273B2"/>
    <w:rsid w:val="0003033B"/>
    <w:rsid w:val="000320CC"/>
    <w:rsid w:val="00034878"/>
    <w:rsid w:val="000517A1"/>
    <w:rsid w:val="00052976"/>
    <w:rsid w:val="000601FD"/>
    <w:rsid w:val="000622B0"/>
    <w:rsid w:val="00065527"/>
    <w:rsid w:val="00066CB4"/>
    <w:rsid w:val="00071F9F"/>
    <w:rsid w:val="00074123"/>
    <w:rsid w:val="00074CA4"/>
    <w:rsid w:val="00075784"/>
    <w:rsid w:val="00082B4E"/>
    <w:rsid w:val="000840BD"/>
    <w:rsid w:val="00087BBD"/>
    <w:rsid w:val="000905FF"/>
    <w:rsid w:val="00091369"/>
    <w:rsid w:val="0009430B"/>
    <w:rsid w:val="00097DEA"/>
    <w:rsid w:val="000B125D"/>
    <w:rsid w:val="000B287C"/>
    <w:rsid w:val="000B6768"/>
    <w:rsid w:val="000B79AD"/>
    <w:rsid w:val="000B7E9D"/>
    <w:rsid w:val="000C04F8"/>
    <w:rsid w:val="000C0DD4"/>
    <w:rsid w:val="000C1FA6"/>
    <w:rsid w:val="000C4C70"/>
    <w:rsid w:val="000C6669"/>
    <w:rsid w:val="000C7709"/>
    <w:rsid w:val="000D0732"/>
    <w:rsid w:val="000D28AA"/>
    <w:rsid w:val="000D2F0F"/>
    <w:rsid w:val="000D790A"/>
    <w:rsid w:val="000D7DA0"/>
    <w:rsid w:val="000E116E"/>
    <w:rsid w:val="000E2E09"/>
    <w:rsid w:val="000E43A2"/>
    <w:rsid w:val="000E4E16"/>
    <w:rsid w:val="000F1875"/>
    <w:rsid w:val="000F616D"/>
    <w:rsid w:val="000F7BE7"/>
    <w:rsid w:val="00110DB4"/>
    <w:rsid w:val="00115515"/>
    <w:rsid w:val="00116EB8"/>
    <w:rsid w:val="00121A4A"/>
    <w:rsid w:val="00131CCC"/>
    <w:rsid w:val="00132323"/>
    <w:rsid w:val="001338B0"/>
    <w:rsid w:val="00133D08"/>
    <w:rsid w:val="001351BF"/>
    <w:rsid w:val="001364A1"/>
    <w:rsid w:val="00152909"/>
    <w:rsid w:val="001544BD"/>
    <w:rsid w:val="0015771C"/>
    <w:rsid w:val="00163F84"/>
    <w:rsid w:val="00164FC5"/>
    <w:rsid w:val="00173AB8"/>
    <w:rsid w:val="001743EF"/>
    <w:rsid w:val="0017768C"/>
    <w:rsid w:val="00193A9C"/>
    <w:rsid w:val="00195723"/>
    <w:rsid w:val="001961AA"/>
    <w:rsid w:val="001970B0"/>
    <w:rsid w:val="001A0B07"/>
    <w:rsid w:val="001A1EAC"/>
    <w:rsid w:val="001A2779"/>
    <w:rsid w:val="001A77E0"/>
    <w:rsid w:val="001B7CF4"/>
    <w:rsid w:val="001C3C25"/>
    <w:rsid w:val="001C622D"/>
    <w:rsid w:val="001D0D51"/>
    <w:rsid w:val="001D11BC"/>
    <w:rsid w:val="001D21B4"/>
    <w:rsid w:val="001D611A"/>
    <w:rsid w:val="001D6690"/>
    <w:rsid w:val="001D6725"/>
    <w:rsid w:val="001E61CA"/>
    <w:rsid w:val="001E6277"/>
    <w:rsid w:val="001E70C1"/>
    <w:rsid w:val="001E7B1D"/>
    <w:rsid w:val="001F6DAA"/>
    <w:rsid w:val="002102CE"/>
    <w:rsid w:val="002156B6"/>
    <w:rsid w:val="002237DA"/>
    <w:rsid w:val="00230205"/>
    <w:rsid w:val="00230CCB"/>
    <w:rsid w:val="00233B90"/>
    <w:rsid w:val="00233CFA"/>
    <w:rsid w:val="00234F83"/>
    <w:rsid w:val="00243CE9"/>
    <w:rsid w:val="00244AA3"/>
    <w:rsid w:val="00247E1B"/>
    <w:rsid w:val="0025021A"/>
    <w:rsid w:val="00253785"/>
    <w:rsid w:val="00263D5E"/>
    <w:rsid w:val="0027032C"/>
    <w:rsid w:val="0027216A"/>
    <w:rsid w:val="0027606A"/>
    <w:rsid w:val="002766E1"/>
    <w:rsid w:val="002772CC"/>
    <w:rsid w:val="00280147"/>
    <w:rsid w:val="00280EC6"/>
    <w:rsid w:val="00281261"/>
    <w:rsid w:val="00282849"/>
    <w:rsid w:val="00286EA8"/>
    <w:rsid w:val="00287901"/>
    <w:rsid w:val="00290B6C"/>
    <w:rsid w:val="00292357"/>
    <w:rsid w:val="002973BD"/>
    <w:rsid w:val="002A1167"/>
    <w:rsid w:val="002A2311"/>
    <w:rsid w:val="002A359D"/>
    <w:rsid w:val="002A57BD"/>
    <w:rsid w:val="002A73FE"/>
    <w:rsid w:val="002B11B3"/>
    <w:rsid w:val="002B199F"/>
    <w:rsid w:val="002B6FD0"/>
    <w:rsid w:val="002C1EA9"/>
    <w:rsid w:val="002C4B1C"/>
    <w:rsid w:val="002D04F1"/>
    <w:rsid w:val="002D0DED"/>
    <w:rsid w:val="002D3970"/>
    <w:rsid w:val="002E1020"/>
    <w:rsid w:val="002E216A"/>
    <w:rsid w:val="002E5F4B"/>
    <w:rsid w:val="002F051D"/>
    <w:rsid w:val="002F4B0B"/>
    <w:rsid w:val="002F5A9D"/>
    <w:rsid w:val="002F683E"/>
    <w:rsid w:val="002F6F66"/>
    <w:rsid w:val="002F7376"/>
    <w:rsid w:val="00301192"/>
    <w:rsid w:val="003017A1"/>
    <w:rsid w:val="00302329"/>
    <w:rsid w:val="00313E2A"/>
    <w:rsid w:val="00313E57"/>
    <w:rsid w:val="003149AB"/>
    <w:rsid w:val="003172B5"/>
    <w:rsid w:val="00317C74"/>
    <w:rsid w:val="00320D58"/>
    <w:rsid w:val="00321E7D"/>
    <w:rsid w:val="00322955"/>
    <w:rsid w:val="00330480"/>
    <w:rsid w:val="0033200C"/>
    <w:rsid w:val="003322AF"/>
    <w:rsid w:val="00334EB4"/>
    <w:rsid w:val="00335A6A"/>
    <w:rsid w:val="003423E5"/>
    <w:rsid w:val="00343108"/>
    <w:rsid w:val="0034659A"/>
    <w:rsid w:val="003517AE"/>
    <w:rsid w:val="00353650"/>
    <w:rsid w:val="00353B31"/>
    <w:rsid w:val="00356327"/>
    <w:rsid w:val="00364D35"/>
    <w:rsid w:val="00367858"/>
    <w:rsid w:val="00367DFA"/>
    <w:rsid w:val="00370D08"/>
    <w:rsid w:val="003733F4"/>
    <w:rsid w:val="00375CF9"/>
    <w:rsid w:val="003837F4"/>
    <w:rsid w:val="003963F0"/>
    <w:rsid w:val="003A4B69"/>
    <w:rsid w:val="003B6038"/>
    <w:rsid w:val="003B7D41"/>
    <w:rsid w:val="003D1129"/>
    <w:rsid w:val="003D1B5B"/>
    <w:rsid w:val="003D226E"/>
    <w:rsid w:val="003D61D0"/>
    <w:rsid w:val="003D74EC"/>
    <w:rsid w:val="003E344A"/>
    <w:rsid w:val="003E75D7"/>
    <w:rsid w:val="003F1DFC"/>
    <w:rsid w:val="003F5CB7"/>
    <w:rsid w:val="003F754E"/>
    <w:rsid w:val="00400050"/>
    <w:rsid w:val="004008B8"/>
    <w:rsid w:val="00400FF1"/>
    <w:rsid w:val="0040311E"/>
    <w:rsid w:val="00411719"/>
    <w:rsid w:val="00411EF3"/>
    <w:rsid w:val="004126D5"/>
    <w:rsid w:val="0041380C"/>
    <w:rsid w:val="00417062"/>
    <w:rsid w:val="00420F9F"/>
    <w:rsid w:val="004234B0"/>
    <w:rsid w:val="00423AE5"/>
    <w:rsid w:val="00432AAB"/>
    <w:rsid w:val="00445C02"/>
    <w:rsid w:val="00451BEA"/>
    <w:rsid w:val="00457316"/>
    <w:rsid w:val="00463A2A"/>
    <w:rsid w:val="004740BF"/>
    <w:rsid w:val="004749A4"/>
    <w:rsid w:val="00476F70"/>
    <w:rsid w:val="0048074B"/>
    <w:rsid w:val="00485452"/>
    <w:rsid w:val="00485B77"/>
    <w:rsid w:val="00486802"/>
    <w:rsid w:val="00490574"/>
    <w:rsid w:val="00491BFC"/>
    <w:rsid w:val="00491D54"/>
    <w:rsid w:val="00491F77"/>
    <w:rsid w:val="004A2AFD"/>
    <w:rsid w:val="004A4C5C"/>
    <w:rsid w:val="004A706A"/>
    <w:rsid w:val="004B2D91"/>
    <w:rsid w:val="004B6491"/>
    <w:rsid w:val="004B7242"/>
    <w:rsid w:val="004C6069"/>
    <w:rsid w:val="004D6BE6"/>
    <w:rsid w:val="004E4AF0"/>
    <w:rsid w:val="004E57A3"/>
    <w:rsid w:val="004E6854"/>
    <w:rsid w:val="004E6F09"/>
    <w:rsid w:val="004F1765"/>
    <w:rsid w:val="004F3108"/>
    <w:rsid w:val="004F373A"/>
    <w:rsid w:val="004F68F6"/>
    <w:rsid w:val="004F7481"/>
    <w:rsid w:val="005008FB"/>
    <w:rsid w:val="005024CC"/>
    <w:rsid w:val="00504834"/>
    <w:rsid w:val="00504A2F"/>
    <w:rsid w:val="0050544C"/>
    <w:rsid w:val="00505B6C"/>
    <w:rsid w:val="00505CCD"/>
    <w:rsid w:val="00511023"/>
    <w:rsid w:val="00514667"/>
    <w:rsid w:val="00520B61"/>
    <w:rsid w:val="00521418"/>
    <w:rsid w:val="0052249E"/>
    <w:rsid w:val="005275C1"/>
    <w:rsid w:val="00527F85"/>
    <w:rsid w:val="00541391"/>
    <w:rsid w:val="00541F43"/>
    <w:rsid w:val="005449FD"/>
    <w:rsid w:val="00551425"/>
    <w:rsid w:val="00564B97"/>
    <w:rsid w:val="00565B75"/>
    <w:rsid w:val="005717FB"/>
    <w:rsid w:val="00574411"/>
    <w:rsid w:val="005757AF"/>
    <w:rsid w:val="00581E3C"/>
    <w:rsid w:val="00582F48"/>
    <w:rsid w:val="00583ACB"/>
    <w:rsid w:val="005869BB"/>
    <w:rsid w:val="005944DF"/>
    <w:rsid w:val="005A5D23"/>
    <w:rsid w:val="005A6E51"/>
    <w:rsid w:val="005A7330"/>
    <w:rsid w:val="005B3852"/>
    <w:rsid w:val="005B6E80"/>
    <w:rsid w:val="005B6FAD"/>
    <w:rsid w:val="005C1817"/>
    <w:rsid w:val="005C5B4E"/>
    <w:rsid w:val="005C7C48"/>
    <w:rsid w:val="005D717B"/>
    <w:rsid w:val="005E02D9"/>
    <w:rsid w:val="005E2D3F"/>
    <w:rsid w:val="005E3606"/>
    <w:rsid w:val="005E3EC7"/>
    <w:rsid w:val="005E473A"/>
    <w:rsid w:val="005E4F00"/>
    <w:rsid w:val="005E50D5"/>
    <w:rsid w:val="005E70B7"/>
    <w:rsid w:val="005F78F7"/>
    <w:rsid w:val="00602075"/>
    <w:rsid w:val="006046BF"/>
    <w:rsid w:val="00606985"/>
    <w:rsid w:val="00606D56"/>
    <w:rsid w:val="00610B56"/>
    <w:rsid w:val="006175DB"/>
    <w:rsid w:val="00621E94"/>
    <w:rsid w:val="00622912"/>
    <w:rsid w:val="00623785"/>
    <w:rsid w:val="00632E73"/>
    <w:rsid w:val="00633473"/>
    <w:rsid w:val="00635AEA"/>
    <w:rsid w:val="00637613"/>
    <w:rsid w:val="00643552"/>
    <w:rsid w:val="00650FD9"/>
    <w:rsid w:val="00654157"/>
    <w:rsid w:val="00657EA8"/>
    <w:rsid w:val="00661561"/>
    <w:rsid w:val="0067119C"/>
    <w:rsid w:val="0067392B"/>
    <w:rsid w:val="0067511B"/>
    <w:rsid w:val="00676650"/>
    <w:rsid w:val="00677244"/>
    <w:rsid w:val="00677F81"/>
    <w:rsid w:val="00681963"/>
    <w:rsid w:val="00683572"/>
    <w:rsid w:val="00683C2E"/>
    <w:rsid w:val="00685DDE"/>
    <w:rsid w:val="006930D4"/>
    <w:rsid w:val="00694F3A"/>
    <w:rsid w:val="00694F82"/>
    <w:rsid w:val="006A0193"/>
    <w:rsid w:val="006A5AB8"/>
    <w:rsid w:val="006B2B0F"/>
    <w:rsid w:val="006B3C3D"/>
    <w:rsid w:val="006B4F31"/>
    <w:rsid w:val="006B5216"/>
    <w:rsid w:val="006B60FD"/>
    <w:rsid w:val="006B6481"/>
    <w:rsid w:val="006C262F"/>
    <w:rsid w:val="006C2E70"/>
    <w:rsid w:val="006C55AF"/>
    <w:rsid w:val="006D18F2"/>
    <w:rsid w:val="006D76EB"/>
    <w:rsid w:val="006E222F"/>
    <w:rsid w:val="006E50A3"/>
    <w:rsid w:val="006E542F"/>
    <w:rsid w:val="006E7B42"/>
    <w:rsid w:val="006F03D8"/>
    <w:rsid w:val="006F0ECC"/>
    <w:rsid w:val="006F117F"/>
    <w:rsid w:val="006F2901"/>
    <w:rsid w:val="006F411B"/>
    <w:rsid w:val="00700B18"/>
    <w:rsid w:val="00701319"/>
    <w:rsid w:val="0071360D"/>
    <w:rsid w:val="00716724"/>
    <w:rsid w:val="007342F4"/>
    <w:rsid w:val="00734B5A"/>
    <w:rsid w:val="00735330"/>
    <w:rsid w:val="00740ED6"/>
    <w:rsid w:val="007536B0"/>
    <w:rsid w:val="007624E3"/>
    <w:rsid w:val="00764FA2"/>
    <w:rsid w:val="00765296"/>
    <w:rsid w:val="00765ABD"/>
    <w:rsid w:val="0077270A"/>
    <w:rsid w:val="007738A7"/>
    <w:rsid w:val="00775673"/>
    <w:rsid w:val="00777ECC"/>
    <w:rsid w:val="00780699"/>
    <w:rsid w:val="0078521B"/>
    <w:rsid w:val="00791348"/>
    <w:rsid w:val="00793C7C"/>
    <w:rsid w:val="007A1362"/>
    <w:rsid w:val="007A138B"/>
    <w:rsid w:val="007B20AC"/>
    <w:rsid w:val="007B35E3"/>
    <w:rsid w:val="007B429B"/>
    <w:rsid w:val="007C0CC3"/>
    <w:rsid w:val="007C5016"/>
    <w:rsid w:val="007C6805"/>
    <w:rsid w:val="007D3F8A"/>
    <w:rsid w:val="007D61EC"/>
    <w:rsid w:val="007D75AA"/>
    <w:rsid w:val="007E1CC7"/>
    <w:rsid w:val="007E3774"/>
    <w:rsid w:val="007E64DB"/>
    <w:rsid w:val="007F0A80"/>
    <w:rsid w:val="008104E2"/>
    <w:rsid w:val="00814C65"/>
    <w:rsid w:val="008178D8"/>
    <w:rsid w:val="008205A0"/>
    <w:rsid w:val="00821520"/>
    <w:rsid w:val="0082233E"/>
    <w:rsid w:val="008227E1"/>
    <w:rsid w:val="00831688"/>
    <w:rsid w:val="008361BE"/>
    <w:rsid w:val="0084286B"/>
    <w:rsid w:val="00846FEB"/>
    <w:rsid w:val="008526CF"/>
    <w:rsid w:val="008571B3"/>
    <w:rsid w:val="00861DF0"/>
    <w:rsid w:val="00864203"/>
    <w:rsid w:val="00864D00"/>
    <w:rsid w:val="00883728"/>
    <w:rsid w:val="00897CAF"/>
    <w:rsid w:val="008A0500"/>
    <w:rsid w:val="008A65E4"/>
    <w:rsid w:val="008A7ED9"/>
    <w:rsid w:val="008B1892"/>
    <w:rsid w:val="008B2FB6"/>
    <w:rsid w:val="008B359A"/>
    <w:rsid w:val="008B4C8B"/>
    <w:rsid w:val="008B650E"/>
    <w:rsid w:val="008C3B06"/>
    <w:rsid w:val="008C64DE"/>
    <w:rsid w:val="008C6BD1"/>
    <w:rsid w:val="008D4AA5"/>
    <w:rsid w:val="008E2841"/>
    <w:rsid w:val="008F02BA"/>
    <w:rsid w:val="008F3800"/>
    <w:rsid w:val="008F4C1C"/>
    <w:rsid w:val="00921837"/>
    <w:rsid w:val="00927D63"/>
    <w:rsid w:val="00934FA6"/>
    <w:rsid w:val="00935E10"/>
    <w:rsid w:val="009464B8"/>
    <w:rsid w:val="009477DB"/>
    <w:rsid w:val="0095028B"/>
    <w:rsid w:val="0095132F"/>
    <w:rsid w:val="00951C24"/>
    <w:rsid w:val="009557C3"/>
    <w:rsid w:val="00956456"/>
    <w:rsid w:val="00962284"/>
    <w:rsid w:val="00965C1D"/>
    <w:rsid w:val="00972776"/>
    <w:rsid w:val="00972B46"/>
    <w:rsid w:val="00973C0D"/>
    <w:rsid w:val="0097413E"/>
    <w:rsid w:val="009827ED"/>
    <w:rsid w:val="00986928"/>
    <w:rsid w:val="0099590C"/>
    <w:rsid w:val="00996590"/>
    <w:rsid w:val="009A3E24"/>
    <w:rsid w:val="009A56C3"/>
    <w:rsid w:val="009A61EC"/>
    <w:rsid w:val="009B3815"/>
    <w:rsid w:val="009B41FC"/>
    <w:rsid w:val="009B749A"/>
    <w:rsid w:val="009C0BDE"/>
    <w:rsid w:val="009C1B5C"/>
    <w:rsid w:val="009C2A3A"/>
    <w:rsid w:val="009C40A8"/>
    <w:rsid w:val="009C5AF7"/>
    <w:rsid w:val="009C7F6E"/>
    <w:rsid w:val="009D36A9"/>
    <w:rsid w:val="009D5B00"/>
    <w:rsid w:val="009E2964"/>
    <w:rsid w:val="009E4BA3"/>
    <w:rsid w:val="009E54BB"/>
    <w:rsid w:val="009F1DA4"/>
    <w:rsid w:val="009F347A"/>
    <w:rsid w:val="009F688B"/>
    <w:rsid w:val="009F7598"/>
    <w:rsid w:val="00A06C83"/>
    <w:rsid w:val="00A105A2"/>
    <w:rsid w:val="00A12AAA"/>
    <w:rsid w:val="00A17110"/>
    <w:rsid w:val="00A215D3"/>
    <w:rsid w:val="00A22487"/>
    <w:rsid w:val="00A41A97"/>
    <w:rsid w:val="00A422B6"/>
    <w:rsid w:val="00A43DFD"/>
    <w:rsid w:val="00A5424A"/>
    <w:rsid w:val="00A675C2"/>
    <w:rsid w:val="00A67916"/>
    <w:rsid w:val="00A800D7"/>
    <w:rsid w:val="00A9149A"/>
    <w:rsid w:val="00A924B7"/>
    <w:rsid w:val="00A93C17"/>
    <w:rsid w:val="00A958E7"/>
    <w:rsid w:val="00A96765"/>
    <w:rsid w:val="00AA0187"/>
    <w:rsid w:val="00AA2D17"/>
    <w:rsid w:val="00AA34B7"/>
    <w:rsid w:val="00AA7D23"/>
    <w:rsid w:val="00AB10ED"/>
    <w:rsid w:val="00AB1D1E"/>
    <w:rsid w:val="00AB1E95"/>
    <w:rsid w:val="00AB205D"/>
    <w:rsid w:val="00AC1A95"/>
    <w:rsid w:val="00AC272C"/>
    <w:rsid w:val="00AC4044"/>
    <w:rsid w:val="00AC5039"/>
    <w:rsid w:val="00AC6478"/>
    <w:rsid w:val="00AD0BD0"/>
    <w:rsid w:val="00AD1EA3"/>
    <w:rsid w:val="00AD7A25"/>
    <w:rsid w:val="00AE0CC9"/>
    <w:rsid w:val="00AF1EEB"/>
    <w:rsid w:val="00B039E2"/>
    <w:rsid w:val="00B0585E"/>
    <w:rsid w:val="00B06681"/>
    <w:rsid w:val="00B06D94"/>
    <w:rsid w:val="00B06F2B"/>
    <w:rsid w:val="00B10762"/>
    <w:rsid w:val="00B12C82"/>
    <w:rsid w:val="00B156BC"/>
    <w:rsid w:val="00B15ED8"/>
    <w:rsid w:val="00B20509"/>
    <w:rsid w:val="00B32C7D"/>
    <w:rsid w:val="00B34540"/>
    <w:rsid w:val="00B415C4"/>
    <w:rsid w:val="00B453A9"/>
    <w:rsid w:val="00B47D0B"/>
    <w:rsid w:val="00B62463"/>
    <w:rsid w:val="00B629FE"/>
    <w:rsid w:val="00B6630C"/>
    <w:rsid w:val="00B67FCE"/>
    <w:rsid w:val="00B7401E"/>
    <w:rsid w:val="00B75795"/>
    <w:rsid w:val="00B8024D"/>
    <w:rsid w:val="00B81F96"/>
    <w:rsid w:val="00B849ED"/>
    <w:rsid w:val="00B85F24"/>
    <w:rsid w:val="00B9146C"/>
    <w:rsid w:val="00B93D89"/>
    <w:rsid w:val="00B93F89"/>
    <w:rsid w:val="00BA1697"/>
    <w:rsid w:val="00BA219C"/>
    <w:rsid w:val="00BA246F"/>
    <w:rsid w:val="00BA288D"/>
    <w:rsid w:val="00BA4F7D"/>
    <w:rsid w:val="00BA723A"/>
    <w:rsid w:val="00BB1633"/>
    <w:rsid w:val="00BC5696"/>
    <w:rsid w:val="00BD099F"/>
    <w:rsid w:val="00BD28D6"/>
    <w:rsid w:val="00BF51F0"/>
    <w:rsid w:val="00C0420D"/>
    <w:rsid w:val="00C120E1"/>
    <w:rsid w:val="00C13756"/>
    <w:rsid w:val="00C14BC4"/>
    <w:rsid w:val="00C16286"/>
    <w:rsid w:val="00C235FA"/>
    <w:rsid w:val="00C23A89"/>
    <w:rsid w:val="00C23B71"/>
    <w:rsid w:val="00C24E35"/>
    <w:rsid w:val="00C25009"/>
    <w:rsid w:val="00C33F86"/>
    <w:rsid w:val="00C34EA5"/>
    <w:rsid w:val="00C367CB"/>
    <w:rsid w:val="00C37A89"/>
    <w:rsid w:val="00C37AC8"/>
    <w:rsid w:val="00C37EF3"/>
    <w:rsid w:val="00C419A9"/>
    <w:rsid w:val="00C47CEF"/>
    <w:rsid w:val="00C5062A"/>
    <w:rsid w:val="00C6614C"/>
    <w:rsid w:val="00C67CA7"/>
    <w:rsid w:val="00C7601E"/>
    <w:rsid w:val="00C84167"/>
    <w:rsid w:val="00C85A6F"/>
    <w:rsid w:val="00C9263A"/>
    <w:rsid w:val="00C93B2B"/>
    <w:rsid w:val="00C949B5"/>
    <w:rsid w:val="00C95DBB"/>
    <w:rsid w:val="00CA459D"/>
    <w:rsid w:val="00CA70A1"/>
    <w:rsid w:val="00CB1B5A"/>
    <w:rsid w:val="00CB43FE"/>
    <w:rsid w:val="00CC1EC9"/>
    <w:rsid w:val="00CC3D0F"/>
    <w:rsid w:val="00CC7874"/>
    <w:rsid w:val="00CD59E5"/>
    <w:rsid w:val="00CD624E"/>
    <w:rsid w:val="00CE0822"/>
    <w:rsid w:val="00CE24E8"/>
    <w:rsid w:val="00CE4552"/>
    <w:rsid w:val="00D00DF8"/>
    <w:rsid w:val="00D02A8A"/>
    <w:rsid w:val="00D03495"/>
    <w:rsid w:val="00D05FC7"/>
    <w:rsid w:val="00D13345"/>
    <w:rsid w:val="00D24934"/>
    <w:rsid w:val="00D262C5"/>
    <w:rsid w:val="00D3573A"/>
    <w:rsid w:val="00D37518"/>
    <w:rsid w:val="00D37B66"/>
    <w:rsid w:val="00D42EA4"/>
    <w:rsid w:val="00D43CB2"/>
    <w:rsid w:val="00D4618C"/>
    <w:rsid w:val="00D47DB5"/>
    <w:rsid w:val="00D50279"/>
    <w:rsid w:val="00D5222F"/>
    <w:rsid w:val="00D5380F"/>
    <w:rsid w:val="00D61061"/>
    <w:rsid w:val="00D61721"/>
    <w:rsid w:val="00D661E5"/>
    <w:rsid w:val="00D67A31"/>
    <w:rsid w:val="00D67C38"/>
    <w:rsid w:val="00D81F5F"/>
    <w:rsid w:val="00D848F5"/>
    <w:rsid w:val="00D96893"/>
    <w:rsid w:val="00DA1620"/>
    <w:rsid w:val="00DA51FF"/>
    <w:rsid w:val="00DA673B"/>
    <w:rsid w:val="00DA6B99"/>
    <w:rsid w:val="00DB034E"/>
    <w:rsid w:val="00DB0BA0"/>
    <w:rsid w:val="00DB31E8"/>
    <w:rsid w:val="00DB4D1A"/>
    <w:rsid w:val="00DB784D"/>
    <w:rsid w:val="00DC1976"/>
    <w:rsid w:val="00DC3E81"/>
    <w:rsid w:val="00DC498E"/>
    <w:rsid w:val="00DC5B9C"/>
    <w:rsid w:val="00DC6C95"/>
    <w:rsid w:val="00DD2774"/>
    <w:rsid w:val="00DE0E77"/>
    <w:rsid w:val="00DE1EBF"/>
    <w:rsid w:val="00DE567B"/>
    <w:rsid w:val="00DE653F"/>
    <w:rsid w:val="00E154FC"/>
    <w:rsid w:val="00E2092F"/>
    <w:rsid w:val="00E25752"/>
    <w:rsid w:val="00E25B0B"/>
    <w:rsid w:val="00E3052E"/>
    <w:rsid w:val="00E3062C"/>
    <w:rsid w:val="00E37A26"/>
    <w:rsid w:val="00E432AB"/>
    <w:rsid w:val="00E446F0"/>
    <w:rsid w:val="00E44835"/>
    <w:rsid w:val="00E47D90"/>
    <w:rsid w:val="00E532F0"/>
    <w:rsid w:val="00E55A71"/>
    <w:rsid w:val="00E56A46"/>
    <w:rsid w:val="00E61CE2"/>
    <w:rsid w:val="00E64E47"/>
    <w:rsid w:val="00E6683B"/>
    <w:rsid w:val="00E92430"/>
    <w:rsid w:val="00E97A21"/>
    <w:rsid w:val="00EA20A6"/>
    <w:rsid w:val="00EA3D59"/>
    <w:rsid w:val="00EA4DD4"/>
    <w:rsid w:val="00EA767D"/>
    <w:rsid w:val="00EB2506"/>
    <w:rsid w:val="00EB64E6"/>
    <w:rsid w:val="00EC30F1"/>
    <w:rsid w:val="00EC3871"/>
    <w:rsid w:val="00EC680B"/>
    <w:rsid w:val="00EC6C76"/>
    <w:rsid w:val="00EC723E"/>
    <w:rsid w:val="00ED5EC2"/>
    <w:rsid w:val="00ED606F"/>
    <w:rsid w:val="00ED6661"/>
    <w:rsid w:val="00ED7745"/>
    <w:rsid w:val="00EE350D"/>
    <w:rsid w:val="00EE393D"/>
    <w:rsid w:val="00EE63F9"/>
    <w:rsid w:val="00EF3032"/>
    <w:rsid w:val="00EF4B82"/>
    <w:rsid w:val="00EF5F90"/>
    <w:rsid w:val="00EF6442"/>
    <w:rsid w:val="00EF7FBB"/>
    <w:rsid w:val="00F02335"/>
    <w:rsid w:val="00F0469C"/>
    <w:rsid w:val="00F10035"/>
    <w:rsid w:val="00F1379B"/>
    <w:rsid w:val="00F1745D"/>
    <w:rsid w:val="00F242EA"/>
    <w:rsid w:val="00F25963"/>
    <w:rsid w:val="00F27D22"/>
    <w:rsid w:val="00F27FC8"/>
    <w:rsid w:val="00F306FA"/>
    <w:rsid w:val="00F31BB9"/>
    <w:rsid w:val="00F41273"/>
    <w:rsid w:val="00F426F6"/>
    <w:rsid w:val="00F4281B"/>
    <w:rsid w:val="00F445A1"/>
    <w:rsid w:val="00F4551F"/>
    <w:rsid w:val="00F60FFE"/>
    <w:rsid w:val="00F67BC0"/>
    <w:rsid w:val="00F70E5E"/>
    <w:rsid w:val="00F71410"/>
    <w:rsid w:val="00F75BD2"/>
    <w:rsid w:val="00F75F4B"/>
    <w:rsid w:val="00F84426"/>
    <w:rsid w:val="00F84924"/>
    <w:rsid w:val="00F85D55"/>
    <w:rsid w:val="00F976BA"/>
    <w:rsid w:val="00F97C2A"/>
    <w:rsid w:val="00FA0CA2"/>
    <w:rsid w:val="00FA0E7F"/>
    <w:rsid w:val="00FA448F"/>
    <w:rsid w:val="00FC1CC8"/>
    <w:rsid w:val="00FC2A30"/>
    <w:rsid w:val="00FC6827"/>
    <w:rsid w:val="00FE30EB"/>
    <w:rsid w:val="00FE346F"/>
    <w:rsid w:val="00FF0C70"/>
    <w:rsid w:val="399E3C05"/>
    <w:rsid w:val="5622FFAF"/>
    <w:rsid w:val="5A61E931"/>
    <w:rsid w:val="5CF052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7093E1"/>
  <w15:chartTrackingRefBased/>
  <w15:docId w15:val="{60EB5EB4-F88B-4A63-9C91-9CA0D957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E6683B"/>
    <w:rPr>
      <w:color w:val="605E5C"/>
      <w:shd w:val="clear" w:color="auto" w:fill="E1DFDD"/>
    </w:rPr>
  </w:style>
  <w:style w:type="character" w:styleId="PlaceholderText">
    <w:name w:val="Placeholder Text"/>
    <w:basedOn w:val="DefaultParagraphFont"/>
    <w:uiPriority w:val="99"/>
    <w:semiHidden/>
    <w:rsid w:val="001E61CA"/>
    <w:rPr>
      <w:color w:val="808080"/>
    </w:rPr>
  </w:style>
  <w:style w:type="paragraph" w:styleId="EndnoteText">
    <w:name w:val="endnote text"/>
    <w:basedOn w:val="Normal"/>
    <w:link w:val="EndnoteTextChar"/>
    <w:semiHidden/>
    <w:rsid w:val="000F187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0F1875"/>
    <w:rPr>
      <w:rFonts w:ascii="Times New Roman" w:eastAsia="Times New Roman" w:hAnsi="Times New Roman" w:cs="Times New Roman"/>
      <w:snapToGrid w:val="0"/>
      <w:kern w:val="28"/>
      <w:sz w:val="20"/>
      <w:szCs w:val="20"/>
    </w:rPr>
  </w:style>
  <w:style w:type="paragraph" w:styleId="Revision">
    <w:name w:val="Revision"/>
    <w:hidden/>
    <w:uiPriority w:val="99"/>
    <w:semiHidden/>
    <w:rsid w:val="00280EC6"/>
    <w:pPr>
      <w:spacing w:after="0" w:line="240" w:lineRule="auto"/>
    </w:pPr>
  </w:style>
  <w:style w:type="character" w:styleId="UnresolvedMention">
    <w:name w:val="Unresolved Mention"/>
    <w:basedOn w:val="DefaultParagraphFont"/>
    <w:uiPriority w:val="99"/>
    <w:rsid w:val="001D0D51"/>
    <w:rPr>
      <w:color w:val="605E5C"/>
      <w:shd w:val="clear" w:color="auto" w:fill="E1DFDD"/>
    </w:rPr>
  </w:style>
  <w:style w:type="character" w:styleId="FollowedHyperlink">
    <w:name w:val="FollowedHyperlink"/>
    <w:basedOn w:val="DefaultParagraphFont"/>
    <w:uiPriority w:val="99"/>
    <w:semiHidden/>
    <w:unhideWhenUsed/>
    <w:rsid w:val="00D43CB2"/>
    <w:rPr>
      <w:color w:val="954F72" w:themeColor="followedHyperlink"/>
      <w:u w:val="single"/>
    </w:rPr>
  </w:style>
  <w:style w:type="character" w:styleId="Mention">
    <w:name w:val="Mention"/>
    <w:basedOn w:val="DefaultParagraphFont"/>
    <w:uiPriority w:val="99"/>
    <w:rsid w:val="008A7E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yperlink" Target="https://www.fcc.gov/document/fcc-expands-audio-description-requirements-all-television-markets" TargetMode="External" /><Relationship Id="rId13" Type="http://schemas.openxmlformats.org/officeDocument/2006/relationships/hyperlink" Target="https://www.govinfo.gov/content/pkg/FR-2023-10-27/pdf/2023-23760.pdf" TargetMode="Externa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