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E186A" w:rsidRPr="00BB70D6" w:rsidP="00BE186A" w14:paraId="5130A376" w14:textId="7AB053FB">
      <w:pPr>
        <w:jc w:val="right"/>
        <w:rPr>
          <w:b/>
          <w:szCs w:val="22"/>
        </w:rPr>
      </w:pPr>
      <w:r w:rsidRPr="00BB70D6">
        <w:rPr>
          <w:b/>
          <w:szCs w:val="22"/>
        </w:rPr>
        <w:t>DA 2</w:t>
      </w:r>
      <w:r w:rsidRPr="00BB70D6" w:rsidR="00860528">
        <w:rPr>
          <w:b/>
          <w:szCs w:val="22"/>
        </w:rPr>
        <w:t>4</w:t>
      </w:r>
      <w:r w:rsidRPr="00BB70D6">
        <w:rPr>
          <w:b/>
          <w:szCs w:val="22"/>
        </w:rPr>
        <w:t>-</w:t>
      </w:r>
      <w:r w:rsidR="00A34FAE">
        <w:rPr>
          <w:b/>
          <w:szCs w:val="22"/>
        </w:rPr>
        <w:t>196</w:t>
      </w:r>
    </w:p>
    <w:p w:rsidR="00BE186A" w:rsidRPr="00B47CC2" w:rsidP="00BE186A" w14:paraId="51FBB3DE" w14:textId="1BFA2855">
      <w:pPr>
        <w:jc w:val="right"/>
        <w:rPr>
          <w:b/>
          <w:szCs w:val="22"/>
        </w:rPr>
      </w:pPr>
      <w:r w:rsidRPr="00B47CC2">
        <w:rPr>
          <w:b/>
          <w:szCs w:val="22"/>
        </w:rPr>
        <w:t xml:space="preserve">Released:  </w:t>
      </w:r>
      <w:r w:rsidRPr="00B47CC2" w:rsidR="009A1908">
        <w:rPr>
          <w:b/>
          <w:szCs w:val="22"/>
        </w:rPr>
        <w:t>March</w:t>
      </w:r>
      <w:r w:rsidRPr="00B47CC2">
        <w:rPr>
          <w:b/>
          <w:szCs w:val="22"/>
        </w:rPr>
        <w:t xml:space="preserve"> </w:t>
      </w:r>
      <w:r w:rsidRPr="00B47CC2" w:rsidR="009A1908">
        <w:rPr>
          <w:b/>
          <w:szCs w:val="22"/>
        </w:rPr>
        <w:t>4</w:t>
      </w:r>
      <w:r w:rsidRPr="00B47CC2">
        <w:rPr>
          <w:b/>
          <w:szCs w:val="22"/>
        </w:rPr>
        <w:t>, 202</w:t>
      </w:r>
      <w:r w:rsidRPr="00B47CC2" w:rsidR="00860528">
        <w:rPr>
          <w:b/>
          <w:szCs w:val="22"/>
        </w:rPr>
        <w:t>4</w:t>
      </w:r>
    </w:p>
    <w:p w:rsidR="00BE186A" w:rsidRPr="00B47CC2" w:rsidP="001C3FFD" w14:paraId="7270B237" w14:textId="77777777">
      <w:pPr>
        <w:rPr>
          <w:b/>
          <w:szCs w:val="22"/>
        </w:rPr>
      </w:pPr>
    </w:p>
    <w:p w:rsidR="00BE186A" w:rsidRPr="00B47CC2" w:rsidP="00BE186A" w14:paraId="129C5844" w14:textId="09458E87">
      <w:pPr>
        <w:jc w:val="center"/>
        <w:rPr>
          <w:rFonts w:ascii="Times New Roman Bold" w:hAnsi="Times New Roman Bold"/>
          <w:b/>
          <w:caps/>
          <w:szCs w:val="22"/>
        </w:rPr>
      </w:pPr>
      <w:r w:rsidRPr="00B47CC2">
        <w:rPr>
          <w:b/>
          <w:szCs w:val="22"/>
        </w:rPr>
        <w:t xml:space="preserve">MEDIA BUREAU ANNOUNCES </w:t>
      </w:r>
      <w:r w:rsidRPr="00B47CC2" w:rsidR="001C3FFD">
        <w:rPr>
          <w:b/>
          <w:szCs w:val="22"/>
        </w:rPr>
        <w:t>MARCH 4, 202</w:t>
      </w:r>
      <w:r w:rsidRPr="00B47CC2" w:rsidR="008B253C">
        <w:rPr>
          <w:b/>
          <w:szCs w:val="22"/>
        </w:rPr>
        <w:t>4</w:t>
      </w:r>
      <w:r w:rsidRPr="00B47CC2">
        <w:rPr>
          <w:b/>
          <w:szCs w:val="22"/>
        </w:rPr>
        <w:t xml:space="preserve"> EFFECTIVE DATE </w:t>
      </w:r>
      <w:r w:rsidRPr="00B47CC2" w:rsidR="00F20C23">
        <w:rPr>
          <w:b/>
          <w:szCs w:val="22"/>
        </w:rPr>
        <w:t>FOR</w:t>
      </w:r>
      <w:r w:rsidRPr="00B47CC2">
        <w:rPr>
          <w:b/>
          <w:szCs w:val="22"/>
        </w:rPr>
        <w:t xml:space="preserve"> </w:t>
      </w:r>
      <w:r w:rsidRPr="00B47CC2" w:rsidR="001C3FFD">
        <w:rPr>
          <w:b/>
          <w:szCs w:val="22"/>
        </w:rPr>
        <w:t>ALL</w:t>
      </w:r>
      <w:r w:rsidRPr="00B47CC2">
        <w:rPr>
          <w:b/>
          <w:szCs w:val="22"/>
        </w:rPr>
        <w:t xml:space="preserve"> REVISIONS TO PART 7</w:t>
      </w:r>
      <w:r w:rsidRPr="00B47CC2" w:rsidR="00860528">
        <w:rPr>
          <w:b/>
          <w:szCs w:val="22"/>
        </w:rPr>
        <w:t>3</w:t>
      </w:r>
      <w:r w:rsidRPr="00B47CC2">
        <w:rPr>
          <w:b/>
          <w:szCs w:val="22"/>
        </w:rPr>
        <w:t xml:space="preserve"> COMMISSION RULES FOR </w:t>
      </w:r>
      <w:r w:rsidRPr="00B47CC2" w:rsidR="00860528">
        <w:rPr>
          <w:b/>
          <w:szCs w:val="22"/>
        </w:rPr>
        <w:t>FULL POWER AND CLASS A</w:t>
      </w:r>
      <w:r w:rsidRPr="00B47CC2">
        <w:rPr>
          <w:b/>
          <w:szCs w:val="22"/>
        </w:rPr>
        <w:t xml:space="preserve"> TELEVISION STATIONS</w:t>
      </w:r>
    </w:p>
    <w:p w:rsidR="00BE186A" w:rsidRPr="00B47CC2" w:rsidP="00BE186A" w14:paraId="12F2E21A" w14:textId="77777777">
      <w:pPr>
        <w:jc w:val="center"/>
        <w:rPr>
          <w:rFonts w:ascii="Times New Roman Bold" w:hAnsi="Times New Roman Bold"/>
          <w:b/>
          <w:caps/>
          <w:szCs w:val="22"/>
        </w:rPr>
      </w:pPr>
    </w:p>
    <w:p w:rsidR="00BE186A" w:rsidRPr="00B47CC2" w:rsidP="00BE186A" w14:paraId="0AD8B82B" w14:textId="11710F3A">
      <w:pPr>
        <w:jc w:val="center"/>
        <w:rPr>
          <w:b/>
          <w:szCs w:val="22"/>
        </w:rPr>
      </w:pPr>
      <w:r w:rsidRPr="00B47CC2">
        <w:rPr>
          <w:b/>
          <w:szCs w:val="22"/>
        </w:rPr>
        <w:t>MB Docket No</w:t>
      </w:r>
      <w:r w:rsidRPr="00B47CC2" w:rsidR="00860528">
        <w:rPr>
          <w:b/>
          <w:szCs w:val="22"/>
        </w:rPr>
        <w:t xml:space="preserve">. </w:t>
      </w:r>
      <w:r w:rsidRPr="00B47CC2">
        <w:rPr>
          <w:b/>
          <w:szCs w:val="22"/>
        </w:rPr>
        <w:t>22-</w:t>
      </w:r>
      <w:r w:rsidRPr="00B47CC2" w:rsidR="00C008F0">
        <w:rPr>
          <w:b/>
          <w:szCs w:val="22"/>
        </w:rPr>
        <w:t>227</w:t>
      </w:r>
      <w:r w:rsidRPr="00B47CC2" w:rsidR="00F41B93">
        <w:rPr>
          <w:b/>
          <w:szCs w:val="22"/>
        </w:rPr>
        <w:t xml:space="preserve"> </w:t>
      </w:r>
      <w:r w:rsidRPr="00B47CC2" w:rsidR="002D2888">
        <w:rPr>
          <w:b/>
          <w:szCs w:val="22"/>
        </w:rPr>
        <w:t xml:space="preserve"> </w:t>
      </w:r>
    </w:p>
    <w:p w:rsidR="00BE186A" w:rsidRPr="00B47CC2" w:rsidP="00BE186A" w14:paraId="371E105B" w14:textId="77777777">
      <w:pPr>
        <w:spacing w:before="60"/>
        <w:rPr>
          <w:szCs w:val="22"/>
        </w:rPr>
      </w:pPr>
    </w:p>
    <w:p w:rsidR="00953057" w:rsidRPr="00B47CC2" w:rsidP="00BE186A" w14:paraId="7D7EE0BA" w14:textId="77777777">
      <w:pPr>
        <w:ind w:firstLine="720"/>
      </w:pPr>
      <w:r w:rsidRPr="00B47CC2">
        <w:rPr>
          <w:szCs w:val="22"/>
        </w:rPr>
        <w:t xml:space="preserve">On </w:t>
      </w:r>
      <w:r w:rsidRPr="00B47CC2" w:rsidR="00C6144F">
        <w:rPr>
          <w:szCs w:val="22"/>
        </w:rPr>
        <w:t>September 19, 2023</w:t>
      </w:r>
      <w:r w:rsidRPr="00B47CC2">
        <w:rPr>
          <w:szCs w:val="22"/>
        </w:rPr>
        <w:t>, the Commission released a Report and Order (</w:t>
      </w:r>
      <w:r w:rsidRPr="00B47CC2">
        <w:rPr>
          <w:i/>
          <w:iCs/>
          <w:szCs w:val="22"/>
        </w:rPr>
        <w:t>Report and Order</w:t>
      </w:r>
      <w:r w:rsidRPr="00B47CC2">
        <w:rPr>
          <w:szCs w:val="22"/>
        </w:rPr>
        <w:t xml:space="preserve">) </w:t>
      </w:r>
      <w:r w:rsidRPr="00B47CC2">
        <w:t xml:space="preserve">in its proceeding to update the Commission’s </w:t>
      </w:r>
      <w:r w:rsidRPr="00B47CC2" w:rsidR="00575952">
        <w:t>p</w:t>
      </w:r>
      <w:r w:rsidRPr="00B47CC2">
        <w:t>art 7</w:t>
      </w:r>
      <w:r w:rsidRPr="00B47CC2" w:rsidR="003955BD">
        <w:t>3</w:t>
      </w:r>
      <w:r w:rsidRPr="00B47CC2">
        <w:t xml:space="preserve"> rules for </w:t>
      </w:r>
      <w:r w:rsidRPr="00B47CC2" w:rsidR="003955BD">
        <w:t>full power and Class A television</w:t>
      </w:r>
      <w:r w:rsidRPr="00B47CC2">
        <w:t xml:space="preserve"> services to reflect the current operating environment.</w:t>
      </w:r>
      <w:r>
        <w:rPr>
          <w:rStyle w:val="FootnoteReference"/>
        </w:rPr>
        <w:footnoteReference w:id="3"/>
      </w:r>
      <w:r w:rsidRPr="00B47CC2">
        <w:t xml:space="preserve">  </w:t>
      </w:r>
      <w:r w:rsidRPr="00B47CC2" w:rsidR="00AE2763">
        <w:t xml:space="preserve">The </w:t>
      </w:r>
      <w:r w:rsidRPr="00B47CC2" w:rsidR="00AE2763">
        <w:rPr>
          <w:i/>
          <w:iCs/>
        </w:rPr>
        <w:t>Report and Order</w:t>
      </w:r>
      <w:r w:rsidRPr="00B47CC2" w:rsidR="00AE2763">
        <w:t xml:space="preserve"> adopted rules to reflect the transition from analog to digital-only operations and the completion of the post-incentive auction transition to a smaller television band with fewer channels, and made other updates to ensure the rules reflect the Commission’s requirements and are understandable for our licensees and the public</w:t>
      </w:r>
      <w:r w:rsidRPr="00B47CC2">
        <w:t>.</w:t>
      </w:r>
      <w:r w:rsidRPr="00B47CC2" w:rsidR="004A656B">
        <w:t xml:space="preserve">  </w:t>
      </w:r>
    </w:p>
    <w:p w:rsidR="00953057" w:rsidRPr="00B47CC2" w:rsidP="00BE186A" w14:paraId="5F37F3F2" w14:textId="77777777">
      <w:pPr>
        <w:ind w:firstLine="720"/>
      </w:pPr>
    </w:p>
    <w:p w:rsidR="00BE186A" w:rsidRPr="00B47CC2" w:rsidP="00953057" w14:paraId="78A4CC1A" w14:textId="35773A8E">
      <w:pPr>
        <w:ind w:firstLine="720"/>
        <w:rPr>
          <w:szCs w:val="22"/>
        </w:rPr>
      </w:pPr>
      <w:r w:rsidRPr="00B47CC2">
        <w:t>The Media Bureau hereby announces that all rule changes</w:t>
      </w:r>
      <w:r w:rsidRPr="00B47CC2" w:rsidR="00DA42E3">
        <w:t xml:space="preserve"> adopted in the </w:t>
      </w:r>
      <w:r w:rsidRPr="00B47CC2" w:rsidR="00DA42E3">
        <w:rPr>
          <w:i/>
          <w:iCs/>
        </w:rPr>
        <w:t>Report and Order</w:t>
      </w:r>
      <w:r w:rsidRPr="00B47CC2" w:rsidR="00DA42E3">
        <w:t xml:space="preserve"> </w:t>
      </w:r>
      <w:r w:rsidRPr="00B47CC2" w:rsidR="00126854">
        <w:t>are</w:t>
      </w:r>
      <w:r w:rsidRPr="00B47CC2" w:rsidR="00DA42E3">
        <w:t xml:space="preserve"> </w:t>
      </w:r>
      <w:r w:rsidRPr="00B47CC2" w:rsidR="00126854">
        <w:t>effective as of</w:t>
      </w:r>
      <w:r w:rsidRPr="00B47CC2" w:rsidR="00B63410">
        <w:t xml:space="preserve"> </w:t>
      </w:r>
      <w:r w:rsidRPr="00B47CC2" w:rsidR="00DA42E3">
        <w:t>March 4, 2024.</w:t>
      </w:r>
      <w:r>
        <w:rPr>
          <w:rStyle w:val="FootnoteReference"/>
        </w:rPr>
        <w:footnoteReference w:id="4"/>
      </w:r>
      <w:r w:rsidRPr="00B47CC2" w:rsidR="00A70838">
        <w:rPr>
          <w:szCs w:val="22"/>
        </w:rPr>
        <w:t xml:space="preserve">  </w:t>
      </w:r>
      <w:r w:rsidRPr="00B47CC2" w:rsidR="009B75E9">
        <w:rPr>
          <w:szCs w:val="22"/>
        </w:rPr>
        <w:t>T</w:t>
      </w:r>
      <w:r w:rsidRPr="00B47CC2" w:rsidR="00780141">
        <w:rPr>
          <w:szCs w:val="22"/>
        </w:rPr>
        <w:t>hose</w:t>
      </w:r>
      <w:r w:rsidRPr="00B47CC2" w:rsidR="009D7210">
        <w:rPr>
          <w:szCs w:val="22"/>
        </w:rPr>
        <w:t xml:space="preserve"> rules in the </w:t>
      </w:r>
      <w:r w:rsidRPr="00B47CC2" w:rsidR="009D7210">
        <w:rPr>
          <w:i/>
          <w:iCs/>
          <w:szCs w:val="22"/>
        </w:rPr>
        <w:t>Report and Order</w:t>
      </w:r>
      <w:r w:rsidRPr="00B47CC2" w:rsidR="009D7210">
        <w:rPr>
          <w:szCs w:val="22"/>
        </w:rPr>
        <w:t xml:space="preserve"> that</w:t>
      </w:r>
      <w:r w:rsidRPr="00B47CC2" w:rsidR="00C64257">
        <w:rPr>
          <w:szCs w:val="22"/>
        </w:rPr>
        <w:t xml:space="preserve"> may have</w:t>
      </w:r>
      <w:r w:rsidRPr="00B47CC2" w:rsidR="009D7210">
        <w:rPr>
          <w:szCs w:val="22"/>
        </w:rPr>
        <w:t xml:space="preserve"> contained new or modified information collection requirements</w:t>
      </w:r>
      <w:r>
        <w:rPr>
          <w:rStyle w:val="FootnoteReference"/>
          <w:szCs w:val="22"/>
        </w:rPr>
        <w:footnoteReference w:id="5"/>
      </w:r>
      <w:r w:rsidRPr="00B47CC2" w:rsidR="009D7210">
        <w:rPr>
          <w:szCs w:val="22"/>
        </w:rPr>
        <w:t xml:space="preserve"> have been approved by the</w:t>
      </w:r>
      <w:r w:rsidRPr="00B47CC2" w:rsidR="00A70838">
        <w:rPr>
          <w:szCs w:val="22"/>
        </w:rPr>
        <w:t xml:space="preserve"> Office of Management and Budget</w:t>
      </w:r>
      <w:r w:rsidRPr="00B47CC2" w:rsidR="00A27412">
        <w:rPr>
          <w:szCs w:val="22"/>
        </w:rPr>
        <w:t xml:space="preserve"> (OMB)</w:t>
      </w:r>
      <w:r w:rsidRPr="00B47CC2" w:rsidR="00A70838">
        <w:rPr>
          <w:szCs w:val="22"/>
        </w:rPr>
        <w:t xml:space="preserve"> </w:t>
      </w:r>
      <w:r w:rsidRPr="00B47CC2" w:rsidR="009D7210">
        <w:rPr>
          <w:szCs w:val="22"/>
        </w:rPr>
        <w:t>under the</w:t>
      </w:r>
      <w:r w:rsidRPr="00B47CC2" w:rsidR="00A70838">
        <w:rPr>
          <w:szCs w:val="22"/>
        </w:rPr>
        <w:t xml:space="preserve"> Paperwork Reduction Act</w:t>
      </w:r>
      <w:r w:rsidRPr="00B47CC2" w:rsidR="00D334F0">
        <w:rPr>
          <w:szCs w:val="22"/>
        </w:rPr>
        <w:t xml:space="preserve"> </w:t>
      </w:r>
      <w:r w:rsidRPr="00B47CC2" w:rsidR="00126854">
        <w:rPr>
          <w:szCs w:val="22"/>
        </w:rPr>
        <w:t>and are</w:t>
      </w:r>
      <w:r w:rsidRPr="00B47CC2" w:rsidR="00D334F0">
        <w:rPr>
          <w:szCs w:val="22"/>
        </w:rPr>
        <w:t xml:space="preserve"> also effective as of March 4, 2024</w:t>
      </w:r>
      <w:r w:rsidRPr="00B47CC2" w:rsidR="00C212E1">
        <w:rPr>
          <w:szCs w:val="22"/>
        </w:rPr>
        <w:t>.</w:t>
      </w:r>
      <w:r>
        <w:rPr>
          <w:rStyle w:val="FootnoteReference"/>
          <w:szCs w:val="22"/>
        </w:rPr>
        <w:footnoteReference w:id="6"/>
      </w:r>
      <w:r w:rsidRPr="00B47CC2" w:rsidR="00A70838">
        <w:rPr>
          <w:szCs w:val="22"/>
        </w:rPr>
        <w:t xml:space="preserve"> </w:t>
      </w:r>
      <w:r w:rsidRPr="00B47CC2" w:rsidR="00B848A6">
        <w:rPr>
          <w:szCs w:val="22"/>
        </w:rPr>
        <w:t xml:space="preserve"> </w:t>
      </w:r>
      <w:r w:rsidRPr="00B47CC2" w:rsidR="001B4C0A">
        <w:rPr>
          <w:szCs w:val="22"/>
        </w:rPr>
        <w:t xml:space="preserve"> </w:t>
      </w:r>
    </w:p>
    <w:p w:rsidR="00BE186A" w:rsidRPr="00B47CC2" w:rsidP="00BE186A" w14:paraId="6536F761" w14:textId="77777777">
      <w:pPr>
        <w:rPr>
          <w:szCs w:val="22"/>
        </w:rPr>
      </w:pPr>
    </w:p>
    <w:p w:rsidR="00BE186A" w:rsidRPr="00BB70D6" w:rsidP="00BE186A" w14:paraId="08BD40D9" w14:textId="55AC63B9">
      <w:pPr>
        <w:ind w:firstLine="720"/>
        <w:rPr>
          <w:szCs w:val="22"/>
        </w:rPr>
      </w:pPr>
      <w:r w:rsidRPr="00B47CC2">
        <w:rPr>
          <w:szCs w:val="22"/>
        </w:rPr>
        <w:t xml:space="preserve">For </w:t>
      </w:r>
      <w:r w:rsidRPr="00B47CC2" w:rsidR="003E107F">
        <w:rPr>
          <w:szCs w:val="22"/>
        </w:rPr>
        <w:t>further information</w:t>
      </w:r>
      <w:r w:rsidRPr="00B47CC2">
        <w:rPr>
          <w:szCs w:val="22"/>
        </w:rPr>
        <w:t>, contact Emily Harrison, Media Bureau</w:t>
      </w:r>
      <w:r w:rsidRPr="00B47CC2" w:rsidR="003E107F">
        <w:rPr>
          <w:szCs w:val="22"/>
        </w:rPr>
        <w:t>, Video Division</w:t>
      </w:r>
      <w:r w:rsidRPr="00B47CC2">
        <w:rPr>
          <w:szCs w:val="22"/>
        </w:rPr>
        <w:t xml:space="preserve"> at </w:t>
      </w:r>
      <w:hyperlink r:id="rId5" w:history="1">
        <w:r w:rsidRPr="00B47CC2">
          <w:rPr>
            <w:rStyle w:val="Hyperlink"/>
            <w:szCs w:val="22"/>
          </w:rPr>
          <w:t>Emily.Harrison@fcc.gov</w:t>
        </w:r>
      </w:hyperlink>
      <w:r w:rsidRPr="00B47CC2" w:rsidR="0020517E">
        <w:rPr>
          <w:szCs w:val="22"/>
        </w:rPr>
        <w:t xml:space="preserve"> or Mark Colombo, Media Bureau, Video Division at </w:t>
      </w:r>
      <w:hyperlink r:id="rId6" w:history="1">
        <w:r w:rsidRPr="00B47CC2" w:rsidR="0020517E">
          <w:rPr>
            <w:rStyle w:val="Hyperlink"/>
            <w:szCs w:val="22"/>
          </w:rPr>
          <w:t>Mark.Colombo@fcc.gov</w:t>
        </w:r>
      </w:hyperlink>
      <w:r w:rsidRPr="00B47CC2" w:rsidR="0020517E">
        <w:rPr>
          <w:szCs w:val="22"/>
        </w:rPr>
        <w:t>.</w:t>
      </w:r>
      <w:r w:rsidRPr="00BB70D6" w:rsidR="0020517E">
        <w:rPr>
          <w:szCs w:val="22"/>
        </w:rPr>
        <w:t xml:space="preserve"> </w:t>
      </w:r>
      <w:r w:rsidRPr="00BB70D6">
        <w:rPr>
          <w:szCs w:val="22"/>
        </w:rPr>
        <w:t xml:space="preserve">   </w:t>
      </w:r>
    </w:p>
    <w:p w:rsidR="00BE186A" w:rsidRPr="00BB70D6" w:rsidP="00BE186A" w14:paraId="5F6D7AEE" w14:textId="77777777">
      <w:pPr>
        <w:ind w:firstLine="720"/>
        <w:jc w:val="center"/>
        <w:rPr>
          <w:szCs w:val="22"/>
        </w:rPr>
      </w:pPr>
    </w:p>
    <w:p w:rsidR="00AE626D" w:rsidRPr="00A21580" w:rsidP="00A21580" w14:paraId="09DA443E" w14:textId="58329336">
      <w:pPr>
        <w:jc w:val="center"/>
        <w:rPr>
          <w:szCs w:val="22"/>
        </w:rPr>
      </w:pPr>
      <w:r w:rsidRPr="00BB70D6">
        <w:rPr>
          <w:szCs w:val="22"/>
        </w:rPr>
        <w:t xml:space="preserve">- </w:t>
      </w:r>
      <w:r w:rsidRPr="00BB70D6">
        <w:rPr>
          <w:b/>
          <w:szCs w:val="22"/>
        </w:rPr>
        <w:t>FCC</w:t>
      </w:r>
      <w:r w:rsidRPr="00BB70D6">
        <w:rPr>
          <w:szCs w:val="22"/>
        </w:rPr>
        <w:t xml:space="preserve">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B9F" w14:paraId="3D43CCB1" w14:textId="77777777">
    <w:pPr>
      <w:pStyle w:val="Footer"/>
      <w:framePr w:wrap="around" w:vAnchor="text" w:hAnchor="margin" w:xAlign="center" w:y="1"/>
    </w:pPr>
    <w:r>
      <w:fldChar w:fldCharType="begin"/>
    </w:r>
    <w:r>
      <w:instrText xml:space="preserve">PAGE  </w:instrText>
    </w:r>
    <w:r w:rsidR="00A34FAE">
      <w:fldChar w:fldCharType="separate"/>
    </w:r>
    <w:r>
      <w:fldChar w:fldCharType="end"/>
    </w:r>
  </w:p>
  <w:p w:rsidR="00824B9F" w14:paraId="6D1070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B9F" w14:paraId="1FECE5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B9F" w14:paraId="4AC8FA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4D64" w:rsidP="00BE186A" w14:paraId="6DE89A84" w14:textId="77777777">
      <w:r>
        <w:separator/>
      </w:r>
    </w:p>
  </w:footnote>
  <w:footnote w:type="continuationSeparator" w:id="1">
    <w:p w:rsidR="00A84D64" w:rsidP="00BE186A" w14:paraId="3CE1FA97" w14:textId="77777777">
      <w:r>
        <w:continuationSeparator/>
      </w:r>
    </w:p>
  </w:footnote>
  <w:footnote w:type="continuationNotice" w:id="2">
    <w:p w:rsidR="00A84D64" w14:paraId="663FA226" w14:textId="77777777"/>
  </w:footnote>
  <w:footnote w:id="3">
    <w:p w:rsidR="00BE186A" w:rsidRPr="00B47CC2" w:rsidP="00BE186A" w14:paraId="0F8E30EB" w14:textId="6A0B6AB0">
      <w:pPr>
        <w:widowControl/>
        <w:autoSpaceDE w:val="0"/>
        <w:autoSpaceDN w:val="0"/>
        <w:adjustRightInd w:val="0"/>
        <w:spacing w:after="120"/>
        <w:rPr>
          <w:rFonts w:eastAsiaTheme="minorHAnsi"/>
          <w:i/>
          <w:iCs/>
          <w:snapToGrid/>
          <w:kern w:val="0"/>
          <w:sz w:val="20"/>
        </w:rPr>
      </w:pPr>
      <w:r w:rsidRPr="00B47CC2">
        <w:rPr>
          <w:rStyle w:val="FootnoteReference"/>
          <w:sz w:val="20"/>
        </w:rPr>
        <w:footnoteRef/>
      </w:r>
      <w:r w:rsidRPr="00B47CC2">
        <w:rPr>
          <w:sz w:val="20"/>
        </w:rPr>
        <w:t xml:space="preserve"> </w:t>
      </w:r>
      <w:r w:rsidRPr="00B47CC2" w:rsidR="0028334F">
        <w:rPr>
          <w:rFonts w:eastAsiaTheme="minorHAnsi"/>
          <w:i/>
          <w:iCs/>
          <w:snapToGrid/>
          <w:kern w:val="0"/>
          <w:sz w:val="20"/>
        </w:rPr>
        <w:t>Amendment of Part 73 of the Commission’s Rules to Update Television and Class A Television Broadcast Station Rules, and Rules Applicable to All Broadcast Stations</w:t>
      </w:r>
      <w:r w:rsidRPr="00B47CC2" w:rsidR="0028334F">
        <w:rPr>
          <w:rFonts w:eastAsiaTheme="minorHAnsi"/>
          <w:snapToGrid/>
          <w:kern w:val="0"/>
          <w:sz w:val="20"/>
        </w:rPr>
        <w:t>, MB Docket No. 22-227, Report and Order, FCC 23-72 (Sept. 19, 2023) (</w:t>
      </w:r>
      <w:r w:rsidRPr="00B47CC2" w:rsidR="0028334F">
        <w:rPr>
          <w:rFonts w:eastAsiaTheme="minorHAnsi"/>
          <w:i/>
          <w:iCs/>
          <w:snapToGrid/>
          <w:kern w:val="0"/>
          <w:sz w:val="20"/>
        </w:rPr>
        <w:t>Report and Order</w:t>
      </w:r>
      <w:r w:rsidRPr="00B47CC2" w:rsidR="0028334F">
        <w:rPr>
          <w:rFonts w:eastAsiaTheme="minorHAnsi"/>
          <w:snapToGrid/>
          <w:kern w:val="0"/>
          <w:sz w:val="20"/>
        </w:rPr>
        <w:t>).</w:t>
      </w:r>
    </w:p>
  </w:footnote>
  <w:footnote w:id="4">
    <w:p w:rsidR="00DA42E3" w:rsidRPr="00B47CC2" w14:paraId="7044BD37" w14:textId="58D3CD2E">
      <w:pPr>
        <w:pStyle w:val="FootnoteText"/>
      </w:pPr>
      <w:r w:rsidRPr="00B47CC2">
        <w:rPr>
          <w:rStyle w:val="FootnoteReference"/>
        </w:rPr>
        <w:footnoteRef/>
      </w:r>
      <w:r w:rsidRPr="00B47CC2">
        <w:t xml:space="preserve"> </w:t>
      </w:r>
      <w:r w:rsidRPr="00B47CC2" w:rsidR="00B92A3F">
        <w:rPr>
          <w:szCs w:val="22"/>
        </w:rPr>
        <w:t xml:space="preserve">The </w:t>
      </w:r>
      <w:r w:rsidRPr="00B47CC2" w:rsidR="00B92A3F">
        <w:rPr>
          <w:i/>
          <w:iCs/>
          <w:szCs w:val="22"/>
        </w:rPr>
        <w:t>Report and Order</w:t>
      </w:r>
      <w:r w:rsidRPr="00B47CC2" w:rsidR="00B92A3F">
        <w:rPr>
          <w:szCs w:val="22"/>
        </w:rPr>
        <w:t xml:space="preserve"> was published in the Federal Register on February 1, 2024, and therefore</w:t>
      </w:r>
      <w:r w:rsidRPr="00B47CC2" w:rsidR="006F6913">
        <w:rPr>
          <w:szCs w:val="22"/>
        </w:rPr>
        <w:t>,</w:t>
      </w:r>
      <w:r w:rsidRPr="00B47CC2" w:rsidR="006B350A">
        <w:rPr>
          <w:szCs w:val="22"/>
        </w:rPr>
        <w:t xml:space="preserve"> with the exception of those rules listed </w:t>
      </w:r>
      <w:r w:rsidRPr="00B47CC2" w:rsidR="006B350A">
        <w:rPr>
          <w:i/>
          <w:iCs/>
          <w:szCs w:val="22"/>
        </w:rPr>
        <w:t>infra</w:t>
      </w:r>
      <w:r w:rsidRPr="00B47CC2" w:rsidR="006B350A">
        <w:rPr>
          <w:szCs w:val="22"/>
        </w:rPr>
        <w:t xml:space="preserve"> in n.3,</w:t>
      </w:r>
      <w:r w:rsidRPr="00B47CC2" w:rsidR="00B92A3F">
        <w:rPr>
          <w:szCs w:val="22"/>
        </w:rPr>
        <w:t xml:space="preserve"> the </w:t>
      </w:r>
      <w:r w:rsidRPr="00B47CC2" w:rsidR="0046367D">
        <w:rPr>
          <w:szCs w:val="22"/>
        </w:rPr>
        <w:t xml:space="preserve">amendments in the </w:t>
      </w:r>
      <w:r w:rsidRPr="00B47CC2" w:rsidR="0046367D">
        <w:rPr>
          <w:i/>
          <w:iCs/>
          <w:szCs w:val="22"/>
        </w:rPr>
        <w:t>Report and Order</w:t>
      </w:r>
      <w:r w:rsidRPr="00B47CC2" w:rsidR="00B92A3F">
        <w:rPr>
          <w:szCs w:val="22"/>
        </w:rPr>
        <w:t xml:space="preserve"> become effective 30 days thereafter, on March 4, 2024.  </w:t>
      </w:r>
      <w:r w:rsidRPr="00B47CC2" w:rsidR="00B92A3F">
        <w:t>Because the 30</w:t>
      </w:r>
      <w:r w:rsidRPr="00B47CC2" w:rsidR="00B92A3F">
        <w:rPr>
          <w:vertAlign w:val="superscript"/>
        </w:rPr>
        <w:t>th</w:t>
      </w:r>
      <w:r w:rsidRPr="00B47CC2" w:rsidR="00B92A3F">
        <w:t xml:space="preserve"> day after the date the summary was published in the Federal Register is </w:t>
      </w:r>
      <w:r w:rsidRPr="00B47CC2" w:rsidR="00126854">
        <w:t>Saturday</w:t>
      </w:r>
      <w:r w:rsidRPr="00B47CC2" w:rsidR="00B92A3F">
        <w:t xml:space="preserve">, </w:t>
      </w:r>
      <w:r w:rsidRPr="00B47CC2" w:rsidR="00B8158F">
        <w:t>March</w:t>
      </w:r>
      <w:r w:rsidRPr="00B47CC2" w:rsidR="00B92A3F">
        <w:t xml:space="preserve"> </w:t>
      </w:r>
      <w:r w:rsidRPr="00B47CC2" w:rsidR="00B8158F">
        <w:t>2</w:t>
      </w:r>
      <w:r w:rsidRPr="00B47CC2" w:rsidR="00B92A3F">
        <w:t>, 202</w:t>
      </w:r>
      <w:r w:rsidRPr="00B47CC2" w:rsidR="00B8158F">
        <w:t>4</w:t>
      </w:r>
      <w:r w:rsidRPr="00B47CC2" w:rsidR="00B92A3F">
        <w:t xml:space="preserve">, the effective date is the next business day, Monday, </w:t>
      </w:r>
      <w:r w:rsidRPr="00B47CC2" w:rsidR="00B8158F">
        <w:t>March 4</w:t>
      </w:r>
      <w:r w:rsidRPr="00B47CC2" w:rsidR="00B92A3F">
        <w:t>, 202</w:t>
      </w:r>
      <w:r w:rsidRPr="00B47CC2" w:rsidR="00B8158F">
        <w:t>4</w:t>
      </w:r>
      <w:r w:rsidRPr="00B47CC2" w:rsidR="00B92A3F">
        <w:t xml:space="preserve">.  </w:t>
      </w:r>
      <w:r w:rsidRPr="00B47CC2" w:rsidR="00B92A3F">
        <w:rPr>
          <w:i/>
          <w:iCs/>
        </w:rPr>
        <w:t xml:space="preserve">See </w:t>
      </w:r>
      <w:r w:rsidRPr="00B47CC2" w:rsidR="00B92A3F">
        <w:rPr>
          <w:rFonts w:eastAsiaTheme="minorHAnsi"/>
          <w:i/>
          <w:iCs/>
        </w:rPr>
        <w:t xml:space="preserve">Establishing Rules for </w:t>
      </w:r>
      <w:r w:rsidRPr="00B47CC2" w:rsidR="00853F0B">
        <w:rPr>
          <w:rFonts w:eastAsiaTheme="minorHAnsi"/>
          <w:i/>
          <w:iCs/>
        </w:rPr>
        <w:t>Full</w:t>
      </w:r>
      <w:r w:rsidRPr="00B47CC2" w:rsidR="00B92A3F">
        <w:rPr>
          <w:rFonts w:eastAsiaTheme="minorHAnsi"/>
          <w:i/>
          <w:iCs/>
        </w:rPr>
        <w:t xml:space="preserve"> Power Television and </w:t>
      </w:r>
      <w:r w:rsidRPr="00B47CC2" w:rsidR="00853F0B">
        <w:rPr>
          <w:rFonts w:eastAsiaTheme="minorHAnsi"/>
          <w:i/>
          <w:iCs/>
        </w:rPr>
        <w:t>Class A Television</w:t>
      </w:r>
      <w:r w:rsidRPr="00B47CC2" w:rsidR="00B92A3F">
        <w:rPr>
          <w:rFonts w:eastAsiaTheme="minorHAnsi"/>
          <w:i/>
          <w:iCs/>
        </w:rPr>
        <w:t xml:space="preserve"> Stations</w:t>
      </w:r>
      <w:r w:rsidRPr="00B47CC2" w:rsidR="00B92A3F">
        <w:rPr>
          <w:rFonts w:eastAsiaTheme="minorHAnsi"/>
        </w:rPr>
        <w:t>, 8</w:t>
      </w:r>
      <w:r w:rsidRPr="00B47CC2" w:rsidR="00853F0B">
        <w:rPr>
          <w:rFonts w:eastAsiaTheme="minorHAnsi"/>
        </w:rPr>
        <w:t>9</w:t>
      </w:r>
      <w:r w:rsidRPr="00B47CC2" w:rsidR="00B92A3F">
        <w:rPr>
          <w:rFonts w:eastAsiaTheme="minorHAnsi"/>
          <w:i/>
          <w:iCs/>
        </w:rPr>
        <w:t xml:space="preserve"> </w:t>
      </w:r>
      <w:r w:rsidRPr="00B47CC2" w:rsidR="00B92A3F">
        <w:rPr>
          <w:rFonts w:eastAsiaTheme="minorHAnsi"/>
        </w:rPr>
        <w:t xml:space="preserve">Fed. Reg. </w:t>
      </w:r>
      <w:r w:rsidRPr="00B47CC2" w:rsidR="00853F0B">
        <w:rPr>
          <w:rFonts w:eastAsiaTheme="minorHAnsi"/>
        </w:rPr>
        <w:t>7224</w:t>
      </w:r>
      <w:r w:rsidRPr="00B47CC2" w:rsidR="00B92A3F">
        <w:rPr>
          <w:rFonts w:eastAsiaTheme="minorHAnsi"/>
        </w:rPr>
        <w:t xml:space="preserve"> (</w:t>
      </w:r>
      <w:r w:rsidRPr="00B47CC2" w:rsidR="00853F0B">
        <w:rPr>
          <w:rFonts w:eastAsiaTheme="minorHAnsi"/>
        </w:rPr>
        <w:t>Feb.</w:t>
      </w:r>
      <w:r w:rsidRPr="00B47CC2" w:rsidR="00B92A3F">
        <w:rPr>
          <w:rFonts w:eastAsiaTheme="minorHAnsi"/>
        </w:rPr>
        <w:t xml:space="preserve"> 1, 202</w:t>
      </w:r>
      <w:r w:rsidRPr="00B47CC2" w:rsidR="00853F0B">
        <w:rPr>
          <w:rFonts w:eastAsiaTheme="minorHAnsi"/>
        </w:rPr>
        <w:t>4</w:t>
      </w:r>
      <w:r w:rsidRPr="00B47CC2" w:rsidR="00B92A3F">
        <w:rPr>
          <w:rFonts w:eastAsiaTheme="minorHAnsi"/>
        </w:rPr>
        <w:t>);</w:t>
      </w:r>
      <w:r w:rsidRPr="00B47CC2" w:rsidR="00B63410">
        <w:rPr>
          <w:rFonts w:eastAsiaTheme="minorHAnsi"/>
        </w:rPr>
        <w:t xml:space="preserve"> </w:t>
      </w:r>
      <w:r w:rsidRPr="00B47CC2" w:rsidR="00B63410">
        <w:rPr>
          <w:rFonts w:eastAsiaTheme="minorHAnsi"/>
          <w:i/>
          <w:iCs/>
        </w:rPr>
        <w:t>see also</w:t>
      </w:r>
      <w:r w:rsidRPr="00B47CC2" w:rsidR="00B92A3F">
        <w:rPr>
          <w:rFonts w:eastAsiaTheme="minorHAnsi"/>
        </w:rPr>
        <w:t xml:space="preserve"> </w:t>
      </w:r>
      <w:r w:rsidRPr="00B47CC2" w:rsidR="00B92A3F">
        <w:t>47 CFR § 1.4.</w:t>
      </w:r>
    </w:p>
  </w:footnote>
  <w:footnote w:id="5">
    <w:p w:rsidR="00916756" w:rsidRPr="00B47CC2" w14:paraId="620AA023" w14:textId="7C82A2B7">
      <w:pPr>
        <w:pStyle w:val="FootnoteText"/>
      </w:pPr>
      <w:r w:rsidRPr="00B47CC2">
        <w:rPr>
          <w:rStyle w:val="FootnoteReference"/>
        </w:rPr>
        <w:footnoteRef/>
      </w:r>
      <w:r w:rsidRPr="00B47CC2">
        <w:t xml:space="preserve"> </w:t>
      </w:r>
      <w:r w:rsidRPr="00B47CC2">
        <w:rPr>
          <w:i/>
          <w:iCs/>
        </w:rPr>
        <w:t>See</w:t>
      </w:r>
      <w:r w:rsidRPr="00B47CC2">
        <w:t xml:space="preserve"> 47 CFR §§ </w:t>
      </w:r>
      <w:r w:rsidRPr="00B47CC2">
        <w:rPr>
          <w:szCs w:val="22"/>
        </w:rPr>
        <w:t>73.619, 73.625, 73.1250, 73.1350, 73.1560, 73.1615, 73.1620, 73.1635, 73.1675, 73.1690,</w:t>
      </w:r>
      <w:r w:rsidRPr="00B47CC2">
        <w:rPr>
          <w:b/>
          <w:bCs/>
          <w:szCs w:val="22"/>
        </w:rPr>
        <w:t xml:space="preserve"> </w:t>
      </w:r>
      <w:r w:rsidRPr="00B47CC2">
        <w:rPr>
          <w:szCs w:val="22"/>
        </w:rPr>
        <w:t>73.1740, 73.1750, 73.2080, 73.3540, 73.3544, 73.3549, 73.3550, 73.3598, 73.5006, 73.6024, and 73.6025.</w:t>
      </w:r>
    </w:p>
  </w:footnote>
  <w:footnote w:id="6">
    <w:p w:rsidR="00333E5C" w14:paraId="2752118C" w14:textId="78432E16">
      <w:pPr>
        <w:pStyle w:val="FootnoteText"/>
      </w:pPr>
      <w:r w:rsidRPr="00B47CC2">
        <w:rPr>
          <w:rStyle w:val="FootnoteReference"/>
        </w:rPr>
        <w:footnoteRef/>
      </w:r>
      <w:r w:rsidRPr="00B47CC2">
        <w:t xml:space="preserve"> </w:t>
      </w:r>
      <w:r w:rsidRPr="00B47CC2" w:rsidR="000D7BFF">
        <w:t xml:space="preserve">The </w:t>
      </w:r>
      <w:r w:rsidRPr="00B47CC2" w:rsidR="00A27412">
        <w:t xml:space="preserve">OMB </w:t>
      </w:r>
      <w:r w:rsidRPr="00B47CC2" w:rsidR="008A50A2">
        <w:t xml:space="preserve">has </w:t>
      </w:r>
      <w:r w:rsidRPr="00B47CC2" w:rsidR="00A27412">
        <w:t xml:space="preserve">approved the </w:t>
      </w:r>
      <w:r w:rsidRPr="00B47CC2" w:rsidR="008A50A2">
        <w:t xml:space="preserve">Commission’s Paperwork Reduction Act submissions </w:t>
      </w:r>
      <w:r w:rsidRPr="00B47CC2" w:rsidR="00DD12C4">
        <w:t xml:space="preserve">associated with </w:t>
      </w:r>
      <w:r w:rsidRPr="00B47CC2" w:rsidR="006D4EE2">
        <w:t>the revisions to those</w:t>
      </w:r>
      <w:r w:rsidRPr="00B47CC2" w:rsidR="00DD12C4">
        <w:t xml:space="preserve"> rules in </w:t>
      </w:r>
      <w:r w:rsidRPr="00B47CC2" w:rsidR="008A50A2">
        <w:rPr>
          <w:i/>
          <w:iCs/>
        </w:rPr>
        <w:t>supra</w:t>
      </w:r>
      <w:r w:rsidRPr="00B47CC2" w:rsidR="008A50A2">
        <w:t xml:space="preserve"> n.3</w:t>
      </w:r>
      <w:r w:rsidRPr="00B47CC2" w:rsidR="006C1201">
        <w:rPr>
          <w:rFonts w:eastAsia="Calibri"/>
          <w:bCs/>
          <w:kern w:val="28"/>
        </w:rPr>
        <w:t>.</w:t>
      </w:r>
      <w:r w:rsidRPr="00B47CC2" w:rsidR="006C1201">
        <w:rPr>
          <w:i/>
          <w:iCs/>
        </w:rPr>
        <w:t xml:space="preserve">  </w:t>
      </w:r>
      <w:r w:rsidRPr="00B47CC2" w:rsidR="005C4AAC">
        <w:rPr>
          <w:i/>
          <w:iCs/>
        </w:rPr>
        <w:t>See</w:t>
      </w:r>
      <w:r w:rsidRPr="00B47CC2" w:rsidR="005C4AAC">
        <w:t xml:space="preserve"> </w:t>
      </w:r>
      <w:r w:rsidRPr="00B47CC2" w:rsidR="00446E3C">
        <w:rPr>
          <w:rFonts w:eastAsiaTheme="minorHAnsi"/>
          <w:i/>
          <w:iCs/>
        </w:rPr>
        <w:t>Establishing Rules for Full Power Television and Class A Television Stations</w:t>
      </w:r>
      <w:r w:rsidRPr="00B47CC2" w:rsidR="00326ED0">
        <w:rPr>
          <w:color w:val="333333"/>
        </w:rPr>
        <w:t xml:space="preserve">, </w:t>
      </w:r>
      <w:r w:rsidRPr="00B47CC2" w:rsidR="00326ED0">
        <w:t>8</w:t>
      </w:r>
      <w:r w:rsidRPr="00B47CC2" w:rsidR="00446E3C">
        <w:t>9</w:t>
      </w:r>
      <w:r w:rsidRPr="00B47CC2" w:rsidR="00326ED0">
        <w:t xml:space="preserve"> F</w:t>
      </w:r>
      <w:r w:rsidRPr="00B47CC2" w:rsidR="00C92DB0">
        <w:t xml:space="preserve">ed. </w:t>
      </w:r>
      <w:r w:rsidRPr="00B47CC2" w:rsidR="00326ED0">
        <w:t>R</w:t>
      </w:r>
      <w:r w:rsidRPr="00B47CC2" w:rsidR="00C92DB0">
        <w:t>eg.</w:t>
      </w:r>
      <w:r w:rsidRPr="00B47CC2" w:rsidR="00326ED0">
        <w:t xml:space="preserve"> </w:t>
      </w:r>
      <w:r w:rsidRPr="00B47CC2" w:rsidR="009A1908">
        <w:t>14775</w:t>
      </w:r>
      <w:r w:rsidRPr="00B47CC2" w:rsidR="00326ED0">
        <w:t xml:space="preserve"> (</w:t>
      </w:r>
      <w:r w:rsidRPr="00B47CC2" w:rsidR="002B6928">
        <w:t>Feb</w:t>
      </w:r>
      <w:r w:rsidRPr="00B47CC2" w:rsidR="00326ED0">
        <w:t xml:space="preserve">. </w:t>
      </w:r>
      <w:r w:rsidRPr="00B47CC2" w:rsidR="009A1908">
        <w:t>29</w:t>
      </w:r>
      <w:r w:rsidRPr="00B47CC2" w:rsidR="00326ED0">
        <w:t>, 202</w:t>
      </w:r>
      <w:r w:rsidRPr="00B47CC2" w:rsidR="002B6928">
        <w:t>4</w:t>
      </w:r>
      <w:r w:rsidRPr="00B47CC2" w:rsidR="00326ED0">
        <w:t>)</w:t>
      </w:r>
      <w:r w:rsidRPr="00B47CC2" w:rsidR="000A6B25">
        <w:t xml:space="preserve"> (announcing OMB approval and that the associated rule changes </w:t>
      </w:r>
      <w:r w:rsidRPr="00B47CC2" w:rsidR="004D56BC">
        <w:t>are</w:t>
      </w:r>
      <w:r w:rsidRPr="00B47CC2" w:rsidR="000A6B25">
        <w:t xml:space="preserve"> effective on March 4, 2024)</w:t>
      </w:r>
      <w:r w:rsidRPr="00B47CC2" w:rsidR="00326ED0">
        <w:t xml:space="preserve">; </w:t>
      </w:r>
      <w:r w:rsidRPr="00B47CC2" w:rsidR="002C3172">
        <w:rPr>
          <w:i/>
          <w:iCs/>
        </w:rPr>
        <w:t>Information Collection Being Reviewed by the Federal Communications Commission</w:t>
      </w:r>
      <w:r w:rsidRPr="00B47CC2" w:rsidR="002C3172">
        <w:t>, 88 F</w:t>
      </w:r>
      <w:r w:rsidRPr="00B47CC2" w:rsidR="00387AF1">
        <w:t xml:space="preserve">ed. </w:t>
      </w:r>
      <w:r w:rsidRPr="00B47CC2" w:rsidR="002C3172">
        <w:t>R</w:t>
      </w:r>
      <w:r w:rsidRPr="00B47CC2" w:rsidR="00387AF1">
        <w:t>eg.</w:t>
      </w:r>
      <w:r w:rsidRPr="00B47CC2" w:rsidR="002C3172">
        <w:t xml:space="preserve"> </w:t>
      </w:r>
      <w:r w:rsidRPr="00B47CC2" w:rsidR="00F61023">
        <w:t>70980</w:t>
      </w:r>
      <w:r w:rsidRPr="00B47CC2" w:rsidR="002C3172">
        <w:t xml:space="preserve"> (</w:t>
      </w:r>
      <w:r w:rsidRPr="00B47CC2" w:rsidR="00F61023">
        <w:t>Oct.</w:t>
      </w:r>
      <w:r w:rsidRPr="00B47CC2" w:rsidR="002C3172">
        <w:t xml:space="preserve"> </w:t>
      </w:r>
      <w:r w:rsidRPr="00B47CC2" w:rsidR="00F61023">
        <w:t>13</w:t>
      </w:r>
      <w:r w:rsidRPr="00B47CC2" w:rsidR="002C3172">
        <w:t>, 2023)</w:t>
      </w:r>
      <w:r w:rsidRPr="00B47CC2" w:rsidR="00F20C23">
        <w:t>.</w:t>
      </w:r>
      <w:r w:rsidRPr="00FC242E" w:rsidR="00F20C2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B9F" w:rsidRPr="009838BC" w14:paraId="7FBDAD5F" w14:textId="77777777">
    <w:pPr>
      <w:tabs>
        <w:tab w:val="center" w:pos="4680"/>
        <w:tab w:val="right" w:pos="9360"/>
      </w:tabs>
    </w:pPr>
    <w:r w:rsidRPr="009838BC">
      <w:rPr>
        <w:b/>
      </w:rPr>
      <w:tab/>
      <w:t>Federal Communications Commission</w:t>
    </w:r>
    <w:r w:rsidRPr="009838BC">
      <w:rPr>
        <w:b/>
      </w:rPr>
      <w:tab/>
    </w:r>
    <w:r>
      <w:rPr>
        <w:b/>
      </w:rPr>
      <w:t>DA 22-XX</w:t>
    </w:r>
  </w:p>
  <w:p w:rsidR="00824B9F" w:rsidRPr="009838BC" w14:paraId="2AB1089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4B9F" w:rsidRPr="009838BC" w14:paraId="64A3D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B9F" w:rsidRPr="00A866AC" w14:paraId="467A9543"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B9F" w14:textId="77777777">
                          <w:pPr>
                            <w:rPr>
                              <w:rFonts w:ascii="Arial" w:hAnsi="Arial"/>
                              <w:b/>
                            </w:rPr>
                          </w:pPr>
                          <w:r>
                            <w:rPr>
                              <w:rFonts w:ascii="Arial" w:hAnsi="Arial"/>
                              <w:b/>
                            </w:rPr>
                            <w:t>Federal Communications Commission</w:t>
                          </w:r>
                        </w:p>
                        <w:p w:rsidR="00824B9F" w14:textId="77777777">
                          <w:pPr>
                            <w:rPr>
                              <w:rFonts w:ascii="Arial" w:hAnsi="Arial"/>
                              <w:b/>
                            </w:rPr>
                          </w:pPr>
                          <w:r w:rsidRPr="00F14870">
                            <w:rPr>
                              <w:rFonts w:ascii="Arial" w:hAnsi="Arial"/>
                              <w:b/>
                            </w:rPr>
                            <w:t>45 L Street NE</w:t>
                          </w:r>
                        </w:p>
                        <w:p w:rsidR="00824B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B9F" w14:paraId="511F94D7" w14:textId="77777777">
                    <w:pPr>
                      <w:rPr>
                        <w:rFonts w:ascii="Arial" w:hAnsi="Arial"/>
                        <w:b/>
                      </w:rPr>
                    </w:pPr>
                    <w:r>
                      <w:rPr>
                        <w:rFonts w:ascii="Arial" w:hAnsi="Arial"/>
                        <w:b/>
                      </w:rPr>
                      <w:t>Federal Communications Commission</w:t>
                    </w:r>
                  </w:p>
                  <w:p w:rsidR="00824B9F" w14:paraId="439DE322" w14:textId="77777777">
                    <w:pPr>
                      <w:rPr>
                        <w:rFonts w:ascii="Arial" w:hAnsi="Arial"/>
                        <w:b/>
                      </w:rPr>
                    </w:pPr>
                    <w:r w:rsidRPr="00F14870">
                      <w:rPr>
                        <w:rFonts w:ascii="Arial" w:hAnsi="Arial"/>
                        <w:b/>
                      </w:rPr>
                      <w:t>45 L Street NE</w:t>
                    </w:r>
                  </w:p>
                  <w:p w:rsidR="00824B9F" w14:paraId="1B1F5FD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4B9F" w:rsidRPr="00357D50" w14:paraId="67BD12BD"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5408"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B9F" w14:textId="77777777">
                          <w:pPr>
                            <w:spacing w:before="40"/>
                            <w:jc w:val="right"/>
                            <w:rPr>
                              <w:rFonts w:ascii="Arial" w:hAnsi="Arial"/>
                              <w:b/>
                              <w:sz w:val="16"/>
                            </w:rPr>
                          </w:pPr>
                          <w:r>
                            <w:rPr>
                              <w:rFonts w:ascii="Arial" w:hAnsi="Arial"/>
                              <w:b/>
                              <w:sz w:val="16"/>
                            </w:rPr>
                            <w:t>News Media Information 202 / 418-0500</w:t>
                          </w:r>
                        </w:p>
                        <w:p w:rsidR="00824B9F"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824B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24B9F" w14:paraId="4B186836" w14:textId="77777777">
                    <w:pPr>
                      <w:spacing w:before="40"/>
                      <w:jc w:val="right"/>
                      <w:rPr>
                        <w:rFonts w:ascii="Arial" w:hAnsi="Arial"/>
                        <w:b/>
                        <w:sz w:val="16"/>
                      </w:rPr>
                    </w:pPr>
                    <w:r>
                      <w:rPr>
                        <w:rFonts w:ascii="Arial" w:hAnsi="Arial"/>
                        <w:b/>
                        <w:sz w:val="16"/>
                      </w:rPr>
                      <w:t>News Media Information 202 / 418-0500</w:t>
                    </w:r>
                  </w:p>
                  <w:p w:rsidR="00824B9F" w14:paraId="0262BD95"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824B9F" w14:paraId="210FA811" w14:textId="77777777">
                    <w:pPr>
                      <w:jc w:val="right"/>
                    </w:pPr>
                    <w:r>
                      <w:rPr>
                        <w:rFonts w:ascii="Arial" w:hAnsi="Arial"/>
                        <w:b/>
                        <w:sz w:val="16"/>
                      </w:rPr>
                      <w:t>TTY: 1-888-835-5322</w:t>
                    </w:r>
                  </w:p>
                </w:txbxContent>
              </v:textbox>
            </v:shape>
          </w:pict>
        </mc:Fallback>
      </mc:AlternateContent>
    </w:r>
  </w:p>
  <w:p w:rsidR="00824B9F" w:rsidRPr="009838BC" w14:paraId="5B84CFF9" w14:textId="77777777">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comments="1" w:formatting="1" w:inkAnnotations="1" w:insDel="1" w:markup="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6A"/>
    <w:rsid w:val="0003079C"/>
    <w:rsid w:val="00046CE5"/>
    <w:rsid w:val="00066FDF"/>
    <w:rsid w:val="00067620"/>
    <w:rsid w:val="00082365"/>
    <w:rsid w:val="000A66DC"/>
    <w:rsid w:val="000A6B25"/>
    <w:rsid w:val="000C4359"/>
    <w:rsid w:val="000C4857"/>
    <w:rsid w:val="000C7BC0"/>
    <w:rsid w:val="000D7BFF"/>
    <w:rsid w:val="000E0B37"/>
    <w:rsid w:val="000F007A"/>
    <w:rsid w:val="000F0547"/>
    <w:rsid w:val="000F2A0B"/>
    <w:rsid w:val="00113FA8"/>
    <w:rsid w:val="00121D18"/>
    <w:rsid w:val="001233B0"/>
    <w:rsid w:val="00126854"/>
    <w:rsid w:val="00157FB7"/>
    <w:rsid w:val="0016565F"/>
    <w:rsid w:val="00180143"/>
    <w:rsid w:val="001A4832"/>
    <w:rsid w:val="001B4C0A"/>
    <w:rsid w:val="001C1051"/>
    <w:rsid w:val="001C3FFD"/>
    <w:rsid w:val="001C5671"/>
    <w:rsid w:val="001C5847"/>
    <w:rsid w:val="0020517E"/>
    <w:rsid w:val="0021103D"/>
    <w:rsid w:val="00243E13"/>
    <w:rsid w:val="002536C6"/>
    <w:rsid w:val="00260CF1"/>
    <w:rsid w:val="00275406"/>
    <w:rsid w:val="0028334F"/>
    <w:rsid w:val="002A39DB"/>
    <w:rsid w:val="002B4EE5"/>
    <w:rsid w:val="002B6928"/>
    <w:rsid w:val="002C3172"/>
    <w:rsid w:val="002D158C"/>
    <w:rsid w:val="002D2888"/>
    <w:rsid w:val="002F3B97"/>
    <w:rsid w:val="003020A7"/>
    <w:rsid w:val="00326ED0"/>
    <w:rsid w:val="00333E5C"/>
    <w:rsid w:val="0033557E"/>
    <w:rsid w:val="00357D50"/>
    <w:rsid w:val="00387AF1"/>
    <w:rsid w:val="003955BD"/>
    <w:rsid w:val="003C01CE"/>
    <w:rsid w:val="003E107F"/>
    <w:rsid w:val="003E75B0"/>
    <w:rsid w:val="00400F84"/>
    <w:rsid w:val="00426513"/>
    <w:rsid w:val="00431330"/>
    <w:rsid w:val="00443F5B"/>
    <w:rsid w:val="00446E3C"/>
    <w:rsid w:val="00450D7E"/>
    <w:rsid w:val="0046367D"/>
    <w:rsid w:val="0049242A"/>
    <w:rsid w:val="004A5205"/>
    <w:rsid w:val="004A5DB2"/>
    <w:rsid w:val="004A656B"/>
    <w:rsid w:val="004C0060"/>
    <w:rsid w:val="004C7EC6"/>
    <w:rsid w:val="004D04A6"/>
    <w:rsid w:val="004D56BC"/>
    <w:rsid w:val="004E0558"/>
    <w:rsid w:val="00500D1F"/>
    <w:rsid w:val="005203B7"/>
    <w:rsid w:val="0054171D"/>
    <w:rsid w:val="00555D6F"/>
    <w:rsid w:val="00575952"/>
    <w:rsid w:val="00583203"/>
    <w:rsid w:val="005A0803"/>
    <w:rsid w:val="005A3C10"/>
    <w:rsid w:val="005C1172"/>
    <w:rsid w:val="005C4AAC"/>
    <w:rsid w:val="005D6358"/>
    <w:rsid w:val="005D6933"/>
    <w:rsid w:val="005D7563"/>
    <w:rsid w:val="006153BC"/>
    <w:rsid w:val="006261D9"/>
    <w:rsid w:val="00636F68"/>
    <w:rsid w:val="00680A04"/>
    <w:rsid w:val="00690131"/>
    <w:rsid w:val="006B228D"/>
    <w:rsid w:val="006B350A"/>
    <w:rsid w:val="006C1201"/>
    <w:rsid w:val="006D4DE5"/>
    <w:rsid w:val="006D4EE2"/>
    <w:rsid w:val="006F6913"/>
    <w:rsid w:val="007060AF"/>
    <w:rsid w:val="00717BC8"/>
    <w:rsid w:val="00721CAB"/>
    <w:rsid w:val="007276B9"/>
    <w:rsid w:val="00754ECB"/>
    <w:rsid w:val="00762F9A"/>
    <w:rsid w:val="0077510A"/>
    <w:rsid w:val="00780141"/>
    <w:rsid w:val="007E6B0C"/>
    <w:rsid w:val="00824B9F"/>
    <w:rsid w:val="00832B89"/>
    <w:rsid w:val="0083382C"/>
    <w:rsid w:val="00850F2A"/>
    <w:rsid w:val="00853F0B"/>
    <w:rsid w:val="00860528"/>
    <w:rsid w:val="00894A8D"/>
    <w:rsid w:val="0089517A"/>
    <w:rsid w:val="008A50A2"/>
    <w:rsid w:val="008B253C"/>
    <w:rsid w:val="008B2C07"/>
    <w:rsid w:val="008B35A4"/>
    <w:rsid w:val="008B7536"/>
    <w:rsid w:val="00911B3D"/>
    <w:rsid w:val="00914388"/>
    <w:rsid w:val="00915DB1"/>
    <w:rsid w:val="00916756"/>
    <w:rsid w:val="00953057"/>
    <w:rsid w:val="009536A3"/>
    <w:rsid w:val="00963577"/>
    <w:rsid w:val="009639E3"/>
    <w:rsid w:val="009838BC"/>
    <w:rsid w:val="009A1908"/>
    <w:rsid w:val="009B53F6"/>
    <w:rsid w:val="009B75E9"/>
    <w:rsid w:val="009C7C01"/>
    <w:rsid w:val="009D7210"/>
    <w:rsid w:val="009E4CF9"/>
    <w:rsid w:val="00A04D8D"/>
    <w:rsid w:val="00A07B0D"/>
    <w:rsid w:val="00A21580"/>
    <w:rsid w:val="00A252C6"/>
    <w:rsid w:val="00A27412"/>
    <w:rsid w:val="00A34FAE"/>
    <w:rsid w:val="00A410A5"/>
    <w:rsid w:val="00A4729F"/>
    <w:rsid w:val="00A62EF2"/>
    <w:rsid w:val="00A70838"/>
    <w:rsid w:val="00A84D64"/>
    <w:rsid w:val="00A866AC"/>
    <w:rsid w:val="00A86B43"/>
    <w:rsid w:val="00A91C4B"/>
    <w:rsid w:val="00AE2763"/>
    <w:rsid w:val="00AE626D"/>
    <w:rsid w:val="00AF79DF"/>
    <w:rsid w:val="00B464C7"/>
    <w:rsid w:val="00B47CC2"/>
    <w:rsid w:val="00B63410"/>
    <w:rsid w:val="00B75379"/>
    <w:rsid w:val="00B8158F"/>
    <w:rsid w:val="00B848A6"/>
    <w:rsid w:val="00B91D8B"/>
    <w:rsid w:val="00B92A3F"/>
    <w:rsid w:val="00BA1776"/>
    <w:rsid w:val="00BA3A2D"/>
    <w:rsid w:val="00BA441D"/>
    <w:rsid w:val="00BA5B26"/>
    <w:rsid w:val="00BB70D6"/>
    <w:rsid w:val="00BD32DC"/>
    <w:rsid w:val="00BE0890"/>
    <w:rsid w:val="00BE186A"/>
    <w:rsid w:val="00BF5753"/>
    <w:rsid w:val="00C008F0"/>
    <w:rsid w:val="00C03046"/>
    <w:rsid w:val="00C131DF"/>
    <w:rsid w:val="00C212E1"/>
    <w:rsid w:val="00C276D2"/>
    <w:rsid w:val="00C43002"/>
    <w:rsid w:val="00C47284"/>
    <w:rsid w:val="00C53311"/>
    <w:rsid w:val="00C6144F"/>
    <w:rsid w:val="00C64257"/>
    <w:rsid w:val="00C92DB0"/>
    <w:rsid w:val="00CB5E2B"/>
    <w:rsid w:val="00CD5D38"/>
    <w:rsid w:val="00CE525E"/>
    <w:rsid w:val="00D216CD"/>
    <w:rsid w:val="00D334F0"/>
    <w:rsid w:val="00D44667"/>
    <w:rsid w:val="00D6447B"/>
    <w:rsid w:val="00D72623"/>
    <w:rsid w:val="00D826C3"/>
    <w:rsid w:val="00DA42E3"/>
    <w:rsid w:val="00DB0DAC"/>
    <w:rsid w:val="00DB7981"/>
    <w:rsid w:val="00DC2F11"/>
    <w:rsid w:val="00DD12C4"/>
    <w:rsid w:val="00DD2992"/>
    <w:rsid w:val="00DD75F0"/>
    <w:rsid w:val="00DF3841"/>
    <w:rsid w:val="00E047E6"/>
    <w:rsid w:val="00E26358"/>
    <w:rsid w:val="00E26B43"/>
    <w:rsid w:val="00E44D65"/>
    <w:rsid w:val="00E66826"/>
    <w:rsid w:val="00E72FD6"/>
    <w:rsid w:val="00E87674"/>
    <w:rsid w:val="00E940FC"/>
    <w:rsid w:val="00EA0212"/>
    <w:rsid w:val="00EC1D90"/>
    <w:rsid w:val="00ED230C"/>
    <w:rsid w:val="00EE20F4"/>
    <w:rsid w:val="00EE27AD"/>
    <w:rsid w:val="00EF0B2E"/>
    <w:rsid w:val="00EF3605"/>
    <w:rsid w:val="00F14870"/>
    <w:rsid w:val="00F20C23"/>
    <w:rsid w:val="00F402A8"/>
    <w:rsid w:val="00F41B93"/>
    <w:rsid w:val="00F44573"/>
    <w:rsid w:val="00F54794"/>
    <w:rsid w:val="00F61023"/>
    <w:rsid w:val="00F65E6E"/>
    <w:rsid w:val="00F666E8"/>
    <w:rsid w:val="00F7035D"/>
    <w:rsid w:val="00F810C5"/>
    <w:rsid w:val="00FA3FBA"/>
    <w:rsid w:val="00FA6AA1"/>
    <w:rsid w:val="00FA75E4"/>
    <w:rsid w:val="00FC242E"/>
    <w:rsid w:val="00FD1BCD"/>
    <w:rsid w:val="00FD7682"/>
    <w:rsid w:val="00FE4E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85AC7B"/>
  <w15:chartTrackingRefBased/>
  <w15:docId w15:val="{AC917A22-4F2F-4455-9806-792826E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86A"/>
    <w:pPr>
      <w:widowControl w:val="0"/>
      <w:spacing w:after="0" w:line="240" w:lineRule="auto"/>
    </w:pPr>
    <w:rPr>
      <w:rFonts w:ascii="Times New Roman" w:eastAsia="Times New Roman" w:hAnsi="Times New Roman" w:cs="Times New Roman"/>
      <w:snapToGrid w:val="0"/>
      <w:kern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3"/>
    <w:rsid w:val="00BE186A"/>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BE186A"/>
    <w:rPr>
      <w:rFonts w:ascii="Times New Roman" w:eastAsia="Times New Roman" w:hAnsi="Times New Roman" w:cs="Times New Roman"/>
      <w:snapToGrid w:val="0"/>
      <w:kern w:val="28"/>
      <w:sz w:val="20"/>
      <w:szCs w:val="20"/>
      <w14:ligatures w14:val="none"/>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E186A"/>
    <w:rPr>
      <w:rFonts w:ascii="Times New Roman" w:hAnsi="Times New Roman"/>
      <w:dstrike w:val="0"/>
      <w:color w:val="auto"/>
      <w:sz w:val="22"/>
      <w:vertAlign w:val="superscript"/>
    </w:rPr>
  </w:style>
  <w:style w:type="paragraph" w:styleId="Header">
    <w:name w:val="header"/>
    <w:basedOn w:val="Normal"/>
    <w:link w:val="HeaderChar"/>
    <w:autoRedefine/>
    <w:rsid w:val="00BE186A"/>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BE186A"/>
    <w:rPr>
      <w:rFonts w:ascii="Arial" w:eastAsia="Times New Roman" w:hAnsi="Arial" w:cs="Arial"/>
      <w:b/>
      <w:snapToGrid w:val="0"/>
      <w:kern w:val="28"/>
      <w:sz w:val="96"/>
      <w:szCs w:val="96"/>
      <w14:ligatures w14:val="none"/>
    </w:rPr>
  </w:style>
  <w:style w:type="paragraph" w:styleId="Footer">
    <w:name w:val="footer"/>
    <w:basedOn w:val="Normal"/>
    <w:link w:val="FooterChar"/>
    <w:uiPriority w:val="99"/>
    <w:rsid w:val="00BE186A"/>
    <w:pPr>
      <w:tabs>
        <w:tab w:val="center" w:pos="4320"/>
        <w:tab w:val="right" w:pos="8640"/>
      </w:tabs>
    </w:pPr>
  </w:style>
  <w:style w:type="character" w:customStyle="1" w:styleId="FooterChar">
    <w:name w:val="Footer Char"/>
    <w:basedOn w:val="DefaultParagraphFont"/>
    <w:link w:val="Footer"/>
    <w:uiPriority w:val="99"/>
    <w:rsid w:val="00BE186A"/>
    <w:rPr>
      <w:rFonts w:ascii="Times New Roman" w:eastAsia="Times New Roman" w:hAnsi="Times New Roman" w:cs="Times New Roman"/>
      <w:snapToGrid w:val="0"/>
      <w:kern w:val="28"/>
      <w:szCs w:val="20"/>
      <w14:ligatures w14:val="none"/>
    </w:rPr>
  </w:style>
  <w:style w:type="character" w:styleId="Hyperlink">
    <w:name w:val="Hyperlink"/>
    <w:rsid w:val="00BE186A"/>
    <w:rPr>
      <w:color w:val="0000FF"/>
      <w:u w:val="single"/>
    </w:rPr>
  </w:style>
  <w:style w:type="character" w:customStyle="1" w:styleId="FootnoteTextChar3">
    <w:name w:val="Footnote Text Char3"/>
    <w:aliases w:val="ALTS FOOTNOTE Char Char,ALTS FOOTNOTE Char1,Footnote Text Char Char Char,Footnote Text Char1 Char,Footnote Text Char1 Char Char Char Char,Footnote Text Char1 Char Char Char1,Footnote Text Char1 Char1 Char,Footnote Text Char2 Char"/>
    <w:link w:val="FootnoteText"/>
    <w:rsid w:val="00BE186A"/>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8B35A4"/>
    <w:rPr>
      <w:sz w:val="16"/>
      <w:szCs w:val="16"/>
    </w:rPr>
  </w:style>
  <w:style w:type="paragraph" w:styleId="CommentText">
    <w:name w:val="annotation text"/>
    <w:basedOn w:val="Normal"/>
    <w:link w:val="CommentTextChar"/>
    <w:uiPriority w:val="99"/>
    <w:unhideWhenUsed/>
    <w:rsid w:val="008B35A4"/>
    <w:rPr>
      <w:sz w:val="20"/>
    </w:rPr>
  </w:style>
  <w:style w:type="character" w:customStyle="1" w:styleId="CommentTextChar">
    <w:name w:val="Comment Text Char"/>
    <w:basedOn w:val="DefaultParagraphFont"/>
    <w:link w:val="CommentText"/>
    <w:uiPriority w:val="99"/>
    <w:rsid w:val="008B35A4"/>
    <w:rPr>
      <w:rFonts w:ascii="Times New Roman" w:eastAsia="Times New Roman" w:hAnsi="Times New Roman" w:cs="Times New Roman"/>
      <w:snapToGrid w:val="0"/>
      <w:kern w:val="28"/>
      <w:sz w:val="20"/>
      <w:szCs w:val="20"/>
      <w14:ligatures w14:val="none"/>
    </w:rPr>
  </w:style>
  <w:style w:type="paragraph" w:styleId="CommentSubject">
    <w:name w:val="annotation subject"/>
    <w:basedOn w:val="CommentText"/>
    <w:next w:val="CommentText"/>
    <w:link w:val="CommentSubjectChar"/>
    <w:uiPriority w:val="99"/>
    <w:semiHidden/>
    <w:unhideWhenUsed/>
    <w:rsid w:val="008B35A4"/>
    <w:rPr>
      <w:b/>
      <w:bCs/>
    </w:rPr>
  </w:style>
  <w:style w:type="character" w:customStyle="1" w:styleId="CommentSubjectChar">
    <w:name w:val="Comment Subject Char"/>
    <w:basedOn w:val="CommentTextChar"/>
    <w:link w:val="CommentSubject"/>
    <w:uiPriority w:val="99"/>
    <w:semiHidden/>
    <w:rsid w:val="008B35A4"/>
    <w:rPr>
      <w:rFonts w:ascii="Times New Roman" w:eastAsia="Times New Roman" w:hAnsi="Times New Roman" w:cs="Times New Roman"/>
      <w:b/>
      <w:bCs/>
      <w:snapToGrid w:val="0"/>
      <w:kern w:val="28"/>
      <w:sz w:val="20"/>
      <w:szCs w:val="20"/>
      <w14:ligatures w14:val="none"/>
    </w:rPr>
  </w:style>
  <w:style w:type="character" w:styleId="UnresolvedMention">
    <w:name w:val="Unresolved Mention"/>
    <w:basedOn w:val="DefaultParagraphFont"/>
    <w:uiPriority w:val="99"/>
    <w:semiHidden/>
    <w:unhideWhenUsed/>
    <w:rsid w:val="00C43002"/>
    <w:rPr>
      <w:color w:val="605E5C"/>
      <w:shd w:val="clear" w:color="auto" w:fill="E1DFDD"/>
    </w:rPr>
  </w:style>
  <w:style w:type="paragraph" w:styleId="Revision">
    <w:name w:val="Revision"/>
    <w:hidden/>
    <w:uiPriority w:val="99"/>
    <w:semiHidden/>
    <w:rsid w:val="00067620"/>
    <w:pPr>
      <w:spacing w:after="0" w:line="240" w:lineRule="auto"/>
    </w:pPr>
    <w:rPr>
      <w:rFonts w:ascii="Times New Roman" w:eastAsia="Times New Roman" w:hAnsi="Times New Roman" w:cs="Times New Roman"/>
      <w:snapToGrid w:val="0"/>
      <w:kern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mily.Harrison@fcc.gov" TargetMode="External" /><Relationship Id="rId6" Type="http://schemas.openxmlformats.org/officeDocument/2006/relationships/hyperlink" Target="mailto:Mark.Colomb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