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03DAEF80">
      <w:pPr>
        <w:spacing w:before="60"/>
        <w:jc w:val="right"/>
        <w:rPr>
          <w:b/>
          <w:sz w:val="24"/>
        </w:rPr>
      </w:pPr>
      <w:r w:rsidRPr="00215C22">
        <w:rPr>
          <w:b/>
          <w:sz w:val="24"/>
        </w:rPr>
        <w:t xml:space="preserve">DA </w:t>
      </w:r>
      <w:r w:rsidRPr="00215C22" w:rsidR="00FA3F63">
        <w:rPr>
          <w:b/>
          <w:sz w:val="24"/>
        </w:rPr>
        <w:t>2</w:t>
      </w:r>
      <w:r w:rsidR="007B16F4">
        <w:rPr>
          <w:b/>
          <w:sz w:val="24"/>
        </w:rPr>
        <w:t>4</w:t>
      </w:r>
      <w:r w:rsidRPr="00215C22">
        <w:rPr>
          <w:b/>
          <w:sz w:val="24"/>
        </w:rPr>
        <w:t>-</w:t>
      </w:r>
      <w:r w:rsidR="00C76B25">
        <w:rPr>
          <w:b/>
          <w:sz w:val="24"/>
        </w:rPr>
        <w:t>203</w:t>
      </w:r>
    </w:p>
    <w:p w:rsidR="00310BEF" w:rsidRPr="00182F4F" w14:paraId="43ADDAD9" w14:textId="7D1A0BB7">
      <w:pPr>
        <w:spacing w:before="60"/>
        <w:jc w:val="right"/>
        <w:rPr>
          <w:b/>
          <w:sz w:val="24"/>
        </w:rPr>
      </w:pPr>
      <w:r w:rsidRPr="00215C22">
        <w:rPr>
          <w:b/>
          <w:sz w:val="24"/>
        </w:rPr>
        <w:t xml:space="preserve">Released:  </w:t>
      </w:r>
      <w:r w:rsidR="002A0E0C">
        <w:rPr>
          <w:b/>
          <w:sz w:val="24"/>
        </w:rPr>
        <w:t>March</w:t>
      </w:r>
      <w:r w:rsidRPr="007E6EBA" w:rsidR="002A0E0C">
        <w:rPr>
          <w:b/>
          <w:sz w:val="24"/>
        </w:rPr>
        <w:t xml:space="preserve"> </w:t>
      </w:r>
      <w:r w:rsidR="00CE2E6C">
        <w:rPr>
          <w:b/>
          <w:sz w:val="24"/>
        </w:rPr>
        <w:t>7</w:t>
      </w:r>
      <w:r w:rsidRPr="007E6EBA" w:rsidR="00215C22">
        <w:rPr>
          <w:b/>
          <w:sz w:val="24"/>
        </w:rPr>
        <w:t>, 202</w:t>
      </w:r>
      <w:r w:rsidRPr="007E6EBA" w:rsidR="00B03C24">
        <w:rPr>
          <w:b/>
          <w:sz w:val="24"/>
        </w:rPr>
        <w:t>4</w:t>
      </w:r>
    </w:p>
    <w:p w:rsidR="00310BEF" w14:paraId="7FB19949" w14:textId="77777777">
      <w:pPr>
        <w:jc w:val="right"/>
        <w:rPr>
          <w:sz w:val="24"/>
        </w:rPr>
      </w:pPr>
    </w:p>
    <w:p w:rsidR="00222633" w:rsidRPr="00E21304" w:rsidP="00222633" w14:paraId="5B527948" w14:textId="0082BEC4">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6CDFFB38">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2A0E0C" w:rsidR="00046ACF">
        <w:rPr>
          <w:rFonts w:eastAsia="Calibri"/>
          <w:snapToGrid/>
          <w:kern w:val="0"/>
          <w:szCs w:val="22"/>
        </w:rPr>
        <w:t>one</w:t>
      </w:r>
      <w:r w:rsidRPr="00182F4F" w:rsidR="00CA58AF">
        <w:rPr>
          <w:rFonts w:eastAsia="Calibri"/>
          <w:snapToGrid/>
          <w:kern w:val="0"/>
          <w:szCs w:val="22"/>
        </w:rPr>
        <w:t xml:space="preserve"> </w:t>
      </w:r>
      <w:r w:rsidRPr="007422D9">
        <w:rPr>
          <w:rFonts w:eastAsia="Calibri"/>
          <w:snapToGrid/>
          <w:kern w:val="0"/>
          <w:szCs w:val="22"/>
        </w:rPr>
        <w:t>900 MHz broadband segment license application</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467C0819">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 listed in the </w:t>
      </w:r>
      <w:r w:rsidR="00051215">
        <w:t xml:space="preserve">Appendix </w:t>
      </w:r>
      <w:r>
        <w:t>to be complete and in conformance with the Commission’s rules.  N</w:t>
      </w:r>
      <w:r w:rsidRPr="003A5387">
        <w:t xml:space="preserve">o petitions to deny </w:t>
      </w:r>
      <w:r w:rsidR="00A459AB">
        <w:t>th</w:t>
      </w:r>
      <w:r w:rsidR="008573E1">
        <w:t>is</w:t>
      </w:r>
      <w:r w:rsidR="00A459AB">
        <w:t xml:space="preserve"> </w:t>
      </w:r>
      <w:r w:rsidRPr="003A5387">
        <w:t>application</w:t>
      </w:r>
      <w:r w:rsidR="00A459AB">
        <w:t xml:space="preserve"> </w:t>
      </w:r>
      <w:r w:rsidRPr="003A5387" w:rsidR="007C47BF">
        <w:t>w</w:t>
      </w:r>
      <w:r w:rsidR="007C47BF">
        <w:t>ere</w:t>
      </w:r>
      <w:r w:rsidRPr="003A5387" w:rsidR="007C47BF">
        <w:t xml:space="preserve"> </w:t>
      </w:r>
      <w:r w:rsidRPr="003A5387">
        <w:t>filed</w:t>
      </w:r>
      <w:r>
        <w:t xml:space="preserve">, and the </w:t>
      </w:r>
      <w:r w:rsidRPr="007422D9">
        <w:rPr>
          <w:rFonts w:eastAsia="Calibri"/>
          <w:snapToGrid/>
          <w:kern w:val="0"/>
          <w:szCs w:val="22"/>
        </w:rPr>
        <w:t xml:space="preserve">application </w:t>
      </w:r>
      <w:r>
        <w:rPr>
          <w:rFonts w:eastAsia="Calibri"/>
          <w:snapToGrid/>
          <w:kern w:val="0"/>
          <w:szCs w:val="22"/>
        </w:rPr>
        <w:t>sufficiently demonstrate</w:t>
      </w:r>
      <w:r w:rsidR="00A459AB">
        <w:rPr>
          <w:rFonts w:eastAsia="Calibri"/>
          <w:snapToGrid/>
          <w:kern w:val="0"/>
          <w:szCs w:val="22"/>
        </w:rPr>
        <w:t xml:space="preserve">s </w:t>
      </w:r>
      <w:r>
        <w:rPr>
          <w:rFonts w:eastAsia="Calibri"/>
          <w:snapToGrid/>
          <w:kern w:val="0"/>
          <w:szCs w:val="22"/>
        </w:rPr>
        <w:t>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w:t>
      </w:r>
      <w:r w:rsidR="00A459AB">
        <w:rPr>
          <w:rFonts w:eastAsia="Calibri"/>
          <w:snapToGrid/>
          <w:kern w:val="0"/>
          <w:szCs w:val="22"/>
        </w:rPr>
        <w:t xml:space="preserve">the Commission has received full </w:t>
      </w:r>
      <w:r>
        <w:rPr>
          <w:rFonts w:eastAsia="Calibri"/>
          <w:snapToGrid/>
          <w:kern w:val="0"/>
          <w:szCs w:val="22"/>
        </w:rPr>
        <w:t xml:space="preserve">anti-windfall </w:t>
      </w:r>
      <w:r w:rsidRPr="00025AC7">
        <w:rPr>
          <w:rFonts w:eastAsia="Calibri"/>
          <w:snapToGrid/>
          <w:kern w:val="0"/>
          <w:szCs w:val="22"/>
        </w:rPr>
        <w:t xml:space="preserve">payment for the license listed in </w:t>
      </w:r>
      <w:r>
        <w:rPr>
          <w:rFonts w:eastAsia="Calibri"/>
          <w:snapToGrid/>
          <w:kern w:val="0"/>
          <w:szCs w:val="22"/>
        </w:rPr>
        <w:t xml:space="preserve">the </w:t>
      </w:r>
      <w:r w:rsidR="00051215">
        <w:rPr>
          <w:rFonts w:eastAsia="Calibri"/>
          <w:snapToGrid/>
          <w:kern w:val="0"/>
          <w:szCs w:val="22"/>
        </w:rPr>
        <w:t>Appendix</w:t>
      </w:r>
      <w:r w:rsidR="00A459AB">
        <w:rPr>
          <w:rFonts w:eastAsia="Calibri"/>
          <w:snapToGrid/>
          <w:kern w:val="0"/>
          <w:szCs w:val="22"/>
        </w:rPr>
        <w:t xml:space="preserve">, as required by section 27.1503(c)(2).  </w:t>
      </w:r>
      <w:r>
        <w:rPr>
          <w:rFonts w:eastAsia="Calibri"/>
          <w:snapToGrid/>
          <w:kern w:val="0"/>
          <w:szCs w:val="22"/>
        </w:rPr>
        <w:t xml:space="preserve">Therefore, </w:t>
      </w:r>
      <w:r w:rsidR="001F6A23">
        <w:t>the Bureau</w:t>
      </w:r>
      <w:r w:rsidRPr="00EB2849">
        <w:t xml:space="preserve"> find</w:t>
      </w:r>
      <w:r>
        <w:t>s</w:t>
      </w:r>
      <w:r w:rsidRPr="00EB2849">
        <w:t xml:space="preserve"> that granting the application for the </w:t>
      </w:r>
      <w:r w:rsidRPr="00471EE7">
        <w:t xml:space="preserve">900 MHz broadband segment </w:t>
      </w:r>
      <w:r w:rsidRPr="00EB2849">
        <w:t>licens</w:t>
      </w:r>
      <w:r w:rsidR="008573E1">
        <w:t>e</w:t>
      </w:r>
      <w:r w:rsidRPr="00EB2849">
        <w:t xml:space="preserve">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1F4F8C76">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 listed in </w:t>
      </w:r>
      <w:r>
        <w:t xml:space="preserve">the </w:t>
      </w:r>
      <w:r w:rsidR="00051215">
        <w:t>Appendix</w:t>
      </w:r>
      <w:r w:rsidRPr="00087E7B">
        <w:t>.</w:t>
      </w:r>
      <w:r>
        <w:t xml:space="preserve">  </w:t>
      </w:r>
      <w:r w:rsidRPr="00087E7B">
        <w:t>We grant th</w:t>
      </w:r>
      <w:r w:rsidR="008573E1">
        <w:t>is</w:t>
      </w:r>
      <w:r w:rsidRPr="00087E7B">
        <w:t xml:space="preserve"> license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00A459AB">
        <w:rPr>
          <w:rFonts w:eastAsia="Calibri"/>
        </w:rPr>
        <w:t>Th</w:t>
      </w:r>
      <w:r w:rsidR="008573E1">
        <w:rPr>
          <w:rFonts w:eastAsia="Calibri"/>
        </w:rPr>
        <w:t>is</w:t>
      </w:r>
      <w:r w:rsidR="00A459AB">
        <w:rPr>
          <w:rFonts w:eastAsia="Calibri"/>
        </w:rPr>
        <w:t xml:space="preserve"> n</w:t>
      </w:r>
      <w:r w:rsidRPr="00087E7B">
        <w:rPr>
          <w:rFonts w:eastAsia="Calibri"/>
        </w:rPr>
        <w:t>ew 900 MHz broadband licensee</w:t>
      </w:r>
      <w:r w:rsidR="00A459AB">
        <w:rPr>
          <w:rFonts w:eastAsia="Calibri"/>
        </w:rPr>
        <w:t xml:space="preserve"> </w:t>
      </w:r>
      <w:r w:rsidRPr="00087E7B">
        <w:rPr>
          <w:rFonts w:eastAsia="Calibri"/>
        </w:rPr>
        <w:t xml:space="preserve">may begin operation in the applicable counties, subject to </w:t>
      </w:r>
      <w:r w:rsidRPr="00087E7B" w:rsidR="00EA4382">
        <w:rPr>
          <w:rFonts w:eastAsia="Calibri"/>
        </w:rPr>
        <w:t>protecti</w:t>
      </w:r>
      <w:r w:rsidR="00EA4382">
        <w:rPr>
          <w:rFonts w:eastAsia="Calibri"/>
        </w:rPr>
        <w:t xml:space="preserve">on of </w:t>
      </w:r>
      <w:r w:rsidRPr="00087E7B">
        <w:rPr>
          <w:rFonts w:eastAsia="Calibri"/>
        </w:rPr>
        <w:t>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794E87B7">
      <w:pPr>
        <w:jc w:val="center"/>
      </w:pPr>
      <w:r>
        <w:t xml:space="preserve">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bookmarkStart w:id="3" w:name="_Hlk135054199"/>
            <w:r w:rsidRPr="003A1051">
              <w:rPr>
                <w:sz w:val="20"/>
                <w:szCs w:val="20"/>
              </w:rPr>
              <w:t>PDV Spectrum Holding Company, LLC</w:t>
            </w:r>
          </w:p>
        </w:tc>
        <w:tc>
          <w:tcPr>
            <w:tcW w:w="1291" w:type="dxa"/>
          </w:tcPr>
          <w:p w:rsidR="00E5150C" w:rsidP="00B01B2C" w14:paraId="2AB1E4B9" w14:textId="55CAD8C1">
            <w:pPr>
              <w:rPr>
                <w:sz w:val="20"/>
                <w:szCs w:val="20"/>
              </w:rPr>
            </w:pPr>
            <w:r>
              <w:rPr>
                <w:sz w:val="20"/>
                <w:szCs w:val="20"/>
              </w:rPr>
              <w:t>0010739600</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D9538C" w:rsidP="00B01B2C" w14:paraId="73B55F04" w14:textId="01358A6C">
            <w:pPr>
              <w:rPr>
                <w:sz w:val="20"/>
                <w:szCs w:val="20"/>
              </w:rPr>
            </w:pPr>
            <w:r>
              <w:rPr>
                <w:color w:val="000000"/>
                <w:sz w:val="20"/>
                <w:szCs w:val="20"/>
              </w:rPr>
              <w:t>D27163</w:t>
            </w:r>
          </w:p>
        </w:tc>
        <w:tc>
          <w:tcPr>
            <w:tcW w:w="1440" w:type="dxa"/>
          </w:tcPr>
          <w:p w:rsidR="00E5150C" w:rsidP="00B01B2C" w14:paraId="100AFFE3" w14:textId="45D8C6E0">
            <w:pPr>
              <w:rPr>
                <w:sz w:val="20"/>
                <w:szCs w:val="20"/>
              </w:rPr>
            </w:pPr>
            <w:r>
              <w:rPr>
                <w:sz w:val="20"/>
                <w:szCs w:val="20"/>
              </w:rPr>
              <w:t>Washington</w:t>
            </w:r>
            <w:r>
              <w:rPr>
                <w:sz w:val="20"/>
                <w:szCs w:val="20"/>
              </w:rPr>
              <w:t xml:space="preserve"> County, </w:t>
            </w:r>
            <w:r w:rsidR="00B03C24">
              <w:rPr>
                <w:sz w:val="20"/>
                <w:szCs w:val="20"/>
              </w:rPr>
              <w:t>MN</w:t>
            </w:r>
          </w:p>
        </w:tc>
        <w:tc>
          <w:tcPr>
            <w:tcW w:w="1440" w:type="dxa"/>
          </w:tcPr>
          <w:p w:rsidR="00E5150C" w:rsidRPr="003A1051" w:rsidP="00B01B2C" w14:paraId="11075C71" w14:textId="77777777">
            <w:pPr>
              <w:rPr>
                <w:sz w:val="20"/>
                <w:szCs w:val="20"/>
              </w:rPr>
            </w:pPr>
            <w:r w:rsidRPr="003A1051">
              <w:rPr>
                <w:sz w:val="20"/>
                <w:szCs w:val="20"/>
              </w:rPr>
              <w:t>N/A</w:t>
            </w:r>
          </w:p>
        </w:tc>
      </w:tr>
      <w:bookmarkEnd w:id="3"/>
    </w:tbl>
    <w:p w:rsidR="00E5150C" w:rsidP="00EA4382"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2B69E9">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0DFC" w14:paraId="1FA9DA50" w14:textId="77777777">
      <w:r>
        <w:separator/>
      </w:r>
    </w:p>
  </w:footnote>
  <w:footnote w:type="continuationSeparator" w:id="1">
    <w:p w:rsidR="00940DFC" w14:paraId="078462EB" w14:textId="77777777">
      <w:pPr>
        <w:rPr>
          <w:sz w:val="20"/>
        </w:rPr>
      </w:pPr>
      <w:r>
        <w:rPr>
          <w:sz w:val="20"/>
        </w:rPr>
        <w:t xml:space="preserve">(Continued from previous page)  </w:t>
      </w:r>
      <w:r>
        <w:rPr>
          <w:sz w:val="20"/>
        </w:rPr>
        <w:separator/>
      </w:r>
    </w:p>
  </w:footnote>
  <w:footnote w:type="continuationNotice" w:id="2">
    <w:p w:rsidR="00940DFC" w14:paraId="5976EC2F" w14:textId="77777777">
      <w:pPr>
        <w:jc w:val="right"/>
        <w:rPr>
          <w:sz w:val="20"/>
        </w:rPr>
      </w:pPr>
      <w:r>
        <w:rPr>
          <w:sz w:val="20"/>
        </w:rPr>
        <w:t>(continued….)</w:t>
      </w:r>
    </w:p>
  </w:footnote>
  <w:footnote w:id="3">
    <w:p w:rsidR="00222633" w:rsidP="00222633" w14:paraId="56E9921E" w14:textId="3FDEB555">
      <w:pPr>
        <w:pStyle w:val="FootnoteText"/>
      </w:pPr>
      <w:r>
        <w:rPr>
          <w:rStyle w:val="FootnoteReference"/>
        </w:rPr>
        <w:footnoteRef/>
      </w:r>
      <w:r>
        <w:t xml:space="preserve"> </w:t>
      </w:r>
      <w:r w:rsidRPr="00D60D75">
        <w:rPr>
          <w:i/>
        </w:rPr>
        <w:t>Review of the Commission’s Rules Governing the 896</w:t>
      </w:r>
      <w:r w:rsidRPr="007D6243" w:rsidR="007D6243">
        <w:rPr>
          <w:i/>
        </w:rPr>
        <w:t>–</w:t>
      </w:r>
      <w:r w:rsidRPr="00D60D75">
        <w:rPr>
          <w:i/>
        </w:rPr>
        <w:t>901/935</w:t>
      </w:r>
      <w:r w:rsidRPr="007D6243" w:rsidR="007D6243">
        <w:rPr>
          <w:i/>
        </w:rPr>
        <w:t>–</w:t>
      </w:r>
      <w:r w:rsidRPr="00D60D75">
        <w:rPr>
          <w:i/>
        </w:rPr>
        <w:t>940 MHz Band</w:t>
      </w:r>
      <w:r>
        <w:t xml:space="preserve">, WT Docket No. </w:t>
      </w:r>
      <w:r w:rsidR="00C9350E">
        <w:t>17-200</w:t>
      </w:r>
      <w:r>
        <w:t xml:space="preserve">,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59977DB6" w14:textId="6BA290FE">
      <w:pPr>
        <w:pStyle w:val="FootnoteText"/>
      </w:pPr>
      <w:r>
        <w:rPr>
          <w:rStyle w:val="FootnoteReference"/>
        </w:rPr>
        <w:footnoteRef/>
      </w:r>
      <w:r>
        <w:t xml:space="preserve"> </w:t>
      </w:r>
      <w:r w:rsidR="00EA4382">
        <w:rPr>
          <w:i/>
          <w:iCs/>
        </w:rPr>
        <w:t>Id.</w:t>
      </w:r>
      <w:r w:rsidR="00EA4382">
        <w:t xml:space="preserve"> at</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Rcd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2F67A6F0">
    <w:pPr>
      <w:tabs>
        <w:tab w:val="center" w:pos="4680"/>
        <w:tab w:val="right" w:pos="9360"/>
      </w:tabs>
    </w:pPr>
    <w:r>
      <w:rPr>
        <w:b/>
      </w:rPr>
      <w:tab/>
      <w:t>Federal Communications Commission</w:t>
    </w:r>
    <w:r>
      <w:rPr>
        <w:b/>
      </w:rPr>
      <w:tab/>
    </w:r>
    <w:r w:rsidR="00116F1C">
      <w:rPr>
        <w:b/>
      </w:rPr>
      <w:t xml:space="preserve">DA </w:t>
    </w:r>
    <w:r w:rsidR="00EA4382">
      <w:rPr>
        <w:b/>
      </w:rPr>
      <w:t>24</w:t>
    </w:r>
    <w:r w:rsidR="0030199D">
      <w:rPr>
        <w:b/>
      </w:rPr>
      <w:t>-</w:t>
    </w:r>
    <w:r w:rsidR="00C76B25">
      <w:rPr>
        <w:b/>
      </w:rPr>
      <w:t>203</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46ACF"/>
    <w:rsid w:val="00051215"/>
    <w:rsid w:val="00087E7B"/>
    <w:rsid w:val="000C7B5C"/>
    <w:rsid w:val="00116891"/>
    <w:rsid w:val="00116F1C"/>
    <w:rsid w:val="00163149"/>
    <w:rsid w:val="00182F4F"/>
    <w:rsid w:val="001B46FA"/>
    <w:rsid w:val="001C221C"/>
    <w:rsid w:val="001E390B"/>
    <w:rsid w:val="001F0D0F"/>
    <w:rsid w:val="001F6A23"/>
    <w:rsid w:val="00215C22"/>
    <w:rsid w:val="002205FC"/>
    <w:rsid w:val="00222633"/>
    <w:rsid w:val="00223420"/>
    <w:rsid w:val="00252B72"/>
    <w:rsid w:val="00270293"/>
    <w:rsid w:val="00295B09"/>
    <w:rsid w:val="002A0E0C"/>
    <w:rsid w:val="002B496D"/>
    <w:rsid w:val="002B69E9"/>
    <w:rsid w:val="0030199D"/>
    <w:rsid w:val="00310BEF"/>
    <w:rsid w:val="00315744"/>
    <w:rsid w:val="00320B62"/>
    <w:rsid w:val="00324844"/>
    <w:rsid w:val="00324B6D"/>
    <w:rsid w:val="00387C1C"/>
    <w:rsid w:val="003A1051"/>
    <w:rsid w:val="003A5387"/>
    <w:rsid w:val="00400AF7"/>
    <w:rsid w:val="00425D3D"/>
    <w:rsid w:val="00450D1C"/>
    <w:rsid w:val="00471EE7"/>
    <w:rsid w:val="004868F2"/>
    <w:rsid w:val="00492EB1"/>
    <w:rsid w:val="004B207D"/>
    <w:rsid w:val="004B7900"/>
    <w:rsid w:val="004E0A0C"/>
    <w:rsid w:val="00517C90"/>
    <w:rsid w:val="005A736D"/>
    <w:rsid w:val="005B02D9"/>
    <w:rsid w:val="005D452F"/>
    <w:rsid w:val="005F44C7"/>
    <w:rsid w:val="0064347E"/>
    <w:rsid w:val="00656DB9"/>
    <w:rsid w:val="00660BA7"/>
    <w:rsid w:val="00685677"/>
    <w:rsid w:val="006B4CA4"/>
    <w:rsid w:val="006E33E4"/>
    <w:rsid w:val="006E5638"/>
    <w:rsid w:val="007151E0"/>
    <w:rsid w:val="00736946"/>
    <w:rsid w:val="007422D9"/>
    <w:rsid w:val="0074639F"/>
    <w:rsid w:val="00752568"/>
    <w:rsid w:val="0075609E"/>
    <w:rsid w:val="00786B85"/>
    <w:rsid w:val="007B16F4"/>
    <w:rsid w:val="007C47BF"/>
    <w:rsid w:val="007C4C4D"/>
    <w:rsid w:val="007D0DA8"/>
    <w:rsid w:val="007D6243"/>
    <w:rsid w:val="007E6EBA"/>
    <w:rsid w:val="007F0C3D"/>
    <w:rsid w:val="007F0CB6"/>
    <w:rsid w:val="008026BC"/>
    <w:rsid w:val="008252BC"/>
    <w:rsid w:val="00841774"/>
    <w:rsid w:val="008573E1"/>
    <w:rsid w:val="00862FE3"/>
    <w:rsid w:val="00871281"/>
    <w:rsid w:val="008A14E1"/>
    <w:rsid w:val="008D351A"/>
    <w:rsid w:val="00905BB8"/>
    <w:rsid w:val="0090780A"/>
    <w:rsid w:val="00923ED5"/>
    <w:rsid w:val="00927935"/>
    <w:rsid w:val="00940DFC"/>
    <w:rsid w:val="0095764A"/>
    <w:rsid w:val="00975104"/>
    <w:rsid w:val="00976986"/>
    <w:rsid w:val="009A172D"/>
    <w:rsid w:val="009A2339"/>
    <w:rsid w:val="009B09B6"/>
    <w:rsid w:val="009D57A7"/>
    <w:rsid w:val="009E7F56"/>
    <w:rsid w:val="009F4378"/>
    <w:rsid w:val="00A01D93"/>
    <w:rsid w:val="00A27536"/>
    <w:rsid w:val="00A3444A"/>
    <w:rsid w:val="00A40473"/>
    <w:rsid w:val="00A459AB"/>
    <w:rsid w:val="00A51D1D"/>
    <w:rsid w:val="00AB4DFC"/>
    <w:rsid w:val="00AE010F"/>
    <w:rsid w:val="00B01B2C"/>
    <w:rsid w:val="00B03C24"/>
    <w:rsid w:val="00B77444"/>
    <w:rsid w:val="00B9778E"/>
    <w:rsid w:val="00BA1099"/>
    <w:rsid w:val="00BC3C63"/>
    <w:rsid w:val="00BC5D3F"/>
    <w:rsid w:val="00BF5312"/>
    <w:rsid w:val="00C05CC5"/>
    <w:rsid w:val="00C70F33"/>
    <w:rsid w:val="00C71686"/>
    <w:rsid w:val="00C76B25"/>
    <w:rsid w:val="00C92640"/>
    <w:rsid w:val="00C9350E"/>
    <w:rsid w:val="00C97298"/>
    <w:rsid w:val="00CA58AF"/>
    <w:rsid w:val="00CC4044"/>
    <w:rsid w:val="00CC44AD"/>
    <w:rsid w:val="00CD008A"/>
    <w:rsid w:val="00CE2E6C"/>
    <w:rsid w:val="00D229B0"/>
    <w:rsid w:val="00D4001A"/>
    <w:rsid w:val="00D60D75"/>
    <w:rsid w:val="00D86615"/>
    <w:rsid w:val="00D9538C"/>
    <w:rsid w:val="00DA186F"/>
    <w:rsid w:val="00DA5921"/>
    <w:rsid w:val="00E04611"/>
    <w:rsid w:val="00E21304"/>
    <w:rsid w:val="00E5150C"/>
    <w:rsid w:val="00E522A8"/>
    <w:rsid w:val="00E524E2"/>
    <w:rsid w:val="00EA2CAA"/>
    <w:rsid w:val="00EA4382"/>
    <w:rsid w:val="00EB2849"/>
    <w:rsid w:val="00ED5E7A"/>
    <w:rsid w:val="00EF00B1"/>
    <w:rsid w:val="00EF1C9A"/>
    <w:rsid w:val="00F17AC8"/>
    <w:rsid w:val="00F666FF"/>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unhideWhenUsed/>
    <w:rsid w:val="00A01D93"/>
    <w:rPr>
      <w:sz w:val="20"/>
    </w:rPr>
  </w:style>
  <w:style w:type="character" w:customStyle="1" w:styleId="CommentTextChar">
    <w:name w:val="Comment Text Char"/>
    <w:basedOn w:val="DefaultParagraphFont"/>
    <w:link w:val="CommentText"/>
    <w:uiPriority w:val="99"/>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