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066BB" w14:paraId="3B3A07C9" w14:textId="29DF0C2F">
      <w:pPr>
        <w:jc w:val="right"/>
        <w:rPr>
          <w:b/>
          <w:sz w:val="24"/>
        </w:rPr>
      </w:pPr>
      <w:r>
        <w:rPr>
          <w:b/>
          <w:sz w:val="24"/>
        </w:rPr>
        <w:t>DA 24-</w:t>
      </w:r>
      <w:r w:rsidR="00A33C76">
        <w:rPr>
          <w:b/>
          <w:sz w:val="24"/>
        </w:rPr>
        <w:t>215</w:t>
      </w:r>
    </w:p>
    <w:p w:rsidR="008066BB" w14:paraId="3C497C5E" w14:textId="6CE29E13">
      <w:pPr>
        <w:spacing w:before="60"/>
        <w:jc w:val="right"/>
        <w:rPr>
          <w:b/>
          <w:sz w:val="24"/>
        </w:rPr>
      </w:pPr>
      <w:r>
        <w:rPr>
          <w:b/>
          <w:sz w:val="24"/>
        </w:rPr>
        <w:t xml:space="preserve">Released:  </w:t>
      </w:r>
      <w:r w:rsidR="00F064D5">
        <w:rPr>
          <w:b/>
          <w:sz w:val="24"/>
        </w:rPr>
        <w:fldChar w:fldCharType="begin">
          <w:ffData>
            <w:name w:val="Text2"/>
            <w:enabled/>
            <w:calcOnExit w:val="0"/>
            <w:textInput>
              <w:default w:val="March 7, 2024"/>
            </w:textInput>
          </w:ffData>
        </w:fldChar>
      </w:r>
      <w:r w:rsidR="00F064D5">
        <w:rPr>
          <w:b/>
          <w:sz w:val="24"/>
        </w:rPr>
        <w:instrText xml:space="preserve"> </w:instrText>
      </w:r>
      <w:bookmarkStart w:id="0" w:name="Text2"/>
      <w:r w:rsidR="00F064D5">
        <w:rPr>
          <w:b/>
          <w:sz w:val="24"/>
        </w:rPr>
        <w:instrText xml:space="preserve">FORMTEXT </w:instrText>
      </w:r>
      <w:r w:rsidR="00F064D5">
        <w:rPr>
          <w:b/>
          <w:sz w:val="24"/>
        </w:rPr>
        <w:fldChar w:fldCharType="separate"/>
      </w:r>
      <w:r w:rsidR="00F064D5">
        <w:rPr>
          <w:b/>
          <w:noProof/>
          <w:sz w:val="24"/>
        </w:rPr>
        <w:t>March 7, 2024</w:t>
      </w:r>
      <w:r w:rsidR="00F064D5">
        <w:rPr>
          <w:b/>
          <w:sz w:val="24"/>
        </w:rPr>
        <w:fldChar w:fldCharType="end"/>
      </w:r>
      <w:bookmarkEnd w:id="0"/>
    </w:p>
    <w:p w:rsidR="008066BB" w14:paraId="6A34ED86" w14:textId="77777777">
      <w:pPr>
        <w:jc w:val="right"/>
        <w:rPr>
          <w:sz w:val="24"/>
        </w:rPr>
      </w:pPr>
    </w:p>
    <w:p w:rsidR="008066BB" w14:paraId="0B89238C" w14:textId="67E36425">
      <w:pPr>
        <w:spacing w:after="240"/>
        <w:jc w:val="center"/>
        <w:rPr>
          <w:rFonts w:ascii="Times New Roman Bold" w:hAnsi="Times New Roman Bold"/>
          <w:b/>
          <w:caps/>
          <w:sz w:val="24"/>
          <w:szCs w:val="24"/>
        </w:rPr>
      </w:pPr>
      <w:r w:rsidRPr="4E1BF9B7">
        <w:rPr>
          <w:rFonts w:ascii="Times New Roman Bold" w:hAnsi="Times New Roman Bold"/>
          <w:b/>
          <w:caps/>
          <w:sz w:val="24"/>
          <w:szCs w:val="24"/>
        </w:rPr>
        <w:t>Wireless Telecommunications Bureau</w:t>
      </w:r>
      <w:r w:rsidRPr="4E1BF9B7" w:rsidR="00BE214C">
        <w:rPr>
          <w:rFonts w:ascii="Times New Roman Bold" w:hAnsi="Times New Roman Bold"/>
          <w:b/>
          <w:caps/>
          <w:sz w:val="24"/>
          <w:szCs w:val="24"/>
        </w:rPr>
        <w:t xml:space="preserve"> </w:t>
      </w:r>
      <w:r w:rsidRPr="4E1BF9B7" w:rsidR="00EC6CA0">
        <w:rPr>
          <w:rFonts w:ascii="Times New Roman Bold" w:hAnsi="Times New Roman Bold"/>
          <w:b/>
          <w:caps/>
          <w:sz w:val="24"/>
          <w:szCs w:val="24"/>
        </w:rPr>
        <w:t>Seek</w:t>
      </w:r>
      <w:r w:rsidRPr="4E1BF9B7" w:rsidR="00740628">
        <w:rPr>
          <w:rFonts w:ascii="Times New Roman Bold" w:hAnsi="Times New Roman Bold"/>
          <w:b/>
          <w:caps/>
          <w:sz w:val="24"/>
          <w:szCs w:val="24"/>
        </w:rPr>
        <w:t>s</w:t>
      </w:r>
      <w:r w:rsidRPr="4E1BF9B7" w:rsidR="00EC6CA0">
        <w:rPr>
          <w:rFonts w:ascii="Times New Roman Bold" w:hAnsi="Times New Roman Bold"/>
          <w:b/>
          <w:caps/>
          <w:sz w:val="24"/>
          <w:szCs w:val="24"/>
        </w:rPr>
        <w:t xml:space="preserve"> </w:t>
      </w:r>
      <w:r w:rsidRPr="4E1BF9B7" w:rsidR="00CD2677">
        <w:rPr>
          <w:rFonts w:ascii="Times New Roman Bold" w:hAnsi="Times New Roman Bold"/>
          <w:b/>
          <w:caps/>
          <w:sz w:val="24"/>
          <w:szCs w:val="24"/>
        </w:rPr>
        <w:t xml:space="preserve">comment on </w:t>
      </w:r>
      <w:r w:rsidRPr="4E1BF9B7" w:rsidR="00C44F34">
        <w:rPr>
          <w:rFonts w:ascii="Times New Roman Bold" w:hAnsi="Times New Roman Bold"/>
          <w:b/>
          <w:caps/>
          <w:sz w:val="24"/>
          <w:szCs w:val="24"/>
        </w:rPr>
        <w:t xml:space="preserve">WAYs </w:t>
      </w:r>
      <w:r w:rsidRPr="4E1BF9B7" w:rsidR="00CD2677">
        <w:rPr>
          <w:rFonts w:ascii="Times New Roman Bold" w:hAnsi="Times New Roman Bold"/>
          <w:b/>
          <w:caps/>
          <w:sz w:val="24"/>
          <w:szCs w:val="24"/>
        </w:rPr>
        <w:t xml:space="preserve">to </w:t>
      </w:r>
      <w:r w:rsidRPr="4E1BF9B7" w:rsidR="006F1947">
        <w:rPr>
          <w:rFonts w:ascii="Times New Roman Bold" w:hAnsi="Times New Roman Bold"/>
          <w:b/>
          <w:caps/>
          <w:sz w:val="24"/>
          <w:szCs w:val="24"/>
        </w:rPr>
        <w:t xml:space="preserve">FACILITATE ACCESS </w:t>
      </w:r>
      <w:r w:rsidR="006F2517">
        <w:rPr>
          <w:rFonts w:ascii="Times New Roman Bold" w:hAnsi="Times New Roman Bold"/>
          <w:b/>
          <w:caps/>
          <w:sz w:val="24"/>
          <w:szCs w:val="24"/>
        </w:rPr>
        <w:t>to currently unassigned</w:t>
      </w:r>
      <w:r w:rsidR="00D42651">
        <w:rPr>
          <w:rFonts w:ascii="Times New Roman Bold" w:hAnsi="Times New Roman Bold"/>
          <w:b/>
          <w:caps/>
          <w:sz w:val="24"/>
          <w:szCs w:val="24"/>
        </w:rPr>
        <w:t xml:space="preserve"> auction inventory spectrum </w:t>
      </w:r>
      <w:r w:rsidRPr="4E1BF9B7" w:rsidR="002F203A">
        <w:rPr>
          <w:rFonts w:ascii="Times New Roman Bold" w:hAnsi="Times New Roman Bold"/>
          <w:b/>
          <w:caps/>
          <w:sz w:val="24"/>
          <w:szCs w:val="24"/>
        </w:rPr>
        <w:t>FOR</w:t>
      </w:r>
      <w:r w:rsidRPr="4E1BF9B7" w:rsidR="00EC2814">
        <w:rPr>
          <w:rFonts w:ascii="Times New Roman Bold" w:hAnsi="Times New Roman Bold"/>
          <w:b/>
          <w:caps/>
          <w:sz w:val="24"/>
          <w:szCs w:val="24"/>
        </w:rPr>
        <w:t xml:space="preserve"> WIRELESS RADIO SERVICES</w:t>
      </w:r>
      <w:r w:rsidRPr="4E1BF9B7" w:rsidR="002F203A">
        <w:rPr>
          <w:rFonts w:ascii="Times New Roman Bold" w:hAnsi="Times New Roman Bold"/>
          <w:b/>
          <w:caps/>
          <w:sz w:val="24"/>
          <w:szCs w:val="24"/>
        </w:rPr>
        <w:t xml:space="preserve"> IN LIGHT OF </w:t>
      </w:r>
      <w:r w:rsidRPr="4E1BF9B7" w:rsidR="00AF78CA">
        <w:rPr>
          <w:rFonts w:ascii="Times New Roman Bold" w:hAnsi="Times New Roman Bold"/>
          <w:b/>
          <w:caps/>
          <w:sz w:val="24"/>
          <w:szCs w:val="24"/>
        </w:rPr>
        <w:t xml:space="preserve">THE </w:t>
      </w:r>
      <w:r w:rsidR="001A7FC8">
        <w:rPr>
          <w:rFonts w:ascii="Times New Roman Bold" w:hAnsi="Times New Roman Bold"/>
          <w:b/>
          <w:caps/>
          <w:sz w:val="24"/>
          <w:szCs w:val="24"/>
        </w:rPr>
        <w:t>ongoing</w:t>
      </w:r>
      <w:r w:rsidRPr="4E1BF9B7" w:rsidR="001A7FC8">
        <w:rPr>
          <w:rFonts w:ascii="Times New Roman Bold" w:hAnsi="Times New Roman Bold"/>
          <w:b/>
          <w:caps/>
          <w:sz w:val="24"/>
          <w:szCs w:val="24"/>
        </w:rPr>
        <w:t xml:space="preserve"> </w:t>
      </w:r>
      <w:r w:rsidRPr="4E1BF9B7" w:rsidR="00AF78CA">
        <w:rPr>
          <w:rFonts w:ascii="Times New Roman Bold" w:hAnsi="Times New Roman Bold"/>
          <w:b/>
          <w:caps/>
          <w:sz w:val="24"/>
          <w:szCs w:val="24"/>
        </w:rPr>
        <w:t xml:space="preserve">LAPSE OF </w:t>
      </w:r>
      <w:r w:rsidRPr="4E1BF9B7" w:rsidR="00AF78CA">
        <w:rPr>
          <w:rFonts w:ascii="Times New Roman Bold" w:hAnsi="Times New Roman Bold"/>
          <w:b/>
          <w:bCs/>
          <w:caps/>
          <w:sz w:val="24"/>
          <w:szCs w:val="24"/>
        </w:rPr>
        <w:t>AUC</w:t>
      </w:r>
      <w:r w:rsidRPr="4E1BF9B7" w:rsidR="2AC9E3B0">
        <w:rPr>
          <w:rFonts w:ascii="Times New Roman Bold" w:hAnsi="Times New Roman Bold"/>
          <w:b/>
          <w:bCs/>
          <w:caps/>
          <w:sz w:val="24"/>
          <w:szCs w:val="24"/>
        </w:rPr>
        <w:t>t</w:t>
      </w:r>
      <w:r w:rsidRPr="4E1BF9B7" w:rsidR="00AF78CA">
        <w:rPr>
          <w:rFonts w:ascii="Times New Roman Bold" w:hAnsi="Times New Roman Bold"/>
          <w:b/>
          <w:bCs/>
          <w:caps/>
          <w:sz w:val="24"/>
          <w:szCs w:val="24"/>
        </w:rPr>
        <w:t>ION</w:t>
      </w:r>
      <w:r w:rsidRPr="4E1BF9B7" w:rsidR="00AF78CA">
        <w:rPr>
          <w:rFonts w:ascii="Times New Roman Bold" w:hAnsi="Times New Roman Bold"/>
          <w:b/>
          <w:caps/>
          <w:sz w:val="24"/>
          <w:szCs w:val="24"/>
        </w:rPr>
        <w:t xml:space="preserve"> AUTHORITY</w:t>
      </w:r>
    </w:p>
    <w:p w:rsidR="008066BB" w14:paraId="5F125868" w14:textId="46ABA3A5">
      <w:pPr>
        <w:jc w:val="center"/>
        <w:rPr>
          <w:b/>
          <w:sz w:val="24"/>
        </w:rPr>
      </w:pPr>
      <w:r>
        <w:rPr>
          <w:b/>
          <w:sz w:val="24"/>
        </w:rPr>
        <w:t>WT</w:t>
      </w:r>
      <w:r w:rsidR="00CD2677">
        <w:rPr>
          <w:b/>
          <w:sz w:val="24"/>
        </w:rPr>
        <w:t xml:space="preserve"> Docket No. </w:t>
      </w:r>
      <w:r w:rsidR="00601AE7">
        <w:rPr>
          <w:b/>
          <w:sz w:val="24"/>
        </w:rPr>
        <w:t>24-72</w:t>
      </w:r>
    </w:p>
    <w:p w:rsidR="00CD2677" w14:paraId="63E80D49" w14:textId="77777777">
      <w:pPr>
        <w:jc w:val="center"/>
        <w:rPr>
          <w:b/>
          <w:sz w:val="24"/>
        </w:rPr>
      </w:pPr>
    </w:p>
    <w:p w:rsidR="00CD2677" w:rsidP="00CD2677" w14:paraId="335C2C3D" w14:textId="461F69BD">
      <w:pPr>
        <w:rPr>
          <w:b/>
          <w:szCs w:val="22"/>
        </w:rPr>
      </w:pPr>
      <w:r w:rsidRPr="005D2B63">
        <w:rPr>
          <w:b/>
          <w:szCs w:val="22"/>
        </w:rPr>
        <w:t>Comment</w:t>
      </w:r>
      <w:r>
        <w:rPr>
          <w:b/>
          <w:szCs w:val="22"/>
        </w:rPr>
        <w:t>s Due</w:t>
      </w:r>
      <w:r w:rsidRPr="005D2B63">
        <w:rPr>
          <w:b/>
          <w:szCs w:val="22"/>
        </w:rPr>
        <w:t xml:space="preserve">:  </w:t>
      </w:r>
      <w:r w:rsidR="004A3E82">
        <w:rPr>
          <w:b/>
          <w:szCs w:val="22"/>
        </w:rPr>
        <w:t>April 8</w:t>
      </w:r>
      <w:r w:rsidRPr="005D2B63">
        <w:rPr>
          <w:b/>
          <w:szCs w:val="22"/>
        </w:rPr>
        <w:t>, 20</w:t>
      </w:r>
      <w:r>
        <w:rPr>
          <w:b/>
          <w:szCs w:val="22"/>
        </w:rPr>
        <w:t>24</w:t>
      </w:r>
    </w:p>
    <w:p w:rsidR="00CD2677" w:rsidRPr="005D2B63" w:rsidP="00CD2677" w14:paraId="7219FCEB" w14:textId="2C5AB577">
      <w:pPr>
        <w:rPr>
          <w:b/>
          <w:szCs w:val="22"/>
        </w:rPr>
      </w:pPr>
      <w:r w:rsidRPr="005D2B63">
        <w:rPr>
          <w:b/>
          <w:szCs w:val="22"/>
        </w:rPr>
        <w:t xml:space="preserve">Reply </w:t>
      </w:r>
      <w:r>
        <w:rPr>
          <w:b/>
          <w:szCs w:val="22"/>
        </w:rPr>
        <w:t>Comments Due</w:t>
      </w:r>
      <w:r w:rsidRPr="005D2B63">
        <w:rPr>
          <w:b/>
          <w:szCs w:val="22"/>
        </w:rPr>
        <w:t xml:space="preserve">:  </w:t>
      </w:r>
      <w:r w:rsidR="00F064D5">
        <w:rPr>
          <w:b/>
          <w:szCs w:val="22"/>
        </w:rPr>
        <w:t>April 22</w:t>
      </w:r>
      <w:r w:rsidRPr="005D2B63">
        <w:rPr>
          <w:b/>
          <w:szCs w:val="22"/>
        </w:rPr>
        <w:t xml:space="preserve">, </w:t>
      </w:r>
      <w:r>
        <w:rPr>
          <w:b/>
          <w:szCs w:val="22"/>
        </w:rPr>
        <w:t>2024</w:t>
      </w:r>
    </w:p>
    <w:p w:rsidR="00CD2677" w:rsidP="00CD2677" w14:paraId="748863EC" w14:textId="77777777">
      <w:pPr>
        <w:rPr>
          <w:b/>
          <w:sz w:val="24"/>
        </w:rPr>
      </w:pPr>
    </w:p>
    <w:p w:rsidR="00CD2677" w:rsidP="00CD2677" w14:paraId="3DDB1EFD" w14:textId="4037D56C">
      <w:pPr>
        <w:pStyle w:val="Heading1"/>
      </w:pPr>
      <w:r>
        <w:t>introduction</w:t>
      </w:r>
    </w:p>
    <w:p w:rsidR="00745AE0" w:rsidP="007F1947" w14:paraId="6A3877F0" w14:textId="55051715">
      <w:pPr>
        <w:pStyle w:val="ParaNum"/>
        <w:widowControl/>
        <w:tabs>
          <w:tab w:val="clear" w:pos="1080"/>
          <w:tab w:val="num" w:pos="1440"/>
        </w:tabs>
      </w:pPr>
      <w:r>
        <w:t xml:space="preserve">This </w:t>
      </w:r>
      <w:r w:rsidRPr="00853DCA">
        <w:rPr>
          <w:i/>
        </w:rPr>
        <w:t>Public Notice</w:t>
      </w:r>
      <w:r>
        <w:t xml:space="preserve"> seeks </w:t>
      </w:r>
      <w:r w:rsidR="000C1193">
        <w:t>comment</w:t>
      </w:r>
      <w:r>
        <w:t xml:space="preserve"> on how the </w:t>
      </w:r>
      <w:r w:rsidR="00831D66">
        <w:t>Commission</w:t>
      </w:r>
      <w:r w:rsidR="001B52D0">
        <w:t xml:space="preserve"> should fulfill </w:t>
      </w:r>
      <w:r w:rsidR="000C1193">
        <w:t>its responsibility</w:t>
      </w:r>
      <w:r w:rsidR="00BB1C59">
        <w:t xml:space="preserve"> </w:t>
      </w:r>
      <w:r w:rsidR="00F0136B">
        <w:t xml:space="preserve">to make </w:t>
      </w:r>
      <w:r w:rsidR="006A653F">
        <w:t xml:space="preserve">spectrum </w:t>
      </w:r>
      <w:r w:rsidR="00974A32">
        <w:t>resources</w:t>
      </w:r>
      <w:r w:rsidR="006A653F">
        <w:t xml:space="preserve"> available </w:t>
      </w:r>
      <w:r w:rsidR="00244CC7">
        <w:t>for use in the public interest</w:t>
      </w:r>
      <w:r w:rsidR="000C1193">
        <w:t>,</w:t>
      </w:r>
      <w:r>
        <w:rPr>
          <w:rStyle w:val="FootnoteReference"/>
        </w:rPr>
        <w:footnoteReference w:id="3"/>
      </w:r>
      <w:r w:rsidR="00943DC2">
        <w:t xml:space="preserve"> in light of the </w:t>
      </w:r>
      <w:r w:rsidR="00A83C5B">
        <w:t xml:space="preserve">ongoing </w:t>
      </w:r>
      <w:r w:rsidR="00943DC2">
        <w:t>lapse of the Commission’s auction authority.</w:t>
      </w:r>
      <w:r>
        <w:rPr>
          <w:vertAlign w:val="superscript"/>
        </w:rPr>
        <w:footnoteReference w:id="4"/>
      </w:r>
      <w:r w:rsidR="00244CC7">
        <w:t xml:space="preserve">  </w:t>
      </w:r>
      <w:r w:rsidR="00501B04">
        <w:t xml:space="preserve">The Commission typically uses exclusive, geographic-area licensing </w:t>
      </w:r>
      <w:r w:rsidRPr="007C03B5" w:rsidR="007C03B5">
        <w:t xml:space="preserve">to facilitate nationwide wireless broadband </w:t>
      </w:r>
      <w:r w:rsidR="00BE1845">
        <w:t xml:space="preserve">coverage, and </w:t>
      </w:r>
      <w:r>
        <w:t xml:space="preserve">auctions have been </w:t>
      </w:r>
      <w:r w:rsidR="00DA43B2">
        <w:t xml:space="preserve">the </w:t>
      </w:r>
      <w:r w:rsidR="00412AE2">
        <w:t xml:space="preserve">most </w:t>
      </w:r>
      <w:r w:rsidR="00F70673">
        <w:t>effective</w:t>
      </w:r>
      <w:r w:rsidR="00412AE2">
        <w:t xml:space="preserve"> </w:t>
      </w:r>
      <w:r w:rsidR="00DA43B2">
        <w:t xml:space="preserve">mechanism </w:t>
      </w:r>
      <w:r w:rsidR="00412AE2">
        <w:t xml:space="preserve">to </w:t>
      </w:r>
      <w:r w:rsidR="009062F5">
        <w:t>resolve</w:t>
      </w:r>
      <w:r w:rsidR="00C34992">
        <w:t xml:space="preserve"> mutually exclusive applications</w:t>
      </w:r>
      <w:r w:rsidR="009062F5">
        <w:t xml:space="preserve"> for geographic</w:t>
      </w:r>
      <w:r w:rsidR="00D9379E">
        <w:t>-</w:t>
      </w:r>
      <w:r w:rsidR="009062F5">
        <w:t>area licenses</w:t>
      </w:r>
      <w:r w:rsidR="00BE1845">
        <w:t xml:space="preserve"> in a manner that </w:t>
      </w:r>
      <w:r w:rsidR="008B2029">
        <w:t xml:space="preserve">yields the most benefits to the public.  Given the </w:t>
      </w:r>
      <w:r w:rsidR="00D9379E">
        <w:t>ongoing</w:t>
      </w:r>
      <w:r w:rsidR="008B2029">
        <w:t xml:space="preserve"> lapse of the Commission’s auction authority, the Commission </w:t>
      </w:r>
      <w:r w:rsidR="00E3178E">
        <w:t xml:space="preserve">now </w:t>
      </w:r>
      <w:r w:rsidR="008B2029">
        <w:t xml:space="preserve">faces </w:t>
      </w:r>
      <w:r w:rsidR="002949C1">
        <w:t>a</w:t>
      </w:r>
      <w:r w:rsidR="00E3178E">
        <w:t xml:space="preserve"> </w:t>
      </w:r>
      <w:r w:rsidR="00683719">
        <w:t xml:space="preserve">unique </w:t>
      </w:r>
      <w:r w:rsidR="00E3178E">
        <w:t xml:space="preserve">and historic </w:t>
      </w:r>
      <w:r w:rsidR="00683719">
        <w:t>challenge</w:t>
      </w:r>
      <w:r w:rsidR="00E3178E">
        <w:t xml:space="preserve"> of how </w:t>
      </w:r>
      <w:r w:rsidR="009B5E3D">
        <w:t xml:space="preserve">to </w:t>
      </w:r>
      <w:r w:rsidR="00E3178E">
        <w:t xml:space="preserve">facilitate </w:t>
      </w:r>
      <w:r w:rsidR="00E66B5A">
        <w:t xml:space="preserve">the deployment of </w:t>
      </w:r>
      <w:r w:rsidR="00E3178E">
        <w:t xml:space="preserve">advanced </w:t>
      </w:r>
      <w:r w:rsidR="00CA21A5">
        <w:t>wireless</w:t>
      </w:r>
      <w:r w:rsidR="00E3178E">
        <w:t xml:space="preserve"> services across the countr</w:t>
      </w:r>
      <w:r w:rsidR="00E66B5A">
        <w:t>y</w:t>
      </w:r>
      <w:r w:rsidR="002949C1">
        <w:t xml:space="preserve"> without </w:t>
      </w:r>
      <w:r w:rsidR="004A6194">
        <w:t xml:space="preserve">using </w:t>
      </w:r>
      <w:r w:rsidR="002949C1">
        <w:t>auctions</w:t>
      </w:r>
      <w:r w:rsidR="001F1A66">
        <w:t xml:space="preserve"> to resolve mutua</w:t>
      </w:r>
      <w:r w:rsidR="004C3439">
        <w:t>l</w:t>
      </w:r>
      <w:r w:rsidR="00E66B5A">
        <w:t>ly</w:t>
      </w:r>
      <w:r w:rsidR="004C3439">
        <w:t xml:space="preserve"> exclusiv</w:t>
      </w:r>
      <w:r w:rsidR="00E66B5A">
        <w:t>e applications</w:t>
      </w:r>
      <w:r w:rsidR="002949C1">
        <w:t>.</w:t>
      </w:r>
    </w:p>
    <w:p w:rsidR="00CD2677" w:rsidP="007F1947" w14:paraId="536AE82D" w14:textId="645C37F4">
      <w:pPr>
        <w:pStyle w:val="ParaNum"/>
        <w:widowControl/>
        <w:tabs>
          <w:tab w:val="clear" w:pos="1080"/>
          <w:tab w:val="num" w:pos="1440"/>
        </w:tabs>
      </w:pPr>
      <w:r>
        <w:t>To that end, u</w:t>
      </w:r>
      <w:r w:rsidR="00D16A06">
        <w:t xml:space="preserve">nless and until </w:t>
      </w:r>
      <w:r w:rsidR="001C727B">
        <w:t>Congress</w:t>
      </w:r>
      <w:r w:rsidR="3C1493CE">
        <w:t xml:space="preserve"> decides to</w:t>
      </w:r>
      <w:r w:rsidR="001C727B">
        <w:t xml:space="preserve"> restore the Commission’s </w:t>
      </w:r>
      <w:r w:rsidR="007F1947">
        <w:t>auction</w:t>
      </w:r>
      <w:r w:rsidR="006218F7">
        <w:t xml:space="preserve"> </w:t>
      </w:r>
      <w:r w:rsidR="00D16A06">
        <w:t>authority</w:t>
      </w:r>
      <w:r w:rsidR="001C727B">
        <w:t xml:space="preserve">, </w:t>
      </w:r>
      <w:r w:rsidR="0080609B">
        <w:t>the Wireless Telecommunications Bureau</w:t>
      </w:r>
      <w:r w:rsidR="001C727B">
        <w:t xml:space="preserve"> </w:t>
      </w:r>
      <w:r w:rsidR="007D3292">
        <w:t xml:space="preserve">(WTB) </w:t>
      </w:r>
      <w:r w:rsidR="008B304D">
        <w:t xml:space="preserve">is compelled </w:t>
      </w:r>
      <w:r w:rsidR="0096757C">
        <w:t>to</w:t>
      </w:r>
      <w:r w:rsidR="001C727B">
        <w:t xml:space="preserve"> </w:t>
      </w:r>
      <w:r w:rsidR="0080609B">
        <w:t>explore</w:t>
      </w:r>
      <w:r w:rsidR="001C727B">
        <w:t xml:space="preserve"> </w:t>
      </w:r>
      <w:r w:rsidR="00C6189C">
        <w:t xml:space="preserve">how </w:t>
      </w:r>
      <w:r w:rsidR="003328D1">
        <w:t xml:space="preserve">its </w:t>
      </w:r>
      <w:r w:rsidR="00C6189C">
        <w:t xml:space="preserve">existing </w:t>
      </w:r>
      <w:r w:rsidR="00833B3C">
        <w:t xml:space="preserve">regulatory </w:t>
      </w:r>
      <w:r w:rsidR="00C6189C">
        <w:t xml:space="preserve">tools </w:t>
      </w:r>
      <w:r w:rsidR="62482ADF">
        <w:t>c</w:t>
      </w:r>
      <w:r w:rsidR="003328D1">
        <w:t>ould</w:t>
      </w:r>
      <w:r w:rsidR="62482ADF">
        <w:t xml:space="preserve"> be used </w:t>
      </w:r>
      <w:r w:rsidR="00C6189C">
        <w:t>to provide the public with access to spectrum that would otherwise lie fallow.</w:t>
      </w:r>
      <w:r w:rsidR="001C727B">
        <w:t xml:space="preserve"> </w:t>
      </w:r>
      <w:r w:rsidR="0038695F">
        <w:t xml:space="preserve"> </w:t>
      </w:r>
      <w:r w:rsidR="001B64CE">
        <w:t xml:space="preserve">Specifically, in this </w:t>
      </w:r>
      <w:r w:rsidRPr="55EFBA69" w:rsidR="001B64CE">
        <w:rPr>
          <w:i/>
          <w:iCs/>
        </w:rPr>
        <w:t>Public Notice</w:t>
      </w:r>
      <w:r w:rsidRPr="00853DCA" w:rsidR="001B64CE">
        <w:t>,</w:t>
      </w:r>
      <w:r w:rsidRPr="55EFBA69" w:rsidR="001B64CE">
        <w:rPr>
          <w:i/>
          <w:iCs/>
        </w:rPr>
        <w:t xml:space="preserve"> </w:t>
      </w:r>
      <w:r w:rsidR="001B64CE">
        <w:t>WTB seeks comment on how the Commission</w:t>
      </w:r>
      <w:r w:rsidR="00724244">
        <w:t>, if necessary,</w:t>
      </w:r>
      <w:r w:rsidR="001B64CE">
        <w:t xml:space="preserve"> could use its current </w:t>
      </w:r>
      <w:r w:rsidR="006F6266">
        <w:t>statutory</w:t>
      </w:r>
      <w:r w:rsidR="001B64CE">
        <w:t xml:space="preserve"> authority to provide the public with access to </w:t>
      </w:r>
      <w:r w:rsidR="00A725A3">
        <w:t xml:space="preserve">its </w:t>
      </w:r>
      <w:r w:rsidR="001B64CE">
        <w:t xml:space="preserve">inventory </w:t>
      </w:r>
      <w:r w:rsidR="001822CF">
        <w:t xml:space="preserve">of </w:t>
      </w:r>
      <w:r w:rsidR="00A26687">
        <w:t xml:space="preserve">currently </w:t>
      </w:r>
      <w:r w:rsidR="00A32C65">
        <w:t xml:space="preserve">unassigned </w:t>
      </w:r>
      <w:r w:rsidR="003328D1">
        <w:t xml:space="preserve">spectrum </w:t>
      </w:r>
      <w:r w:rsidR="00A32C65">
        <w:t xml:space="preserve">in </w:t>
      </w:r>
      <w:r w:rsidR="00A26687">
        <w:t xml:space="preserve">bands </w:t>
      </w:r>
      <w:r w:rsidR="001822CF">
        <w:t xml:space="preserve">previously </w:t>
      </w:r>
      <w:r w:rsidR="00A26687">
        <w:t>licensed for</w:t>
      </w:r>
      <w:r w:rsidR="001B64CE">
        <w:t xml:space="preserve"> </w:t>
      </w:r>
      <w:r w:rsidR="003328D1">
        <w:t xml:space="preserve">wireless services </w:t>
      </w:r>
      <w:r w:rsidR="007766AC">
        <w:t>through auctions</w:t>
      </w:r>
      <w:r w:rsidR="003328D1">
        <w:t xml:space="preserve"> (</w:t>
      </w:r>
      <w:r w:rsidR="00723222">
        <w:t>hereafter, I</w:t>
      </w:r>
      <w:r w:rsidR="003328D1">
        <w:t xml:space="preserve">nventory </w:t>
      </w:r>
      <w:r w:rsidR="00723222">
        <w:t>S</w:t>
      </w:r>
      <w:r w:rsidR="003328D1">
        <w:t>pectrum)</w:t>
      </w:r>
      <w:r w:rsidR="001B64CE">
        <w:t>.</w:t>
      </w:r>
      <w:r w:rsidR="00831D66">
        <w:t xml:space="preserve"> </w:t>
      </w:r>
      <w:r w:rsidR="00DF43E2">
        <w:t xml:space="preserve"> </w:t>
      </w:r>
      <w:r w:rsidRPr="003328D1" w:rsidR="003328D1">
        <w:t>The record compiled in this proceeding will help WTB</w:t>
      </w:r>
      <w:r w:rsidR="00FA38A0">
        <w:t>, in coordination with the Office of Economics and Analytics and the Office of Engineering and Technology</w:t>
      </w:r>
      <w:r w:rsidR="0095433A">
        <w:t>,</w:t>
      </w:r>
      <w:r w:rsidRPr="003328D1" w:rsidR="003328D1">
        <w:t xml:space="preserve"> </w:t>
      </w:r>
      <w:r w:rsidR="008200A7">
        <w:t xml:space="preserve">to </w:t>
      </w:r>
      <w:r w:rsidRPr="003328D1" w:rsidR="003328D1">
        <w:t xml:space="preserve">develop options </w:t>
      </w:r>
      <w:r w:rsidR="007F1947">
        <w:t>for Commission consideration o</w:t>
      </w:r>
      <w:r w:rsidR="008858A4">
        <w:t>f</w:t>
      </w:r>
      <w:r w:rsidR="007F1947">
        <w:t xml:space="preserve"> </w:t>
      </w:r>
      <w:r w:rsidR="00EA7ACE">
        <w:t>these</w:t>
      </w:r>
      <w:r w:rsidR="007F1947">
        <w:t xml:space="preserve"> issue</w:t>
      </w:r>
      <w:r w:rsidR="00EA7ACE">
        <w:t>s</w:t>
      </w:r>
      <w:r w:rsidR="007F1947">
        <w:t>.</w:t>
      </w:r>
      <w:r w:rsidR="00184929">
        <w:t xml:space="preserve">  </w:t>
      </w:r>
      <w:r w:rsidRPr="00853DCA" w:rsidR="00184929">
        <w:t xml:space="preserve">We note that additional spectrum may also be affected by the </w:t>
      </w:r>
      <w:r w:rsidRPr="00853DCA" w:rsidR="00184929">
        <w:t>lack of auction authority where, but for the current statutory limitations, the Commission might otherwise adopt rules for geographic area licensing and auctions to resolve mutual exclusivity.</w:t>
      </w:r>
    </w:p>
    <w:p w:rsidR="00B61044" w:rsidP="00340CA5" w14:paraId="1E4FD1BC" w14:textId="7B04A31F">
      <w:pPr>
        <w:pStyle w:val="ParaNum"/>
        <w:widowControl/>
        <w:tabs>
          <w:tab w:val="clear" w:pos="1080"/>
          <w:tab w:val="num" w:pos="1440"/>
        </w:tabs>
      </w:pPr>
      <w:r>
        <w:t xml:space="preserve">This </w:t>
      </w:r>
      <w:r w:rsidRPr="00853DCA">
        <w:rPr>
          <w:i/>
        </w:rPr>
        <w:t>Public Notice</w:t>
      </w:r>
      <w:r>
        <w:t xml:space="preserve"> identifie</w:t>
      </w:r>
      <w:r>
        <w:t>s</w:t>
      </w:r>
      <w:r w:rsidR="001B5E24">
        <w:t xml:space="preserve"> </w:t>
      </w:r>
      <w:r w:rsidR="00453807">
        <w:t xml:space="preserve">three </w:t>
      </w:r>
      <w:r>
        <w:t xml:space="preserve">broad approaches that the Commission could use to make Inventory Spectrum available for public use in the absence of auction authority.  These options include:  (1) providing access through dynamic spectrum </w:t>
      </w:r>
      <w:r w:rsidR="003D37AC">
        <w:t>sharing techniques</w:t>
      </w:r>
      <w:r>
        <w:t xml:space="preserve">; (2) providing access through </w:t>
      </w:r>
      <w:r w:rsidR="006424E4">
        <w:t xml:space="preserve">non-exclusive </w:t>
      </w:r>
      <w:r>
        <w:t>site-based licensing;</w:t>
      </w:r>
      <w:r w:rsidR="00AC768E">
        <w:t xml:space="preserve"> and (</w:t>
      </w:r>
      <w:r w:rsidR="00453807">
        <w:t>3</w:t>
      </w:r>
      <w:r w:rsidR="00AC768E">
        <w:t>) leasing spectrum inventory licenses</w:t>
      </w:r>
      <w:r>
        <w:t xml:space="preserve">.  We seek comment on each approach, as well as combinations of approaches (e.g., </w:t>
      </w:r>
      <w:r w:rsidR="00831E38">
        <w:t xml:space="preserve">leasing </w:t>
      </w:r>
      <w:r w:rsidR="00427859">
        <w:t>inventory licenses</w:t>
      </w:r>
      <w:r>
        <w:t xml:space="preserve"> and dynamic spectrum sharing) and any other methods that could be used to make Inventory Spectrum available to the public.</w:t>
      </w:r>
    </w:p>
    <w:p w:rsidR="006A4EE1" w:rsidP="006A4EE1" w14:paraId="2A287455" w14:textId="0267FCD1">
      <w:pPr>
        <w:pStyle w:val="Heading1"/>
      </w:pPr>
      <w:r>
        <w:t>Background</w:t>
      </w:r>
    </w:p>
    <w:p w:rsidR="000A0B8F" w:rsidP="00434C4A" w14:paraId="319B1F01" w14:textId="2438A6C1">
      <w:pPr>
        <w:pStyle w:val="ParaNum"/>
        <w:widowControl/>
        <w:tabs>
          <w:tab w:val="clear" w:pos="1080"/>
          <w:tab w:val="num" w:pos="1440"/>
        </w:tabs>
      </w:pPr>
      <w:r>
        <w:t>T</w:t>
      </w:r>
      <w:r w:rsidRPr="003328D1">
        <w:t xml:space="preserve">he Commission </w:t>
      </w:r>
      <w:r>
        <w:t xml:space="preserve">uses </w:t>
      </w:r>
      <w:r w:rsidRPr="003328D1">
        <w:t xml:space="preserve">a wide variety of </w:t>
      </w:r>
      <w:r w:rsidR="001742AB">
        <w:t>frameworks</w:t>
      </w:r>
      <w:r w:rsidRPr="003328D1">
        <w:t xml:space="preserve"> to </w:t>
      </w:r>
      <w:r w:rsidR="001C6D74">
        <w:t>authorize the use of</w:t>
      </w:r>
      <w:r w:rsidRPr="003328D1">
        <w:t xml:space="preserve"> spectrum resources throughout the country. </w:t>
      </w:r>
      <w:r w:rsidR="001742AB">
        <w:t xml:space="preserve"> </w:t>
      </w:r>
      <w:r w:rsidR="001C6D74">
        <w:t xml:space="preserve">For example, </w:t>
      </w:r>
      <w:r w:rsidR="00762B6D">
        <w:t xml:space="preserve">the Commission may provide </w:t>
      </w:r>
      <w:r w:rsidR="004F7455">
        <w:t xml:space="preserve">for the initial licensing of spectrum </w:t>
      </w:r>
      <w:r w:rsidR="00762B6D">
        <w:t>through</w:t>
      </w:r>
      <w:r w:rsidRPr="003328D1">
        <w:t xml:space="preserve"> geographic</w:t>
      </w:r>
      <w:r w:rsidR="004E1659">
        <w:t>-area</w:t>
      </w:r>
      <w:r w:rsidRPr="003328D1">
        <w:t xml:space="preserve"> licensing, site-based licensing, </w:t>
      </w:r>
      <w:r w:rsidR="004F7455">
        <w:t xml:space="preserve">and </w:t>
      </w:r>
      <w:r w:rsidRPr="003328D1">
        <w:t>license-by-rule</w:t>
      </w:r>
      <w:r w:rsidR="00762B6D">
        <w:t xml:space="preserve"> mechanisms</w:t>
      </w:r>
      <w:r w:rsidR="00B90B13">
        <w:t xml:space="preserve">, </w:t>
      </w:r>
      <w:r w:rsidR="00ED4B58">
        <w:t>or may provide for unlicensed access to spectrum.  T</w:t>
      </w:r>
      <w:r w:rsidR="00B90B13">
        <w:t xml:space="preserve">he </w:t>
      </w:r>
      <w:r w:rsidR="00777BCB">
        <w:t>Commission’s</w:t>
      </w:r>
      <w:r w:rsidR="00B90B13">
        <w:t xml:space="preserve"> secondary market policies </w:t>
      </w:r>
      <w:r w:rsidR="00ED4B58">
        <w:t>permit</w:t>
      </w:r>
      <w:r w:rsidR="00B90B13">
        <w:t xml:space="preserve"> </w:t>
      </w:r>
      <w:r w:rsidR="00186A66">
        <w:t>the assignment</w:t>
      </w:r>
      <w:r w:rsidR="00E85837">
        <w:t xml:space="preserve">, transfer, partitioning, </w:t>
      </w:r>
      <w:r w:rsidR="000C16D6">
        <w:t>or</w:t>
      </w:r>
      <w:r w:rsidR="00E85837">
        <w:t xml:space="preserve"> disaggregation of geographic</w:t>
      </w:r>
      <w:r w:rsidR="000C16D6">
        <w:t>-area or site-based licenses</w:t>
      </w:r>
      <w:r w:rsidR="004F7455">
        <w:t>.</w:t>
      </w:r>
    </w:p>
    <w:p w:rsidR="00860519" w:rsidP="00A0170B" w14:paraId="40751BEC" w14:textId="751CAB51">
      <w:pPr>
        <w:pStyle w:val="ParaNum"/>
        <w:widowControl/>
        <w:tabs>
          <w:tab w:val="clear" w:pos="1080"/>
          <w:tab w:val="num" w:pos="1440"/>
        </w:tabs>
      </w:pPr>
      <w:r>
        <w:t xml:space="preserve">In developing </w:t>
      </w:r>
      <w:r w:rsidR="000B0BA6">
        <w:t>fram</w:t>
      </w:r>
      <w:r w:rsidR="511BB07C">
        <w:t>e</w:t>
      </w:r>
      <w:r w:rsidR="000B0BA6">
        <w:t xml:space="preserve">works for </w:t>
      </w:r>
      <w:r w:rsidR="4A36005C">
        <w:t>assign</w:t>
      </w:r>
      <w:r w:rsidR="00883069">
        <w:t>ing</w:t>
      </w:r>
      <w:r w:rsidR="4A36005C">
        <w:t xml:space="preserve"> license</w:t>
      </w:r>
      <w:r w:rsidR="007472BB">
        <w:t>s</w:t>
      </w:r>
      <w:r w:rsidR="000B0BA6">
        <w:t xml:space="preserve"> </w:t>
      </w:r>
      <w:r w:rsidR="007472BB">
        <w:t xml:space="preserve">for </w:t>
      </w:r>
      <w:r w:rsidR="000B0BA6">
        <w:t xml:space="preserve">spectrum </w:t>
      </w:r>
      <w:r w:rsidR="004260B5">
        <w:t>access</w:t>
      </w:r>
      <w:r w:rsidR="000B0BA6">
        <w:t xml:space="preserve">, the Commission </w:t>
      </w:r>
      <w:r w:rsidR="03D88791">
        <w:t xml:space="preserve">must address </w:t>
      </w:r>
      <w:r w:rsidR="000B0BA6">
        <w:t>the</w:t>
      </w:r>
      <w:r w:rsidR="00D62023">
        <w:t xml:space="preserve"> potential for mutually exclusive applications</w:t>
      </w:r>
      <w:r w:rsidR="004260B5">
        <w:t xml:space="preserve"> for the </w:t>
      </w:r>
      <w:r w:rsidR="277B08D6">
        <w:t xml:space="preserve">licensed </w:t>
      </w:r>
      <w:r w:rsidR="004260B5">
        <w:t>use of that spectrum</w:t>
      </w:r>
      <w:r w:rsidR="00B03B19">
        <w:t xml:space="preserve">, either by designing an authorization framework that avoids mutual exclusivity or by </w:t>
      </w:r>
      <w:r w:rsidR="00336849">
        <w:t xml:space="preserve">exercising </w:t>
      </w:r>
      <w:r w:rsidR="00EF0CAD">
        <w:t xml:space="preserve">its statutory authority </w:t>
      </w:r>
      <w:r w:rsidR="00336849">
        <w:t>t</w:t>
      </w:r>
      <w:r w:rsidR="00EF0CAD">
        <w:t xml:space="preserve">o resolve mutually exclusive </w:t>
      </w:r>
      <w:r w:rsidR="00537111">
        <w:t>applications</w:t>
      </w:r>
      <w:r w:rsidR="001F0E17">
        <w:t>.</w:t>
      </w:r>
      <w:r>
        <w:rPr>
          <w:rStyle w:val="FootnoteReference"/>
        </w:rPr>
        <w:footnoteReference w:id="5"/>
      </w:r>
      <w:r w:rsidRPr="00853DCA" w:rsidR="001F0E17">
        <w:t xml:space="preserve">  </w:t>
      </w:r>
      <w:r w:rsidR="006D3A2E">
        <w:rPr>
          <w:rStyle w:val="cf01"/>
          <w:rFonts w:ascii="Times New Roman" w:hAnsi="Times New Roman" w:cs="Times New Roman"/>
          <w:sz w:val="22"/>
          <w:szCs w:val="22"/>
        </w:rPr>
        <w:t xml:space="preserve">With respect to resolving mutually exclusive applications, the </w:t>
      </w:r>
      <w:r w:rsidR="00657222">
        <w:rPr>
          <w:rStyle w:val="cf01"/>
          <w:rFonts w:ascii="Times New Roman" w:hAnsi="Times New Roman" w:cs="Times New Roman"/>
          <w:sz w:val="22"/>
          <w:szCs w:val="22"/>
        </w:rPr>
        <w:t xml:space="preserve">statutory options available to the </w:t>
      </w:r>
      <w:r w:rsidR="006D3A2E">
        <w:rPr>
          <w:rStyle w:val="cf01"/>
          <w:rFonts w:ascii="Times New Roman" w:hAnsi="Times New Roman" w:cs="Times New Roman"/>
          <w:sz w:val="22"/>
          <w:szCs w:val="22"/>
        </w:rPr>
        <w:t>Commission</w:t>
      </w:r>
      <w:r w:rsidR="00657222">
        <w:rPr>
          <w:rStyle w:val="cf01"/>
          <w:rFonts w:ascii="Times New Roman" w:hAnsi="Times New Roman" w:cs="Times New Roman"/>
          <w:sz w:val="22"/>
          <w:szCs w:val="22"/>
        </w:rPr>
        <w:t xml:space="preserve"> have evolved over time.</w:t>
      </w:r>
    </w:p>
    <w:p w:rsidR="006A4EE1" w:rsidP="00434C4A" w14:paraId="567DB63B" w14:textId="14B8BAFF">
      <w:pPr>
        <w:pStyle w:val="ParaNum"/>
        <w:widowControl/>
        <w:tabs>
          <w:tab w:val="clear" w:pos="1080"/>
          <w:tab w:val="num" w:pos="1440"/>
        </w:tabs>
      </w:pPr>
      <w:r>
        <w:t>T</w:t>
      </w:r>
      <w:r w:rsidRPr="00434C4A" w:rsidR="00883FCA">
        <w:t xml:space="preserve">he Commission </w:t>
      </w:r>
      <w:r>
        <w:t xml:space="preserve">previously </w:t>
      </w:r>
      <w:r w:rsidRPr="00434C4A" w:rsidR="00883FCA">
        <w:t>use</w:t>
      </w:r>
      <w:r>
        <w:t>d</w:t>
      </w:r>
      <w:r w:rsidRPr="00434C4A" w:rsidR="00883FCA">
        <w:t xml:space="preserve"> comparative hearings to assign licenses </w:t>
      </w:r>
      <w:r>
        <w:t>subject to</w:t>
      </w:r>
      <w:r w:rsidRPr="00434C4A" w:rsidR="00883FCA">
        <w:t xml:space="preserve"> mutually exclusive applications.</w:t>
      </w:r>
      <w:r>
        <w:rPr>
          <w:rStyle w:val="FootnoteReference"/>
        </w:rPr>
        <w:footnoteReference w:id="6"/>
      </w:r>
      <w:r w:rsidRPr="00434C4A" w:rsidR="00883FCA">
        <w:t xml:space="preserve"> </w:t>
      </w:r>
      <w:r w:rsidR="009B52BA">
        <w:t xml:space="preserve"> </w:t>
      </w:r>
      <w:r w:rsidR="00CD5CEB">
        <w:t xml:space="preserve">Comparative hearings </w:t>
      </w:r>
      <w:r w:rsidR="00045F54">
        <w:t xml:space="preserve">were highly cumbersome processes that required the Commission to </w:t>
      </w:r>
      <w:r w:rsidR="0035197D">
        <w:t xml:space="preserve">evaluate </w:t>
      </w:r>
      <w:r w:rsidR="008D1279">
        <w:t xml:space="preserve">applicants’ competing claims </w:t>
      </w:r>
      <w:r w:rsidR="00C547C1">
        <w:t xml:space="preserve">regarding </w:t>
      </w:r>
      <w:r w:rsidR="00D00AA7">
        <w:t>the</w:t>
      </w:r>
      <w:r w:rsidR="00571B44">
        <w:t xml:space="preserve"> value of their spectrum use to the public interest</w:t>
      </w:r>
      <w:r w:rsidR="005A28CF">
        <w:t xml:space="preserve">.  These proceedings </w:t>
      </w:r>
      <w:r w:rsidR="00812CFD">
        <w:t>tended to result in numerous appeals, which delayed assignment of the licenses.  As a result of these deficiencies, Congress authorized random selection as an alternative to comparative hearings for the assignment of licenses.</w:t>
      </w:r>
      <w:r>
        <w:rPr>
          <w:rStyle w:val="FootnoteReference"/>
        </w:rPr>
        <w:footnoteReference w:id="7"/>
      </w:r>
      <w:r w:rsidR="00812CFD">
        <w:t xml:space="preserve">  </w:t>
      </w:r>
      <w:r w:rsidR="005F530A">
        <w:t>However</w:t>
      </w:r>
      <w:r w:rsidR="00571B44">
        <w:t>,</w:t>
      </w:r>
      <w:r w:rsidR="00967375">
        <w:t xml:space="preserve"> random selection </w:t>
      </w:r>
      <w:r w:rsidR="001D2BB2">
        <w:t xml:space="preserve">oftentimes </w:t>
      </w:r>
      <w:r w:rsidR="00967375">
        <w:t xml:space="preserve">resulted in </w:t>
      </w:r>
      <w:r w:rsidR="00AC6B89">
        <w:t>windfalls for speculators</w:t>
      </w:r>
      <w:r w:rsidR="00E13752">
        <w:t xml:space="preserve"> and the Commission’s authority to conduct assignment by random selection was subsequently terminated.</w:t>
      </w:r>
      <w:r>
        <w:rPr>
          <w:rStyle w:val="FootnoteReference"/>
        </w:rPr>
        <w:footnoteReference w:id="8"/>
      </w:r>
      <w:r w:rsidR="00045F54">
        <w:t xml:space="preserve"> </w:t>
      </w:r>
      <w:r w:rsidR="00DF54F3">
        <w:t xml:space="preserve"> </w:t>
      </w:r>
      <w:r w:rsidRPr="00434C4A" w:rsidR="00883FCA">
        <w:t xml:space="preserve">Congress’ subsequent grant of auction authority to the FCC </w:t>
      </w:r>
      <w:r w:rsidR="00F17120">
        <w:t xml:space="preserve">in 1993 </w:t>
      </w:r>
      <w:r w:rsidRPr="00434C4A" w:rsidR="00883FCA">
        <w:t xml:space="preserve">provided a substantially more effective mechanism for resolving mutually exclusive applications for spectrum licenses. </w:t>
      </w:r>
      <w:r w:rsidR="00020B28">
        <w:t xml:space="preserve"> </w:t>
      </w:r>
      <w:r w:rsidRPr="00434C4A" w:rsidR="00883FCA">
        <w:t xml:space="preserve">Since the first spectrum auction in July 1994, over 3,300 winning bidders (of over 5,700 </w:t>
      </w:r>
      <w:r w:rsidRPr="00434C4A" w:rsidR="00883FCA">
        <w:t xml:space="preserve">qualified bidders) have won nearly 103,000 licenses or permits in 100 </w:t>
      </w:r>
      <w:r w:rsidR="00D854CC">
        <w:t xml:space="preserve">spectrum </w:t>
      </w:r>
      <w:r w:rsidRPr="00434C4A" w:rsidR="00883FCA">
        <w:t>auctions.</w:t>
      </w:r>
      <w:r>
        <w:rPr>
          <w:rStyle w:val="FootnoteReference"/>
        </w:rPr>
        <w:footnoteReference w:id="9"/>
      </w:r>
      <w:r w:rsidRPr="00434C4A" w:rsidR="00883FCA">
        <w:t xml:space="preserve"> </w:t>
      </w:r>
      <w:r w:rsidR="00020B28">
        <w:t xml:space="preserve"> </w:t>
      </w:r>
      <w:r w:rsidRPr="00434C4A" w:rsidR="00883FCA">
        <w:t xml:space="preserve">The Commission has raised over $233.5 billion for statutorily mandated uses, including: $39.8 billion for the Public Safety Trust Fund; $45.2 billion to the Spectrum Relocation Fund; and over $100 billion for the General Fund. </w:t>
      </w:r>
      <w:r w:rsidR="00020B28">
        <w:t xml:space="preserve"> </w:t>
      </w:r>
      <w:r w:rsidRPr="00434C4A" w:rsidR="00883FCA">
        <w:t xml:space="preserve">These auctions have </w:t>
      </w:r>
      <w:r w:rsidR="0033000B">
        <w:t xml:space="preserve">helped to </w:t>
      </w:r>
      <w:r w:rsidRPr="00434C4A" w:rsidR="00883FCA">
        <w:t xml:space="preserve">fuel competition, </w:t>
      </w:r>
      <w:r w:rsidR="0033000B">
        <w:t xml:space="preserve">to </w:t>
      </w:r>
      <w:r w:rsidRPr="00434C4A" w:rsidR="00883FCA">
        <w:t xml:space="preserve">provide consumers with a vast array of wireless technologies and services, and </w:t>
      </w:r>
      <w:r w:rsidR="001E5D6B">
        <w:t xml:space="preserve">to increase the likelihood </w:t>
      </w:r>
      <w:r w:rsidRPr="00434C4A" w:rsidR="00883FCA">
        <w:t>that the Nation’s scarce spectrum resources are put to their highest and best use</w:t>
      </w:r>
      <w:r>
        <w:t>.</w:t>
      </w:r>
    </w:p>
    <w:p w:rsidR="00BD1BAA" w:rsidP="00434C4A" w14:paraId="337B5A99" w14:textId="72C93A10">
      <w:pPr>
        <w:pStyle w:val="ParaNum"/>
        <w:widowControl/>
        <w:tabs>
          <w:tab w:val="clear" w:pos="1080"/>
          <w:tab w:val="num" w:pos="1440"/>
        </w:tabs>
      </w:pPr>
      <w:r>
        <w:t xml:space="preserve">The Commission’s </w:t>
      </w:r>
      <w:r w:rsidR="003124B3">
        <w:t>current</w:t>
      </w:r>
      <w:r>
        <w:t xml:space="preserve"> Inventory Spectrum </w:t>
      </w:r>
      <w:r w:rsidR="00510884">
        <w:t>includes</w:t>
      </w:r>
      <w:r>
        <w:t xml:space="preserve"> numerous exclusive-use, geographic area-based licenses across multiple wireless services that were previously made available via competitive bidding but were either not acquired at auction or returned to the Commission after issuance.  These include licenses capable of supporting broadband services (e.g., 600 MHz, 700 MHz, 800 MHz Cellular, AWS-3, PCS, BRS, MVDDS) as well as those supporting narrowband services (e.g., 220 MHz, VHF/UHF Paging, 800 MHz SMR).  </w:t>
      </w:r>
      <w:r w:rsidR="00BD55F7">
        <w:t xml:space="preserve">As a result of the </w:t>
      </w:r>
      <w:r>
        <w:t xml:space="preserve">ongoing lapse </w:t>
      </w:r>
      <w:r w:rsidR="00643A50">
        <w:t xml:space="preserve">of </w:t>
      </w:r>
      <w:r w:rsidR="0072332D">
        <w:t xml:space="preserve">the Commission’s </w:t>
      </w:r>
      <w:r w:rsidR="00CD7366">
        <w:t>auction</w:t>
      </w:r>
      <w:r w:rsidR="0072332D">
        <w:t xml:space="preserve"> authority</w:t>
      </w:r>
      <w:r w:rsidR="00BD55F7">
        <w:t xml:space="preserve">, the Commission </w:t>
      </w:r>
      <w:r w:rsidR="0062378E">
        <w:t xml:space="preserve">has </w:t>
      </w:r>
      <w:r w:rsidR="00532329">
        <w:t>limited</w:t>
      </w:r>
      <w:r w:rsidR="0062378E">
        <w:t xml:space="preserve"> statutory mechanism</w:t>
      </w:r>
      <w:r w:rsidR="00532329">
        <w:t>s</w:t>
      </w:r>
      <w:r w:rsidR="0062378E">
        <w:t xml:space="preserve"> to resolve mutually exclusive applications </w:t>
      </w:r>
      <w:r w:rsidR="005A4A58">
        <w:t xml:space="preserve">for </w:t>
      </w:r>
      <w:r w:rsidR="002D4923">
        <w:t>Inventory Spectrum</w:t>
      </w:r>
      <w:r w:rsidR="005B0B89">
        <w:t>.</w:t>
      </w:r>
      <w:r w:rsidR="000851EE">
        <w:t xml:space="preserve">  </w:t>
      </w:r>
      <w:r w:rsidR="00CF2CD9">
        <w:t>Accord</w:t>
      </w:r>
      <w:r w:rsidR="1B92B0F1">
        <w:t>i</w:t>
      </w:r>
      <w:r w:rsidR="00CF2CD9">
        <w:t xml:space="preserve">ngly, </w:t>
      </w:r>
      <w:r w:rsidR="00984AD2">
        <w:t xml:space="preserve">in developing </w:t>
      </w:r>
      <w:r w:rsidR="00C8469D">
        <w:t>frameworks for assigning Inventory Spectrum</w:t>
      </w:r>
      <w:r w:rsidR="00C7204D">
        <w:t xml:space="preserve">, the Commission </w:t>
      </w:r>
      <w:r w:rsidR="00F66F81">
        <w:t>could</w:t>
      </w:r>
      <w:r w:rsidR="007D591C">
        <w:t xml:space="preserve"> explore options t</w:t>
      </w:r>
      <w:r w:rsidR="00B40916">
        <w:t xml:space="preserve">hat would </w:t>
      </w:r>
      <w:r w:rsidR="007D591C">
        <w:t>avoid mutual exclusivity</w:t>
      </w:r>
      <w:r w:rsidR="00306314">
        <w:t xml:space="preserve">, </w:t>
      </w:r>
      <w:r w:rsidR="008D4186">
        <w:t xml:space="preserve">or could </w:t>
      </w:r>
      <w:r w:rsidR="00306314">
        <w:t xml:space="preserve">resolve mutual exclusivity through </w:t>
      </w:r>
      <w:r w:rsidR="00724F29">
        <w:t xml:space="preserve">a suboptimal mechanism like </w:t>
      </w:r>
      <w:r w:rsidR="00306314">
        <w:t>comparative hearings</w:t>
      </w:r>
      <w:r w:rsidR="00F73602">
        <w:t>.</w:t>
      </w:r>
      <w:r w:rsidR="00724F29">
        <w:t xml:space="preserve">  </w:t>
      </w:r>
      <w:r w:rsidR="00394CB2">
        <w:t xml:space="preserve">Notwithstanding this unique </w:t>
      </w:r>
      <w:r w:rsidR="009B2648">
        <w:t>c</w:t>
      </w:r>
      <w:r w:rsidR="00394CB2">
        <w:t>hallenge</w:t>
      </w:r>
      <w:r w:rsidR="009B2648">
        <w:t>, the Commis</w:t>
      </w:r>
      <w:r w:rsidR="33CD805F">
        <w:t>s</w:t>
      </w:r>
      <w:r w:rsidR="009B2648">
        <w:t xml:space="preserve">ion nonetheless has an obligation to consider </w:t>
      </w:r>
      <w:r w:rsidR="00062D76">
        <w:t xml:space="preserve">opportunities for making </w:t>
      </w:r>
      <w:r w:rsidR="00C467BD">
        <w:t xml:space="preserve">Inventory Spectrum </w:t>
      </w:r>
      <w:r w:rsidR="002F703C">
        <w:t xml:space="preserve">available for </w:t>
      </w:r>
      <w:r w:rsidR="00085ABD">
        <w:t>wireless communications</w:t>
      </w:r>
      <w:r w:rsidR="00920D98">
        <w:t xml:space="preserve"> through alternative means </w:t>
      </w:r>
      <w:r w:rsidR="00C31380">
        <w:t>consistent with its current statutory authority</w:t>
      </w:r>
      <w:r w:rsidR="008C698D">
        <w:t>.</w:t>
      </w:r>
    </w:p>
    <w:p w:rsidR="0024084C" w:rsidP="003A253E" w14:paraId="1DD3EB3A" w14:textId="202B1B25">
      <w:pPr>
        <w:pStyle w:val="Heading1"/>
      </w:pPr>
      <w:r>
        <w:t>discussion</w:t>
      </w:r>
    </w:p>
    <w:p w:rsidR="00EF7DB0" w:rsidRPr="00EF7DB0" w:rsidP="003640A7" w14:paraId="5F588E94" w14:textId="7A8E7105">
      <w:pPr>
        <w:pStyle w:val="Heading2"/>
      </w:pPr>
      <w:r>
        <w:t>Potential Approaches for Making Inventory Spectrum Available to the Public</w:t>
      </w:r>
    </w:p>
    <w:p w:rsidR="00557145" w:rsidRPr="00B12F9D" w:rsidP="00B12F9D" w14:paraId="0E6BF0A4" w14:textId="7B2B4276">
      <w:pPr>
        <w:pStyle w:val="ParaNum"/>
        <w:widowControl/>
        <w:tabs>
          <w:tab w:val="clear" w:pos="1080"/>
          <w:tab w:val="num" w:pos="1440"/>
        </w:tabs>
        <w:rPr>
          <w:szCs w:val="22"/>
        </w:rPr>
      </w:pPr>
      <w:r>
        <w:rPr>
          <w:i/>
          <w:iCs/>
        </w:rPr>
        <w:t xml:space="preserve">Dynamic Spectrum Sharing.  </w:t>
      </w:r>
      <w:r w:rsidR="00DF7909">
        <w:t>In recent years, t</w:t>
      </w:r>
      <w:r w:rsidR="001A03CC">
        <w:t xml:space="preserve">he Commission </w:t>
      </w:r>
      <w:r w:rsidR="00933A03">
        <w:t xml:space="preserve">has </w:t>
      </w:r>
      <w:r w:rsidR="007B1B2F">
        <w:t xml:space="preserve">successfully </w:t>
      </w:r>
      <w:r w:rsidR="004704F9">
        <w:t>used dynamic spectrum sharin</w:t>
      </w:r>
      <w:r w:rsidR="000E018C">
        <w:t xml:space="preserve">g </w:t>
      </w:r>
      <w:r w:rsidR="00E401AF">
        <w:t xml:space="preserve">frameworks </w:t>
      </w:r>
      <w:r w:rsidR="004704F9">
        <w:t xml:space="preserve">to make spectrum available </w:t>
      </w:r>
      <w:r w:rsidR="001A2BE9">
        <w:t>for flexible</w:t>
      </w:r>
      <w:r w:rsidR="00890EC6">
        <w:t xml:space="preserve"> wireless use acr</w:t>
      </w:r>
      <w:r w:rsidR="00DF7909">
        <w:t>o</w:t>
      </w:r>
      <w:r w:rsidR="00890EC6">
        <w:t>ss</w:t>
      </w:r>
      <w:r w:rsidR="001A2BE9">
        <w:t xml:space="preserve"> </w:t>
      </w:r>
      <w:r w:rsidR="004704F9">
        <w:t>multiple bands</w:t>
      </w:r>
      <w:r w:rsidR="00E401AF">
        <w:t>, including</w:t>
      </w:r>
      <w:r w:rsidR="00510C69">
        <w:t xml:space="preserve"> </w:t>
      </w:r>
      <w:r w:rsidR="00C45B0F">
        <w:t>licensed use in the Citizens Broadband Radio Service in the 3.55</w:t>
      </w:r>
      <w:r w:rsidR="00290656">
        <w:t>–</w:t>
      </w:r>
      <w:r w:rsidR="00C45B0F">
        <w:t>3.7 GHz band (3.5 GHz band) and</w:t>
      </w:r>
      <w:r w:rsidRPr="00C45B0F" w:rsidR="00C45B0F">
        <w:t xml:space="preserve"> </w:t>
      </w:r>
      <w:r w:rsidR="00C45B0F">
        <w:t>unlicensed use in portions of the 5.925</w:t>
      </w:r>
      <w:r w:rsidR="00290656">
        <w:t>–</w:t>
      </w:r>
      <w:r w:rsidR="00C45B0F">
        <w:t>7.125 GHz band (6 GHz band).</w:t>
      </w:r>
      <w:r>
        <w:rPr>
          <w:rStyle w:val="FootnoteReference"/>
        </w:rPr>
        <w:footnoteReference w:id="10"/>
      </w:r>
      <w:r w:rsidR="00C45B0F">
        <w:t xml:space="preserve">  </w:t>
      </w:r>
      <w:r w:rsidR="00E401AF">
        <w:t>WTB seeks comment on whether similar dynamic spectrum sharing approach</w:t>
      </w:r>
      <w:r w:rsidR="007370FE">
        <w:t>es</w:t>
      </w:r>
      <w:r w:rsidR="00E401AF">
        <w:t xml:space="preserve"> </w:t>
      </w:r>
      <w:r w:rsidRPr="00447F5E" w:rsidR="00E401AF">
        <w:rPr>
          <w:rStyle w:val="cf01"/>
          <w:rFonts w:ascii="Times New Roman" w:hAnsi="Times New Roman" w:cs="Times New Roman"/>
          <w:sz w:val="22"/>
          <w:szCs w:val="22"/>
        </w:rPr>
        <w:t xml:space="preserve">could </w:t>
      </w:r>
      <w:r w:rsidR="007370FE">
        <w:rPr>
          <w:rStyle w:val="cf01"/>
          <w:rFonts w:ascii="Times New Roman" w:hAnsi="Times New Roman" w:cs="Times New Roman"/>
          <w:sz w:val="22"/>
          <w:szCs w:val="22"/>
        </w:rPr>
        <w:t>be used to</w:t>
      </w:r>
      <w:r w:rsidR="00E401AF">
        <w:rPr>
          <w:rStyle w:val="cf01"/>
          <w:rFonts w:ascii="Times New Roman" w:hAnsi="Times New Roman" w:cs="Times New Roman"/>
          <w:sz w:val="22"/>
          <w:szCs w:val="22"/>
        </w:rPr>
        <w:t xml:space="preserve"> </w:t>
      </w:r>
      <w:r w:rsidRPr="00447F5E" w:rsidR="00E401AF">
        <w:rPr>
          <w:rStyle w:val="cf01"/>
          <w:rFonts w:ascii="Times New Roman" w:hAnsi="Times New Roman" w:cs="Times New Roman"/>
          <w:sz w:val="22"/>
          <w:szCs w:val="22"/>
        </w:rPr>
        <w:t xml:space="preserve">facilitate access to </w:t>
      </w:r>
      <w:r w:rsidR="005F71BC">
        <w:rPr>
          <w:rStyle w:val="cf01"/>
          <w:rFonts w:ascii="Times New Roman" w:hAnsi="Times New Roman" w:cs="Times New Roman"/>
          <w:sz w:val="22"/>
          <w:szCs w:val="22"/>
        </w:rPr>
        <w:t>Inventory Spectrum</w:t>
      </w:r>
      <w:r w:rsidRPr="00447F5E" w:rsidR="00E401AF">
        <w:rPr>
          <w:rStyle w:val="cf01"/>
          <w:rFonts w:ascii="Times New Roman" w:hAnsi="Times New Roman" w:cs="Times New Roman"/>
          <w:sz w:val="22"/>
          <w:szCs w:val="22"/>
        </w:rPr>
        <w:t>.</w:t>
      </w:r>
      <w:r w:rsidR="00E401AF">
        <w:rPr>
          <w:rStyle w:val="cf01"/>
          <w:rFonts w:ascii="Times New Roman" w:hAnsi="Times New Roman" w:cs="Times New Roman"/>
          <w:sz w:val="22"/>
          <w:szCs w:val="22"/>
        </w:rPr>
        <w:t xml:space="preserve">  </w:t>
      </w:r>
      <w:r w:rsidR="002D369C">
        <w:rPr>
          <w:rStyle w:val="cf01"/>
          <w:rFonts w:ascii="Times New Roman" w:hAnsi="Times New Roman" w:cs="Times New Roman"/>
          <w:sz w:val="22"/>
          <w:szCs w:val="22"/>
        </w:rPr>
        <w:t xml:space="preserve">For example, </w:t>
      </w:r>
      <w:r w:rsidRPr="00447F5E" w:rsidR="001661B7">
        <w:rPr>
          <w:rStyle w:val="cf01"/>
          <w:rFonts w:ascii="Times New Roman" w:hAnsi="Times New Roman" w:cs="Times New Roman"/>
          <w:sz w:val="22"/>
          <w:szCs w:val="22"/>
        </w:rPr>
        <w:t xml:space="preserve">one or more dynamic </w:t>
      </w:r>
      <w:r w:rsidR="0078508A">
        <w:rPr>
          <w:rStyle w:val="cf01"/>
          <w:rFonts w:ascii="Times New Roman" w:hAnsi="Times New Roman" w:cs="Times New Roman"/>
          <w:sz w:val="22"/>
          <w:szCs w:val="22"/>
        </w:rPr>
        <w:t>frequency</w:t>
      </w:r>
      <w:r w:rsidR="00373308">
        <w:rPr>
          <w:rStyle w:val="cf01"/>
          <w:rFonts w:ascii="Times New Roman" w:hAnsi="Times New Roman" w:cs="Times New Roman"/>
          <w:sz w:val="22"/>
          <w:szCs w:val="22"/>
        </w:rPr>
        <w:t xml:space="preserve"> coordinators</w:t>
      </w:r>
      <w:r w:rsidRPr="00447F5E" w:rsidR="001661B7">
        <w:rPr>
          <w:rStyle w:val="cf01"/>
          <w:rFonts w:ascii="Times New Roman" w:hAnsi="Times New Roman" w:cs="Times New Roman"/>
          <w:sz w:val="22"/>
          <w:szCs w:val="22"/>
        </w:rPr>
        <w:t xml:space="preserve"> could </w:t>
      </w:r>
      <w:r w:rsidR="00755BE9">
        <w:rPr>
          <w:rStyle w:val="cf01"/>
          <w:rFonts w:ascii="Times New Roman" w:hAnsi="Times New Roman" w:cs="Times New Roman"/>
          <w:sz w:val="22"/>
          <w:szCs w:val="22"/>
        </w:rPr>
        <w:t xml:space="preserve">facilitate </w:t>
      </w:r>
      <w:r w:rsidR="007241FA">
        <w:rPr>
          <w:rStyle w:val="cf01"/>
          <w:rFonts w:ascii="Times New Roman" w:hAnsi="Times New Roman" w:cs="Times New Roman"/>
          <w:sz w:val="22"/>
          <w:szCs w:val="22"/>
        </w:rPr>
        <w:t xml:space="preserve">access to </w:t>
      </w:r>
      <w:r w:rsidR="005F71BC">
        <w:rPr>
          <w:rStyle w:val="cf01"/>
          <w:rFonts w:ascii="Times New Roman" w:hAnsi="Times New Roman" w:cs="Times New Roman"/>
          <w:sz w:val="22"/>
          <w:szCs w:val="22"/>
        </w:rPr>
        <w:t>Inventory Spectrum</w:t>
      </w:r>
      <w:r w:rsidR="00B839CC">
        <w:rPr>
          <w:rStyle w:val="cf01"/>
          <w:rFonts w:ascii="Times New Roman" w:hAnsi="Times New Roman" w:cs="Times New Roman"/>
          <w:sz w:val="22"/>
          <w:szCs w:val="22"/>
        </w:rPr>
        <w:t xml:space="preserve"> </w:t>
      </w:r>
      <w:r w:rsidR="007241FA">
        <w:rPr>
          <w:rStyle w:val="cf01"/>
          <w:rFonts w:ascii="Times New Roman" w:hAnsi="Times New Roman" w:cs="Times New Roman"/>
          <w:sz w:val="22"/>
          <w:szCs w:val="22"/>
        </w:rPr>
        <w:t xml:space="preserve">for multiple users </w:t>
      </w:r>
      <w:r w:rsidR="00B839CC">
        <w:rPr>
          <w:rStyle w:val="cf01"/>
          <w:rFonts w:ascii="Times New Roman" w:hAnsi="Times New Roman" w:cs="Times New Roman"/>
          <w:sz w:val="22"/>
          <w:szCs w:val="22"/>
        </w:rPr>
        <w:t xml:space="preserve">within </w:t>
      </w:r>
      <w:r w:rsidR="00242773">
        <w:rPr>
          <w:rStyle w:val="cf01"/>
          <w:rFonts w:ascii="Times New Roman" w:hAnsi="Times New Roman" w:cs="Times New Roman"/>
          <w:sz w:val="22"/>
          <w:szCs w:val="22"/>
        </w:rPr>
        <w:t>particular spectru</w:t>
      </w:r>
      <w:r w:rsidR="00D532D2">
        <w:rPr>
          <w:rStyle w:val="cf01"/>
          <w:rFonts w:ascii="Times New Roman" w:hAnsi="Times New Roman" w:cs="Times New Roman"/>
          <w:sz w:val="22"/>
          <w:szCs w:val="22"/>
        </w:rPr>
        <w:t>m bands and geographic areas</w:t>
      </w:r>
      <w:r w:rsidR="00755BE9">
        <w:rPr>
          <w:rStyle w:val="cf01"/>
          <w:rFonts w:ascii="Times New Roman" w:hAnsi="Times New Roman" w:cs="Times New Roman"/>
          <w:sz w:val="22"/>
          <w:szCs w:val="22"/>
        </w:rPr>
        <w:t xml:space="preserve">.  </w:t>
      </w:r>
      <w:r w:rsidR="00C47FBC">
        <w:rPr>
          <w:rStyle w:val="cf01"/>
          <w:rFonts w:ascii="Times New Roman" w:hAnsi="Times New Roman" w:cs="Times New Roman"/>
          <w:sz w:val="22"/>
          <w:szCs w:val="22"/>
        </w:rPr>
        <w:t xml:space="preserve">These </w:t>
      </w:r>
      <w:r w:rsidR="00A76006">
        <w:rPr>
          <w:rStyle w:val="cf01"/>
          <w:rFonts w:ascii="Times New Roman" w:hAnsi="Times New Roman" w:cs="Times New Roman"/>
          <w:sz w:val="22"/>
          <w:szCs w:val="22"/>
        </w:rPr>
        <w:t>dynamic systems could be used to minimize harmful interference between operators</w:t>
      </w:r>
      <w:r w:rsidRPr="00853DCA" w:rsidR="00A76006">
        <w:rPr>
          <w:rStyle w:val="cf01"/>
          <w:rFonts w:ascii="Times New Roman" w:hAnsi="Times New Roman"/>
          <w:sz w:val="22"/>
        </w:rPr>
        <w:t xml:space="preserve"> </w:t>
      </w:r>
      <w:r w:rsidR="00A76006">
        <w:t xml:space="preserve">and </w:t>
      </w:r>
      <w:r w:rsidR="00DE0703">
        <w:t>promote co</w:t>
      </w:r>
      <w:r w:rsidR="004C0115">
        <w:t>-</w:t>
      </w:r>
      <w:r w:rsidR="00DE0703">
        <w:t xml:space="preserve">existence </w:t>
      </w:r>
      <w:r w:rsidR="00A76006">
        <w:t>between and among various spectrum users</w:t>
      </w:r>
      <w:r w:rsidR="00DE0703">
        <w:t>.</w:t>
      </w:r>
      <w:r w:rsidRPr="00447F5E" w:rsidR="00DE0703">
        <w:rPr>
          <w:rStyle w:val="cf01"/>
          <w:rFonts w:ascii="Times New Roman" w:hAnsi="Times New Roman" w:cs="Times New Roman"/>
          <w:sz w:val="22"/>
          <w:szCs w:val="22"/>
        </w:rPr>
        <w:t xml:space="preserve"> </w:t>
      </w:r>
      <w:r w:rsidR="00DE0703">
        <w:rPr>
          <w:rStyle w:val="cf01"/>
          <w:rFonts w:ascii="Times New Roman" w:hAnsi="Times New Roman" w:cs="Times New Roman"/>
          <w:sz w:val="22"/>
          <w:szCs w:val="22"/>
        </w:rPr>
        <w:t xml:space="preserve"> </w:t>
      </w:r>
      <w:r w:rsidRPr="00447F5E" w:rsidR="001661B7">
        <w:rPr>
          <w:rStyle w:val="cf01"/>
          <w:rFonts w:ascii="Times New Roman" w:hAnsi="Times New Roman" w:cs="Times New Roman"/>
          <w:sz w:val="22"/>
          <w:szCs w:val="22"/>
        </w:rPr>
        <w:t xml:space="preserve">Access </w:t>
      </w:r>
      <w:r w:rsidR="005B0AD7">
        <w:rPr>
          <w:rStyle w:val="cf01"/>
          <w:rFonts w:ascii="Times New Roman" w:hAnsi="Times New Roman" w:cs="Times New Roman"/>
          <w:sz w:val="22"/>
          <w:szCs w:val="22"/>
        </w:rPr>
        <w:t xml:space="preserve">to these bands and geographic areas </w:t>
      </w:r>
      <w:r w:rsidRPr="00447F5E" w:rsidR="001661B7">
        <w:rPr>
          <w:rStyle w:val="cf01"/>
          <w:rFonts w:ascii="Times New Roman" w:hAnsi="Times New Roman" w:cs="Times New Roman"/>
          <w:sz w:val="22"/>
          <w:szCs w:val="22"/>
        </w:rPr>
        <w:t xml:space="preserve">could </w:t>
      </w:r>
      <w:r w:rsidRPr="00447F5E" w:rsidR="001661B7">
        <w:rPr>
          <w:rStyle w:val="cf01"/>
          <w:rFonts w:ascii="Times New Roman" w:hAnsi="Times New Roman" w:cs="Times New Roman"/>
          <w:sz w:val="22"/>
          <w:szCs w:val="22"/>
        </w:rPr>
        <w:t xml:space="preserve">be driven by the </w:t>
      </w:r>
      <w:r w:rsidR="005B0AD7">
        <w:rPr>
          <w:rStyle w:val="cf01"/>
          <w:rFonts w:ascii="Times New Roman" w:hAnsi="Times New Roman" w:cs="Times New Roman"/>
          <w:sz w:val="22"/>
          <w:szCs w:val="22"/>
        </w:rPr>
        <w:t>existing</w:t>
      </w:r>
      <w:r w:rsidRPr="00447F5E" w:rsidR="001661B7">
        <w:rPr>
          <w:rStyle w:val="cf01"/>
          <w:rFonts w:ascii="Times New Roman" w:hAnsi="Times New Roman" w:cs="Times New Roman"/>
          <w:sz w:val="22"/>
          <w:szCs w:val="22"/>
        </w:rPr>
        <w:t xml:space="preserve"> service rules for the band</w:t>
      </w:r>
      <w:r w:rsidR="0043782D">
        <w:rPr>
          <w:rStyle w:val="cf01"/>
          <w:rFonts w:ascii="Times New Roman" w:hAnsi="Times New Roman" w:cs="Times New Roman"/>
          <w:sz w:val="22"/>
          <w:szCs w:val="22"/>
        </w:rPr>
        <w:t xml:space="preserve">s </w:t>
      </w:r>
      <w:r w:rsidR="009130D4">
        <w:rPr>
          <w:rStyle w:val="cf01"/>
          <w:rFonts w:ascii="Times New Roman" w:hAnsi="Times New Roman" w:cs="Times New Roman"/>
          <w:sz w:val="22"/>
          <w:szCs w:val="22"/>
        </w:rPr>
        <w:t>to protect existing users and provide a predictable framework for new entrants to the band</w:t>
      </w:r>
      <w:r w:rsidRPr="00447F5E" w:rsidR="001661B7">
        <w:rPr>
          <w:rStyle w:val="cf01"/>
          <w:rFonts w:ascii="Times New Roman" w:hAnsi="Times New Roman" w:cs="Times New Roman"/>
          <w:sz w:val="22"/>
          <w:szCs w:val="22"/>
        </w:rPr>
        <w:t>.</w:t>
      </w:r>
      <w:r w:rsidR="001E1C40">
        <w:rPr>
          <w:rStyle w:val="cf01"/>
          <w:rFonts w:ascii="Times New Roman" w:hAnsi="Times New Roman" w:cs="Times New Roman"/>
          <w:sz w:val="22"/>
          <w:szCs w:val="22"/>
        </w:rPr>
        <w:t xml:space="preserve"> </w:t>
      </w:r>
      <w:r w:rsidRPr="00447F5E" w:rsidR="001661B7">
        <w:rPr>
          <w:rStyle w:val="cf01"/>
          <w:rFonts w:ascii="Times New Roman" w:hAnsi="Times New Roman" w:cs="Times New Roman"/>
          <w:sz w:val="22"/>
          <w:szCs w:val="22"/>
        </w:rPr>
        <w:t xml:space="preserve"> </w:t>
      </w:r>
      <w:r w:rsidR="001C28AE">
        <w:rPr>
          <w:rStyle w:val="cf01"/>
          <w:rFonts w:ascii="Times New Roman" w:hAnsi="Times New Roman" w:cs="Times New Roman"/>
          <w:sz w:val="22"/>
          <w:szCs w:val="22"/>
        </w:rPr>
        <w:t>G</w:t>
      </w:r>
      <w:r w:rsidRPr="00447F5E" w:rsidR="00331FED">
        <w:rPr>
          <w:rStyle w:val="cf01"/>
          <w:rFonts w:ascii="Times New Roman" w:hAnsi="Times New Roman" w:cs="Times New Roman"/>
          <w:sz w:val="22"/>
          <w:szCs w:val="22"/>
        </w:rPr>
        <w:t>uidelines</w:t>
      </w:r>
      <w:r w:rsidR="00F22530">
        <w:rPr>
          <w:rStyle w:val="cf01"/>
          <w:rFonts w:ascii="Times New Roman" w:hAnsi="Times New Roman" w:cs="Times New Roman"/>
          <w:sz w:val="22"/>
          <w:szCs w:val="22"/>
        </w:rPr>
        <w:t>, optimized for each band,</w:t>
      </w:r>
      <w:r w:rsidRPr="00447F5E" w:rsidR="00331FED">
        <w:rPr>
          <w:rStyle w:val="cf01"/>
          <w:rFonts w:ascii="Times New Roman" w:hAnsi="Times New Roman" w:cs="Times New Roman"/>
          <w:sz w:val="22"/>
          <w:szCs w:val="22"/>
        </w:rPr>
        <w:t xml:space="preserve"> </w:t>
      </w:r>
      <w:r w:rsidRPr="00447F5E" w:rsidR="001661B7">
        <w:rPr>
          <w:rStyle w:val="cf01"/>
          <w:rFonts w:ascii="Times New Roman" w:hAnsi="Times New Roman" w:cs="Times New Roman"/>
          <w:sz w:val="22"/>
          <w:szCs w:val="22"/>
        </w:rPr>
        <w:t xml:space="preserve">could </w:t>
      </w:r>
      <w:r w:rsidR="00331FED">
        <w:rPr>
          <w:rStyle w:val="cf01"/>
          <w:rFonts w:ascii="Times New Roman" w:hAnsi="Times New Roman" w:cs="Times New Roman"/>
          <w:sz w:val="22"/>
          <w:szCs w:val="22"/>
        </w:rPr>
        <w:t xml:space="preserve">be </w:t>
      </w:r>
      <w:r w:rsidR="00F22530">
        <w:rPr>
          <w:rStyle w:val="cf01"/>
          <w:rFonts w:ascii="Times New Roman" w:hAnsi="Times New Roman" w:cs="Times New Roman"/>
          <w:sz w:val="22"/>
          <w:szCs w:val="22"/>
        </w:rPr>
        <w:t xml:space="preserve">developed </w:t>
      </w:r>
      <w:r w:rsidR="0049188A">
        <w:rPr>
          <w:rStyle w:val="cf01"/>
          <w:rFonts w:ascii="Times New Roman" w:hAnsi="Times New Roman" w:cs="Times New Roman"/>
          <w:sz w:val="22"/>
          <w:szCs w:val="22"/>
        </w:rPr>
        <w:t>to help</w:t>
      </w:r>
      <w:r w:rsidR="00E775C6">
        <w:rPr>
          <w:rStyle w:val="cf01"/>
          <w:rFonts w:ascii="Times New Roman" w:hAnsi="Times New Roman" w:cs="Times New Roman"/>
          <w:sz w:val="22"/>
          <w:szCs w:val="22"/>
        </w:rPr>
        <w:t xml:space="preserve"> dynamic </w:t>
      </w:r>
      <w:r w:rsidR="0049188A">
        <w:rPr>
          <w:rStyle w:val="cf01"/>
          <w:rFonts w:ascii="Times New Roman" w:hAnsi="Times New Roman" w:cs="Times New Roman"/>
          <w:sz w:val="22"/>
          <w:szCs w:val="22"/>
        </w:rPr>
        <w:t>frequency coordinators</w:t>
      </w:r>
      <w:r w:rsidR="00E775C6">
        <w:rPr>
          <w:rStyle w:val="cf01"/>
          <w:rFonts w:ascii="Times New Roman" w:hAnsi="Times New Roman" w:cs="Times New Roman"/>
          <w:sz w:val="22"/>
          <w:szCs w:val="22"/>
        </w:rPr>
        <w:t xml:space="preserve"> </w:t>
      </w:r>
      <w:r w:rsidRPr="00447F5E" w:rsidR="001C0E10">
        <w:rPr>
          <w:rStyle w:val="cf01"/>
          <w:rFonts w:ascii="Times New Roman" w:hAnsi="Times New Roman" w:cs="Times New Roman"/>
          <w:sz w:val="22"/>
          <w:szCs w:val="22"/>
        </w:rPr>
        <w:t>facilitat</w:t>
      </w:r>
      <w:r w:rsidR="001C0E10">
        <w:rPr>
          <w:rStyle w:val="cf01"/>
          <w:rFonts w:ascii="Times New Roman" w:hAnsi="Times New Roman" w:cs="Times New Roman"/>
          <w:sz w:val="22"/>
          <w:szCs w:val="22"/>
        </w:rPr>
        <w:t>e</w:t>
      </w:r>
      <w:r w:rsidRPr="00447F5E" w:rsidR="001C0E10">
        <w:rPr>
          <w:rStyle w:val="cf01"/>
          <w:rFonts w:ascii="Times New Roman" w:hAnsi="Times New Roman" w:cs="Times New Roman"/>
          <w:sz w:val="22"/>
          <w:szCs w:val="22"/>
        </w:rPr>
        <w:t xml:space="preserve"> </w:t>
      </w:r>
      <w:r w:rsidRPr="00447F5E" w:rsidR="001661B7">
        <w:rPr>
          <w:rStyle w:val="cf01"/>
          <w:rFonts w:ascii="Times New Roman" w:hAnsi="Times New Roman" w:cs="Times New Roman"/>
          <w:sz w:val="22"/>
          <w:szCs w:val="22"/>
        </w:rPr>
        <w:t>co-existence among a variety of stakeholders and use cases.</w:t>
      </w:r>
      <w:r w:rsidR="008949E7">
        <w:t xml:space="preserve">  </w:t>
      </w:r>
      <w:r w:rsidRPr="00B12F9D" w:rsidR="00B12F9D">
        <w:rPr>
          <w:szCs w:val="22"/>
        </w:rPr>
        <w:t>Are there aspects of the SAS or AFC models that could be incorporated in</w:t>
      </w:r>
      <w:r w:rsidR="00E401AF">
        <w:rPr>
          <w:szCs w:val="22"/>
        </w:rPr>
        <w:t>to</w:t>
      </w:r>
      <w:r w:rsidRPr="00B12F9D" w:rsidR="00B12F9D">
        <w:rPr>
          <w:szCs w:val="22"/>
        </w:rPr>
        <w:t xml:space="preserve"> a dynamic spectrum </w:t>
      </w:r>
      <w:r w:rsidR="00C56C18">
        <w:rPr>
          <w:szCs w:val="22"/>
        </w:rPr>
        <w:t xml:space="preserve">sharing </w:t>
      </w:r>
      <w:r w:rsidR="00E401AF">
        <w:rPr>
          <w:szCs w:val="22"/>
        </w:rPr>
        <w:t xml:space="preserve">system to provide access to </w:t>
      </w:r>
      <w:r w:rsidR="005F71BC">
        <w:rPr>
          <w:szCs w:val="22"/>
        </w:rPr>
        <w:t>Inventory Spectrum</w:t>
      </w:r>
      <w:r w:rsidRPr="00B12F9D" w:rsidR="00B12F9D">
        <w:rPr>
          <w:szCs w:val="22"/>
        </w:rPr>
        <w:t xml:space="preserve">?  </w:t>
      </w:r>
      <w:r w:rsidRPr="009D58BE" w:rsidR="009D58BE">
        <w:rPr>
          <w:szCs w:val="22"/>
        </w:rPr>
        <w:t xml:space="preserve">How could the Commission leverage existing </w:t>
      </w:r>
      <w:r w:rsidR="00633674">
        <w:rPr>
          <w:szCs w:val="22"/>
        </w:rPr>
        <w:t>frequency coordination</w:t>
      </w:r>
      <w:r w:rsidRPr="009D58BE" w:rsidR="009D58BE">
        <w:rPr>
          <w:szCs w:val="22"/>
        </w:rPr>
        <w:t xml:space="preserve"> capabilities to more rapidly implement a dynamic spectrum sharing approach in these bands</w:t>
      </w:r>
      <w:r w:rsidRPr="00B12F9D" w:rsidR="00B12F9D">
        <w:rPr>
          <w:szCs w:val="22"/>
        </w:rPr>
        <w:t xml:space="preserve">?  What would be the </w:t>
      </w:r>
      <w:r w:rsidR="008629C6">
        <w:rPr>
          <w:szCs w:val="22"/>
        </w:rPr>
        <w:t xml:space="preserve">expected </w:t>
      </w:r>
      <w:r w:rsidRPr="00B12F9D" w:rsidR="00B12F9D">
        <w:rPr>
          <w:szCs w:val="22"/>
        </w:rPr>
        <w:t>time</w:t>
      </w:r>
      <w:r w:rsidR="008629C6">
        <w:rPr>
          <w:szCs w:val="22"/>
        </w:rPr>
        <w:t xml:space="preserve"> and resources</w:t>
      </w:r>
      <w:r w:rsidRPr="00B12F9D" w:rsidR="00B12F9D">
        <w:rPr>
          <w:szCs w:val="22"/>
        </w:rPr>
        <w:t xml:space="preserve"> </w:t>
      </w:r>
      <w:r w:rsidR="00AD49D5">
        <w:t xml:space="preserve">required to develop both the sensing and end-user equipment necessary to implement such dynamic sharing?  </w:t>
      </w:r>
      <w:r>
        <w:t xml:space="preserve">We </w:t>
      </w:r>
      <w:r w:rsidR="00B12F9D">
        <w:t xml:space="preserve">also </w:t>
      </w:r>
      <w:r>
        <w:t xml:space="preserve">encourage commenters to address </w:t>
      </w:r>
      <w:r w:rsidR="00303C98">
        <w:t xml:space="preserve">the </w:t>
      </w:r>
      <w:r w:rsidR="001060AA">
        <w:t>specific</w:t>
      </w:r>
      <w:r>
        <w:t xml:space="preserve"> questions posed in subpart B, below.</w:t>
      </w:r>
    </w:p>
    <w:p w:rsidR="00BE0003" w:rsidP="000E313C" w14:paraId="06CBB725" w14:textId="77524F19">
      <w:pPr>
        <w:pStyle w:val="ParaNum"/>
        <w:widowControl/>
        <w:tabs>
          <w:tab w:val="clear" w:pos="1080"/>
          <w:tab w:val="num" w:pos="1440"/>
        </w:tabs>
        <w:rPr>
          <w:rStyle w:val="cf01"/>
          <w:rFonts w:ascii="Times New Roman" w:hAnsi="Times New Roman" w:cs="Times New Roman"/>
          <w:sz w:val="22"/>
          <w:szCs w:val="22"/>
        </w:rPr>
      </w:pPr>
      <w:r>
        <w:rPr>
          <w:i/>
          <w:iCs/>
        </w:rPr>
        <w:t>Non</w:t>
      </w:r>
      <w:r w:rsidR="00AE29A5">
        <w:rPr>
          <w:i/>
          <w:iCs/>
        </w:rPr>
        <w:t xml:space="preserve">-Exclusive </w:t>
      </w:r>
      <w:r w:rsidR="002656C9">
        <w:rPr>
          <w:i/>
          <w:iCs/>
        </w:rPr>
        <w:t>Site-</w:t>
      </w:r>
      <w:r w:rsidR="00100532">
        <w:rPr>
          <w:i/>
          <w:iCs/>
        </w:rPr>
        <w:t>B</w:t>
      </w:r>
      <w:r w:rsidR="002656C9">
        <w:rPr>
          <w:i/>
          <w:iCs/>
        </w:rPr>
        <w:t xml:space="preserve">ased </w:t>
      </w:r>
      <w:r w:rsidR="00317161">
        <w:rPr>
          <w:i/>
          <w:iCs/>
        </w:rPr>
        <w:t xml:space="preserve">Licensing.  </w:t>
      </w:r>
      <w:r w:rsidR="00E873AE">
        <w:t>For decades, t</w:t>
      </w:r>
      <w:r w:rsidR="00D86EA8">
        <w:t xml:space="preserve">he Commission has </w:t>
      </w:r>
      <w:r w:rsidR="00F374CE">
        <w:t>issued</w:t>
      </w:r>
      <w:r w:rsidR="00467CE6">
        <w:t xml:space="preserve"> </w:t>
      </w:r>
      <w:r w:rsidR="00C10EF0">
        <w:t xml:space="preserve">non-exclusive </w:t>
      </w:r>
      <w:r w:rsidR="001F2FE3">
        <w:t xml:space="preserve">wireless radio service </w:t>
      </w:r>
      <w:r w:rsidR="008F0A7A">
        <w:t xml:space="preserve">licenses to </w:t>
      </w:r>
      <w:r w:rsidR="00E20960">
        <w:t>entities</w:t>
      </w:r>
      <w:r w:rsidR="008F0A7A">
        <w:t xml:space="preserve"> </w:t>
      </w:r>
      <w:r w:rsidR="008F0A7A">
        <w:t>to</w:t>
      </w:r>
      <w:r w:rsidR="00E20960">
        <w:t xml:space="preserve"> use spectrum in specific locations</w:t>
      </w:r>
      <w:r w:rsidR="008F0A7A">
        <w:t>,</w:t>
      </w:r>
      <w:r w:rsidR="00B43315">
        <w:t xml:space="preserve"> consistent with existing allocations and service rules </w:t>
      </w:r>
      <w:r w:rsidR="00DE39C5">
        <w:t>governing wireless services</w:t>
      </w:r>
      <w:r w:rsidR="00D8464A">
        <w:t xml:space="preserve"> in those spectrum bands</w:t>
      </w:r>
      <w:r w:rsidR="32D0A99B">
        <w:t>.</w:t>
      </w:r>
      <w:r>
        <w:rPr>
          <w:rStyle w:val="FootnoteReference"/>
        </w:rPr>
        <w:footnoteReference w:id="11"/>
      </w:r>
      <w:r w:rsidR="00FD15CC">
        <w:t xml:space="preserve"> </w:t>
      </w:r>
      <w:r w:rsidR="00C3418A">
        <w:t xml:space="preserve"> </w:t>
      </w:r>
      <w:r w:rsidR="006976F9">
        <w:t xml:space="preserve">Non-exclusive </w:t>
      </w:r>
      <w:r w:rsidR="00595269">
        <w:t>site-based licensees</w:t>
      </w:r>
      <w:r w:rsidR="00974934">
        <w:t xml:space="preserve"> are</w:t>
      </w:r>
      <w:r w:rsidR="00595269">
        <w:t xml:space="preserve"> typically </w:t>
      </w:r>
      <w:r w:rsidR="00974934">
        <w:t xml:space="preserve">required to </w:t>
      </w:r>
      <w:r w:rsidR="00595269">
        <w:t>coordinate with one another—either licensee</w:t>
      </w:r>
      <w:r w:rsidR="00974934">
        <w:t>-</w:t>
      </w:r>
      <w:r w:rsidR="00595269">
        <w:t>to</w:t>
      </w:r>
      <w:r w:rsidR="00974934">
        <w:t>-</w:t>
      </w:r>
      <w:r w:rsidR="00595269">
        <w:t>licensee or via a third</w:t>
      </w:r>
      <w:r w:rsidR="002B3819">
        <w:t>-</w:t>
      </w:r>
      <w:r w:rsidR="00595269">
        <w:t xml:space="preserve">party frequency coordinator—to </w:t>
      </w:r>
      <w:r w:rsidR="00C34C1B">
        <w:t xml:space="preserve">minimize </w:t>
      </w:r>
      <w:r w:rsidR="005A294E">
        <w:t>harmful interference</w:t>
      </w:r>
      <w:r w:rsidR="00C34C1B">
        <w:t xml:space="preserve"> </w:t>
      </w:r>
      <w:r w:rsidR="005A294E">
        <w:t>between operators in the band</w:t>
      </w:r>
      <w:r w:rsidR="00595269">
        <w:t xml:space="preserve">.  </w:t>
      </w:r>
      <w:r w:rsidRPr="00DD491A" w:rsidR="00DD491A">
        <w:t>WTB seeks</w:t>
      </w:r>
      <w:r w:rsidRPr="00DD491A" w:rsidR="00DD491A">
        <w:t xml:space="preserve"> </w:t>
      </w:r>
      <w:r w:rsidRPr="00DD491A" w:rsidR="00DD491A">
        <w:t>comment on whether</w:t>
      </w:r>
      <w:r w:rsidR="00286648">
        <w:t xml:space="preserve"> such</w:t>
      </w:r>
      <w:r w:rsidRPr="00DD491A" w:rsidR="00DD491A">
        <w:t xml:space="preserve"> a </w:t>
      </w:r>
      <w:r w:rsidR="00286648">
        <w:t>non-exclusive</w:t>
      </w:r>
      <w:r w:rsidRPr="00853DCA" w:rsidR="00286648">
        <w:t xml:space="preserve"> </w:t>
      </w:r>
      <w:r w:rsidRPr="00853DCA" w:rsidR="00DD491A">
        <w:t xml:space="preserve">site-based licensing approach—with or without a third-party spectrum coordinator—could be used to provide the public with access to Inventory Spectrum.  </w:t>
      </w:r>
      <w:r w:rsidRPr="00CA4EE5" w:rsidR="00DD491A">
        <w:rPr>
          <w:rStyle w:val="cf01"/>
          <w:rFonts w:ascii="Times New Roman" w:hAnsi="Times New Roman" w:cs="Times New Roman"/>
          <w:sz w:val="22"/>
          <w:szCs w:val="22"/>
        </w:rPr>
        <w:t>Under</w:t>
      </w:r>
      <w:r w:rsidRPr="00CA4EE5" w:rsidR="00DD491A">
        <w:rPr>
          <w:rStyle w:val="cf01"/>
          <w:rFonts w:ascii="Times New Roman" w:hAnsi="Times New Roman" w:cs="Times New Roman"/>
          <w:sz w:val="22"/>
          <w:szCs w:val="22"/>
        </w:rPr>
        <w:t xml:space="preserve"> </w:t>
      </w:r>
      <w:r w:rsidR="00DD491A">
        <w:rPr>
          <w:rStyle w:val="cf01"/>
          <w:rFonts w:ascii="Times New Roman" w:hAnsi="Times New Roman" w:cs="Times New Roman"/>
          <w:sz w:val="22"/>
          <w:szCs w:val="22"/>
        </w:rPr>
        <w:t xml:space="preserve">such an </w:t>
      </w:r>
      <w:r w:rsidRPr="00CA4EE5" w:rsidR="00DD491A">
        <w:rPr>
          <w:rStyle w:val="cf01"/>
          <w:rFonts w:ascii="Times New Roman" w:hAnsi="Times New Roman" w:cs="Times New Roman"/>
          <w:sz w:val="22"/>
          <w:szCs w:val="22"/>
        </w:rPr>
        <w:t>approach, stakeholders could seek individual</w:t>
      </w:r>
      <w:r w:rsidR="00DD491A">
        <w:rPr>
          <w:rStyle w:val="cf01"/>
          <w:rFonts w:ascii="Times New Roman" w:hAnsi="Times New Roman" w:cs="Times New Roman"/>
          <w:sz w:val="22"/>
          <w:szCs w:val="22"/>
        </w:rPr>
        <w:t>, non-exclusive</w:t>
      </w:r>
      <w:r w:rsidRPr="00CA4EE5" w:rsidR="00DD491A">
        <w:rPr>
          <w:rStyle w:val="cf01"/>
          <w:rFonts w:ascii="Times New Roman" w:hAnsi="Times New Roman" w:cs="Times New Roman"/>
          <w:sz w:val="22"/>
          <w:szCs w:val="22"/>
        </w:rPr>
        <w:t xml:space="preserve"> authorizations and promote co-existence through </w:t>
      </w:r>
      <w:r w:rsidR="00463108">
        <w:rPr>
          <w:rStyle w:val="cf01"/>
          <w:rFonts w:ascii="Times New Roman" w:hAnsi="Times New Roman" w:cs="Times New Roman"/>
          <w:sz w:val="22"/>
          <w:szCs w:val="22"/>
        </w:rPr>
        <w:t xml:space="preserve">either a spectrum coordinator or </w:t>
      </w:r>
      <w:r w:rsidR="00DD491A">
        <w:rPr>
          <w:rStyle w:val="cf01"/>
          <w:rFonts w:ascii="Times New Roman" w:hAnsi="Times New Roman" w:cs="Times New Roman"/>
          <w:sz w:val="22"/>
          <w:szCs w:val="22"/>
        </w:rPr>
        <w:t>licensee-to-licensee</w:t>
      </w:r>
      <w:r w:rsidRPr="00CA4EE5" w:rsidR="00DD491A">
        <w:rPr>
          <w:rStyle w:val="cf01"/>
          <w:rFonts w:ascii="Times New Roman" w:hAnsi="Times New Roman" w:cs="Times New Roman"/>
          <w:sz w:val="22"/>
          <w:szCs w:val="22"/>
        </w:rPr>
        <w:t xml:space="preserve"> coordinat</w:t>
      </w:r>
      <w:r w:rsidR="00DD491A">
        <w:rPr>
          <w:rStyle w:val="cf01"/>
          <w:rFonts w:ascii="Times New Roman" w:hAnsi="Times New Roman" w:cs="Times New Roman"/>
          <w:sz w:val="22"/>
          <w:szCs w:val="22"/>
        </w:rPr>
        <w:t>ion</w:t>
      </w:r>
      <w:r w:rsidRPr="00CA4EE5" w:rsidR="00DD491A">
        <w:rPr>
          <w:rStyle w:val="cf01"/>
          <w:rFonts w:ascii="Times New Roman" w:hAnsi="Times New Roman" w:cs="Times New Roman"/>
          <w:sz w:val="22"/>
          <w:szCs w:val="22"/>
        </w:rPr>
        <w:t xml:space="preserve"> </w:t>
      </w:r>
      <w:r w:rsidR="00DD491A">
        <w:rPr>
          <w:rStyle w:val="cf01"/>
          <w:rFonts w:ascii="Times New Roman" w:hAnsi="Times New Roman" w:cs="Times New Roman"/>
          <w:sz w:val="22"/>
          <w:szCs w:val="22"/>
        </w:rPr>
        <w:t xml:space="preserve">of </w:t>
      </w:r>
      <w:r w:rsidRPr="00CA4EE5" w:rsidR="00DD491A">
        <w:rPr>
          <w:rStyle w:val="cf01"/>
          <w:rFonts w:ascii="Times New Roman" w:hAnsi="Times New Roman" w:cs="Times New Roman"/>
          <w:sz w:val="22"/>
          <w:szCs w:val="22"/>
        </w:rPr>
        <w:t xml:space="preserve">technical parameters. </w:t>
      </w:r>
      <w:r w:rsidR="00DD491A">
        <w:rPr>
          <w:rStyle w:val="cf01"/>
          <w:rFonts w:ascii="Times New Roman" w:hAnsi="Times New Roman" w:cs="Times New Roman"/>
          <w:sz w:val="22"/>
          <w:szCs w:val="22"/>
        </w:rPr>
        <w:t xml:space="preserve"> </w:t>
      </w:r>
      <w:r w:rsidR="00CF1218">
        <w:rPr>
          <w:rStyle w:val="cf01"/>
          <w:rFonts w:ascii="Times New Roman" w:hAnsi="Times New Roman" w:cs="Times New Roman"/>
          <w:sz w:val="22"/>
          <w:szCs w:val="22"/>
        </w:rPr>
        <w:t xml:space="preserve">In addition, </w:t>
      </w:r>
      <w:r w:rsidR="00DD491A">
        <w:rPr>
          <w:rStyle w:val="cf01"/>
          <w:rFonts w:ascii="Times New Roman" w:hAnsi="Times New Roman" w:cs="Times New Roman"/>
          <w:sz w:val="22"/>
          <w:szCs w:val="22"/>
        </w:rPr>
        <w:t>to facilitate co-existence in a shared-use environment, the Commission could issue guidelines</w:t>
      </w:r>
      <w:r w:rsidRPr="00CA4EE5" w:rsidR="00DD491A">
        <w:rPr>
          <w:rStyle w:val="cf01"/>
          <w:rFonts w:ascii="Times New Roman" w:hAnsi="Times New Roman" w:cs="Times New Roman"/>
          <w:sz w:val="22"/>
          <w:szCs w:val="22"/>
        </w:rPr>
        <w:t xml:space="preserve"> to promote licensee best practices</w:t>
      </w:r>
      <w:r w:rsidR="00DD491A">
        <w:rPr>
          <w:rStyle w:val="cf01"/>
          <w:rFonts w:ascii="Times New Roman" w:hAnsi="Times New Roman" w:cs="Times New Roman"/>
          <w:sz w:val="22"/>
          <w:szCs w:val="22"/>
        </w:rPr>
        <w:t xml:space="preserve"> in coordinating frequency use between and among licensees to avoid harmful interference</w:t>
      </w:r>
      <w:r w:rsidRPr="00CA4EE5" w:rsidR="00DD491A">
        <w:rPr>
          <w:rStyle w:val="cf01"/>
          <w:rFonts w:ascii="Times New Roman" w:hAnsi="Times New Roman" w:cs="Times New Roman"/>
          <w:sz w:val="22"/>
          <w:szCs w:val="22"/>
        </w:rPr>
        <w:t>.</w:t>
      </w:r>
      <w:r w:rsidR="00DD491A">
        <w:rPr>
          <w:rStyle w:val="cf01"/>
          <w:rFonts w:ascii="Times New Roman" w:hAnsi="Times New Roman" w:cs="Times New Roman"/>
          <w:sz w:val="22"/>
          <w:szCs w:val="22"/>
        </w:rPr>
        <w:t xml:space="preserve">  </w:t>
      </w:r>
      <w:r w:rsidR="005B7627">
        <w:rPr>
          <w:rStyle w:val="cf01"/>
          <w:rFonts w:ascii="Times New Roman" w:hAnsi="Times New Roman" w:cs="Times New Roman"/>
          <w:sz w:val="22"/>
          <w:szCs w:val="22"/>
        </w:rPr>
        <w:t xml:space="preserve">Are there situations where the relatively simple non-exclusive site-based licensing </w:t>
      </w:r>
      <w:r w:rsidR="00CF1218">
        <w:rPr>
          <w:rStyle w:val="cf01"/>
          <w:rFonts w:ascii="Times New Roman" w:hAnsi="Times New Roman" w:cs="Times New Roman"/>
          <w:sz w:val="22"/>
          <w:szCs w:val="22"/>
        </w:rPr>
        <w:t>approach</w:t>
      </w:r>
      <w:r w:rsidR="005B7627">
        <w:rPr>
          <w:rStyle w:val="cf01"/>
          <w:rFonts w:ascii="Times New Roman" w:hAnsi="Times New Roman" w:cs="Times New Roman"/>
          <w:sz w:val="22"/>
          <w:szCs w:val="22"/>
        </w:rPr>
        <w:t xml:space="preserve"> would be preferable to a dynamic spectrum sharing approach? </w:t>
      </w:r>
      <w:r w:rsidR="00C3418A">
        <w:rPr>
          <w:rStyle w:val="cf01"/>
          <w:rFonts w:ascii="Times New Roman" w:hAnsi="Times New Roman" w:cs="Times New Roman"/>
          <w:sz w:val="22"/>
          <w:szCs w:val="22"/>
        </w:rPr>
        <w:t xml:space="preserve"> </w:t>
      </w:r>
      <w:r w:rsidR="00FB74A7">
        <w:rPr>
          <w:rStyle w:val="cf01"/>
          <w:rFonts w:ascii="Times New Roman" w:hAnsi="Times New Roman" w:cs="Times New Roman"/>
          <w:sz w:val="22"/>
          <w:szCs w:val="22"/>
        </w:rPr>
        <w:t>If so, u</w:t>
      </w:r>
      <w:r w:rsidR="002A3E69">
        <w:rPr>
          <w:rStyle w:val="cf01"/>
          <w:rFonts w:ascii="Times New Roman" w:hAnsi="Times New Roman" w:cs="Times New Roman"/>
          <w:sz w:val="22"/>
          <w:szCs w:val="22"/>
        </w:rPr>
        <w:t>nder what circumstances</w:t>
      </w:r>
      <w:r w:rsidR="005B7627">
        <w:rPr>
          <w:rStyle w:val="cf01"/>
          <w:rFonts w:ascii="Times New Roman" w:hAnsi="Times New Roman" w:cs="Times New Roman"/>
          <w:sz w:val="22"/>
          <w:szCs w:val="22"/>
        </w:rPr>
        <w:t>, and in which bands,</w:t>
      </w:r>
      <w:r w:rsidR="002A3E69">
        <w:rPr>
          <w:rStyle w:val="cf01"/>
          <w:rFonts w:ascii="Times New Roman" w:hAnsi="Times New Roman" w:cs="Times New Roman"/>
          <w:sz w:val="22"/>
          <w:szCs w:val="22"/>
        </w:rPr>
        <w:t xml:space="preserve"> would such an approach be advantageous</w:t>
      </w:r>
      <w:r w:rsidR="005B7627">
        <w:rPr>
          <w:rStyle w:val="cf01"/>
          <w:rFonts w:ascii="Times New Roman" w:hAnsi="Times New Roman" w:cs="Times New Roman"/>
          <w:sz w:val="22"/>
          <w:szCs w:val="22"/>
        </w:rPr>
        <w:t>?</w:t>
      </w:r>
      <w:r w:rsidRPr="00CA4EE5" w:rsidR="00F01021">
        <w:rPr>
          <w:rStyle w:val="cf01"/>
          <w:rFonts w:ascii="Times New Roman" w:hAnsi="Times New Roman" w:cs="Times New Roman"/>
          <w:sz w:val="22"/>
          <w:szCs w:val="22"/>
        </w:rPr>
        <w:t xml:space="preserve"> </w:t>
      </w:r>
      <w:r w:rsidR="00F01021">
        <w:rPr>
          <w:rStyle w:val="cf01"/>
          <w:rFonts w:ascii="Times New Roman" w:hAnsi="Times New Roman" w:cs="Times New Roman"/>
          <w:sz w:val="22"/>
          <w:szCs w:val="22"/>
        </w:rPr>
        <w:t xml:space="preserve"> </w:t>
      </w:r>
      <w:r w:rsidR="00510C69">
        <w:t>Commenters should also address the questions posed in subpart B, below.</w:t>
      </w:r>
    </w:p>
    <w:p w:rsidR="005860C7" w:rsidRPr="005860C7" w:rsidP="00A31A0D" w14:paraId="12F0C126" w14:textId="19442957">
      <w:pPr>
        <w:pStyle w:val="ParaNum"/>
        <w:tabs>
          <w:tab w:val="clear" w:pos="1080"/>
        </w:tabs>
        <w:rPr>
          <w:rStyle w:val="cf01"/>
          <w:rFonts w:ascii="Times New Roman" w:hAnsi="Times New Roman" w:cs="Times New Roman"/>
          <w:sz w:val="22"/>
          <w:szCs w:val="22"/>
        </w:rPr>
      </w:pPr>
      <w:r>
        <w:rPr>
          <w:i/>
          <w:iCs/>
        </w:rPr>
        <w:t>Leasing S</w:t>
      </w:r>
      <w:r w:rsidR="00705831">
        <w:rPr>
          <w:i/>
          <w:iCs/>
        </w:rPr>
        <w:t xml:space="preserve">pectrum Inventory Licenses.  </w:t>
      </w:r>
      <w:r w:rsidRPr="00002655" w:rsidR="00185102">
        <w:t>In recent years, the Commission has taken steps to implement innovative approaches to spectrum leasing to facilitate more flexible and efficient access to spectrum resources.</w:t>
      </w:r>
      <w:r>
        <w:rPr>
          <w:rStyle w:val="FootnoteReference"/>
        </w:rPr>
        <w:footnoteReference w:id="12"/>
      </w:r>
      <w:r w:rsidRPr="00002655" w:rsidR="00185102">
        <w:t xml:space="preserve">  </w:t>
      </w:r>
      <w:r w:rsidR="006B5781">
        <w:t>C</w:t>
      </w:r>
      <w:r>
        <w:t xml:space="preserve">ould the Commission </w:t>
      </w:r>
      <w:r w:rsidRPr="00447F5E">
        <w:t>position</w:t>
      </w:r>
      <w:r>
        <w:t xml:space="preserve"> </w:t>
      </w:r>
      <w:r w:rsidR="00E9784D">
        <w:t xml:space="preserve">Inventory Spectrum </w:t>
      </w:r>
      <w:r>
        <w:t xml:space="preserve">licenses </w:t>
      </w:r>
      <w:r w:rsidRPr="00447F5E">
        <w:t xml:space="preserve">so that they could be leased </w:t>
      </w:r>
      <w:r>
        <w:t>to the publi</w:t>
      </w:r>
      <w:r w:rsidR="00E401AF">
        <w:t>c</w:t>
      </w:r>
      <w:r w:rsidR="00E9784D">
        <w:t xml:space="preserve">, even if they have not </w:t>
      </w:r>
      <w:r w:rsidR="00D13692">
        <w:t xml:space="preserve">yet </w:t>
      </w:r>
      <w:r w:rsidR="00E9784D">
        <w:t>been initially licensed</w:t>
      </w:r>
      <w:r>
        <w:t>?</w:t>
      </w:r>
      <w:r w:rsidRPr="00447F5E">
        <w:t xml:space="preserve">  </w:t>
      </w:r>
      <w:r>
        <w:t>If so, what</w:t>
      </w:r>
      <w:r w:rsidRPr="00447F5E">
        <w:t xml:space="preserve"> guidelines could </w:t>
      </w:r>
      <w:r>
        <w:t>the Commission develop</w:t>
      </w:r>
      <w:r w:rsidRPr="00447F5E">
        <w:t xml:space="preserve"> to govern lessee selection, leasing arrangements, </w:t>
      </w:r>
      <w:r w:rsidR="00E401AF">
        <w:t xml:space="preserve">resolution of mutually exclusive applications, </w:t>
      </w:r>
      <w:r w:rsidRPr="00447F5E">
        <w:t>and other parameters</w:t>
      </w:r>
      <w:r>
        <w:t xml:space="preserve">?  </w:t>
      </w:r>
      <w:r w:rsidR="006F65FA">
        <w:t xml:space="preserve">Are there benefits to such a leasing approach as compared to making spectrum available using either dynamic spectrum sharing techniques or site-based licensing as described above?  </w:t>
      </w:r>
      <w:r w:rsidR="00510C69">
        <w:rPr>
          <w:rStyle w:val="cf01"/>
          <w:rFonts w:ascii="Times New Roman" w:hAnsi="Times New Roman" w:cs="Times New Roman"/>
          <w:sz w:val="22"/>
          <w:szCs w:val="22"/>
        </w:rPr>
        <w:t>As with the other approaches, we invite commenters to respond to the questions in subpart B, below.</w:t>
      </w:r>
      <w:r w:rsidRPr="5FDF48B3" w:rsidR="00510C69">
        <w:rPr>
          <w:rStyle w:val="cf01"/>
          <w:rFonts w:ascii="Times New Roman" w:hAnsi="Times New Roman" w:cs="Times New Roman"/>
          <w:sz w:val="22"/>
          <w:szCs w:val="22"/>
        </w:rPr>
        <w:t xml:space="preserve">  </w:t>
      </w:r>
    </w:p>
    <w:p w:rsidR="00D641B5" w:rsidRPr="0077056B" w:rsidP="00853DCA" w14:paraId="77E62DF8" w14:textId="51EF0882">
      <w:pPr>
        <w:pStyle w:val="ParaNum"/>
        <w:tabs>
          <w:tab w:val="clear" w:pos="1080"/>
        </w:tabs>
        <w:rPr>
          <w:szCs w:val="22"/>
        </w:rPr>
      </w:pPr>
      <w:r w:rsidRPr="0077056B">
        <w:rPr>
          <w:i/>
          <w:iCs/>
        </w:rPr>
        <w:t>Special Temporary Authority (STA).</w:t>
      </w:r>
      <w:r>
        <w:t xml:space="preserve">  We also note that the public already has access to Inventory Spectrum under limited circumstances and for limited purposes, specifically via grants of STAs.</w:t>
      </w:r>
      <w:r>
        <w:rPr>
          <w:rStyle w:val="FootnoteReference"/>
        </w:rPr>
        <w:footnoteReference w:id="13"/>
      </w:r>
      <w:r>
        <w:t xml:space="preserve"> </w:t>
      </w:r>
      <w:r>
        <w:t xml:space="preserve"> </w:t>
      </w:r>
      <w:r>
        <w:t xml:space="preserve">For example, WTB issued over 165,000 new licenses last year, of which more than 1,000 were </w:t>
      </w:r>
      <w:r>
        <w:t>STAs.  Given that this well-established access mechanism provides for non-interfering use of the spectrum, it will remain available to users irrespective of any other approaches that the Commission might propose in the future.</w:t>
      </w:r>
      <w:r w:rsidRPr="00D14C4D">
        <w:t xml:space="preserve"> </w:t>
      </w:r>
      <w:r>
        <w:t xml:space="preserve"> Are there changes to STA that might serve the public interest during this period of lapsed auction authority?  </w:t>
      </w:r>
      <w:r w:rsidRPr="00D14C4D">
        <w:t>As with the other approaches, we invite commenters to respond to the questions in subpart B, below</w:t>
      </w:r>
      <w:r>
        <w:t>.</w:t>
      </w:r>
    </w:p>
    <w:p w:rsidR="00DD718D" w:rsidRPr="009130D4" w:rsidP="00690232" w14:paraId="5960E3C0" w14:textId="15D31339">
      <w:pPr>
        <w:pStyle w:val="ParaNum"/>
        <w:tabs>
          <w:tab w:val="clear" w:pos="1080"/>
        </w:tabs>
        <w:rPr>
          <w:szCs w:val="22"/>
        </w:rPr>
      </w:pPr>
      <w:r>
        <w:rPr>
          <w:i/>
          <w:iCs/>
        </w:rPr>
        <w:t xml:space="preserve">Other Options.  </w:t>
      </w:r>
      <w:r>
        <w:t xml:space="preserve">We invite commenters to </w:t>
      </w:r>
      <w:r w:rsidR="001F0F55">
        <w:t xml:space="preserve">consider </w:t>
      </w:r>
      <w:r>
        <w:t xml:space="preserve">other assignment options for providing access to the Commission’s spectrum inventory. </w:t>
      </w:r>
      <w:r w:rsidR="00303C98">
        <w:t xml:space="preserve"> </w:t>
      </w:r>
      <w:r w:rsidR="009130D4">
        <w:rPr>
          <w:rStyle w:val="cf01"/>
          <w:rFonts w:ascii="Times New Roman" w:hAnsi="Times New Roman" w:cs="Times New Roman"/>
          <w:sz w:val="22"/>
          <w:szCs w:val="22"/>
        </w:rPr>
        <w:t xml:space="preserve">For example, </w:t>
      </w:r>
      <w:r w:rsidRPr="009130D4" w:rsidR="009130D4">
        <w:rPr>
          <w:szCs w:val="22"/>
        </w:rPr>
        <w:t xml:space="preserve">would </w:t>
      </w:r>
      <w:r w:rsidR="009130D4">
        <w:rPr>
          <w:szCs w:val="22"/>
        </w:rPr>
        <w:t xml:space="preserve">it </w:t>
      </w:r>
      <w:r w:rsidRPr="009130D4" w:rsidR="009130D4">
        <w:rPr>
          <w:szCs w:val="22"/>
        </w:rPr>
        <w:t xml:space="preserve">be advantageous to create experimental innovation zones in some or all geographic areas where the Commission has </w:t>
      </w:r>
      <w:r w:rsidR="005F71BC">
        <w:rPr>
          <w:szCs w:val="22"/>
        </w:rPr>
        <w:t>Inventory Spectrum</w:t>
      </w:r>
      <w:r w:rsidR="00DB6B75">
        <w:rPr>
          <w:szCs w:val="22"/>
        </w:rPr>
        <w:t xml:space="preserve">? </w:t>
      </w:r>
      <w:r w:rsidRPr="009130D4" w:rsidR="009130D4">
        <w:rPr>
          <w:szCs w:val="22"/>
        </w:rPr>
        <w:t xml:space="preserve"> Under such an approach, users could experiment with different technical approaches, especially as it relates to dynamic </w:t>
      </w:r>
      <w:r w:rsidR="00633AD7">
        <w:rPr>
          <w:szCs w:val="22"/>
        </w:rPr>
        <w:t xml:space="preserve">spectrum </w:t>
      </w:r>
      <w:r w:rsidRPr="009130D4" w:rsidR="009130D4">
        <w:rPr>
          <w:szCs w:val="22"/>
        </w:rPr>
        <w:t xml:space="preserve">sharing techniques, and information gained could then be applied to other </w:t>
      </w:r>
      <w:r w:rsidR="00CF06D5">
        <w:rPr>
          <w:szCs w:val="22"/>
        </w:rPr>
        <w:t xml:space="preserve">geographic areas and spectrum </w:t>
      </w:r>
      <w:r w:rsidRPr="009130D4" w:rsidR="009130D4">
        <w:rPr>
          <w:szCs w:val="22"/>
        </w:rPr>
        <w:t xml:space="preserve">bands to </w:t>
      </w:r>
      <w:r w:rsidR="007A66D2">
        <w:rPr>
          <w:szCs w:val="22"/>
        </w:rPr>
        <w:t xml:space="preserve">facilitate </w:t>
      </w:r>
      <w:r w:rsidRPr="009130D4" w:rsidR="009130D4">
        <w:rPr>
          <w:szCs w:val="22"/>
        </w:rPr>
        <w:t xml:space="preserve">public access to </w:t>
      </w:r>
      <w:r w:rsidR="005F71BC">
        <w:rPr>
          <w:szCs w:val="22"/>
        </w:rPr>
        <w:t>Inventory Spectrum</w:t>
      </w:r>
      <w:r w:rsidRPr="009130D4" w:rsidR="009130D4">
        <w:rPr>
          <w:szCs w:val="22"/>
        </w:rPr>
        <w:t>.</w:t>
      </w:r>
      <w:r w:rsidR="009130D4">
        <w:rPr>
          <w:szCs w:val="22"/>
        </w:rPr>
        <w:t xml:space="preserve">  </w:t>
      </w:r>
      <w:r w:rsidR="00B1308B">
        <w:t xml:space="preserve">We also seek comment on whether </w:t>
      </w:r>
      <w:r w:rsidR="006B019F">
        <w:t>aspects of any of the approaches disc</w:t>
      </w:r>
      <w:r w:rsidR="007E7FA6">
        <w:t xml:space="preserve">ussed above could be combined to </w:t>
      </w:r>
      <w:r w:rsidR="00246086">
        <w:t>take advantage of the unique benefits of each access mechanism.</w:t>
      </w:r>
    </w:p>
    <w:p w:rsidR="00CF35FC" w:rsidP="00C634BC" w14:paraId="3149647E" w14:textId="5DBB3F6B">
      <w:pPr>
        <w:pStyle w:val="Heading2"/>
      </w:pPr>
      <w:r>
        <w:t xml:space="preserve">General Questions Regarding </w:t>
      </w:r>
      <w:r w:rsidR="006D1011">
        <w:t>Access to Inventory Spectrum</w:t>
      </w:r>
    </w:p>
    <w:p w:rsidR="00CF35FC" w:rsidP="000E313C" w14:paraId="1CF58B9A" w14:textId="797BE481">
      <w:pPr>
        <w:pStyle w:val="ParaNum"/>
        <w:widowControl/>
        <w:tabs>
          <w:tab w:val="clear" w:pos="1080"/>
          <w:tab w:val="num" w:pos="1440"/>
        </w:tabs>
      </w:pPr>
      <w:r>
        <w:t xml:space="preserve">To facilitate the consideration of </w:t>
      </w:r>
      <w:r w:rsidR="00510C69">
        <w:t xml:space="preserve">alternative </w:t>
      </w:r>
      <w:r w:rsidR="005716D1">
        <w:t xml:space="preserve">approaches to providing the public with access to </w:t>
      </w:r>
      <w:r w:rsidR="005F71BC">
        <w:t>Inventory Spectrum</w:t>
      </w:r>
      <w:r w:rsidR="0041572D">
        <w:t xml:space="preserve">, </w:t>
      </w:r>
      <w:r w:rsidR="00EC6FEE">
        <w:t xml:space="preserve">WTB </w:t>
      </w:r>
      <w:r w:rsidR="00316659">
        <w:t>seek</w:t>
      </w:r>
      <w:r w:rsidR="002E5ED2">
        <w:t>s</w:t>
      </w:r>
      <w:r w:rsidR="00316659">
        <w:t xml:space="preserve"> comment on </w:t>
      </w:r>
      <w:r w:rsidR="00EC6FEE">
        <w:t>the</w:t>
      </w:r>
      <w:r w:rsidR="00E62BF6">
        <w:t xml:space="preserve"> questions below.</w:t>
      </w:r>
      <w:r w:rsidR="00530CBE">
        <w:t xml:space="preserve">  </w:t>
      </w:r>
      <w:r w:rsidR="00405380">
        <w:t xml:space="preserve">These questions apply to each of the approaches discussed </w:t>
      </w:r>
      <w:r w:rsidR="00510C69">
        <w:t>herein</w:t>
      </w:r>
      <w:r w:rsidR="00405380">
        <w:t>, as well</w:t>
      </w:r>
      <w:r w:rsidR="00C014AF">
        <w:t xml:space="preserve"> </w:t>
      </w:r>
      <w:r w:rsidR="00405380">
        <w:t>as any alternative approaches proposed by commenters</w:t>
      </w:r>
      <w:r w:rsidR="00C014AF">
        <w:t xml:space="preserve">.  </w:t>
      </w:r>
      <w:r w:rsidR="006129EB">
        <w:t>Commenters are encouraged to address these questions</w:t>
      </w:r>
      <w:r w:rsidR="00C71C28">
        <w:t xml:space="preserve"> for e</w:t>
      </w:r>
      <w:r w:rsidR="003B79C2">
        <w:t>ach appr</w:t>
      </w:r>
      <w:r w:rsidR="00154E2E">
        <w:t>oach</w:t>
      </w:r>
      <w:r w:rsidR="00154E2E">
        <w:t xml:space="preserve"> </w:t>
      </w:r>
      <w:r w:rsidR="00094DC4">
        <w:t xml:space="preserve">and are also </w:t>
      </w:r>
      <w:r w:rsidR="006B203F">
        <w:t>encouraged to</w:t>
      </w:r>
      <w:r w:rsidR="006129EB">
        <w:t xml:space="preserve"> provide</w:t>
      </w:r>
      <w:r w:rsidR="006B203F">
        <w:t xml:space="preserve"> </w:t>
      </w:r>
      <w:r w:rsidR="001576EC">
        <w:t>appropriate technical and cost benefit analyses in support of their proposals.</w:t>
      </w:r>
      <w:r w:rsidR="00EC6FEE">
        <w:t xml:space="preserve"> </w:t>
      </w:r>
      <w:r w:rsidR="00B87CAE">
        <w:t xml:space="preserve"> </w:t>
      </w:r>
      <w:r w:rsidR="001C0540">
        <w:t>This valuable stakeholder input will inform the Bureau</w:t>
      </w:r>
      <w:r w:rsidR="008F4379">
        <w:t xml:space="preserve"> as it develops </w:t>
      </w:r>
      <w:r w:rsidR="001C0540">
        <w:t xml:space="preserve">access options </w:t>
      </w:r>
      <w:r w:rsidR="001C435B">
        <w:t>for Commission consideration.</w:t>
      </w:r>
    </w:p>
    <w:p w:rsidR="00510C69" w:rsidP="00510C69" w14:paraId="47877F2B" w14:textId="2BE08A56">
      <w:pPr>
        <w:pStyle w:val="ParaNum"/>
        <w:widowControl/>
        <w:numPr>
          <w:ilvl w:val="0"/>
          <w:numId w:val="29"/>
        </w:numPr>
      </w:pPr>
      <w:r w:rsidRPr="009C7C69">
        <w:t xml:space="preserve">What are the </w:t>
      </w:r>
      <w:r w:rsidR="00B12F9D">
        <w:t>potential benefits and drawbacks for each</w:t>
      </w:r>
      <w:r w:rsidRPr="009C7C69">
        <w:t xml:space="preserve"> spectrum access mechanism</w:t>
      </w:r>
      <w:r w:rsidR="00B12F9D">
        <w:t xml:space="preserve">? </w:t>
      </w:r>
      <w:r w:rsidR="009725FE">
        <w:t xml:space="preserve"> </w:t>
      </w:r>
      <w:r w:rsidRPr="00B12F9D" w:rsidR="00B12F9D">
        <w:t xml:space="preserve">For each access mechanism, what framework or guidelines could the Commission provide to ensure robust and efficient spectrum use, ensure a level playing field, </w:t>
      </w:r>
      <w:r w:rsidR="00E96CBC">
        <w:t xml:space="preserve">prevent harmful interference, </w:t>
      </w:r>
      <w:r w:rsidRPr="00B12F9D" w:rsidR="00B12F9D">
        <w:t xml:space="preserve">and promote co-existence among spectrum users? </w:t>
      </w:r>
    </w:p>
    <w:p w:rsidR="007313C4" w:rsidP="007313C4" w14:paraId="63C54653" w14:textId="74720B31">
      <w:pPr>
        <w:pStyle w:val="ParaNum"/>
        <w:widowControl/>
        <w:numPr>
          <w:ilvl w:val="0"/>
          <w:numId w:val="29"/>
        </w:numPr>
      </w:pPr>
      <w:r>
        <w:t>To the extent that any of these mechanisms results in a change in the use of spectrum or in the service or technical rules for the spectrum, how should these mechanisms address potential co-channel and adjacent band interference issues?</w:t>
      </w:r>
    </w:p>
    <w:p w:rsidR="003D2860" w:rsidP="00510C69" w14:paraId="177E105C" w14:textId="673C5B64">
      <w:pPr>
        <w:pStyle w:val="ParaNum"/>
        <w:widowControl/>
        <w:numPr>
          <w:ilvl w:val="0"/>
          <w:numId w:val="29"/>
        </w:numPr>
      </w:pPr>
      <w:r>
        <w:t>H</w:t>
      </w:r>
      <w:r w:rsidR="0054465F">
        <w:t xml:space="preserve">ow might the Commission adjust any of the mechanisms to better incentivize </w:t>
      </w:r>
      <w:r w:rsidR="00E87CA2">
        <w:t xml:space="preserve">network investment and </w:t>
      </w:r>
      <w:r w:rsidR="0054465F">
        <w:t xml:space="preserve">robust use of the </w:t>
      </w:r>
      <w:r w:rsidR="005F71BC">
        <w:t>Inventory Spectrum</w:t>
      </w:r>
      <w:r w:rsidR="0054465F">
        <w:t xml:space="preserve"> in the public interest?</w:t>
      </w:r>
    </w:p>
    <w:p w:rsidR="005665FF" w:rsidP="00C00580" w14:paraId="28ED7039" w14:textId="75CB77AB">
      <w:pPr>
        <w:pStyle w:val="ParaNum"/>
        <w:widowControl/>
        <w:numPr>
          <w:ilvl w:val="0"/>
          <w:numId w:val="29"/>
        </w:numPr>
      </w:pPr>
      <w:r>
        <w:t xml:space="preserve">Are any of these mechanisms more appropriate for use in particular </w:t>
      </w:r>
      <w:r w:rsidR="005F71BC">
        <w:t>Inventory Spectrum</w:t>
      </w:r>
      <w:r>
        <w:t xml:space="preserve"> bands?  If so, what factors should we consider in </w:t>
      </w:r>
      <w:r>
        <w:t>studying</w:t>
      </w:r>
      <w:r w:rsidR="00446E12">
        <w:t xml:space="preserve"> whether to use a particular approach in a particular band?</w:t>
      </w:r>
      <w:r>
        <w:t xml:space="preserve"> </w:t>
      </w:r>
    </w:p>
    <w:p w:rsidR="0067314A" w:rsidP="000569F3" w14:paraId="14254A06" w14:textId="09E5A507">
      <w:pPr>
        <w:pStyle w:val="ParaNum"/>
        <w:widowControl/>
        <w:numPr>
          <w:ilvl w:val="0"/>
          <w:numId w:val="29"/>
        </w:numPr>
      </w:pPr>
      <w:r>
        <w:t xml:space="preserve">For what term should </w:t>
      </w:r>
      <w:r w:rsidR="00AC45A9">
        <w:t>access</w:t>
      </w:r>
      <w:r>
        <w:t xml:space="preserve"> </w:t>
      </w:r>
      <w:r w:rsidR="00AC45A9">
        <w:t>allowed</w:t>
      </w:r>
      <w:r>
        <w:t xml:space="preserve"> under these mechanisms remain valid?  Should</w:t>
      </w:r>
      <w:r>
        <w:t xml:space="preserve"> </w:t>
      </w:r>
      <w:r w:rsidR="000B106A">
        <w:t xml:space="preserve">authorizations </w:t>
      </w:r>
      <w:r>
        <w:t xml:space="preserve">have a defined expiration?  Should the mechanisms authorize service </w:t>
      </w:r>
      <w:r w:rsidR="0D73E87B">
        <w:t xml:space="preserve">only </w:t>
      </w:r>
      <w:r>
        <w:t>until auction authority is restored</w:t>
      </w:r>
      <w:r w:rsidR="00AA39FF">
        <w:t xml:space="preserve"> and, if so, </w:t>
      </w:r>
      <w:r w:rsidR="00354F3F">
        <w:t xml:space="preserve">how could these mechanisms </w:t>
      </w:r>
      <w:r w:rsidR="00055724">
        <w:t xml:space="preserve">facilitate the transition to </w:t>
      </w:r>
      <w:r w:rsidR="00FA4A60">
        <w:t xml:space="preserve">use of the spectrum by </w:t>
      </w:r>
      <w:r w:rsidR="00857809">
        <w:t>entities who ultimately are assigned licenses through auction</w:t>
      </w:r>
      <w:r>
        <w:t>?</w:t>
      </w:r>
    </w:p>
    <w:p w:rsidR="006E24DA" w:rsidP="000569F3" w14:paraId="4E5CD139" w14:textId="5D953A16">
      <w:pPr>
        <w:pStyle w:val="ParaNum"/>
        <w:widowControl/>
        <w:numPr>
          <w:ilvl w:val="0"/>
          <w:numId w:val="29"/>
        </w:numPr>
      </w:pPr>
      <w:r>
        <w:t xml:space="preserve">How might the Commission </w:t>
      </w:r>
      <w:r w:rsidR="00B6089C">
        <w:t xml:space="preserve">address issues related to mutually exclusive applications, including its statutory authority to </w:t>
      </w:r>
      <w:r w:rsidRPr="00FF169C">
        <w:t xml:space="preserve">“use engineering solutions, negotiation, threshold qualifications, service regulations, and other means in order to avoid mutual exclusivity” to </w:t>
      </w:r>
      <w:r w:rsidR="00B6089C">
        <w:t xml:space="preserve">facilitate </w:t>
      </w:r>
      <w:r w:rsidRPr="00FF169C">
        <w:t xml:space="preserve">access to </w:t>
      </w:r>
      <w:r w:rsidR="005F71BC">
        <w:t>Inventory Spectrum</w:t>
      </w:r>
      <w:r w:rsidRPr="00FF169C">
        <w:t>?</w:t>
      </w:r>
      <w:r>
        <w:rPr>
          <w:vertAlign w:val="superscript"/>
        </w:rPr>
        <w:footnoteReference w:id="14"/>
      </w:r>
    </w:p>
    <w:p w:rsidR="0029728D" w:rsidP="000569F3" w14:paraId="23C2AF2E" w14:textId="2F0AAED7">
      <w:pPr>
        <w:pStyle w:val="ParaNum"/>
        <w:widowControl/>
        <w:numPr>
          <w:ilvl w:val="0"/>
          <w:numId w:val="29"/>
        </w:numPr>
      </w:pPr>
      <w:r>
        <w:t>What</w:t>
      </w:r>
      <w:r w:rsidR="00B6089C">
        <w:t xml:space="preserve">, if any, </w:t>
      </w:r>
      <w:r>
        <w:t xml:space="preserve">impact </w:t>
      </w:r>
      <w:r w:rsidR="00C3141E">
        <w:t>would each mechanism have on</w:t>
      </w:r>
      <w:r>
        <w:t xml:space="preserve"> the Commission’s Mobile Spectrum Holdings </w:t>
      </w:r>
      <w:r w:rsidR="00B6089C">
        <w:t>policies</w:t>
      </w:r>
      <w:r>
        <w:t>?</w:t>
      </w:r>
      <w:r w:rsidRPr="00FF169C" w:rsidR="00FF169C">
        <w:t xml:space="preserve">  </w:t>
      </w:r>
      <w:r w:rsidRPr="00EC6B3C" w:rsidR="00EC6B3C">
        <w:t>How would the Mobile Spectrum Holdings policies be applied in the applicable bands for each proposed mechanism?</w:t>
      </w:r>
    </w:p>
    <w:p w:rsidR="00B532E6" w:rsidP="00B532E6" w14:paraId="26060F81" w14:textId="08531699">
      <w:pPr>
        <w:pStyle w:val="Heading1"/>
      </w:pPr>
      <w:r>
        <w:t>Procedural Matters</w:t>
      </w:r>
    </w:p>
    <w:p w:rsidR="005E6CDB" w:rsidRPr="005E6CDB" w:rsidP="000E313C" w14:paraId="3C2A4752" w14:textId="7696AC9E">
      <w:pPr>
        <w:pStyle w:val="ParaNum"/>
        <w:widowControl/>
        <w:tabs>
          <w:tab w:val="clear" w:pos="1080"/>
          <w:tab w:val="num" w:pos="1440"/>
        </w:tabs>
      </w:pPr>
      <w:r w:rsidRPr="00C77BFD">
        <w:rPr>
          <w:i/>
        </w:rPr>
        <w:t>Ex Parte Rules</w:t>
      </w:r>
      <w:r w:rsidRPr="00C77BFD">
        <w:t>.  Pursuant to the provisions of 47 CFR § 1.1200(a) of the Commission</w:t>
      </w:r>
      <w:r w:rsidR="00ED6727">
        <w:t>’</w:t>
      </w:r>
      <w:r w:rsidRPr="00C77BFD">
        <w:t>s rules, this proceeding is deemed an exempt proceeding.</w:t>
      </w:r>
      <w:r>
        <w:rPr>
          <w:vertAlign w:val="superscript"/>
        </w:rPr>
        <w:footnoteReference w:id="15"/>
      </w:r>
      <w:r w:rsidRPr="00C77BFD">
        <w:t xml:space="preserve">  </w:t>
      </w:r>
      <w:r w:rsidRPr="00C77BFD">
        <w:rPr>
          <w:i/>
        </w:rPr>
        <w:t>Ex parte</w:t>
      </w:r>
      <w:r w:rsidRPr="00C77BFD">
        <w:t xml:space="preserve"> presentations to or from Commission decision-making personnel are permissible and need not be disclosed</w:t>
      </w:r>
      <w:r w:rsidRPr="005E6CDB">
        <w:t>.</w:t>
      </w:r>
    </w:p>
    <w:p w:rsidR="005E6CDB" w:rsidRPr="005E6CDB" w:rsidP="00086AA0" w14:paraId="1AAB0CF3" w14:textId="75B6A376">
      <w:pPr>
        <w:pStyle w:val="ParaNum"/>
        <w:widowControl/>
        <w:tabs>
          <w:tab w:val="clear" w:pos="1080"/>
          <w:tab w:val="num" w:pos="1440"/>
        </w:tabs>
        <w:spacing w:after="240"/>
      </w:pPr>
      <w:r w:rsidRPr="005E6CDB">
        <w:rPr>
          <w:i/>
          <w:iCs/>
        </w:rPr>
        <w:t>Filing Requirements</w:t>
      </w:r>
      <w:r w:rsidRPr="005E6CDB">
        <w:t>.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w:t>
      </w:r>
    </w:p>
    <w:p w:rsidR="005E6CDB" w:rsidRPr="00585193" w:rsidP="00BD468E" w14:paraId="7241153D" w14:textId="77777777">
      <w:pPr>
        <w:pStyle w:val="ParaNum"/>
        <w:widowControl/>
        <w:numPr>
          <w:ilvl w:val="0"/>
          <w:numId w:val="30"/>
        </w:numPr>
        <w:spacing w:after="0"/>
      </w:pPr>
      <w:r w:rsidRPr="00585193">
        <w:t xml:space="preserve">Electronic Filers: Comments may be filed electronically using the internet by accessing ECFS: </w:t>
      </w:r>
      <w:hyperlink r:id="rId5" w:history="1">
        <w:r w:rsidRPr="00C107AC">
          <w:t>https://www.fcc.gov/ecfs/</w:t>
        </w:r>
      </w:hyperlink>
      <w:r w:rsidRPr="00585193">
        <w:t>.</w:t>
      </w:r>
    </w:p>
    <w:p w:rsidR="005E6CDB" w:rsidRPr="00585193" w:rsidP="00BD468E" w14:paraId="45D8C67D" w14:textId="77777777">
      <w:pPr>
        <w:pStyle w:val="ParaNum"/>
        <w:widowControl/>
        <w:numPr>
          <w:ilvl w:val="0"/>
          <w:numId w:val="30"/>
        </w:numPr>
        <w:spacing w:after="0"/>
      </w:pPr>
      <w:r w:rsidRPr="00585193">
        <w:t>Paper Filers: Parties who choose to file by paper must file an original and one copy of each filing.</w:t>
      </w:r>
    </w:p>
    <w:p w:rsidR="005E6CDB" w:rsidRPr="00585193" w:rsidP="00BD468E" w14:paraId="284370AB" w14:textId="77777777">
      <w:pPr>
        <w:pStyle w:val="ParaNum"/>
        <w:widowControl/>
        <w:numPr>
          <w:ilvl w:val="0"/>
          <w:numId w:val="30"/>
        </w:numPr>
        <w:spacing w:after="0"/>
      </w:pPr>
      <w:r w:rsidRPr="00585193">
        <w:t>Filings can be sent by commercial overnight courier, or by first-class or overnight U.S. Postal Service mail.  All filings must be addressed to the Commission’s Secretary, Office of the Secretary, Federal Communications Commission.</w:t>
      </w:r>
    </w:p>
    <w:p w:rsidR="005E6CDB" w:rsidRPr="00585193" w:rsidP="00086AA0" w14:paraId="3E461FFF" w14:textId="77777777">
      <w:pPr>
        <w:pStyle w:val="ParaNum"/>
        <w:widowControl/>
        <w:numPr>
          <w:ilvl w:val="1"/>
          <w:numId w:val="30"/>
        </w:numPr>
        <w:spacing w:after="0"/>
      </w:pPr>
      <w:r w:rsidRPr="00585193">
        <w:t>Commercial overnight mail (other than U.S. Postal Service Express Mail and Priority Mail) must be sent to 9050 Junction Drive, Annapolis Junction, MD 20701.</w:t>
      </w:r>
    </w:p>
    <w:p w:rsidR="005E6CDB" w:rsidRPr="00585193" w:rsidP="00086AA0" w14:paraId="2346453E" w14:textId="77777777">
      <w:pPr>
        <w:pStyle w:val="ParaNum"/>
        <w:widowControl/>
        <w:numPr>
          <w:ilvl w:val="1"/>
          <w:numId w:val="30"/>
        </w:numPr>
        <w:spacing w:after="0"/>
      </w:pPr>
      <w:r w:rsidRPr="00585193">
        <w:t>U.S. Postal Service First-Class, Express, and Priority Mail must be addressed to 45 L Street NE, Washington, D.C. 20554.</w:t>
      </w:r>
    </w:p>
    <w:p w:rsidR="005E6CDB" w:rsidRPr="00585193" w:rsidP="00086AA0" w14:paraId="59DB1990" w14:textId="77777777">
      <w:pPr>
        <w:pStyle w:val="ParaNum"/>
        <w:widowControl/>
        <w:numPr>
          <w:ilvl w:val="0"/>
          <w:numId w:val="30"/>
        </w:numPr>
        <w:spacing w:after="240"/>
      </w:pPr>
      <w:r w:rsidRPr="00585193">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16"/>
      </w:r>
    </w:p>
    <w:p w:rsidR="005E6CDB" w:rsidRPr="005E6CDB" w:rsidP="000E313C" w14:paraId="0AAEA676" w14:textId="77777777">
      <w:pPr>
        <w:pStyle w:val="ParaNum"/>
        <w:widowControl/>
        <w:tabs>
          <w:tab w:val="clear" w:pos="1080"/>
          <w:tab w:val="num" w:pos="1440"/>
        </w:tabs>
      </w:pPr>
      <w:r w:rsidRPr="00C107AC">
        <w:rPr>
          <w:i/>
          <w:iCs/>
        </w:rPr>
        <w:t>People with Disabilities</w:t>
      </w:r>
      <w:r w:rsidRPr="00C107AC">
        <w:t>.</w:t>
      </w:r>
      <w:r w:rsidRPr="005E6CDB">
        <w:t xml:space="preserve">  To request materials in accessible formats for people with disabilities (braille, large print, electronic files, audio format), send an e-mail to fcc504@fcc.gov or call the Consumer &amp; Government Affairs Bureau at 202-418-0530 (voice), 202-418-0432 (</w:t>
      </w:r>
      <w:r w:rsidRPr="005E6CDB">
        <w:t>tty</w:t>
      </w:r>
      <w:r w:rsidRPr="005E6CDB">
        <w:t>).</w:t>
      </w:r>
    </w:p>
    <w:p w:rsidR="00B532E6" w:rsidRPr="00CD2677" w:rsidP="000E313C" w14:paraId="7ADC3634" w14:textId="573404CA">
      <w:pPr>
        <w:pStyle w:val="ParaNum"/>
        <w:widowControl/>
        <w:tabs>
          <w:tab w:val="clear" w:pos="1080"/>
          <w:tab w:val="num" w:pos="1440"/>
        </w:tabs>
      </w:pPr>
      <w:r w:rsidRPr="00C107AC">
        <w:rPr>
          <w:i/>
          <w:iCs/>
        </w:rPr>
        <w:t>Additional Information</w:t>
      </w:r>
      <w:r w:rsidRPr="00585193">
        <w:t xml:space="preserve">.  For further information regarding this </w:t>
      </w:r>
      <w:r w:rsidRPr="00853DCA">
        <w:rPr>
          <w:i/>
        </w:rPr>
        <w:t>Public Notice</w:t>
      </w:r>
      <w:r w:rsidRPr="00585193">
        <w:t xml:space="preserve">, please contact </w:t>
      </w:r>
      <w:r>
        <w:t>Andrew McArdell, Mobility Division, Wireless Telecommunications Bureau,</w:t>
      </w:r>
      <w:r w:rsidRPr="00585193">
        <w:t xml:space="preserve"> at </w:t>
      </w:r>
      <w:hyperlink r:id="rId6" w:history="1">
        <w:r w:rsidRPr="00C107AC">
          <w:t>Andrew.McArdell@fcc.gov</w:t>
        </w:r>
      </w:hyperlink>
      <w:r w:rsidRPr="00585193">
        <w:t>.</w:t>
      </w:r>
    </w:p>
    <w:p w:rsidR="008066BB" w14:paraId="5DD67508" w14:textId="77777777">
      <w:bookmarkStart w:id="1" w:name="TOChere"/>
    </w:p>
    <w:bookmarkEnd w:id="1"/>
    <w:p w:rsidR="009564E7" w:rsidRPr="004D3040" w:rsidP="00853DCA" w14:paraId="56BA8E00" w14:textId="2E7B97D6">
      <w:pPr>
        <w:jc w:val="center"/>
        <w:rPr>
          <w:b/>
        </w:rPr>
      </w:pPr>
      <w:r w:rsidRPr="004D3040">
        <w:rPr>
          <w:b/>
          <w:bCs/>
        </w:rPr>
        <w:t>-</w:t>
      </w:r>
      <w:r>
        <w:rPr>
          <w:b/>
          <w:bCs/>
        </w:rPr>
        <w:t xml:space="preserve"> </w:t>
      </w:r>
      <w:r w:rsidRPr="004D3040" w:rsidR="004D3040">
        <w:rPr>
          <w:b/>
          <w:bCs/>
        </w:rPr>
        <w:t>FCC -</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BB" w14:paraId="6FAB20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8066BB" w14:paraId="131474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089C" w:rsidP="00275DCC" w14:paraId="3C32B1B0" w14:textId="45B9C7B7">
    <w:pPr>
      <w:pStyle w:val="Footer"/>
      <w:tabs>
        <w:tab w:val="clear" w:pos="864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BB" w14:paraId="253DDD25" w14:textId="2929709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04F0" w14:paraId="273FCFFC" w14:textId="77777777">
      <w:r>
        <w:separator/>
      </w:r>
    </w:p>
  </w:footnote>
  <w:footnote w:type="continuationSeparator" w:id="1">
    <w:p w:rsidR="006704F0" w14:paraId="5D321DB7" w14:textId="77777777">
      <w:pPr>
        <w:rPr>
          <w:sz w:val="20"/>
        </w:rPr>
      </w:pPr>
      <w:r>
        <w:rPr>
          <w:sz w:val="20"/>
        </w:rPr>
        <w:t xml:space="preserve">(Continued from previous page)  </w:t>
      </w:r>
      <w:r>
        <w:rPr>
          <w:sz w:val="20"/>
        </w:rPr>
        <w:separator/>
      </w:r>
    </w:p>
  </w:footnote>
  <w:footnote w:type="continuationNotice" w:id="2">
    <w:p w:rsidR="006704F0" w14:paraId="4216EC01" w14:textId="77777777">
      <w:pPr>
        <w:jc w:val="right"/>
        <w:rPr>
          <w:sz w:val="20"/>
        </w:rPr>
      </w:pPr>
      <w:r>
        <w:rPr>
          <w:sz w:val="20"/>
        </w:rPr>
        <w:t>(continued….)</w:t>
      </w:r>
    </w:p>
  </w:footnote>
  <w:footnote w:id="3">
    <w:p w:rsidR="00244CC7" w:rsidRPr="00244CC7" w14:paraId="69CEDE74" w14:textId="13BAA77F">
      <w:pPr>
        <w:pStyle w:val="FootnoteText"/>
      </w:pPr>
      <w:r>
        <w:rPr>
          <w:rStyle w:val="FootnoteReference"/>
        </w:rPr>
        <w:footnoteRef/>
      </w:r>
      <w:r>
        <w:t xml:space="preserve"> </w:t>
      </w:r>
      <w:r>
        <w:rPr>
          <w:i/>
          <w:iCs/>
        </w:rPr>
        <w:t>See</w:t>
      </w:r>
      <w:r w:rsidR="00971F32">
        <w:rPr>
          <w:i/>
          <w:iCs/>
        </w:rPr>
        <w:t>, e.g.</w:t>
      </w:r>
      <w:r w:rsidRPr="00CA4EE5" w:rsidR="00971F32">
        <w:t>,</w:t>
      </w:r>
      <w:r>
        <w:rPr>
          <w:i/>
          <w:iCs/>
        </w:rPr>
        <w:t xml:space="preserve"> </w:t>
      </w:r>
      <w:r>
        <w:t>47 U.S.C. §</w:t>
      </w:r>
      <w:r w:rsidR="0075036E">
        <w:t>§</w:t>
      </w:r>
      <w:r>
        <w:t xml:space="preserve"> </w:t>
      </w:r>
      <w:r w:rsidR="00590971">
        <w:t xml:space="preserve">151, </w:t>
      </w:r>
      <w:r>
        <w:t>301</w:t>
      </w:r>
      <w:r w:rsidR="0075036E">
        <w:t>, 303(g)</w:t>
      </w:r>
      <w:r w:rsidR="00A54404">
        <w:t>,</w:t>
      </w:r>
      <w:r w:rsidR="000C03DF">
        <w:t xml:space="preserve"> 309(a),</w:t>
      </w:r>
      <w:r w:rsidR="00A54404">
        <w:t xml:space="preserve"> </w:t>
      </w:r>
      <w:r w:rsidR="0008501E">
        <w:t>1507</w:t>
      </w:r>
      <w:r w:rsidR="0075036E">
        <w:t>.</w:t>
      </w:r>
      <w:r>
        <w:t xml:space="preserve"> </w:t>
      </w:r>
    </w:p>
  </w:footnote>
  <w:footnote w:id="4">
    <w:p w:rsidR="00483FE2" w:rsidP="00483FE2" w14:paraId="7AA6CF70" w14:textId="66A244ED">
      <w:pPr>
        <w:pStyle w:val="FootnoteText"/>
      </w:pPr>
      <w:r>
        <w:rPr>
          <w:rStyle w:val="FootnoteReference"/>
        </w:rPr>
        <w:footnoteRef/>
      </w:r>
      <w:r>
        <w:t xml:space="preserve"> </w:t>
      </w:r>
      <w:r w:rsidR="008339BB">
        <w:t xml:space="preserve">On March 9, 2023, the Commission’s authority to issue licenses through systems of competitive bidding (i.e., auction authority) expired.  </w:t>
      </w:r>
      <w:r>
        <w:t>47 U.S.C. § 309(j)(11) (“</w:t>
      </w:r>
      <w:r w:rsidRPr="007B47C4">
        <w:t>The authority of the Commission to grant a license or permit under this subsection shall expire March 9, 2023, except that, with respect to the electromagnetic spectrum identified under section 1004(a) of the Spectrum Pipeline Act of 2015, such authority shall expire on September 30, 2025, and with respect to the electromagnetic spectrum identified under section 90008(b)(2)(A)(ii) of the Infrastructure Investment and Jobs Act, such authority shall expire on the date that is 7 years after November 15, 2021.”)</w:t>
      </w:r>
      <w:r>
        <w:t>.</w:t>
      </w:r>
      <w:r w:rsidR="000E553B">
        <w:t xml:space="preserve">  </w:t>
      </w:r>
      <w:r w:rsidR="00735F9A">
        <w:t xml:space="preserve">Since the lapse of general authority on March 9, 2023, Congress has provided a 90-day window for the Commission to grant licenses “in the band of frequencies between 2496 megahertz and 2690 megahertz, inclusive” not granted prior to the 5G SALE Act and applied for based on competitive bidding held prior to March 9, 2023.  </w:t>
      </w:r>
      <w:r w:rsidR="00735F9A">
        <w:rPr>
          <w:i/>
          <w:iCs/>
        </w:rPr>
        <w:t xml:space="preserve">See </w:t>
      </w:r>
      <w:r w:rsidR="00735F9A">
        <w:t>5G Spectrum Authority Licensing Enforcement Act (5G SALE Act), P.L. 118-27, 137 Stat. 132 (2023).</w:t>
      </w:r>
      <w:r w:rsidR="00735F9A">
        <w:t xml:space="preserve">  </w:t>
      </w:r>
      <w:r w:rsidR="00735F9A">
        <w:t>Congress has not otherwise changed the Commission’s auction authority since it lapsed.</w:t>
      </w:r>
    </w:p>
  </w:footnote>
  <w:footnote w:id="5">
    <w:p w:rsidR="00E11C45" w14:paraId="45CADFEA" w14:textId="36FEE892">
      <w:pPr>
        <w:pStyle w:val="FootnoteText"/>
      </w:pPr>
      <w:r>
        <w:rPr>
          <w:rStyle w:val="FootnoteReference"/>
        </w:rPr>
        <w:footnoteRef/>
      </w:r>
      <w:r>
        <w:t xml:space="preserve"> </w:t>
      </w:r>
      <w:r w:rsidR="002437AA">
        <w:t>Generally, the Commission “shall grant” an application for a license “when the public interest convenience and necessity would be served by granting” the application.  47 U.S.C. § 309(a).  The Communications Act originally provided that, when the Commission did not grant an application, the Commission “shall afford such applicant an opportunity to be heard.”</w:t>
      </w:r>
      <w:r w:rsidRPr="00E77F30" w:rsidR="002437AA">
        <w:t xml:space="preserve"> </w:t>
      </w:r>
      <w:r w:rsidR="002437AA">
        <w:t xml:space="preserve"> U.S.C. § 309(a) (1934).  The United States Supreme Court subsequently determined that when there are mutually exclusive applications pending</w:t>
      </w:r>
      <w:r w:rsidR="007F3501">
        <w:t>,</w:t>
      </w:r>
      <w:r w:rsidR="002437AA">
        <w:t xml:space="preserve"> this statutory right to a hearing required that an applicant must be given an opportunity for a hearing prior to action on its application because “the grant of one [application] effectively precludes the other.”  </w:t>
      </w:r>
      <w:r w:rsidRPr="007665DB" w:rsidR="002437AA">
        <w:rPr>
          <w:i/>
          <w:iCs/>
        </w:rPr>
        <w:t>Ashbacker</w:t>
      </w:r>
      <w:r w:rsidRPr="007665DB" w:rsidR="002437AA">
        <w:rPr>
          <w:i/>
          <w:iCs/>
        </w:rPr>
        <w:t xml:space="preserve"> Radio Corp. v. FCC</w:t>
      </w:r>
      <w:r w:rsidR="002437AA">
        <w:t>, 326 U.S. 327, 330 (1945).  Though Congress subsequently limited the right to a hearing to circumstances in which “a substantial and material question of fact is presented,” 47</w:t>
      </w:r>
      <w:r w:rsidRPr="00662482" w:rsidR="002437AA">
        <w:t xml:space="preserve"> </w:t>
      </w:r>
      <w:r w:rsidR="002437AA">
        <w:t xml:space="preserve">U.S.C. § 309(e), it seems likely that mutually exclusive applications often will give rise to such questions, given that the grant is to be determined by whether granting the respective applications will service “the public interest, convenience and necessity.”  47 U.S.C. § 309(a).  Of course, the Commission retains its authority to </w:t>
      </w:r>
      <w:r w:rsidRPr="00D34B4D" w:rsidR="002437AA">
        <w:t>use engineering solutions, negotiation, threshold qualifications, service regulations, and other means in order to avoid mutual exclusivity</w:t>
      </w:r>
      <w:r w:rsidR="002437AA">
        <w:t xml:space="preserve">.  </w:t>
      </w:r>
      <w:r w:rsidR="002437AA">
        <w:rPr>
          <w:i/>
          <w:iCs/>
        </w:rPr>
        <w:t>See generally</w:t>
      </w:r>
      <w:r w:rsidR="002437AA">
        <w:t xml:space="preserve"> </w:t>
      </w:r>
      <w:r w:rsidRPr="0074086D" w:rsidR="002437AA">
        <w:t>47</w:t>
      </w:r>
      <w:r w:rsidR="002437AA">
        <w:t xml:space="preserve"> U.S.C. § 309(j)(6)(E).</w:t>
      </w:r>
    </w:p>
  </w:footnote>
  <w:footnote w:id="6">
    <w:p w:rsidR="00D57A99" w14:paraId="2B1C2D4B" w14:textId="6CFE9DC9">
      <w:pPr>
        <w:pStyle w:val="FootnoteText"/>
      </w:pPr>
      <w:r>
        <w:rPr>
          <w:rStyle w:val="FootnoteReference"/>
        </w:rPr>
        <w:footnoteRef/>
      </w:r>
      <w:r>
        <w:t xml:space="preserve"> </w:t>
      </w:r>
      <w:r w:rsidR="00263E1C">
        <w:rPr>
          <w:i/>
          <w:iCs/>
        </w:rPr>
        <w:t xml:space="preserve">See generally </w:t>
      </w:r>
      <w:r w:rsidRPr="00263E1C" w:rsidR="00263E1C">
        <w:rPr>
          <w:i/>
          <w:iCs/>
        </w:rPr>
        <w:t>Ashbacker</w:t>
      </w:r>
      <w:r w:rsidRPr="00263E1C" w:rsidR="00263E1C">
        <w:rPr>
          <w:i/>
          <w:iCs/>
        </w:rPr>
        <w:t xml:space="preserve"> Radio Corp.</w:t>
      </w:r>
      <w:r w:rsidR="00263E1C">
        <w:t>, 3</w:t>
      </w:r>
      <w:r w:rsidR="009C304E">
        <w:t>2</w:t>
      </w:r>
      <w:r w:rsidR="00263E1C">
        <w:t>6 U.S. 327.</w:t>
      </w:r>
    </w:p>
  </w:footnote>
  <w:footnote w:id="7">
    <w:p w:rsidR="00812CFD" w:rsidP="00812CFD" w14:paraId="3B2A02A0" w14:textId="64927849">
      <w:pPr>
        <w:pStyle w:val="FootnoteText"/>
      </w:pPr>
      <w:r>
        <w:rPr>
          <w:rStyle w:val="FootnoteReference"/>
        </w:rPr>
        <w:footnoteRef/>
      </w:r>
      <w:r>
        <w:t xml:space="preserve"> </w:t>
      </w:r>
      <w:r w:rsidRPr="00361384" w:rsidR="00F80ED9">
        <w:t xml:space="preserve">Omnibus Budget Reconciliation Act of 1981, Pub. L. No. 97-35, 95 Stat. 736-37, </w:t>
      </w:r>
      <w:r w:rsidRPr="00361384" w:rsidR="00F80ED9">
        <w:rPr>
          <w:i/>
          <w:iCs/>
        </w:rPr>
        <w:t>amended</w:t>
      </w:r>
      <w:r w:rsidRPr="00361384" w:rsidR="00F80ED9">
        <w:t>, Communications Amendment Act of 1982, Pub. L. No. 97-259 § 115, 96 Stat. 1087</w:t>
      </w:r>
      <w:r w:rsidR="00DE3306">
        <w:t>, 1094</w:t>
      </w:r>
      <w:r w:rsidR="00290656">
        <w:t>–</w:t>
      </w:r>
      <w:r w:rsidR="00DE3306">
        <w:t>95</w:t>
      </w:r>
      <w:r w:rsidR="00F80ED9">
        <w:t>.</w:t>
      </w:r>
    </w:p>
  </w:footnote>
  <w:footnote w:id="8">
    <w:p w:rsidR="00E13752" w:rsidRPr="00552B1B" w:rsidP="00552B1B" w14:paraId="6667FA26" w14:textId="0017AADD">
      <w:pPr>
        <w:spacing w:after="120"/>
        <w:rPr>
          <w:sz w:val="20"/>
        </w:rPr>
      </w:pPr>
      <w:r>
        <w:rPr>
          <w:rStyle w:val="FootnoteReference"/>
        </w:rPr>
        <w:footnoteRef/>
      </w:r>
      <w:r>
        <w:t xml:space="preserve"> </w:t>
      </w:r>
      <w:r w:rsidRPr="00361384" w:rsidR="00834CF7">
        <w:rPr>
          <w:i/>
          <w:iCs/>
          <w:sz w:val="20"/>
        </w:rPr>
        <w:t>See</w:t>
      </w:r>
      <w:r w:rsidRPr="00361384" w:rsidR="00834CF7">
        <w:rPr>
          <w:sz w:val="20"/>
        </w:rPr>
        <w:t xml:space="preserve"> Balanced Budget Act of 1997, Pub. L. No. 105-33 § 3002, 111 Stat. 251, </w:t>
      </w:r>
      <w:r w:rsidR="00834CF7">
        <w:rPr>
          <w:sz w:val="20"/>
        </w:rPr>
        <w:t>260</w:t>
      </w:r>
      <w:r w:rsidRPr="00361384" w:rsidR="00834CF7">
        <w:rPr>
          <w:sz w:val="20"/>
        </w:rPr>
        <w:t xml:space="preserve"> (1997)</w:t>
      </w:r>
      <w:r w:rsidR="00834CF7">
        <w:rPr>
          <w:sz w:val="20"/>
        </w:rPr>
        <w:t xml:space="preserve"> (amending 47 U.S.C. § 309(</w:t>
      </w:r>
      <w:r w:rsidR="00834CF7">
        <w:rPr>
          <w:sz w:val="20"/>
        </w:rPr>
        <w:t>i</w:t>
      </w:r>
      <w:r w:rsidR="00834CF7">
        <w:rPr>
          <w:sz w:val="20"/>
        </w:rPr>
        <w:t>))</w:t>
      </w:r>
      <w:r w:rsidRPr="00361384" w:rsidR="00834CF7">
        <w:rPr>
          <w:sz w:val="20"/>
        </w:rPr>
        <w:t>.</w:t>
      </w:r>
    </w:p>
  </w:footnote>
  <w:footnote w:id="9">
    <w:p w:rsidR="00270F59" w:rsidRPr="0077056B" w14:paraId="59A9F547" w14:textId="4824EAF2">
      <w:pPr>
        <w:pStyle w:val="FootnoteText"/>
      </w:pPr>
      <w:r w:rsidRPr="00853DCA">
        <w:rPr>
          <w:rStyle w:val="FootnoteReference"/>
          <w:sz w:val="20"/>
        </w:rPr>
        <w:footnoteRef/>
      </w:r>
      <w:r w:rsidRPr="0077056B">
        <w:t xml:space="preserve"> </w:t>
      </w:r>
      <w:r w:rsidRPr="00853DCA" w:rsidR="00184929">
        <w:rPr>
          <w:i/>
          <w:iCs/>
        </w:rPr>
        <w:t>See</w:t>
      </w:r>
      <w:r w:rsidRPr="0077056B" w:rsidR="00184929">
        <w:t xml:space="preserve"> </w:t>
      </w:r>
      <w:r w:rsidRPr="0077056B" w:rsidR="0077056B">
        <w:t xml:space="preserve">Federal Communications Commission, </w:t>
      </w:r>
      <w:r w:rsidRPr="0077056B" w:rsidR="0077056B">
        <w:rPr>
          <w:i/>
          <w:iCs/>
        </w:rPr>
        <w:t xml:space="preserve">Auctions </w:t>
      </w:r>
      <w:r w:rsidRPr="00831E38" w:rsidR="0077056B">
        <w:rPr>
          <w:i/>
          <w:iCs/>
        </w:rPr>
        <w:t>Summary</w:t>
      </w:r>
      <w:r w:rsidR="0077056B">
        <w:t xml:space="preserve">, </w:t>
      </w:r>
      <w:r w:rsidRPr="0077056B">
        <w:t>https://www.fcc.gov/auctions-summary</w:t>
      </w:r>
      <w:r w:rsidRPr="0077056B" w:rsidR="0077056B">
        <w:t xml:space="preserve"> (last visited Mar. 5, 2024)</w:t>
      </w:r>
      <w:r w:rsidRPr="0077056B">
        <w:t>.</w:t>
      </w:r>
    </w:p>
  </w:footnote>
  <w:footnote w:id="10">
    <w:p w:rsidR="00C45B0F" w:rsidP="00C45B0F" w14:paraId="07D4420B" w14:textId="0A170987">
      <w:pPr>
        <w:pStyle w:val="FootnoteText"/>
      </w:pPr>
      <w:r>
        <w:rPr>
          <w:rStyle w:val="FootnoteReference"/>
        </w:rPr>
        <w:footnoteRef/>
      </w:r>
      <w:r>
        <w:t xml:space="preserve"> The Commission has deployed </w:t>
      </w:r>
      <w:r w:rsidR="00201234">
        <w:t>dynamic frequency coordination models</w:t>
      </w:r>
      <w:r>
        <w:t xml:space="preserve"> in certain contexts, including Spectrum Access Systems (SAS) for the 3.5 GHz band, and Automated Frequency Coordination (AFC) Systems for the 6 GHz </w:t>
      </w:r>
      <w:r w:rsidR="004C0E80">
        <w:t>b</w:t>
      </w:r>
      <w:r>
        <w:t xml:space="preserve">and.  </w:t>
      </w:r>
      <w:r w:rsidRPr="00232B48">
        <w:rPr>
          <w:i/>
          <w:iCs/>
        </w:rPr>
        <w:t>See</w:t>
      </w:r>
      <w:r>
        <w:t xml:space="preserve"> </w:t>
      </w:r>
      <w:r w:rsidRPr="00232B48">
        <w:rPr>
          <w:i/>
          <w:iCs/>
        </w:rPr>
        <w:t>Amendment of the Commission’s Rules with Regard to Commercial Operations in the 3550</w:t>
      </w:r>
      <w:r w:rsidR="00290656">
        <w:rPr>
          <w:i/>
          <w:iCs/>
        </w:rPr>
        <w:t>–</w:t>
      </w:r>
      <w:r w:rsidRPr="00232B48">
        <w:rPr>
          <w:i/>
          <w:iCs/>
        </w:rPr>
        <w:t>3650 MHz Band</w:t>
      </w:r>
      <w:r>
        <w:t xml:space="preserve">, GN Docket No. 12-354, Report and Order and Second Further Notice of Proposed Rulemaking, 30 FCC </w:t>
      </w:r>
      <w:r>
        <w:t>Rcd</w:t>
      </w:r>
      <w:r>
        <w:t xml:space="preserve"> 3959, 4048</w:t>
      </w:r>
      <w:r w:rsidR="00290656">
        <w:t>–</w:t>
      </w:r>
      <w:r>
        <w:t>69, paras. 301</w:t>
      </w:r>
      <w:r w:rsidR="00290656">
        <w:t>–</w:t>
      </w:r>
      <w:r>
        <w:t>78 (2015) (</w:t>
      </w:r>
      <w:r w:rsidRPr="004C2F45">
        <w:rPr>
          <w:i/>
          <w:iCs/>
        </w:rPr>
        <w:t>3.5 GHz R</w:t>
      </w:r>
      <w:r>
        <w:rPr>
          <w:i/>
          <w:iCs/>
        </w:rPr>
        <w:t>eport and Order</w:t>
      </w:r>
      <w:r>
        <w:t xml:space="preserve">) (adopting requirements for SAS and SAS Administrators); </w:t>
      </w:r>
      <w:r>
        <w:rPr>
          <w:rFonts w:ascii="TimesNewRomanPS-ItalicMT" w:hAnsi="TimesNewRomanPS-ItalicMT" w:cs="TimesNewRomanPS-ItalicMT"/>
          <w:i/>
          <w:iCs/>
        </w:rPr>
        <w:t>Unlicensed Use of the 6 GHz Band</w:t>
      </w:r>
      <w:r>
        <w:rPr>
          <w:rFonts w:ascii="TimesNewRomanPSMT" w:hAnsi="TimesNewRomanPSMT" w:cs="TimesNewRomanPSMT"/>
        </w:rPr>
        <w:t xml:space="preserve">, ET Docket No. 18-295, Report and Order and Further Notice of Proposed Rulemaking, 35 FCC </w:t>
      </w:r>
      <w:r>
        <w:rPr>
          <w:rFonts w:ascii="TimesNewRomanPSMT" w:hAnsi="TimesNewRomanPSMT" w:cs="TimesNewRomanPSMT"/>
        </w:rPr>
        <w:t>Rcd</w:t>
      </w:r>
      <w:r>
        <w:rPr>
          <w:rFonts w:ascii="TimesNewRomanPSMT" w:hAnsi="TimesNewRomanPSMT" w:cs="TimesNewRomanPSMT"/>
        </w:rPr>
        <w:t xml:space="preserve"> 3852 (2020) (</w:t>
      </w:r>
      <w:r>
        <w:rPr>
          <w:rFonts w:ascii="TimesNewRomanPS-ItalicMT" w:hAnsi="TimesNewRomanPS-ItalicMT" w:cs="TimesNewRomanPS-ItalicMT"/>
          <w:i/>
          <w:iCs/>
        </w:rPr>
        <w:t>6 GHz Report and Order</w:t>
      </w:r>
      <w:r w:rsidRPr="00A42D71">
        <w:rPr>
          <w:rFonts w:ascii="TimesNewRomanPS-ItalicMT" w:hAnsi="TimesNewRomanPS-ItalicMT" w:cs="TimesNewRomanPS-ItalicMT"/>
        </w:rPr>
        <w:t>)</w:t>
      </w:r>
      <w:r>
        <w:rPr>
          <w:rFonts w:ascii="TimesNewRomanPS-ItalicMT" w:hAnsi="TimesNewRomanPS-ItalicMT" w:cs="TimesNewRomanPS-ItalicMT"/>
        </w:rPr>
        <w:t xml:space="preserve">. </w:t>
      </w:r>
      <w:r>
        <w:rPr>
          <w:rFonts w:ascii="TimesNewRomanPS-ItalicMT" w:hAnsi="TimesNewRomanPS-ItalicMT" w:cs="TimesNewRomanPS-ItalicMT"/>
          <w:i/>
          <w:iCs/>
        </w:rPr>
        <w:t xml:space="preserve"> </w:t>
      </w:r>
      <w:r>
        <w:t xml:space="preserve">SASs coordinate operations between three tiers of authorized users (Incumbents, Priority Access Licensees, and General Authorized Access users) in the 3.5 GHz </w:t>
      </w:r>
      <w:r w:rsidR="004C0E80">
        <w:t>b</w:t>
      </w:r>
      <w:r>
        <w:t xml:space="preserve">and.  </w:t>
      </w:r>
      <w:r w:rsidRPr="00FE39BC">
        <w:rPr>
          <w:i/>
          <w:iCs/>
        </w:rPr>
        <w:t xml:space="preserve">3.5 GHz </w:t>
      </w:r>
      <w:r w:rsidRPr="004C2F45">
        <w:rPr>
          <w:i/>
          <w:iCs/>
        </w:rPr>
        <w:t>R</w:t>
      </w:r>
      <w:r>
        <w:rPr>
          <w:i/>
          <w:iCs/>
        </w:rPr>
        <w:t>eport and Order</w:t>
      </w:r>
      <w:r>
        <w:t xml:space="preserve">, 30 FCC </w:t>
      </w:r>
      <w:r>
        <w:t>Rcd</w:t>
      </w:r>
      <w:r>
        <w:t xml:space="preserve"> at 4051, para. 311.  They set and enforce maximum permissible power levels in accordance with the applicable rules, and SASs must act quickly as needed to ensure co-existence between the various categories of authorized users.  </w:t>
      </w:r>
      <w:r>
        <w:rPr>
          <w:i/>
          <w:iCs/>
        </w:rPr>
        <w:t>Id.</w:t>
      </w:r>
      <w:r>
        <w:t xml:space="preserve"> at 4052, paras. 314</w:t>
      </w:r>
      <w:r w:rsidR="00290656">
        <w:t>–</w:t>
      </w:r>
      <w:r>
        <w:t>15.  For standard-power operations, standard-power access points and fixed client devices operate under the control of AFC systems in two portions of the 6 GHz band—the U-NII-5 band (5.925</w:t>
      </w:r>
      <w:r w:rsidR="00290656">
        <w:t>–</w:t>
      </w:r>
      <w:r>
        <w:t>6.425 GHz) and the U-NII-7 band (6.525</w:t>
      </w:r>
      <w:r w:rsidR="00290656">
        <w:t>–</w:t>
      </w:r>
      <w:r>
        <w:t xml:space="preserve">6.875 GHz).  </w:t>
      </w:r>
      <w:r w:rsidRPr="00510C69">
        <w:t xml:space="preserve">47 CFR § 15.407(k)(1); </w:t>
      </w:r>
      <w:r w:rsidRPr="00A424F3">
        <w:rPr>
          <w:i/>
          <w:iCs/>
        </w:rPr>
        <w:t>6 GHz Report and Order</w:t>
      </w:r>
      <w:r w:rsidRPr="00510C69">
        <w:t xml:space="preserve">, 35 FCC </w:t>
      </w:r>
      <w:r w:rsidRPr="00510C69">
        <w:t>Rcd</w:t>
      </w:r>
      <w:r w:rsidRPr="00510C69">
        <w:t xml:space="preserve"> at 3860, 3862, 3923, paras. 17</w:t>
      </w:r>
      <w:r w:rsidR="00290656">
        <w:t>–</w:t>
      </w:r>
      <w:r w:rsidRPr="00510C69">
        <w:t>18, 22, 192</w:t>
      </w:r>
      <w:r>
        <w:t xml:space="preserve">.  AFCs establish exclusion zones in the 6 GHz band, and they permit unlicensed access to the band only on frequencies and in locations that AFCs determine will protect incumbent operations—including fixed microwave operations and radio astronomy observatories—from harmful interference.  </w:t>
      </w:r>
      <w:r w:rsidRPr="00460124">
        <w:rPr>
          <w:i/>
          <w:iCs/>
        </w:rPr>
        <w:t xml:space="preserve">6 GHz </w:t>
      </w:r>
      <w:r w:rsidRPr="004C2F45">
        <w:rPr>
          <w:i/>
          <w:iCs/>
        </w:rPr>
        <w:t>R</w:t>
      </w:r>
      <w:r>
        <w:rPr>
          <w:i/>
          <w:iCs/>
        </w:rPr>
        <w:t>eport and Order</w:t>
      </w:r>
      <w:r>
        <w:t xml:space="preserve">, 35 FCC </w:t>
      </w:r>
      <w:r>
        <w:t>Rcd</w:t>
      </w:r>
      <w:r>
        <w:t xml:space="preserve"> at 3862, para. 22.</w:t>
      </w:r>
      <w:r w:rsidRPr="00510C69">
        <w:t xml:space="preserve"> </w:t>
      </w:r>
    </w:p>
  </w:footnote>
  <w:footnote w:id="11">
    <w:p w:rsidR="00521E64" w14:paraId="2A7B91A3" w14:textId="54F2FD8E">
      <w:pPr>
        <w:pStyle w:val="FootnoteText"/>
      </w:pPr>
      <w:r>
        <w:rPr>
          <w:rStyle w:val="FootnoteReference"/>
        </w:rPr>
        <w:footnoteRef/>
      </w:r>
      <w:r>
        <w:t xml:space="preserve"> </w:t>
      </w:r>
      <w:r w:rsidRPr="0074086D" w:rsidR="00F81885">
        <w:rPr>
          <w:i/>
          <w:iCs/>
        </w:rPr>
        <w:t>See, e.g</w:t>
      </w:r>
      <w:r w:rsidRPr="0074086D" w:rsidR="00F81885">
        <w:t>., 47 CFR</w:t>
      </w:r>
      <w:r w:rsidR="00F81885">
        <w:t xml:space="preserve"> § 1.907 (defining “Covered Site-based Licenses”); 47 CFR §</w:t>
      </w:r>
      <w:r w:rsidRPr="0074086D" w:rsidR="00F81885">
        <w:t xml:space="preserve"> 90.173(b) (“</w:t>
      </w:r>
      <w:r w:rsidRPr="0074086D" w:rsidR="00F81885">
        <w:rPr>
          <w:shd w:val="clear" w:color="auto" w:fill="FFFFFF"/>
        </w:rPr>
        <w:t xml:space="preserve">All applicants and licensees shall cooperate in the selection and use of frequencies in order to reduce interference and make the most effective use of the authorized facilities. . . . </w:t>
      </w:r>
      <w:r w:rsidR="00F81885">
        <w:rPr>
          <w:shd w:val="clear" w:color="auto" w:fill="FFFFFF"/>
        </w:rPr>
        <w:t>[T]</w:t>
      </w:r>
      <w:r w:rsidRPr="0074086D" w:rsidR="00F81885">
        <w:rPr>
          <w:shd w:val="clear" w:color="auto" w:fill="FFFFFF"/>
        </w:rPr>
        <w:t>he use of any frequency may be restricted as to specified geographical areas, maximum power, or such other operating conditions, contained in this part or in the station authorization.”)</w:t>
      </w:r>
      <w:r w:rsidR="00F81885">
        <w:rPr>
          <w:shd w:val="clear" w:color="auto" w:fill="FFFFFF"/>
        </w:rPr>
        <w:t>.</w:t>
      </w:r>
    </w:p>
  </w:footnote>
  <w:footnote w:id="12">
    <w:p w:rsidR="00185102" w14:paraId="35C0E79D" w14:textId="0B9E7BF8">
      <w:pPr>
        <w:pStyle w:val="FootnoteText"/>
      </w:pPr>
      <w:r>
        <w:rPr>
          <w:rStyle w:val="FootnoteReference"/>
        </w:rPr>
        <w:footnoteRef/>
      </w:r>
      <w:r>
        <w:t xml:space="preserve"> </w:t>
      </w:r>
      <w:r w:rsidRPr="00B07DE8" w:rsidR="00B07DE8">
        <w:rPr>
          <w:i/>
          <w:iCs/>
        </w:rPr>
        <w:t>See, e.g</w:t>
      </w:r>
      <w:r w:rsidR="00B07DE8">
        <w:t xml:space="preserve">., </w:t>
      </w:r>
      <w:r w:rsidRPr="00B257D3" w:rsidR="00812F76">
        <w:rPr>
          <w:i/>
          <w:iCs/>
        </w:rPr>
        <w:t xml:space="preserve">Amendment of </w:t>
      </w:r>
      <w:r w:rsidRPr="00147AC4" w:rsidR="00147AC4">
        <w:rPr>
          <w:i/>
          <w:iCs/>
        </w:rPr>
        <w:t>the Commission’s Rules with Regard to Commercial Operations in the 3550</w:t>
      </w:r>
      <w:r w:rsidR="00290656">
        <w:rPr>
          <w:i/>
          <w:iCs/>
        </w:rPr>
        <w:t>–</w:t>
      </w:r>
      <w:r w:rsidRPr="00147AC4" w:rsidR="00147AC4">
        <w:rPr>
          <w:i/>
          <w:iCs/>
        </w:rPr>
        <w:t>3650 MHz Band</w:t>
      </w:r>
      <w:r w:rsidRPr="00147AC4" w:rsidR="00147AC4">
        <w:t xml:space="preserve">, GN Docket No. 12-354, Order on Reconsideration and Second Report and Order, 31 FCC </w:t>
      </w:r>
      <w:r w:rsidRPr="00147AC4" w:rsidR="00147AC4">
        <w:t>Rcd</w:t>
      </w:r>
      <w:r w:rsidRPr="00147AC4" w:rsidR="00147AC4">
        <w:t xml:space="preserve"> 5011, </w:t>
      </w:r>
      <w:r w:rsidR="008B7FE8">
        <w:t>5066</w:t>
      </w:r>
      <w:r w:rsidR="00290656">
        <w:t>–</w:t>
      </w:r>
      <w:r w:rsidR="00F034F8">
        <w:t>74</w:t>
      </w:r>
      <w:r w:rsidRPr="00147AC4" w:rsidR="00147AC4">
        <w:t>, paras. 199</w:t>
      </w:r>
      <w:r w:rsidR="00290656">
        <w:t>–</w:t>
      </w:r>
      <w:r w:rsidR="00E132BD">
        <w:t>223</w:t>
      </w:r>
      <w:r w:rsidRPr="00147AC4" w:rsidR="00147AC4">
        <w:t xml:space="preserve"> (2016)</w:t>
      </w:r>
      <w:r w:rsidR="009F38B9">
        <w:t xml:space="preserve">; </w:t>
      </w:r>
      <w:r w:rsidRPr="00B257D3" w:rsidR="00812F76">
        <w:rPr>
          <w:i/>
        </w:rPr>
        <w:t xml:space="preserve">Amendment of </w:t>
      </w:r>
      <w:r w:rsidRPr="00B257D3" w:rsidR="00812F76">
        <w:rPr>
          <w:i/>
          <w:iCs/>
        </w:rPr>
        <w:t>Part 90 of the Commission’s Rules</w:t>
      </w:r>
      <w:r w:rsidR="00812F76">
        <w:t>, WP Docket No. 07-100, Seventh Report and Order and Ninth Further Notice of Proposed Rulemaking</w:t>
      </w:r>
      <w:r w:rsidR="00291E71">
        <w:t xml:space="preserve">, </w:t>
      </w:r>
      <w:r w:rsidR="00E159EE">
        <w:t xml:space="preserve">38 FCC </w:t>
      </w:r>
      <w:r w:rsidR="00E159EE">
        <w:t>Rcd</w:t>
      </w:r>
      <w:r w:rsidR="00E159EE">
        <w:t xml:space="preserve"> 704</w:t>
      </w:r>
      <w:r w:rsidR="00B47895">
        <w:t xml:space="preserve">, </w:t>
      </w:r>
      <w:r w:rsidR="00494F02">
        <w:t>721</w:t>
      </w:r>
      <w:r w:rsidR="00290656">
        <w:t>–</w:t>
      </w:r>
      <w:r w:rsidR="00494F02">
        <w:t>23, 7</w:t>
      </w:r>
      <w:r w:rsidR="009A2848">
        <w:t>37</w:t>
      </w:r>
      <w:r w:rsidR="00290656">
        <w:t>–</w:t>
      </w:r>
      <w:r w:rsidR="00087813">
        <w:t>45</w:t>
      </w:r>
      <w:r w:rsidR="002B22C7">
        <w:t>, paras</w:t>
      </w:r>
      <w:r w:rsidR="00087813">
        <w:t>.</w:t>
      </w:r>
      <w:r w:rsidR="002B22C7">
        <w:t xml:space="preserve"> 44</w:t>
      </w:r>
      <w:r w:rsidR="00290656">
        <w:t>–</w:t>
      </w:r>
      <w:r w:rsidR="002B22C7">
        <w:t>49</w:t>
      </w:r>
      <w:r w:rsidR="00984347">
        <w:t>,</w:t>
      </w:r>
      <w:r w:rsidR="002B22C7">
        <w:t xml:space="preserve"> </w:t>
      </w:r>
      <w:r w:rsidR="00CA574F">
        <w:t>94</w:t>
      </w:r>
      <w:r w:rsidR="00290656">
        <w:t>–</w:t>
      </w:r>
      <w:r w:rsidR="00CA574F">
        <w:t>134</w:t>
      </w:r>
      <w:r w:rsidR="00E159EE">
        <w:t xml:space="preserve"> (20</w:t>
      </w:r>
      <w:r w:rsidR="00A44DC9">
        <w:t>23)</w:t>
      </w:r>
      <w:r w:rsidR="002D6F15">
        <w:t>.</w:t>
      </w:r>
    </w:p>
  </w:footnote>
  <w:footnote w:id="13">
    <w:p w:rsidR="00B05DFD" w:rsidP="00B05DFD" w14:paraId="02F7D5D1" w14:textId="77777777">
      <w:pPr>
        <w:pStyle w:val="FootnoteText"/>
      </w:pPr>
      <w:r>
        <w:rPr>
          <w:rStyle w:val="FootnoteReference"/>
        </w:rPr>
        <w:footnoteRef/>
      </w:r>
      <w:r>
        <w:t xml:space="preserve"> </w:t>
      </w:r>
      <w:r w:rsidRPr="002F4674">
        <w:t>The Commission may grant applications for Special Temporary Authority (STA) in certain circumstances (including emergency requests), and for periods of up to 180 days.</w:t>
      </w:r>
      <w:r>
        <w:t xml:space="preserve">  </w:t>
      </w:r>
      <w:r w:rsidRPr="002F4674">
        <w:t>Applications for STA are typically granted to permit immediate, temporary operation of certain radio facilities during emergencies or other temporary circumstances where warranted</w:t>
      </w:r>
      <w:r>
        <w:t>.</w:t>
      </w:r>
      <w:r w:rsidRPr="002F4674">
        <w:rPr>
          <w:i/>
          <w:iCs/>
        </w:rPr>
        <w:t xml:space="preserve"> </w:t>
      </w:r>
      <w:r>
        <w:rPr>
          <w:i/>
          <w:iCs/>
        </w:rPr>
        <w:t xml:space="preserve"> </w:t>
      </w:r>
      <w:r w:rsidRPr="009A16C5">
        <w:rPr>
          <w:i/>
          <w:iCs/>
        </w:rPr>
        <w:t>See</w:t>
      </w:r>
      <w:r>
        <w:t xml:space="preserve"> 47 CFR § 1.931.</w:t>
      </w:r>
    </w:p>
  </w:footnote>
  <w:footnote w:id="14">
    <w:p w:rsidR="00FF169C" w:rsidP="00FF169C" w14:paraId="30DF73FB" w14:textId="77777777">
      <w:pPr>
        <w:pStyle w:val="FootnoteText"/>
      </w:pPr>
      <w:r>
        <w:rPr>
          <w:rStyle w:val="FootnoteReference"/>
        </w:rPr>
        <w:footnoteRef/>
      </w:r>
      <w:r>
        <w:t xml:space="preserve"> </w:t>
      </w:r>
      <w:r w:rsidRPr="0074086D">
        <w:rPr>
          <w:i/>
          <w:iCs/>
        </w:rPr>
        <w:t>See</w:t>
      </w:r>
      <w:r w:rsidRPr="0074086D">
        <w:t xml:space="preserve"> 47</w:t>
      </w:r>
      <w:r>
        <w:t xml:space="preserve"> U.S.C. § 309(j)(6)(E).  </w:t>
      </w:r>
    </w:p>
  </w:footnote>
  <w:footnote w:id="15">
    <w:p w:rsidR="000045CB" w:rsidP="000045CB" w14:paraId="63246EB1" w14:textId="77777777">
      <w:pPr>
        <w:pStyle w:val="FootnoteText"/>
      </w:pPr>
      <w:r>
        <w:rPr>
          <w:rStyle w:val="FootnoteReference"/>
        </w:rPr>
        <w:footnoteRef/>
      </w:r>
      <w:r>
        <w:t xml:space="preserve"> </w:t>
      </w:r>
      <w:r w:rsidRPr="00B441D2">
        <w:t>47 CFR § 1.1200(a)</w:t>
      </w:r>
      <w:r>
        <w:rPr>
          <w:iCs/>
        </w:rPr>
        <w:t xml:space="preserve"> (“</w:t>
      </w:r>
      <w:r>
        <w:t xml:space="preserve">Where the public interest so requires in a particular proceeding, the Commission and its staff retain the discretion to modify the applicable ex parte rules by order, letter, or public notice.”); </w:t>
      </w:r>
      <w:r>
        <w:rPr>
          <w:i/>
          <w:iCs/>
        </w:rPr>
        <w:t xml:space="preserve">see also </w:t>
      </w:r>
      <w:r>
        <w:t xml:space="preserve">47 CFR § 1.1204(b)(1) (providing that </w:t>
      </w:r>
      <w:r>
        <w:rPr>
          <w:i/>
          <w:iCs/>
        </w:rPr>
        <w:t xml:space="preserve">ex parte </w:t>
      </w:r>
      <w:r w:rsidRPr="0064167F">
        <w:t>presentations in notice of inquiry proceedings are presumptively exempt from disclosure</w:t>
      </w:r>
      <w:r>
        <w:t xml:space="preserve">). </w:t>
      </w:r>
    </w:p>
  </w:footnote>
  <w:footnote w:id="16">
    <w:p w:rsidR="005E6CDB" w:rsidRPr="00FB2655" w:rsidP="005E6CDB" w14:paraId="03D55507" w14:textId="2CC3C004">
      <w:pPr>
        <w:pStyle w:val="FootnoteText"/>
      </w:pPr>
      <w:r>
        <w:rPr>
          <w:rStyle w:val="FootnoteReference"/>
        </w:rPr>
        <w:footnoteRef/>
      </w:r>
      <w:r>
        <w:t xml:space="preserve"> </w:t>
      </w:r>
      <w:r>
        <w:rPr>
          <w:i/>
          <w:iCs/>
        </w:rPr>
        <w:t>See FCC Announces Closure of FCC Headquarters Open Window and Change in Hand-Delivery Policy</w:t>
      </w:r>
      <w:r>
        <w:t xml:space="preserve">, Public Notice, DA 20-304 (Mar. 19, 2020), </w:t>
      </w:r>
      <w:hyperlink r:id="rId1" w:history="1">
        <w:r w:rsidRPr="00324D05" w:rsidR="00971E7D">
          <w:rPr>
            <w:rStyle w:val="Hyperlink"/>
          </w:rPr>
          <w:t>https://www.fcc.gov/document/fcc-closes-headquarters-open-window-and-changes-hand-delivery-policy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BB" w14:paraId="1C7C90A6" w14:textId="517E2615">
    <w:pPr>
      <w:tabs>
        <w:tab w:val="center" w:pos="4680"/>
        <w:tab w:val="right" w:pos="9360"/>
      </w:tabs>
    </w:pPr>
    <w:r>
      <w:rPr>
        <w:b/>
      </w:rPr>
      <w:tab/>
      <w:t>Federal Communications Commission</w:t>
    </w:r>
    <w:r>
      <w:rPr>
        <w:b/>
      </w:rPr>
      <w:tab/>
    </w:r>
    <w:r w:rsidR="00A33C76">
      <w:rPr>
        <w:b/>
      </w:rPr>
      <w:t>DA 24-215</w:t>
    </w:r>
  </w:p>
  <w:p w:rsidR="008066BB" w:rsidP="00275DCC" w14:paraId="50C2F5B0" w14:textId="2F0E241D">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BB" w14:paraId="702CDF36" w14:textId="5C3018BE">
    <w:pPr>
      <w:pStyle w:val="Header"/>
    </w:pPr>
    <w:r>
      <w:rPr>
        <w:noProof/>
        <w:snapToGrid/>
      </w:rPr>
      <w:drawing>
        <wp:inline distT="0" distB="0" distL="0" distR="0">
          <wp:extent cx="5943600" cy="142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7118D2"/>
    <w:multiLevelType w:val="hybridMultilevel"/>
    <w:tmpl w:val="BFF0F2D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0F2206"/>
    <w:multiLevelType w:val="hybridMultilevel"/>
    <w:tmpl w:val="AD0E5E1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BCB4D87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3865B9B"/>
    <w:multiLevelType w:val="hybridMultilevel"/>
    <w:tmpl w:val="3EA4A15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B8735F"/>
    <w:multiLevelType w:val="hybridMultilevel"/>
    <w:tmpl w:val="450404F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5"/>
  </w:num>
  <w:num w:numId="4">
    <w:abstractNumId w:val="7"/>
  </w:num>
  <w:num w:numId="5">
    <w:abstractNumId w:val="3"/>
  </w:num>
  <w:num w:numId="6">
    <w:abstractNumId w:val="0"/>
  </w:num>
  <w:num w:numId="7">
    <w:abstractNumId w:val="5"/>
  </w:num>
  <w:num w:numId="8">
    <w:abstractNumId w:val="5"/>
  </w:num>
  <w:num w:numId="9">
    <w:abstractNumId w:val="6"/>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8"/>
  </w:num>
  <w:num w:numId="30">
    <w:abstractNumId w:val="1"/>
  </w:num>
  <w:num w:numId="31">
    <w:abstractNumId w:val="9"/>
  </w:num>
  <w:num w:numId="32">
    <w:abstractNumId w:val="5"/>
  </w:num>
  <w:num w:numId="33">
    <w:abstractNumId w:val="9"/>
  </w:num>
  <w:num w:numId="34">
    <w:abstractNumId w:val="9"/>
    <w:lvlOverride w:ilvl="0">
      <w:startOverride w:val="1"/>
    </w:lvlOverride>
  </w:num>
  <w:num w:numId="35">
    <w:abstractNumId w:val="4"/>
  </w:num>
  <w:num w:numId="36">
    <w:abstractNumId w:val="9"/>
  </w:num>
  <w:num w:numId="37">
    <w:abstractNumId w:val="9"/>
    <w:lvlOverride w:ilvl="0">
      <w:startOverride w:val="1"/>
    </w:lvlOverride>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lvlOverride w:ilvl="0">
      <w:startOverride w:val="1"/>
    </w:lvlOverride>
  </w:num>
  <w:num w:numId="46">
    <w:abstractNumId w:val="9"/>
  </w:num>
  <w:num w:numId="47">
    <w:abstractNumId w:val="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E7"/>
    <w:rsid w:val="00002655"/>
    <w:rsid w:val="00003AE8"/>
    <w:rsid w:val="00004231"/>
    <w:rsid w:val="0000441B"/>
    <w:rsid w:val="000044CE"/>
    <w:rsid w:val="000045CB"/>
    <w:rsid w:val="00004DC1"/>
    <w:rsid w:val="000065B1"/>
    <w:rsid w:val="000066F4"/>
    <w:rsid w:val="0000730C"/>
    <w:rsid w:val="0000740B"/>
    <w:rsid w:val="00010DD5"/>
    <w:rsid w:val="000113B4"/>
    <w:rsid w:val="00011EE2"/>
    <w:rsid w:val="000127BB"/>
    <w:rsid w:val="0001319B"/>
    <w:rsid w:val="000132B0"/>
    <w:rsid w:val="00013F9A"/>
    <w:rsid w:val="00013FFD"/>
    <w:rsid w:val="00015693"/>
    <w:rsid w:val="0001729F"/>
    <w:rsid w:val="00017A54"/>
    <w:rsid w:val="0002020A"/>
    <w:rsid w:val="0002057F"/>
    <w:rsid w:val="00020B28"/>
    <w:rsid w:val="00020F2E"/>
    <w:rsid w:val="00021008"/>
    <w:rsid w:val="00021ED8"/>
    <w:rsid w:val="0002268A"/>
    <w:rsid w:val="00022B9B"/>
    <w:rsid w:val="00023F78"/>
    <w:rsid w:val="000240C1"/>
    <w:rsid w:val="00024990"/>
    <w:rsid w:val="00024E49"/>
    <w:rsid w:val="00025AAB"/>
    <w:rsid w:val="00026213"/>
    <w:rsid w:val="00026C08"/>
    <w:rsid w:val="00026DC0"/>
    <w:rsid w:val="00027FAF"/>
    <w:rsid w:val="00030FEC"/>
    <w:rsid w:val="000325FC"/>
    <w:rsid w:val="000330AC"/>
    <w:rsid w:val="0003336F"/>
    <w:rsid w:val="00033DF5"/>
    <w:rsid w:val="00036E18"/>
    <w:rsid w:val="00036F3F"/>
    <w:rsid w:val="0003709A"/>
    <w:rsid w:val="00037232"/>
    <w:rsid w:val="00037A6B"/>
    <w:rsid w:val="000404E6"/>
    <w:rsid w:val="00040E9B"/>
    <w:rsid w:val="0004278F"/>
    <w:rsid w:val="00042B07"/>
    <w:rsid w:val="00042C57"/>
    <w:rsid w:val="00043586"/>
    <w:rsid w:val="00045689"/>
    <w:rsid w:val="00045AB0"/>
    <w:rsid w:val="00045C0A"/>
    <w:rsid w:val="00045F54"/>
    <w:rsid w:val="00046E21"/>
    <w:rsid w:val="00050F88"/>
    <w:rsid w:val="000511B7"/>
    <w:rsid w:val="000513FB"/>
    <w:rsid w:val="00051781"/>
    <w:rsid w:val="0005201C"/>
    <w:rsid w:val="00052416"/>
    <w:rsid w:val="00052765"/>
    <w:rsid w:val="00052FD7"/>
    <w:rsid w:val="00053730"/>
    <w:rsid w:val="00053966"/>
    <w:rsid w:val="00055724"/>
    <w:rsid w:val="00056071"/>
    <w:rsid w:val="00056166"/>
    <w:rsid w:val="00056446"/>
    <w:rsid w:val="00056462"/>
    <w:rsid w:val="00056760"/>
    <w:rsid w:val="000569DD"/>
    <w:rsid w:val="000569F3"/>
    <w:rsid w:val="00056BD4"/>
    <w:rsid w:val="000571E7"/>
    <w:rsid w:val="0005785A"/>
    <w:rsid w:val="00061477"/>
    <w:rsid w:val="00061655"/>
    <w:rsid w:val="00061C12"/>
    <w:rsid w:val="00061F71"/>
    <w:rsid w:val="00062D76"/>
    <w:rsid w:val="0006401B"/>
    <w:rsid w:val="00065AF2"/>
    <w:rsid w:val="00065C6A"/>
    <w:rsid w:val="000666A7"/>
    <w:rsid w:val="000668D4"/>
    <w:rsid w:val="00066BF5"/>
    <w:rsid w:val="00066D61"/>
    <w:rsid w:val="00067C27"/>
    <w:rsid w:val="0007049F"/>
    <w:rsid w:val="000714C1"/>
    <w:rsid w:val="00071ADE"/>
    <w:rsid w:val="00073709"/>
    <w:rsid w:val="000737CB"/>
    <w:rsid w:val="00074B98"/>
    <w:rsid w:val="00074F04"/>
    <w:rsid w:val="0007549A"/>
    <w:rsid w:val="000764BA"/>
    <w:rsid w:val="00080407"/>
    <w:rsid w:val="0008079F"/>
    <w:rsid w:val="00080D61"/>
    <w:rsid w:val="0008360B"/>
    <w:rsid w:val="00083CEF"/>
    <w:rsid w:val="00084A15"/>
    <w:rsid w:val="0008501E"/>
    <w:rsid w:val="000851EE"/>
    <w:rsid w:val="000858F7"/>
    <w:rsid w:val="00085ABD"/>
    <w:rsid w:val="00085D18"/>
    <w:rsid w:val="00085D4D"/>
    <w:rsid w:val="00086AA0"/>
    <w:rsid w:val="00086B30"/>
    <w:rsid w:val="00086D46"/>
    <w:rsid w:val="00087813"/>
    <w:rsid w:val="00090AC4"/>
    <w:rsid w:val="00091C90"/>
    <w:rsid w:val="000920CA"/>
    <w:rsid w:val="00094B44"/>
    <w:rsid w:val="00094DC4"/>
    <w:rsid w:val="000958BF"/>
    <w:rsid w:val="000959E4"/>
    <w:rsid w:val="0009627A"/>
    <w:rsid w:val="000A02D7"/>
    <w:rsid w:val="000A0B8F"/>
    <w:rsid w:val="000A1D64"/>
    <w:rsid w:val="000A52B1"/>
    <w:rsid w:val="000A598F"/>
    <w:rsid w:val="000A5DAE"/>
    <w:rsid w:val="000A6DD1"/>
    <w:rsid w:val="000B0BA6"/>
    <w:rsid w:val="000B0D0E"/>
    <w:rsid w:val="000B0E54"/>
    <w:rsid w:val="000B106A"/>
    <w:rsid w:val="000B4219"/>
    <w:rsid w:val="000B4995"/>
    <w:rsid w:val="000B4C74"/>
    <w:rsid w:val="000B762E"/>
    <w:rsid w:val="000B7740"/>
    <w:rsid w:val="000B7D77"/>
    <w:rsid w:val="000C03C5"/>
    <w:rsid w:val="000C03DF"/>
    <w:rsid w:val="000C1193"/>
    <w:rsid w:val="000C133C"/>
    <w:rsid w:val="000C16D6"/>
    <w:rsid w:val="000C1EFC"/>
    <w:rsid w:val="000C24EC"/>
    <w:rsid w:val="000C25E6"/>
    <w:rsid w:val="000C28CA"/>
    <w:rsid w:val="000C2B97"/>
    <w:rsid w:val="000C2D54"/>
    <w:rsid w:val="000C3CF1"/>
    <w:rsid w:val="000C418A"/>
    <w:rsid w:val="000C4BDE"/>
    <w:rsid w:val="000C5322"/>
    <w:rsid w:val="000C56C9"/>
    <w:rsid w:val="000C660B"/>
    <w:rsid w:val="000C7219"/>
    <w:rsid w:val="000C7B0E"/>
    <w:rsid w:val="000D047D"/>
    <w:rsid w:val="000D1421"/>
    <w:rsid w:val="000D1722"/>
    <w:rsid w:val="000D2AE0"/>
    <w:rsid w:val="000D2C1B"/>
    <w:rsid w:val="000D46AA"/>
    <w:rsid w:val="000D551C"/>
    <w:rsid w:val="000D61B6"/>
    <w:rsid w:val="000D70AC"/>
    <w:rsid w:val="000D70F5"/>
    <w:rsid w:val="000D743C"/>
    <w:rsid w:val="000D7F37"/>
    <w:rsid w:val="000E018C"/>
    <w:rsid w:val="000E0A88"/>
    <w:rsid w:val="000E0E9B"/>
    <w:rsid w:val="000E18D8"/>
    <w:rsid w:val="000E244F"/>
    <w:rsid w:val="000E27DE"/>
    <w:rsid w:val="000E2A11"/>
    <w:rsid w:val="000E313C"/>
    <w:rsid w:val="000E321A"/>
    <w:rsid w:val="000E36B3"/>
    <w:rsid w:val="000E4CEA"/>
    <w:rsid w:val="000E53F5"/>
    <w:rsid w:val="000E5446"/>
    <w:rsid w:val="000E5463"/>
    <w:rsid w:val="000E553B"/>
    <w:rsid w:val="000E5C39"/>
    <w:rsid w:val="000E61B5"/>
    <w:rsid w:val="000E683B"/>
    <w:rsid w:val="000E6D96"/>
    <w:rsid w:val="000E6EED"/>
    <w:rsid w:val="000E7309"/>
    <w:rsid w:val="000E73CD"/>
    <w:rsid w:val="000E75E7"/>
    <w:rsid w:val="000E7B0B"/>
    <w:rsid w:val="000E7DF6"/>
    <w:rsid w:val="000F1476"/>
    <w:rsid w:val="000F1F69"/>
    <w:rsid w:val="000F20B3"/>
    <w:rsid w:val="000F227A"/>
    <w:rsid w:val="000F24F2"/>
    <w:rsid w:val="000F2852"/>
    <w:rsid w:val="000F33B1"/>
    <w:rsid w:val="000F5829"/>
    <w:rsid w:val="000F59D8"/>
    <w:rsid w:val="000F5BAE"/>
    <w:rsid w:val="000F68C3"/>
    <w:rsid w:val="000F6B1B"/>
    <w:rsid w:val="000F6BE9"/>
    <w:rsid w:val="000F6CE2"/>
    <w:rsid w:val="000F6D8A"/>
    <w:rsid w:val="000F751E"/>
    <w:rsid w:val="00100532"/>
    <w:rsid w:val="00100AD0"/>
    <w:rsid w:val="00101CB2"/>
    <w:rsid w:val="001021E2"/>
    <w:rsid w:val="0010295A"/>
    <w:rsid w:val="00102C10"/>
    <w:rsid w:val="00102DD4"/>
    <w:rsid w:val="001030B6"/>
    <w:rsid w:val="00103485"/>
    <w:rsid w:val="0010431E"/>
    <w:rsid w:val="001060AA"/>
    <w:rsid w:val="001073C4"/>
    <w:rsid w:val="00107A71"/>
    <w:rsid w:val="0011149D"/>
    <w:rsid w:val="00112466"/>
    <w:rsid w:val="0011250A"/>
    <w:rsid w:val="00112A1F"/>
    <w:rsid w:val="0011309C"/>
    <w:rsid w:val="00113BEE"/>
    <w:rsid w:val="001148C6"/>
    <w:rsid w:val="00114A38"/>
    <w:rsid w:val="00115770"/>
    <w:rsid w:val="00117043"/>
    <w:rsid w:val="001177EF"/>
    <w:rsid w:val="001200B3"/>
    <w:rsid w:val="001208AD"/>
    <w:rsid w:val="00121C31"/>
    <w:rsid w:val="00123C5D"/>
    <w:rsid w:val="00123E16"/>
    <w:rsid w:val="00124566"/>
    <w:rsid w:val="001247C2"/>
    <w:rsid w:val="0012511F"/>
    <w:rsid w:val="00125C54"/>
    <w:rsid w:val="001265A3"/>
    <w:rsid w:val="00126B21"/>
    <w:rsid w:val="00127AFE"/>
    <w:rsid w:val="00127F5B"/>
    <w:rsid w:val="0013139F"/>
    <w:rsid w:val="00131EBC"/>
    <w:rsid w:val="001326F5"/>
    <w:rsid w:val="00133BF0"/>
    <w:rsid w:val="00133CF6"/>
    <w:rsid w:val="00135921"/>
    <w:rsid w:val="0013667D"/>
    <w:rsid w:val="0013731C"/>
    <w:rsid w:val="00140543"/>
    <w:rsid w:val="00140F0F"/>
    <w:rsid w:val="00141248"/>
    <w:rsid w:val="001414FD"/>
    <w:rsid w:val="00142034"/>
    <w:rsid w:val="00142035"/>
    <w:rsid w:val="001426C2"/>
    <w:rsid w:val="00142B26"/>
    <w:rsid w:val="00142CD7"/>
    <w:rsid w:val="00143EF0"/>
    <w:rsid w:val="001449BC"/>
    <w:rsid w:val="00144B9B"/>
    <w:rsid w:val="001453CC"/>
    <w:rsid w:val="00145589"/>
    <w:rsid w:val="0014567B"/>
    <w:rsid w:val="0014614E"/>
    <w:rsid w:val="001463B6"/>
    <w:rsid w:val="001464F2"/>
    <w:rsid w:val="00146E5A"/>
    <w:rsid w:val="00147A9E"/>
    <w:rsid w:val="00147AC4"/>
    <w:rsid w:val="00147CD4"/>
    <w:rsid w:val="00150C6E"/>
    <w:rsid w:val="001511EC"/>
    <w:rsid w:val="00151206"/>
    <w:rsid w:val="001515FB"/>
    <w:rsid w:val="00151751"/>
    <w:rsid w:val="001525D1"/>
    <w:rsid w:val="001528FB"/>
    <w:rsid w:val="00153227"/>
    <w:rsid w:val="00154E2E"/>
    <w:rsid w:val="00154E3F"/>
    <w:rsid w:val="00155672"/>
    <w:rsid w:val="001575BF"/>
    <w:rsid w:val="001576EC"/>
    <w:rsid w:val="00157F12"/>
    <w:rsid w:val="00160766"/>
    <w:rsid w:val="001611DC"/>
    <w:rsid w:val="0016174A"/>
    <w:rsid w:val="00161A9D"/>
    <w:rsid w:val="001626CA"/>
    <w:rsid w:val="0016488B"/>
    <w:rsid w:val="00164912"/>
    <w:rsid w:val="00164C11"/>
    <w:rsid w:val="00164E5A"/>
    <w:rsid w:val="001661B7"/>
    <w:rsid w:val="00166D52"/>
    <w:rsid w:val="00170220"/>
    <w:rsid w:val="00170BBA"/>
    <w:rsid w:val="001710C2"/>
    <w:rsid w:val="001714B2"/>
    <w:rsid w:val="001718DA"/>
    <w:rsid w:val="00172B05"/>
    <w:rsid w:val="00173115"/>
    <w:rsid w:val="001742AB"/>
    <w:rsid w:val="00174808"/>
    <w:rsid w:val="001748E0"/>
    <w:rsid w:val="00174B4D"/>
    <w:rsid w:val="001764D6"/>
    <w:rsid w:val="001769C3"/>
    <w:rsid w:val="00180B80"/>
    <w:rsid w:val="00180D62"/>
    <w:rsid w:val="00180F43"/>
    <w:rsid w:val="001810D4"/>
    <w:rsid w:val="00181142"/>
    <w:rsid w:val="00181FA6"/>
    <w:rsid w:val="00181FF3"/>
    <w:rsid w:val="00182243"/>
    <w:rsid w:val="001822CF"/>
    <w:rsid w:val="001829FB"/>
    <w:rsid w:val="00182CC6"/>
    <w:rsid w:val="00184929"/>
    <w:rsid w:val="00184EDC"/>
    <w:rsid w:val="00185102"/>
    <w:rsid w:val="00186A66"/>
    <w:rsid w:val="00186C2E"/>
    <w:rsid w:val="00187A69"/>
    <w:rsid w:val="00187EB6"/>
    <w:rsid w:val="0019057C"/>
    <w:rsid w:val="00190A00"/>
    <w:rsid w:val="0019127E"/>
    <w:rsid w:val="00191F76"/>
    <w:rsid w:val="001939D1"/>
    <w:rsid w:val="00193CD4"/>
    <w:rsid w:val="001941AA"/>
    <w:rsid w:val="00194D2E"/>
    <w:rsid w:val="00195819"/>
    <w:rsid w:val="00195D5C"/>
    <w:rsid w:val="00196096"/>
    <w:rsid w:val="00197021"/>
    <w:rsid w:val="00197BEF"/>
    <w:rsid w:val="00197CB0"/>
    <w:rsid w:val="00197FA0"/>
    <w:rsid w:val="001A03CC"/>
    <w:rsid w:val="001A21F7"/>
    <w:rsid w:val="001A2BE9"/>
    <w:rsid w:val="001A3278"/>
    <w:rsid w:val="001A404C"/>
    <w:rsid w:val="001A5B97"/>
    <w:rsid w:val="001A6004"/>
    <w:rsid w:val="001A72CA"/>
    <w:rsid w:val="001A7FC8"/>
    <w:rsid w:val="001B02E2"/>
    <w:rsid w:val="001B1964"/>
    <w:rsid w:val="001B1A1B"/>
    <w:rsid w:val="001B222F"/>
    <w:rsid w:val="001B26DB"/>
    <w:rsid w:val="001B2FA9"/>
    <w:rsid w:val="001B399F"/>
    <w:rsid w:val="001B41BF"/>
    <w:rsid w:val="001B52D0"/>
    <w:rsid w:val="001B545D"/>
    <w:rsid w:val="001B5C1C"/>
    <w:rsid w:val="001B5E24"/>
    <w:rsid w:val="001B5EAF"/>
    <w:rsid w:val="001B64CE"/>
    <w:rsid w:val="001B6C4C"/>
    <w:rsid w:val="001B7929"/>
    <w:rsid w:val="001C0540"/>
    <w:rsid w:val="001C0E10"/>
    <w:rsid w:val="001C2877"/>
    <w:rsid w:val="001C28AE"/>
    <w:rsid w:val="001C3107"/>
    <w:rsid w:val="001C435B"/>
    <w:rsid w:val="001C56E7"/>
    <w:rsid w:val="001C5A1A"/>
    <w:rsid w:val="001C6D09"/>
    <w:rsid w:val="001C6D74"/>
    <w:rsid w:val="001C727B"/>
    <w:rsid w:val="001D0842"/>
    <w:rsid w:val="001D178C"/>
    <w:rsid w:val="001D2B9F"/>
    <w:rsid w:val="001D2BB2"/>
    <w:rsid w:val="001D411B"/>
    <w:rsid w:val="001D5D3E"/>
    <w:rsid w:val="001D6922"/>
    <w:rsid w:val="001D7012"/>
    <w:rsid w:val="001D794C"/>
    <w:rsid w:val="001D7FD9"/>
    <w:rsid w:val="001E1C40"/>
    <w:rsid w:val="001E2984"/>
    <w:rsid w:val="001E3BBA"/>
    <w:rsid w:val="001E3DB7"/>
    <w:rsid w:val="001E40B0"/>
    <w:rsid w:val="001E5D6B"/>
    <w:rsid w:val="001E66A5"/>
    <w:rsid w:val="001E6BC3"/>
    <w:rsid w:val="001E6FFC"/>
    <w:rsid w:val="001E7057"/>
    <w:rsid w:val="001E7293"/>
    <w:rsid w:val="001F0058"/>
    <w:rsid w:val="001F0873"/>
    <w:rsid w:val="001F0C50"/>
    <w:rsid w:val="001F0E17"/>
    <w:rsid w:val="001F0F55"/>
    <w:rsid w:val="001F0FCA"/>
    <w:rsid w:val="001F126D"/>
    <w:rsid w:val="001F1A66"/>
    <w:rsid w:val="001F28BF"/>
    <w:rsid w:val="001F2943"/>
    <w:rsid w:val="001F2CA1"/>
    <w:rsid w:val="001F2EA2"/>
    <w:rsid w:val="001F2FE3"/>
    <w:rsid w:val="001F341E"/>
    <w:rsid w:val="001F4905"/>
    <w:rsid w:val="001F553A"/>
    <w:rsid w:val="001F5931"/>
    <w:rsid w:val="001F5BA4"/>
    <w:rsid w:val="001F711F"/>
    <w:rsid w:val="001F7920"/>
    <w:rsid w:val="00201234"/>
    <w:rsid w:val="00201885"/>
    <w:rsid w:val="00202BF5"/>
    <w:rsid w:val="00202DE2"/>
    <w:rsid w:val="002035EF"/>
    <w:rsid w:val="00203680"/>
    <w:rsid w:val="00203961"/>
    <w:rsid w:val="00204767"/>
    <w:rsid w:val="00206745"/>
    <w:rsid w:val="00210297"/>
    <w:rsid w:val="00210CE0"/>
    <w:rsid w:val="00210E0E"/>
    <w:rsid w:val="0021173D"/>
    <w:rsid w:val="002138BC"/>
    <w:rsid w:val="0021722E"/>
    <w:rsid w:val="002201A2"/>
    <w:rsid w:val="00220407"/>
    <w:rsid w:val="00220B06"/>
    <w:rsid w:val="00220EE2"/>
    <w:rsid w:val="002211B8"/>
    <w:rsid w:val="00221276"/>
    <w:rsid w:val="00221FB2"/>
    <w:rsid w:val="0022218B"/>
    <w:rsid w:val="002225B4"/>
    <w:rsid w:val="00222AE5"/>
    <w:rsid w:val="00223C98"/>
    <w:rsid w:val="00224F23"/>
    <w:rsid w:val="002252FC"/>
    <w:rsid w:val="00226B88"/>
    <w:rsid w:val="00227425"/>
    <w:rsid w:val="002277A5"/>
    <w:rsid w:val="00227EAA"/>
    <w:rsid w:val="00227FF5"/>
    <w:rsid w:val="0023025A"/>
    <w:rsid w:val="0023044A"/>
    <w:rsid w:val="00230918"/>
    <w:rsid w:val="0023177D"/>
    <w:rsid w:val="00231872"/>
    <w:rsid w:val="00232451"/>
    <w:rsid w:val="00232566"/>
    <w:rsid w:val="002328C5"/>
    <w:rsid w:val="00232A86"/>
    <w:rsid w:val="00232B48"/>
    <w:rsid w:val="002330DC"/>
    <w:rsid w:val="00233D4A"/>
    <w:rsid w:val="00236379"/>
    <w:rsid w:val="002367F0"/>
    <w:rsid w:val="00237EBC"/>
    <w:rsid w:val="0024084C"/>
    <w:rsid w:val="00241444"/>
    <w:rsid w:val="002418FE"/>
    <w:rsid w:val="002422EC"/>
    <w:rsid w:val="0024255E"/>
    <w:rsid w:val="00242773"/>
    <w:rsid w:val="002437AA"/>
    <w:rsid w:val="00244904"/>
    <w:rsid w:val="00244CC7"/>
    <w:rsid w:val="00244DEF"/>
    <w:rsid w:val="002450AC"/>
    <w:rsid w:val="002453E3"/>
    <w:rsid w:val="00245803"/>
    <w:rsid w:val="00246086"/>
    <w:rsid w:val="002465AE"/>
    <w:rsid w:val="00247C9E"/>
    <w:rsid w:val="00250148"/>
    <w:rsid w:val="0025090C"/>
    <w:rsid w:val="002511BB"/>
    <w:rsid w:val="00251B24"/>
    <w:rsid w:val="0025227B"/>
    <w:rsid w:val="002525BB"/>
    <w:rsid w:val="00252A26"/>
    <w:rsid w:val="00253C6F"/>
    <w:rsid w:val="00255680"/>
    <w:rsid w:val="002556B6"/>
    <w:rsid w:val="002563B3"/>
    <w:rsid w:val="002610D3"/>
    <w:rsid w:val="002618DF"/>
    <w:rsid w:val="00263E1C"/>
    <w:rsid w:val="00264D8E"/>
    <w:rsid w:val="00264E39"/>
    <w:rsid w:val="002656C9"/>
    <w:rsid w:val="00265B14"/>
    <w:rsid w:val="00266BC3"/>
    <w:rsid w:val="00266E07"/>
    <w:rsid w:val="00266E0C"/>
    <w:rsid w:val="002673C9"/>
    <w:rsid w:val="00267867"/>
    <w:rsid w:val="00270A2D"/>
    <w:rsid w:val="00270C0E"/>
    <w:rsid w:val="00270F59"/>
    <w:rsid w:val="002720D8"/>
    <w:rsid w:val="002721C8"/>
    <w:rsid w:val="0027226C"/>
    <w:rsid w:val="00272821"/>
    <w:rsid w:val="00274871"/>
    <w:rsid w:val="00275DCC"/>
    <w:rsid w:val="00277434"/>
    <w:rsid w:val="0027774E"/>
    <w:rsid w:val="00280AA8"/>
    <w:rsid w:val="00280E8E"/>
    <w:rsid w:val="00281511"/>
    <w:rsid w:val="00281896"/>
    <w:rsid w:val="00281C23"/>
    <w:rsid w:val="00282470"/>
    <w:rsid w:val="0028284C"/>
    <w:rsid w:val="00282BB4"/>
    <w:rsid w:val="002835F4"/>
    <w:rsid w:val="00283872"/>
    <w:rsid w:val="002839BB"/>
    <w:rsid w:val="0028401F"/>
    <w:rsid w:val="00284378"/>
    <w:rsid w:val="0028538E"/>
    <w:rsid w:val="00285457"/>
    <w:rsid w:val="00285628"/>
    <w:rsid w:val="002856C8"/>
    <w:rsid w:val="0028575E"/>
    <w:rsid w:val="00286648"/>
    <w:rsid w:val="0028700A"/>
    <w:rsid w:val="00287B84"/>
    <w:rsid w:val="00287EBB"/>
    <w:rsid w:val="00290656"/>
    <w:rsid w:val="002912F8"/>
    <w:rsid w:val="002917FF"/>
    <w:rsid w:val="00291A9E"/>
    <w:rsid w:val="00291E46"/>
    <w:rsid w:val="00291E71"/>
    <w:rsid w:val="00293602"/>
    <w:rsid w:val="00293C3F"/>
    <w:rsid w:val="002949C1"/>
    <w:rsid w:val="00295701"/>
    <w:rsid w:val="002958CA"/>
    <w:rsid w:val="00296122"/>
    <w:rsid w:val="0029728D"/>
    <w:rsid w:val="00297435"/>
    <w:rsid w:val="00297DBB"/>
    <w:rsid w:val="002A0B10"/>
    <w:rsid w:val="002A0CEC"/>
    <w:rsid w:val="002A0FD5"/>
    <w:rsid w:val="002A172F"/>
    <w:rsid w:val="002A183B"/>
    <w:rsid w:val="002A18E7"/>
    <w:rsid w:val="002A22A8"/>
    <w:rsid w:val="002A25C0"/>
    <w:rsid w:val="002A2AF6"/>
    <w:rsid w:val="002A35C0"/>
    <w:rsid w:val="002A3E69"/>
    <w:rsid w:val="002A4FF1"/>
    <w:rsid w:val="002A5614"/>
    <w:rsid w:val="002A5BFC"/>
    <w:rsid w:val="002A79EC"/>
    <w:rsid w:val="002A7EA1"/>
    <w:rsid w:val="002B0097"/>
    <w:rsid w:val="002B012B"/>
    <w:rsid w:val="002B1236"/>
    <w:rsid w:val="002B1960"/>
    <w:rsid w:val="002B2235"/>
    <w:rsid w:val="002B22C7"/>
    <w:rsid w:val="002B24AE"/>
    <w:rsid w:val="002B3819"/>
    <w:rsid w:val="002B3DC7"/>
    <w:rsid w:val="002B58CB"/>
    <w:rsid w:val="002B6B48"/>
    <w:rsid w:val="002C0A7D"/>
    <w:rsid w:val="002C0C14"/>
    <w:rsid w:val="002C115F"/>
    <w:rsid w:val="002C1DAF"/>
    <w:rsid w:val="002C2311"/>
    <w:rsid w:val="002C31F0"/>
    <w:rsid w:val="002C361C"/>
    <w:rsid w:val="002C42C1"/>
    <w:rsid w:val="002C50E2"/>
    <w:rsid w:val="002C5A16"/>
    <w:rsid w:val="002C5D2B"/>
    <w:rsid w:val="002C673E"/>
    <w:rsid w:val="002C711C"/>
    <w:rsid w:val="002C7B19"/>
    <w:rsid w:val="002C7B1B"/>
    <w:rsid w:val="002D11AF"/>
    <w:rsid w:val="002D369C"/>
    <w:rsid w:val="002D3B8C"/>
    <w:rsid w:val="002D4923"/>
    <w:rsid w:val="002D5D33"/>
    <w:rsid w:val="002D5DC7"/>
    <w:rsid w:val="002D6275"/>
    <w:rsid w:val="002D64CB"/>
    <w:rsid w:val="002D67B7"/>
    <w:rsid w:val="002D6F15"/>
    <w:rsid w:val="002D70DB"/>
    <w:rsid w:val="002E0318"/>
    <w:rsid w:val="002E1831"/>
    <w:rsid w:val="002E24F7"/>
    <w:rsid w:val="002E2550"/>
    <w:rsid w:val="002E27B6"/>
    <w:rsid w:val="002E39C7"/>
    <w:rsid w:val="002E47CF"/>
    <w:rsid w:val="002E4E6B"/>
    <w:rsid w:val="002E534D"/>
    <w:rsid w:val="002E5492"/>
    <w:rsid w:val="002E5ED2"/>
    <w:rsid w:val="002E6187"/>
    <w:rsid w:val="002E65A2"/>
    <w:rsid w:val="002E7BC8"/>
    <w:rsid w:val="002F0531"/>
    <w:rsid w:val="002F0904"/>
    <w:rsid w:val="002F18D5"/>
    <w:rsid w:val="002F203A"/>
    <w:rsid w:val="002F2F17"/>
    <w:rsid w:val="002F2FFC"/>
    <w:rsid w:val="002F3012"/>
    <w:rsid w:val="002F3230"/>
    <w:rsid w:val="002F389F"/>
    <w:rsid w:val="002F4479"/>
    <w:rsid w:val="002F4571"/>
    <w:rsid w:val="002F4674"/>
    <w:rsid w:val="002F4E17"/>
    <w:rsid w:val="002F4FB3"/>
    <w:rsid w:val="002F6419"/>
    <w:rsid w:val="002F673C"/>
    <w:rsid w:val="002F691E"/>
    <w:rsid w:val="002F703C"/>
    <w:rsid w:val="00300367"/>
    <w:rsid w:val="00300404"/>
    <w:rsid w:val="003011F7"/>
    <w:rsid w:val="00301311"/>
    <w:rsid w:val="00301AFB"/>
    <w:rsid w:val="00302B55"/>
    <w:rsid w:val="00303C98"/>
    <w:rsid w:val="00303E4F"/>
    <w:rsid w:val="00306314"/>
    <w:rsid w:val="00306ABC"/>
    <w:rsid w:val="00306BCC"/>
    <w:rsid w:val="00306CF3"/>
    <w:rsid w:val="003076F2"/>
    <w:rsid w:val="0030798D"/>
    <w:rsid w:val="00307F98"/>
    <w:rsid w:val="00310338"/>
    <w:rsid w:val="003104A2"/>
    <w:rsid w:val="00310F18"/>
    <w:rsid w:val="00311610"/>
    <w:rsid w:val="003118CA"/>
    <w:rsid w:val="003124B3"/>
    <w:rsid w:val="003126B2"/>
    <w:rsid w:val="003136CB"/>
    <w:rsid w:val="00314405"/>
    <w:rsid w:val="00314970"/>
    <w:rsid w:val="00315305"/>
    <w:rsid w:val="00315547"/>
    <w:rsid w:val="00316659"/>
    <w:rsid w:val="00317161"/>
    <w:rsid w:val="00317755"/>
    <w:rsid w:val="0032120B"/>
    <w:rsid w:val="003220BF"/>
    <w:rsid w:val="00322B28"/>
    <w:rsid w:val="003242E3"/>
    <w:rsid w:val="00324696"/>
    <w:rsid w:val="00324C34"/>
    <w:rsid w:val="00324D05"/>
    <w:rsid w:val="00324D41"/>
    <w:rsid w:val="003250C1"/>
    <w:rsid w:val="00325AB1"/>
    <w:rsid w:val="00327ACA"/>
    <w:rsid w:val="0033000B"/>
    <w:rsid w:val="00330233"/>
    <w:rsid w:val="0033098F"/>
    <w:rsid w:val="00330D34"/>
    <w:rsid w:val="00331073"/>
    <w:rsid w:val="0033150D"/>
    <w:rsid w:val="00331DF2"/>
    <w:rsid w:val="00331FED"/>
    <w:rsid w:val="003328D1"/>
    <w:rsid w:val="00335F8F"/>
    <w:rsid w:val="00336849"/>
    <w:rsid w:val="00337904"/>
    <w:rsid w:val="003404CC"/>
    <w:rsid w:val="00340CA5"/>
    <w:rsid w:val="00341582"/>
    <w:rsid w:val="0034182E"/>
    <w:rsid w:val="00342C93"/>
    <w:rsid w:val="003445FB"/>
    <w:rsid w:val="00344820"/>
    <w:rsid w:val="00344A49"/>
    <w:rsid w:val="00346B9B"/>
    <w:rsid w:val="003475A7"/>
    <w:rsid w:val="00347D04"/>
    <w:rsid w:val="00350366"/>
    <w:rsid w:val="003506C4"/>
    <w:rsid w:val="0035197D"/>
    <w:rsid w:val="00352838"/>
    <w:rsid w:val="00354EC3"/>
    <w:rsid w:val="00354F3F"/>
    <w:rsid w:val="0035563D"/>
    <w:rsid w:val="003574B9"/>
    <w:rsid w:val="00357B8A"/>
    <w:rsid w:val="00357FB8"/>
    <w:rsid w:val="003610A3"/>
    <w:rsid w:val="00361384"/>
    <w:rsid w:val="0036187E"/>
    <w:rsid w:val="00361F9E"/>
    <w:rsid w:val="00362277"/>
    <w:rsid w:val="00362BD7"/>
    <w:rsid w:val="0036359B"/>
    <w:rsid w:val="0036391C"/>
    <w:rsid w:val="00363C24"/>
    <w:rsid w:val="003640A7"/>
    <w:rsid w:val="00364785"/>
    <w:rsid w:val="00365272"/>
    <w:rsid w:val="003653B8"/>
    <w:rsid w:val="00365621"/>
    <w:rsid w:val="003659C4"/>
    <w:rsid w:val="00366DA1"/>
    <w:rsid w:val="0036773C"/>
    <w:rsid w:val="00370398"/>
    <w:rsid w:val="00370B26"/>
    <w:rsid w:val="00372362"/>
    <w:rsid w:val="00373308"/>
    <w:rsid w:val="00373C2A"/>
    <w:rsid w:val="0037418A"/>
    <w:rsid w:val="0037576B"/>
    <w:rsid w:val="00375AB7"/>
    <w:rsid w:val="00375E50"/>
    <w:rsid w:val="003760C3"/>
    <w:rsid w:val="003761F5"/>
    <w:rsid w:val="0037739A"/>
    <w:rsid w:val="00380271"/>
    <w:rsid w:val="00381402"/>
    <w:rsid w:val="003821AD"/>
    <w:rsid w:val="003824F2"/>
    <w:rsid w:val="00383738"/>
    <w:rsid w:val="003857AB"/>
    <w:rsid w:val="003865C7"/>
    <w:rsid w:val="0038695F"/>
    <w:rsid w:val="00386C8E"/>
    <w:rsid w:val="003877AB"/>
    <w:rsid w:val="00387B2B"/>
    <w:rsid w:val="00387B2F"/>
    <w:rsid w:val="0039060D"/>
    <w:rsid w:val="0039097A"/>
    <w:rsid w:val="00391001"/>
    <w:rsid w:val="00391F3E"/>
    <w:rsid w:val="00392F1C"/>
    <w:rsid w:val="003932D9"/>
    <w:rsid w:val="00393B0F"/>
    <w:rsid w:val="00393FC8"/>
    <w:rsid w:val="00394437"/>
    <w:rsid w:val="003946C5"/>
    <w:rsid w:val="003949FF"/>
    <w:rsid w:val="00394A0E"/>
    <w:rsid w:val="00394CB2"/>
    <w:rsid w:val="00395D6A"/>
    <w:rsid w:val="00397197"/>
    <w:rsid w:val="0039777D"/>
    <w:rsid w:val="00397FEF"/>
    <w:rsid w:val="003A0E7E"/>
    <w:rsid w:val="003A156B"/>
    <w:rsid w:val="003A158B"/>
    <w:rsid w:val="003A253E"/>
    <w:rsid w:val="003A40BC"/>
    <w:rsid w:val="003A4438"/>
    <w:rsid w:val="003A4578"/>
    <w:rsid w:val="003A5702"/>
    <w:rsid w:val="003A57A0"/>
    <w:rsid w:val="003A6EA6"/>
    <w:rsid w:val="003A7E8B"/>
    <w:rsid w:val="003A7ECD"/>
    <w:rsid w:val="003B0D92"/>
    <w:rsid w:val="003B33BA"/>
    <w:rsid w:val="003B391F"/>
    <w:rsid w:val="003B3B70"/>
    <w:rsid w:val="003B3CD3"/>
    <w:rsid w:val="003B40C5"/>
    <w:rsid w:val="003B4E78"/>
    <w:rsid w:val="003B56C0"/>
    <w:rsid w:val="003B6073"/>
    <w:rsid w:val="003B7216"/>
    <w:rsid w:val="003B7515"/>
    <w:rsid w:val="003B754C"/>
    <w:rsid w:val="003B79C2"/>
    <w:rsid w:val="003B7DF2"/>
    <w:rsid w:val="003C063C"/>
    <w:rsid w:val="003C07DB"/>
    <w:rsid w:val="003C0918"/>
    <w:rsid w:val="003C190E"/>
    <w:rsid w:val="003C1985"/>
    <w:rsid w:val="003C1A43"/>
    <w:rsid w:val="003C3735"/>
    <w:rsid w:val="003C3A45"/>
    <w:rsid w:val="003C51F3"/>
    <w:rsid w:val="003C69FC"/>
    <w:rsid w:val="003C7D49"/>
    <w:rsid w:val="003C7EBF"/>
    <w:rsid w:val="003D049D"/>
    <w:rsid w:val="003D168B"/>
    <w:rsid w:val="003D1B6B"/>
    <w:rsid w:val="003D2860"/>
    <w:rsid w:val="003D2890"/>
    <w:rsid w:val="003D294E"/>
    <w:rsid w:val="003D3471"/>
    <w:rsid w:val="003D37AC"/>
    <w:rsid w:val="003D3C01"/>
    <w:rsid w:val="003D4A3A"/>
    <w:rsid w:val="003D5263"/>
    <w:rsid w:val="003D55C1"/>
    <w:rsid w:val="003D5B67"/>
    <w:rsid w:val="003D5E8D"/>
    <w:rsid w:val="003D6982"/>
    <w:rsid w:val="003D7407"/>
    <w:rsid w:val="003D7CFD"/>
    <w:rsid w:val="003E1074"/>
    <w:rsid w:val="003E1AED"/>
    <w:rsid w:val="003E1E39"/>
    <w:rsid w:val="003E2405"/>
    <w:rsid w:val="003E5228"/>
    <w:rsid w:val="003E52FC"/>
    <w:rsid w:val="003E5C8B"/>
    <w:rsid w:val="003E76AA"/>
    <w:rsid w:val="003E7933"/>
    <w:rsid w:val="003F0845"/>
    <w:rsid w:val="003F129C"/>
    <w:rsid w:val="003F1396"/>
    <w:rsid w:val="003F197F"/>
    <w:rsid w:val="003F1D1A"/>
    <w:rsid w:val="003F33E0"/>
    <w:rsid w:val="003F391F"/>
    <w:rsid w:val="003F4A1A"/>
    <w:rsid w:val="003F6053"/>
    <w:rsid w:val="003F67E2"/>
    <w:rsid w:val="004003B2"/>
    <w:rsid w:val="004010A2"/>
    <w:rsid w:val="00401277"/>
    <w:rsid w:val="0040191C"/>
    <w:rsid w:val="00401EEE"/>
    <w:rsid w:val="00402FF7"/>
    <w:rsid w:val="00403170"/>
    <w:rsid w:val="00404D51"/>
    <w:rsid w:val="00405034"/>
    <w:rsid w:val="00405380"/>
    <w:rsid w:val="004053E2"/>
    <w:rsid w:val="00405C1C"/>
    <w:rsid w:val="004064E9"/>
    <w:rsid w:val="0040677D"/>
    <w:rsid w:val="004068CC"/>
    <w:rsid w:val="00406B63"/>
    <w:rsid w:val="004072F7"/>
    <w:rsid w:val="00410057"/>
    <w:rsid w:val="00410F7C"/>
    <w:rsid w:val="00411964"/>
    <w:rsid w:val="00412716"/>
    <w:rsid w:val="00412AE2"/>
    <w:rsid w:val="00413252"/>
    <w:rsid w:val="004136BC"/>
    <w:rsid w:val="00414534"/>
    <w:rsid w:val="00414AC2"/>
    <w:rsid w:val="0041572D"/>
    <w:rsid w:val="00415C55"/>
    <w:rsid w:val="0041615E"/>
    <w:rsid w:val="00420031"/>
    <w:rsid w:val="00420F20"/>
    <w:rsid w:val="00423894"/>
    <w:rsid w:val="00425E4F"/>
    <w:rsid w:val="004260B5"/>
    <w:rsid w:val="00426412"/>
    <w:rsid w:val="00427859"/>
    <w:rsid w:val="00430268"/>
    <w:rsid w:val="004304CA"/>
    <w:rsid w:val="00430F01"/>
    <w:rsid w:val="00431777"/>
    <w:rsid w:val="00431976"/>
    <w:rsid w:val="00431FF5"/>
    <w:rsid w:val="00432ACB"/>
    <w:rsid w:val="0043304E"/>
    <w:rsid w:val="00433A97"/>
    <w:rsid w:val="004348D9"/>
    <w:rsid w:val="00434C4A"/>
    <w:rsid w:val="0043704D"/>
    <w:rsid w:val="00437779"/>
    <w:rsid w:val="0043782D"/>
    <w:rsid w:val="00437A05"/>
    <w:rsid w:val="00440415"/>
    <w:rsid w:val="0044070B"/>
    <w:rsid w:val="004415C1"/>
    <w:rsid w:val="00441C7A"/>
    <w:rsid w:val="00442276"/>
    <w:rsid w:val="004429E9"/>
    <w:rsid w:val="0044326F"/>
    <w:rsid w:val="004440C9"/>
    <w:rsid w:val="0044461D"/>
    <w:rsid w:val="004447DA"/>
    <w:rsid w:val="00444CA8"/>
    <w:rsid w:val="00445335"/>
    <w:rsid w:val="004455E1"/>
    <w:rsid w:val="00445707"/>
    <w:rsid w:val="00446B5B"/>
    <w:rsid w:val="00446E12"/>
    <w:rsid w:val="0044776C"/>
    <w:rsid w:val="00447A04"/>
    <w:rsid w:val="00447B62"/>
    <w:rsid w:val="00447F5E"/>
    <w:rsid w:val="004503E1"/>
    <w:rsid w:val="00450D63"/>
    <w:rsid w:val="00451007"/>
    <w:rsid w:val="004512CE"/>
    <w:rsid w:val="004514D1"/>
    <w:rsid w:val="00451AAA"/>
    <w:rsid w:val="00451FF5"/>
    <w:rsid w:val="00453807"/>
    <w:rsid w:val="00456066"/>
    <w:rsid w:val="004567F8"/>
    <w:rsid w:val="0045716C"/>
    <w:rsid w:val="00457A7E"/>
    <w:rsid w:val="00457D18"/>
    <w:rsid w:val="00460124"/>
    <w:rsid w:val="00461011"/>
    <w:rsid w:val="004617D6"/>
    <w:rsid w:val="00463108"/>
    <w:rsid w:val="00463636"/>
    <w:rsid w:val="004638EF"/>
    <w:rsid w:val="00464C8A"/>
    <w:rsid w:val="00464FBC"/>
    <w:rsid w:val="004663BE"/>
    <w:rsid w:val="0046685A"/>
    <w:rsid w:val="00467CE6"/>
    <w:rsid w:val="004704C6"/>
    <w:rsid w:val="004704F9"/>
    <w:rsid w:val="00470E34"/>
    <w:rsid w:val="0047172F"/>
    <w:rsid w:val="004717B4"/>
    <w:rsid w:val="00472434"/>
    <w:rsid w:val="00472C18"/>
    <w:rsid w:val="00474F14"/>
    <w:rsid w:val="0047574B"/>
    <w:rsid w:val="0047694F"/>
    <w:rsid w:val="00476FEE"/>
    <w:rsid w:val="004770DE"/>
    <w:rsid w:val="00477556"/>
    <w:rsid w:val="00477884"/>
    <w:rsid w:val="004811CB"/>
    <w:rsid w:val="00481A02"/>
    <w:rsid w:val="004822CD"/>
    <w:rsid w:val="00482B81"/>
    <w:rsid w:val="00482E77"/>
    <w:rsid w:val="00483FE2"/>
    <w:rsid w:val="00484FCB"/>
    <w:rsid w:val="00485149"/>
    <w:rsid w:val="0048681E"/>
    <w:rsid w:val="004868DC"/>
    <w:rsid w:val="00486AA6"/>
    <w:rsid w:val="00486B8C"/>
    <w:rsid w:val="004872CC"/>
    <w:rsid w:val="004879F7"/>
    <w:rsid w:val="00490C68"/>
    <w:rsid w:val="0049188A"/>
    <w:rsid w:val="00494F02"/>
    <w:rsid w:val="00496546"/>
    <w:rsid w:val="0049677B"/>
    <w:rsid w:val="00497971"/>
    <w:rsid w:val="004A0E17"/>
    <w:rsid w:val="004A122D"/>
    <w:rsid w:val="004A2987"/>
    <w:rsid w:val="004A2BFC"/>
    <w:rsid w:val="004A3952"/>
    <w:rsid w:val="004A396D"/>
    <w:rsid w:val="004A3E82"/>
    <w:rsid w:val="004A406B"/>
    <w:rsid w:val="004A6194"/>
    <w:rsid w:val="004A6760"/>
    <w:rsid w:val="004A67A2"/>
    <w:rsid w:val="004A7410"/>
    <w:rsid w:val="004A793C"/>
    <w:rsid w:val="004A7E88"/>
    <w:rsid w:val="004A7FAA"/>
    <w:rsid w:val="004B082B"/>
    <w:rsid w:val="004B11BA"/>
    <w:rsid w:val="004B1DF3"/>
    <w:rsid w:val="004B1F31"/>
    <w:rsid w:val="004B3272"/>
    <w:rsid w:val="004B32BB"/>
    <w:rsid w:val="004B3445"/>
    <w:rsid w:val="004B3A96"/>
    <w:rsid w:val="004B502C"/>
    <w:rsid w:val="004B5130"/>
    <w:rsid w:val="004B62F8"/>
    <w:rsid w:val="004B6B58"/>
    <w:rsid w:val="004B729A"/>
    <w:rsid w:val="004C0115"/>
    <w:rsid w:val="004C093C"/>
    <w:rsid w:val="004C0E80"/>
    <w:rsid w:val="004C115A"/>
    <w:rsid w:val="004C2F45"/>
    <w:rsid w:val="004C3439"/>
    <w:rsid w:val="004C382C"/>
    <w:rsid w:val="004C4E86"/>
    <w:rsid w:val="004C4F95"/>
    <w:rsid w:val="004C5156"/>
    <w:rsid w:val="004C601E"/>
    <w:rsid w:val="004C64C4"/>
    <w:rsid w:val="004C683D"/>
    <w:rsid w:val="004C68D9"/>
    <w:rsid w:val="004C7278"/>
    <w:rsid w:val="004C78B6"/>
    <w:rsid w:val="004C7EBB"/>
    <w:rsid w:val="004D17F6"/>
    <w:rsid w:val="004D19BC"/>
    <w:rsid w:val="004D1DC2"/>
    <w:rsid w:val="004D3040"/>
    <w:rsid w:val="004D4611"/>
    <w:rsid w:val="004D4FE0"/>
    <w:rsid w:val="004D5D18"/>
    <w:rsid w:val="004D65E5"/>
    <w:rsid w:val="004D6601"/>
    <w:rsid w:val="004D684A"/>
    <w:rsid w:val="004D6CFA"/>
    <w:rsid w:val="004E004D"/>
    <w:rsid w:val="004E072D"/>
    <w:rsid w:val="004E0ECC"/>
    <w:rsid w:val="004E1659"/>
    <w:rsid w:val="004E1A66"/>
    <w:rsid w:val="004E1A9A"/>
    <w:rsid w:val="004E1D1D"/>
    <w:rsid w:val="004E28E0"/>
    <w:rsid w:val="004E28E3"/>
    <w:rsid w:val="004E2CDD"/>
    <w:rsid w:val="004E3544"/>
    <w:rsid w:val="004E6561"/>
    <w:rsid w:val="004E6ACB"/>
    <w:rsid w:val="004E6F50"/>
    <w:rsid w:val="004F0155"/>
    <w:rsid w:val="004F031B"/>
    <w:rsid w:val="004F08A9"/>
    <w:rsid w:val="004F12C6"/>
    <w:rsid w:val="004F1318"/>
    <w:rsid w:val="004F2599"/>
    <w:rsid w:val="004F27DF"/>
    <w:rsid w:val="004F3076"/>
    <w:rsid w:val="004F4690"/>
    <w:rsid w:val="004F4B7F"/>
    <w:rsid w:val="004F4D1F"/>
    <w:rsid w:val="004F5467"/>
    <w:rsid w:val="004F57FA"/>
    <w:rsid w:val="004F58B3"/>
    <w:rsid w:val="004F5CB8"/>
    <w:rsid w:val="004F5CCC"/>
    <w:rsid w:val="004F5F50"/>
    <w:rsid w:val="004F63B8"/>
    <w:rsid w:val="004F7455"/>
    <w:rsid w:val="005001DA"/>
    <w:rsid w:val="005006AD"/>
    <w:rsid w:val="00501021"/>
    <w:rsid w:val="00501B04"/>
    <w:rsid w:val="00501F9B"/>
    <w:rsid w:val="00502D72"/>
    <w:rsid w:val="0050314B"/>
    <w:rsid w:val="00503787"/>
    <w:rsid w:val="005063A0"/>
    <w:rsid w:val="00506578"/>
    <w:rsid w:val="0050676D"/>
    <w:rsid w:val="00507988"/>
    <w:rsid w:val="00507A2A"/>
    <w:rsid w:val="00507F3B"/>
    <w:rsid w:val="00510368"/>
    <w:rsid w:val="0051043E"/>
    <w:rsid w:val="00510884"/>
    <w:rsid w:val="00510C69"/>
    <w:rsid w:val="005117D2"/>
    <w:rsid w:val="005117EC"/>
    <w:rsid w:val="00511EF8"/>
    <w:rsid w:val="00512BE8"/>
    <w:rsid w:val="00512C12"/>
    <w:rsid w:val="00512CF3"/>
    <w:rsid w:val="005132F4"/>
    <w:rsid w:val="0051380C"/>
    <w:rsid w:val="0051382B"/>
    <w:rsid w:val="00513D81"/>
    <w:rsid w:val="00514EE5"/>
    <w:rsid w:val="0051503D"/>
    <w:rsid w:val="00515EFF"/>
    <w:rsid w:val="00516B56"/>
    <w:rsid w:val="005202D1"/>
    <w:rsid w:val="00520686"/>
    <w:rsid w:val="00520A9F"/>
    <w:rsid w:val="00520B1D"/>
    <w:rsid w:val="0052176D"/>
    <w:rsid w:val="00521E64"/>
    <w:rsid w:val="00522CD5"/>
    <w:rsid w:val="00524172"/>
    <w:rsid w:val="005241D3"/>
    <w:rsid w:val="005242C3"/>
    <w:rsid w:val="00524A22"/>
    <w:rsid w:val="00527548"/>
    <w:rsid w:val="00527DE9"/>
    <w:rsid w:val="00530CBE"/>
    <w:rsid w:val="00531754"/>
    <w:rsid w:val="00532329"/>
    <w:rsid w:val="0053266C"/>
    <w:rsid w:val="00536685"/>
    <w:rsid w:val="00537111"/>
    <w:rsid w:val="00537CF8"/>
    <w:rsid w:val="00537D1F"/>
    <w:rsid w:val="005401C9"/>
    <w:rsid w:val="0054041B"/>
    <w:rsid w:val="00540F07"/>
    <w:rsid w:val="00542381"/>
    <w:rsid w:val="00542523"/>
    <w:rsid w:val="005429A7"/>
    <w:rsid w:val="00542AA2"/>
    <w:rsid w:val="00543ADD"/>
    <w:rsid w:val="0054465F"/>
    <w:rsid w:val="00544E1D"/>
    <w:rsid w:val="00545703"/>
    <w:rsid w:val="00545E06"/>
    <w:rsid w:val="005462D5"/>
    <w:rsid w:val="00547EF9"/>
    <w:rsid w:val="00552724"/>
    <w:rsid w:val="00552B1B"/>
    <w:rsid w:val="00553BB3"/>
    <w:rsid w:val="00554AF0"/>
    <w:rsid w:val="00554C41"/>
    <w:rsid w:val="00555C77"/>
    <w:rsid w:val="00555DC9"/>
    <w:rsid w:val="00556493"/>
    <w:rsid w:val="005564C2"/>
    <w:rsid w:val="00557145"/>
    <w:rsid w:val="0055784F"/>
    <w:rsid w:val="00560FA0"/>
    <w:rsid w:val="00563B28"/>
    <w:rsid w:val="005640A6"/>
    <w:rsid w:val="005646D9"/>
    <w:rsid w:val="00565575"/>
    <w:rsid w:val="00566587"/>
    <w:rsid w:val="005665FF"/>
    <w:rsid w:val="00566CA1"/>
    <w:rsid w:val="0056777E"/>
    <w:rsid w:val="005703B6"/>
    <w:rsid w:val="00570CEA"/>
    <w:rsid w:val="005710BC"/>
    <w:rsid w:val="005712A6"/>
    <w:rsid w:val="00571579"/>
    <w:rsid w:val="005716D1"/>
    <w:rsid w:val="00571B44"/>
    <w:rsid w:val="005720D6"/>
    <w:rsid w:val="00572825"/>
    <w:rsid w:val="00572F42"/>
    <w:rsid w:val="00574096"/>
    <w:rsid w:val="005756FE"/>
    <w:rsid w:val="0057577D"/>
    <w:rsid w:val="0058076C"/>
    <w:rsid w:val="00580D04"/>
    <w:rsid w:val="005811CE"/>
    <w:rsid w:val="00581786"/>
    <w:rsid w:val="005818EB"/>
    <w:rsid w:val="00583A1F"/>
    <w:rsid w:val="00583EE9"/>
    <w:rsid w:val="005842DB"/>
    <w:rsid w:val="0058471A"/>
    <w:rsid w:val="00584C92"/>
    <w:rsid w:val="00585193"/>
    <w:rsid w:val="00585E6E"/>
    <w:rsid w:val="005860C7"/>
    <w:rsid w:val="005867DC"/>
    <w:rsid w:val="005874C6"/>
    <w:rsid w:val="00587D4E"/>
    <w:rsid w:val="00587E5A"/>
    <w:rsid w:val="00590971"/>
    <w:rsid w:val="00591CE8"/>
    <w:rsid w:val="00592E42"/>
    <w:rsid w:val="00593198"/>
    <w:rsid w:val="0059474D"/>
    <w:rsid w:val="005948E5"/>
    <w:rsid w:val="00595269"/>
    <w:rsid w:val="005961D2"/>
    <w:rsid w:val="00597F29"/>
    <w:rsid w:val="005A0208"/>
    <w:rsid w:val="005A05A6"/>
    <w:rsid w:val="005A2803"/>
    <w:rsid w:val="005A28CF"/>
    <w:rsid w:val="005A294E"/>
    <w:rsid w:val="005A2F17"/>
    <w:rsid w:val="005A3FB9"/>
    <w:rsid w:val="005A40D3"/>
    <w:rsid w:val="005A4955"/>
    <w:rsid w:val="005A4A58"/>
    <w:rsid w:val="005A69B7"/>
    <w:rsid w:val="005A70EF"/>
    <w:rsid w:val="005B0706"/>
    <w:rsid w:val="005B0AD7"/>
    <w:rsid w:val="005B0B89"/>
    <w:rsid w:val="005B181A"/>
    <w:rsid w:val="005B2509"/>
    <w:rsid w:val="005B3789"/>
    <w:rsid w:val="005B447C"/>
    <w:rsid w:val="005B5061"/>
    <w:rsid w:val="005B5493"/>
    <w:rsid w:val="005B5937"/>
    <w:rsid w:val="005B6065"/>
    <w:rsid w:val="005B75D5"/>
    <w:rsid w:val="005B7627"/>
    <w:rsid w:val="005C0944"/>
    <w:rsid w:val="005C0DB8"/>
    <w:rsid w:val="005C26CC"/>
    <w:rsid w:val="005C2899"/>
    <w:rsid w:val="005C29D2"/>
    <w:rsid w:val="005C33F3"/>
    <w:rsid w:val="005C3EBC"/>
    <w:rsid w:val="005C4A25"/>
    <w:rsid w:val="005C545A"/>
    <w:rsid w:val="005C5594"/>
    <w:rsid w:val="005C609A"/>
    <w:rsid w:val="005C7464"/>
    <w:rsid w:val="005D0BB8"/>
    <w:rsid w:val="005D2B63"/>
    <w:rsid w:val="005D4871"/>
    <w:rsid w:val="005D5E32"/>
    <w:rsid w:val="005D6039"/>
    <w:rsid w:val="005D60B6"/>
    <w:rsid w:val="005D6A6A"/>
    <w:rsid w:val="005D716F"/>
    <w:rsid w:val="005E03C7"/>
    <w:rsid w:val="005E1EC1"/>
    <w:rsid w:val="005E2C1B"/>
    <w:rsid w:val="005E30F0"/>
    <w:rsid w:val="005E3330"/>
    <w:rsid w:val="005E3987"/>
    <w:rsid w:val="005E3A57"/>
    <w:rsid w:val="005E3C2C"/>
    <w:rsid w:val="005E413F"/>
    <w:rsid w:val="005E48CD"/>
    <w:rsid w:val="005E4A70"/>
    <w:rsid w:val="005E4C9C"/>
    <w:rsid w:val="005E4CD6"/>
    <w:rsid w:val="005E5276"/>
    <w:rsid w:val="005E61A3"/>
    <w:rsid w:val="005E6475"/>
    <w:rsid w:val="005E6ADB"/>
    <w:rsid w:val="005E6CDB"/>
    <w:rsid w:val="005E7A10"/>
    <w:rsid w:val="005F04CB"/>
    <w:rsid w:val="005F0AE8"/>
    <w:rsid w:val="005F26EE"/>
    <w:rsid w:val="005F28B1"/>
    <w:rsid w:val="005F2FDC"/>
    <w:rsid w:val="005F527A"/>
    <w:rsid w:val="005F530A"/>
    <w:rsid w:val="005F6379"/>
    <w:rsid w:val="005F6792"/>
    <w:rsid w:val="005F71BC"/>
    <w:rsid w:val="005F7622"/>
    <w:rsid w:val="005F7947"/>
    <w:rsid w:val="006001B2"/>
    <w:rsid w:val="00601AE7"/>
    <w:rsid w:val="00601E47"/>
    <w:rsid w:val="0060308E"/>
    <w:rsid w:val="00605F7A"/>
    <w:rsid w:val="0060761A"/>
    <w:rsid w:val="00607F20"/>
    <w:rsid w:val="006109EA"/>
    <w:rsid w:val="00611C5C"/>
    <w:rsid w:val="006125E7"/>
    <w:rsid w:val="0061268E"/>
    <w:rsid w:val="006129EB"/>
    <w:rsid w:val="0061392A"/>
    <w:rsid w:val="006140B4"/>
    <w:rsid w:val="006144A3"/>
    <w:rsid w:val="006150D2"/>
    <w:rsid w:val="00615DF4"/>
    <w:rsid w:val="00616729"/>
    <w:rsid w:val="00616DCE"/>
    <w:rsid w:val="00617275"/>
    <w:rsid w:val="0061757C"/>
    <w:rsid w:val="0061779F"/>
    <w:rsid w:val="00617C76"/>
    <w:rsid w:val="00620BFB"/>
    <w:rsid w:val="00620D7D"/>
    <w:rsid w:val="006218F7"/>
    <w:rsid w:val="00622314"/>
    <w:rsid w:val="00622973"/>
    <w:rsid w:val="00622FA9"/>
    <w:rsid w:val="00623615"/>
    <w:rsid w:val="0062378E"/>
    <w:rsid w:val="006244D0"/>
    <w:rsid w:val="006246B7"/>
    <w:rsid w:val="00624F4B"/>
    <w:rsid w:val="006261E8"/>
    <w:rsid w:val="00626EFA"/>
    <w:rsid w:val="00627338"/>
    <w:rsid w:val="006277EC"/>
    <w:rsid w:val="00631356"/>
    <w:rsid w:val="00632D15"/>
    <w:rsid w:val="00633274"/>
    <w:rsid w:val="00633674"/>
    <w:rsid w:val="00633AD7"/>
    <w:rsid w:val="00633C71"/>
    <w:rsid w:val="00635EAA"/>
    <w:rsid w:val="0063695C"/>
    <w:rsid w:val="00636B5F"/>
    <w:rsid w:val="00637BE6"/>
    <w:rsid w:val="00640460"/>
    <w:rsid w:val="006413C9"/>
    <w:rsid w:val="0064167F"/>
    <w:rsid w:val="006416D8"/>
    <w:rsid w:val="00641B1B"/>
    <w:rsid w:val="00641CB4"/>
    <w:rsid w:val="00641D03"/>
    <w:rsid w:val="006420E9"/>
    <w:rsid w:val="00642446"/>
    <w:rsid w:val="006424E4"/>
    <w:rsid w:val="00642BEB"/>
    <w:rsid w:val="006430EC"/>
    <w:rsid w:val="00643642"/>
    <w:rsid w:val="00643A50"/>
    <w:rsid w:val="00643D01"/>
    <w:rsid w:val="00644C6B"/>
    <w:rsid w:val="00645842"/>
    <w:rsid w:val="00646371"/>
    <w:rsid w:val="00646601"/>
    <w:rsid w:val="00646C40"/>
    <w:rsid w:val="00646CFF"/>
    <w:rsid w:val="00646DE1"/>
    <w:rsid w:val="00646FFF"/>
    <w:rsid w:val="0064725E"/>
    <w:rsid w:val="006473DB"/>
    <w:rsid w:val="0064772D"/>
    <w:rsid w:val="00647A2D"/>
    <w:rsid w:val="00647C56"/>
    <w:rsid w:val="0065078F"/>
    <w:rsid w:val="006508CF"/>
    <w:rsid w:val="00650E85"/>
    <w:rsid w:val="006516AB"/>
    <w:rsid w:val="006519C1"/>
    <w:rsid w:val="00652129"/>
    <w:rsid w:val="006530A0"/>
    <w:rsid w:val="006533E6"/>
    <w:rsid w:val="00655AA2"/>
    <w:rsid w:val="00655FA9"/>
    <w:rsid w:val="00657222"/>
    <w:rsid w:val="0065782A"/>
    <w:rsid w:val="00657C3E"/>
    <w:rsid w:val="006602C2"/>
    <w:rsid w:val="006604C6"/>
    <w:rsid w:val="00661238"/>
    <w:rsid w:val="00662482"/>
    <w:rsid w:val="006627AF"/>
    <w:rsid w:val="00662DDE"/>
    <w:rsid w:val="00663043"/>
    <w:rsid w:val="006633F2"/>
    <w:rsid w:val="00664CB8"/>
    <w:rsid w:val="0066557A"/>
    <w:rsid w:val="006661CB"/>
    <w:rsid w:val="006668C6"/>
    <w:rsid w:val="00666E81"/>
    <w:rsid w:val="006676DA"/>
    <w:rsid w:val="00667F55"/>
    <w:rsid w:val="006704F0"/>
    <w:rsid w:val="006707BC"/>
    <w:rsid w:val="00670C16"/>
    <w:rsid w:val="006711FC"/>
    <w:rsid w:val="0067192F"/>
    <w:rsid w:val="00671F1A"/>
    <w:rsid w:val="00672788"/>
    <w:rsid w:val="00673110"/>
    <w:rsid w:val="0067314A"/>
    <w:rsid w:val="00673A61"/>
    <w:rsid w:val="00674790"/>
    <w:rsid w:val="0067547A"/>
    <w:rsid w:val="006775B6"/>
    <w:rsid w:val="00677D27"/>
    <w:rsid w:val="00680583"/>
    <w:rsid w:val="00681037"/>
    <w:rsid w:val="0068111F"/>
    <w:rsid w:val="00683125"/>
    <w:rsid w:val="00683719"/>
    <w:rsid w:val="00684988"/>
    <w:rsid w:val="00685E86"/>
    <w:rsid w:val="00686F73"/>
    <w:rsid w:val="00687D6D"/>
    <w:rsid w:val="00690232"/>
    <w:rsid w:val="006905D8"/>
    <w:rsid w:val="00691888"/>
    <w:rsid w:val="00691897"/>
    <w:rsid w:val="00692153"/>
    <w:rsid w:val="00692B9E"/>
    <w:rsid w:val="006934A2"/>
    <w:rsid w:val="00694177"/>
    <w:rsid w:val="00695A1D"/>
    <w:rsid w:val="006963BD"/>
    <w:rsid w:val="00697470"/>
    <w:rsid w:val="006976F9"/>
    <w:rsid w:val="006A121A"/>
    <w:rsid w:val="006A1267"/>
    <w:rsid w:val="006A33B5"/>
    <w:rsid w:val="006A3CAB"/>
    <w:rsid w:val="006A4EE1"/>
    <w:rsid w:val="006A4FF4"/>
    <w:rsid w:val="006A653F"/>
    <w:rsid w:val="006A71A2"/>
    <w:rsid w:val="006A73AD"/>
    <w:rsid w:val="006A7C8A"/>
    <w:rsid w:val="006B008E"/>
    <w:rsid w:val="006B019F"/>
    <w:rsid w:val="006B0438"/>
    <w:rsid w:val="006B0746"/>
    <w:rsid w:val="006B0C24"/>
    <w:rsid w:val="006B203F"/>
    <w:rsid w:val="006B21CD"/>
    <w:rsid w:val="006B275E"/>
    <w:rsid w:val="006B2CB3"/>
    <w:rsid w:val="006B2E5E"/>
    <w:rsid w:val="006B2FDB"/>
    <w:rsid w:val="006B3D51"/>
    <w:rsid w:val="006B3E8F"/>
    <w:rsid w:val="006B3F7D"/>
    <w:rsid w:val="006B488F"/>
    <w:rsid w:val="006B48B5"/>
    <w:rsid w:val="006B4B2A"/>
    <w:rsid w:val="006B5781"/>
    <w:rsid w:val="006B6240"/>
    <w:rsid w:val="006B664A"/>
    <w:rsid w:val="006B72C1"/>
    <w:rsid w:val="006B77E6"/>
    <w:rsid w:val="006C181D"/>
    <w:rsid w:val="006C1D50"/>
    <w:rsid w:val="006C43DF"/>
    <w:rsid w:val="006C5CB6"/>
    <w:rsid w:val="006C695E"/>
    <w:rsid w:val="006C6A69"/>
    <w:rsid w:val="006C77B7"/>
    <w:rsid w:val="006C7AF0"/>
    <w:rsid w:val="006D0C1B"/>
    <w:rsid w:val="006D1011"/>
    <w:rsid w:val="006D10D8"/>
    <w:rsid w:val="006D11AB"/>
    <w:rsid w:val="006D1443"/>
    <w:rsid w:val="006D3417"/>
    <w:rsid w:val="006D3A2E"/>
    <w:rsid w:val="006D5C2F"/>
    <w:rsid w:val="006D6DBE"/>
    <w:rsid w:val="006D7A47"/>
    <w:rsid w:val="006E1471"/>
    <w:rsid w:val="006E23C9"/>
    <w:rsid w:val="006E24DA"/>
    <w:rsid w:val="006E34A2"/>
    <w:rsid w:val="006E35D2"/>
    <w:rsid w:val="006E3BF4"/>
    <w:rsid w:val="006E3CFC"/>
    <w:rsid w:val="006E42A4"/>
    <w:rsid w:val="006E6039"/>
    <w:rsid w:val="006E66AD"/>
    <w:rsid w:val="006E680E"/>
    <w:rsid w:val="006E74FC"/>
    <w:rsid w:val="006E7D62"/>
    <w:rsid w:val="006F1947"/>
    <w:rsid w:val="006F1DC7"/>
    <w:rsid w:val="006F2517"/>
    <w:rsid w:val="006F2E16"/>
    <w:rsid w:val="006F3D0E"/>
    <w:rsid w:val="006F4B4F"/>
    <w:rsid w:val="006F6266"/>
    <w:rsid w:val="006F6565"/>
    <w:rsid w:val="006F65FA"/>
    <w:rsid w:val="00701927"/>
    <w:rsid w:val="007021C2"/>
    <w:rsid w:val="00702FA5"/>
    <w:rsid w:val="007034F9"/>
    <w:rsid w:val="00703896"/>
    <w:rsid w:val="00703D3E"/>
    <w:rsid w:val="00704AB6"/>
    <w:rsid w:val="00705831"/>
    <w:rsid w:val="00706077"/>
    <w:rsid w:val="00706818"/>
    <w:rsid w:val="007068D5"/>
    <w:rsid w:val="00707C36"/>
    <w:rsid w:val="0071067A"/>
    <w:rsid w:val="007108A0"/>
    <w:rsid w:val="007119D3"/>
    <w:rsid w:val="007120D8"/>
    <w:rsid w:val="00712B31"/>
    <w:rsid w:val="0071350B"/>
    <w:rsid w:val="00713E04"/>
    <w:rsid w:val="00717E85"/>
    <w:rsid w:val="00717FF6"/>
    <w:rsid w:val="007208E6"/>
    <w:rsid w:val="00723222"/>
    <w:rsid w:val="007232A9"/>
    <w:rsid w:val="0072332D"/>
    <w:rsid w:val="0072348E"/>
    <w:rsid w:val="007241FA"/>
    <w:rsid w:val="00724244"/>
    <w:rsid w:val="00724921"/>
    <w:rsid w:val="00724D20"/>
    <w:rsid w:val="00724F29"/>
    <w:rsid w:val="007256F9"/>
    <w:rsid w:val="00725E7C"/>
    <w:rsid w:val="00726AE6"/>
    <w:rsid w:val="00726D4F"/>
    <w:rsid w:val="00727E82"/>
    <w:rsid w:val="00730A2F"/>
    <w:rsid w:val="007313C4"/>
    <w:rsid w:val="00731703"/>
    <w:rsid w:val="00732715"/>
    <w:rsid w:val="00732E27"/>
    <w:rsid w:val="007335E3"/>
    <w:rsid w:val="00734525"/>
    <w:rsid w:val="0073570A"/>
    <w:rsid w:val="00735F9A"/>
    <w:rsid w:val="00736E9B"/>
    <w:rsid w:val="007370FE"/>
    <w:rsid w:val="007373F3"/>
    <w:rsid w:val="00740628"/>
    <w:rsid w:val="0074086D"/>
    <w:rsid w:val="00740F21"/>
    <w:rsid w:val="007411F9"/>
    <w:rsid w:val="00741AA5"/>
    <w:rsid w:val="00741FA1"/>
    <w:rsid w:val="007421FC"/>
    <w:rsid w:val="00742DB9"/>
    <w:rsid w:val="007446A2"/>
    <w:rsid w:val="007451D7"/>
    <w:rsid w:val="00745AE0"/>
    <w:rsid w:val="007464DC"/>
    <w:rsid w:val="00747132"/>
    <w:rsid w:val="007472BB"/>
    <w:rsid w:val="00750040"/>
    <w:rsid w:val="0075036E"/>
    <w:rsid w:val="00750639"/>
    <w:rsid w:val="00752812"/>
    <w:rsid w:val="00752B42"/>
    <w:rsid w:val="0075465C"/>
    <w:rsid w:val="0075479F"/>
    <w:rsid w:val="00754FF0"/>
    <w:rsid w:val="00755138"/>
    <w:rsid w:val="00755BE9"/>
    <w:rsid w:val="00756225"/>
    <w:rsid w:val="00757194"/>
    <w:rsid w:val="00757EA3"/>
    <w:rsid w:val="00760146"/>
    <w:rsid w:val="0076022F"/>
    <w:rsid w:val="007606E2"/>
    <w:rsid w:val="007624F8"/>
    <w:rsid w:val="00762561"/>
    <w:rsid w:val="00762990"/>
    <w:rsid w:val="00762B6D"/>
    <w:rsid w:val="00763457"/>
    <w:rsid w:val="00765063"/>
    <w:rsid w:val="0076550C"/>
    <w:rsid w:val="00765681"/>
    <w:rsid w:val="00766009"/>
    <w:rsid w:val="007665DB"/>
    <w:rsid w:val="00766B22"/>
    <w:rsid w:val="007678FC"/>
    <w:rsid w:val="00767EAF"/>
    <w:rsid w:val="0077056B"/>
    <w:rsid w:val="00771350"/>
    <w:rsid w:val="0077158D"/>
    <w:rsid w:val="00771655"/>
    <w:rsid w:val="00772230"/>
    <w:rsid w:val="007760C8"/>
    <w:rsid w:val="007760E1"/>
    <w:rsid w:val="007766AC"/>
    <w:rsid w:val="0077686D"/>
    <w:rsid w:val="00777BCB"/>
    <w:rsid w:val="00777D87"/>
    <w:rsid w:val="00780255"/>
    <w:rsid w:val="00780666"/>
    <w:rsid w:val="00781255"/>
    <w:rsid w:val="007816F0"/>
    <w:rsid w:val="00781C94"/>
    <w:rsid w:val="00781F89"/>
    <w:rsid w:val="00783EFA"/>
    <w:rsid w:val="007848F3"/>
    <w:rsid w:val="0078508A"/>
    <w:rsid w:val="007855E6"/>
    <w:rsid w:val="007864D8"/>
    <w:rsid w:val="00790466"/>
    <w:rsid w:val="0079143C"/>
    <w:rsid w:val="007929D5"/>
    <w:rsid w:val="0079563C"/>
    <w:rsid w:val="007958BC"/>
    <w:rsid w:val="00795D03"/>
    <w:rsid w:val="00795DD7"/>
    <w:rsid w:val="007961ED"/>
    <w:rsid w:val="00796E92"/>
    <w:rsid w:val="00797780"/>
    <w:rsid w:val="00797A4E"/>
    <w:rsid w:val="00797EDC"/>
    <w:rsid w:val="00797EF1"/>
    <w:rsid w:val="007A0528"/>
    <w:rsid w:val="007A0A46"/>
    <w:rsid w:val="007A0ED0"/>
    <w:rsid w:val="007A12F0"/>
    <w:rsid w:val="007A2AF0"/>
    <w:rsid w:val="007A5288"/>
    <w:rsid w:val="007A562C"/>
    <w:rsid w:val="007A648F"/>
    <w:rsid w:val="007A66D2"/>
    <w:rsid w:val="007A68B1"/>
    <w:rsid w:val="007A6EA9"/>
    <w:rsid w:val="007A7563"/>
    <w:rsid w:val="007A75DE"/>
    <w:rsid w:val="007A7793"/>
    <w:rsid w:val="007A7D5D"/>
    <w:rsid w:val="007B05CB"/>
    <w:rsid w:val="007B14C1"/>
    <w:rsid w:val="007B1B2F"/>
    <w:rsid w:val="007B1CCA"/>
    <w:rsid w:val="007B2366"/>
    <w:rsid w:val="007B2CA5"/>
    <w:rsid w:val="007B3679"/>
    <w:rsid w:val="007B3A4E"/>
    <w:rsid w:val="007B3A61"/>
    <w:rsid w:val="007B3FD4"/>
    <w:rsid w:val="007B4539"/>
    <w:rsid w:val="007B47C4"/>
    <w:rsid w:val="007B4B3E"/>
    <w:rsid w:val="007B4F72"/>
    <w:rsid w:val="007B5EAB"/>
    <w:rsid w:val="007B6A06"/>
    <w:rsid w:val="007B707D"/>
    <w:rsid w:val="007B7859"/>
    <w:rsid w:val="007B7CF5"/>
    <w:rsid w:val="007C03B5"/>
    <w:rsid w:val="007C1054"/>
    <w:rsid w:val="007C22AE"/>
    <w:rsid w:val="007C2755"/>
    <w:rsid w:val="007C2845"/>
    <w:rsid w:val="007C2DA6"/>
    <w:rsid w:val="007C3EDD"/>
    <w:rsid w:val="007C4A20"/>
    <w:rsid w:val="007C51CE"/>
    <w:rsid w:val="007C5A2B"/>
    <w:rsid w:val="007C70F0"/>
    <w:rsid w:val="007C7991"/>
    <w:rsid w:val="007C7CBF"/>
    <w:rsid w:val="007D0359"/>
    <w:rsid w:val="007D05C6"/>
    <w:rsid w:val="007D2553"/>
    <w:rsid w:val="007D2922"/>
    <w:rsid w:val="007D2F48"/>
    <w:rsid w:val="007D3292"/>
    <w:rsid w:val="007D35E0"/>
    <w:rsid w:val="007D3B02"/>
    <w:rsid w:val="007D5839"/>
    <w:rsid w:val="007D591C"/>
    <w:rsid w:val="007D64E0"/>
    <w:rsid w:val="007D6F16"/>
    <w:rsid w:val="007D7658"/>
    <w:rsid w:val="007E094A"/>
    <w:rsid w:val="007E13C0"/>
    <w:rsid w:val="007E1528"/>
    <w:rsid w:val="007E3657"/>
    <w:rsid w:val="007E379C"/>
    <w:rsid w:val="007E397A"/>
    <w:rsid w:val="007E3F57"/>
    <w:rsid w:val="007E6392"/>
    <w:rsid w:val="007E6418"/>
    <w:rsid w:val="007E705E"/>
    <w:rsid w:val="007E7F4D"/>
    <w:rsid w:val="007E7FA6"/>
    <w:rsid w:val="007F0A2B"/>
    <w:rsid w:val="007F0EF9"/>
    <w:rsid w:val="007F1534"/>
    <w:rsid w:val="007F1947"/>
    <w:rsid w:val="007F1B3D"/>
    <w:rsid w:val="007F1BB9"/>
    <w:rsid w:val="007F1DA2"/>
    <w:rsid w:val="007F1DDA"/>
    <w:rsid w:val="007F229D"/>
    <w:rsid w:val="007F3501"/>
    <w:rsid w:val="007F37DE"/>
    <w:rsid w:val="007F4653"/>
    <w:rsid w:val="007F58B9"/>
    <w:rsid w:val="007F73AC"/>
    <w:rsid w:val="007F78BF"/>
    <w:rsid w:val="00801752"/>
    <w:rsid w:val="00802380"/>
    <w:rsid w:val="00803BB4"/>
    <w:rsid w:val="0080413A"/>
    <w:rsid w:val="00804193"/>
    <w:rsid w:val="0080609B"/>
    <w:rsid w:val="008066BB"/>
    <w:rsid w:val="0080741E"/>
    <w:rsid w:val="008123FB"/>
    <w:rsid w:val="00812742"/>
    <w:rsid w:val="00812CFD"/>
    <w:rsid w:val="00812F76"/>
    <w:rsid w:val="008133F9"/>
    <w:rsid w:val="00814244"/>
    <w:rsid w:val="0081489A"/>
    <w:rsid w:val="00815F00"/>
    <w:rsid w:val="00816781"/>
    <w:rsid w:val="00816FDB"/>
    <w:rsid w:val="008200A7"/>
    <w:rsid w:val="00821CA1"/>
    <w:rsid w:val="00822F4B"/>
    <w:rsid w:val="008233F5"/>
    <w:rsid w:val="00823DA2"/>
    <w:rsid w:val="00825B65"/>
    <w:rsid w:val="00825D79"/>
    <w:rsid w:val="0082697E"/>
    <w:rsid w:val="008277E5"/>
    <w:rsid w:val="00827F7C"/>
    <w:rsid w:val="00830692"/>
    <w:rsid w:val="00831755"/>
    <w:rsid w:val="00831A99"/>
    <w:rsid w:val="00831D66"/>
    <w:rsid w:val="00831E38"/>
    <w:rsid w:val="00832491"/>
    <w:rsid w:val="008329B8"/>
    <w:rsid w:val="008339BB"/>
    <w:rsid w:val="00833B3C"/>
    <w:rsid w:val="00833F40"/>
    <w:rsid w:val="00834CB4"/>
    <w:rsid w:val="00834CF7"/>
    <w:rsid w:val="00834DAE"/>
    <w:rsid w:val="00834F9D"/>
    <w:rsid w:val="00835467"/>
    <w:rsid w:val="00835804"/>
    <w:rsid w:val="00836464"/>
    <w:rsid w:val="00837245"/>
    <w:rsid w:val="0083765B"/>
    <w:rsid w:val="00840104"/>
    <w:rsid w:val="008401C3"/>
    <w:rsid w:val="008403C7"/>
    <w:rsid w:val="00840694"/>
    <w:rsid w:val="00840DD1"/>
    <w:rsid w:val="00841AB2"/>
    <w:rsid w:val="00842D93"/>
    <w:rsid w:val="00842F25"/>
    <w:rsid w:val="008452D6"/>
    <w:rsid w:val="00845FDD"/>
    <w:rsid w:val="00846711"/>
    <w:rsid w:val="00847D2E"/>
    <w:rsid w:val="008501B1"/>
    <w:rsid w:val="00850461"/>
    <w:rsid w:val="00851B47"/>
    <w:rsid w:val="00851F0D"/>
    <w:rsid w:val="008526D3"/>
    <w:rsid w:val="00852838"/>
    <w:rsid w:val="00852B6E"/>
    <w:rsid w:val="0085367B"/>
    <w:rsid w:val="008536D1"/>
    <w:rsid w:val="00853ABD"/>
    <w:rsid w:val="00853DCA"/>
    <w:rsid w:val="00855158"/>
    <w:rsid w:val="00856023"/>
    <w:rsid w:val="008562E9"/>
    <w:rsid w:val="00857018"/>
    <w:rsid w:val="0085702A"/>
    <w:rsid w:val="00857809"/>
    <w:rsid w:val="00860519"/>
    <w:rsid w:val="00861824"/>
    <w:rsid w:val="00861A6A"/>
    <w:rsid w:val="008629C6"/>
    <w:rsid w:val="00862AB4"/>
    <w:rsid w:val="0086377A"/>
    <w:rsid w:val="00864059"/>
    <w:rsid w:val="0086478A"/>
    <w:rsid w:val="00865A67"/>
    <w:rsid w:val="008669EF"/>
    <w:rsid w:val="00866FA5"/>
    <w:rsid w:val="008674B2"/>
    <w:rsid w:val="00867AF2"/>
    <w:rsid w:val="00867BE9"/>
    <w:rsid w:val="008700C0"/>
    <w:rsid w:val="00870980"/>
    <w:rsid w:val="00872EF3"/>
    <w:rsid w:val="00873EDE"/>
    <w:rsid w:val="0087574F"/>
    <w:rsid w:val="00875871"/>
    <w:rsid w:val="00875EA2"/>
    <w:rsid w:val="008760D3"/>
    <w:rsid w:val="008769B7"/>
    <w:rsid w:val="00880127"/>
    <w:rsid w:val="008805B1"/>
    <w:rsid w:val="0088171A"/>
    <w:rsid w:val="00881D7A"/>
    <w:rsid w:val="008822F5"/>
    <w:rsid w:val="008823DD"/>
    <w:rsid w:val="00883069"/>
    <w:rsid w:val="008831C6"/>
    <w:rsid w:val="00883CFE"/>
    <w:rsid w:val="00883FCA"/>
    <w:rsid w:val="00884584"/>
    <w:rsid w:val="0088493F"/>
    <w:rsid w:val="008858A4"/>
    <w:rsid w:val="00885AE1"/>
    <w:rsid w:val="00885B8C"/>
    <w:rsid w:val="00885FB9"/>
    <w:rsid w:val="0088714A"/>
    <w:rsid w:val="00890EC6"/>
    <w:rsid w:val="00892A2B"/>
    <w:rsid w:val="008930DE"/>
    <w:rsid w:val="008931CB"/>
    <w:rsid w:val="008947C8"/>
    <w:rsid w:val="008949E7"/>
    <w:rsid w:val="008949EE"/>
    <w:rsid w:val="00895A51"/>
    <w:rsid w:val="008A0525"/>
    <w:rsid w:val="008A0984"/>
    <w:rsid w:val="008A0A31"/>
    <w:rsid w:val="008A0DAD"/>
    <w:rsid w:val="008A153E"/>
    <w:rsid w:val="008A26E5"/>
    <w:rsid w:val="008A2AB9"/>
    <w:rsid w:val="008A3DDD"/>
    <w:rsid w:val="008A418B"/>
    <w:rsid w:val="008A44D3"/>
    <w:rsid w:val="008A643F"/>
    <w:rsid w:val="008A6559"/>
    <w:rsid w:val="008A6AB9"/>
    <w:rsid w:val="008A6EA8"/>
    <w:rsid w:val="008A7B89"/>
    <w:rsid w:val="008B0467"/>
    <w:rsid w:val="008B1D99"/>
    <w:rsid w:val="008B2029"/>
    <w:rsid w:val="008B22EF"/>
    <w:rsid w:val="008B28C1"/>
    <w:rsid w:val="008B2C22"/>
    <w:rsid w:val="008B2FC0"/>
    <w:rsid w:val="008B304D"/>
    <w:rsid w:val="008B3B53"/>
    <w:rsid w:val="008B5D3C"/>
    <w:rsid w:val="008B6A12"/>
    <w:rsid w:val="008B6EBD"/>
    <w:rsid w:val="008B6F79"/>
    <w:rsid w:val="008B7C4F"/>
    <w:rsid w:val="008B7FE8"/>
    <w:rsid w:val="008C01E1"/>
    <w:rsid w:val="008C0558"/>
    <w:rsid w:val="008C1038"/>
    <w:rsid w:val="008C12C8"/>
    <w:rsid w:val="008C1862"/>
    <w:rsid w:val="008C1C51"/>
    <w:rsid w:val="008C2F46"/>
    <w:rsid w:val="008C31CB"/>
    <w:rsid w:val="008C361E"/>
    <w:rsid w:val="008C3EF2"/>
    <w:rsid w:val="008C3F28"/>
    <w:rsid w:val="008C522F"/>
    <w:rsid w:val="008C56A4"/>
    <w:rsid w:val="008C5C4B"/>
    <w:rsid w:val="008C698D"/>
    <w:rsid w:val="008C782E"/>
    <w:rsid w:val="008D1279"/>
    <w:rsid w:val="008D1855"/>
    <w:rsid w:val="008D28D7"/>
    <w:rsid w:val="008D2945"/>
    <w:rsid w:val="008D3AF7"/>
    <w:rsid w:val="008D4186"/>
    <w:rsid w:val="008D4BEA"/>
    <w:rsid w:val="008D5A14"/>
    <w:rsid w:val="008E0613"/>
    <w:rsid w:val="008E1A27"/>
    <w:rsid w:val="008E1A80"/>
    <w:rsid w:val="008E1A9E"/>
    <w:rsid w:val="008E2196"/>
    <w:rsid w:val="008E36B4"/>
    <w:rsid w:val="008E58D2"/>
    <w:rsid w:val="008E6178"/>
    <w:rsid w:val="008E7300"/>
    <w:rsid w:val="008E78E1"/>
    <w:rsid w:val="008F0A7A"/>
    <w:rsid w:val="008F120D"/>
    <w:rsid w:val="008F197C"/>
    <w:rsid w:val="008F1A9C"/>
    <w:rsid w:val="008F300D"/>
    <w:rsid w:val="008F3136"/>
    <w:rsid w:val="008F39F2"/>
    <w:rsid w:val="008F4379"/>
    <w:rsid w:val="008F5396"/>
    <w:rsid w:val="008F5671"/>
    <w:rsid w:val="008F5840"/>
    <w:rsid w:val="008F58E7"/>
    <w:rsid w:val="008F6104"/>
    <w:rsid w:val="008F646D"/>
    <w:rsid w:val="008F690D"/>
    <w:rsid w:val="008F762B"/>
    <w:rsid w:val="008F7B2B"/>
    <w:rsid w:val="00900461"/>
    <w:rsid w:val="009006AD"/>
    <w:rsid w:val="00900D1B"/>
    <w:rsid w:val="00900E74"/>
    <w:rsid w:val="00901074"/>
    <w:rsid w:val="00901140"/>
    <w:rsid w:val="0090136D"/>
    <w:rsid w:val="00901C8B"/>
    <w:rsid w:val="00902139"/>
    <w:rsid w:val="00902CC9"/>
    <w:rsid w:val="00903D87"/>
    <w:rsid w:val="0090464B"/>
    <w:rsid w:val="00904761"/>
    <w:rsid w:val="009048F5"/>
    <w:rsid w:val="009050E3"/>
    <w:rsid w:val="009062F5"/>
    <w:rsid w:val="0090640C"/>
    <w:rsid w:val="0091123D"/>
    <w:rsid w:val="00911614"/>
    <w:rsid w:val="00912223"/>
    <w:rsid w:val="009123C0"/>
    <w:rsid w:val="00912918"/>
    <w:rsid w:val="009130D4"/>
    <w:rsid w:val="00913365"/>
    <w:rsid w:val="00913F3A"/>
    <w:rsid w:val="009150E0"/>
    <w:rsid w:val="0091572D"/>
    <w:rsid w:val="00916B87"/>
    <w:rsid w:val="00916BCD"/>
    <w:rsid w:val="0092015A"/>
    <w:rsid w:val="00920D98"/>
    <w:rsid w:val="00920E19"/>
    <w:rsid w:val="00922A7D"/>
    <w:rsid w:val="009254DF"/>
    <w:rsid w:val="00925BB9"/>
    <w:rsid w:val="00925E31"/>
    <w:rsid w:val="00926F8E"/>
    <w:rsid w:val="00927337"/>
    <w:rsid w:val="00927C89"/>
    <w:rsid w:val="009305C2"/>
    <w:rsid w:val="00930726"/>
    <w:rsid w:val="00930739"/>
    <w:rsid w:val="009307C6"/>
    <w:rsid w:val="00930827"/>
    <w:rsid w:val="00931620"/>
    <w:rsid w:val="00931E3E"/>
    <w:rsid w:val="00932B2B"/>
    <w:rsid w:val="00933A03"/>
    <w:rsid w:val="00933BF4"/>
    <w:rsid w:val="00933CA0"/>
    <w:rsid w:val="00934AE4"/>
    <w:rsid w:val="0094265E"/>
    <w:rsid w:val="0094318C"/>
    <w:rsid w:val="00943298"/>
    <w:rsid w:val="009434AF"/>
    <w:rsid w:val="00943533"/>
    <w:rsid w:val="009435E8"/>
    <w:rsid w:val="00943CD8"/>
    <w:rsid w:val="00943D7C"/>
    <w:rsid w:val="00943DC2"/>
    <w:rsid w:val="00944579"/>
    <w:rsid w:val="009445B9"/>
    <w:rsid w:val="009445EE"/>
    <w:rsid w:val="00944B35"/>
    <w:rsid w:val="00944D64"/>
    <w:rsid w:val="00945CC4"/>
    <w:rsid w:val="009466C3"/>
    <w:rsid w:val="0094692B"/>
    <w:rsid w:val="00946F45"/>
    <w:rsid w:val="0095076A"/>
    <w:rsid w:val="00950F6F"/>
    <w:rsid w:val="009516ED"/>
    <w:rsid w:val="00953583"/>
    <w:rsid w:val="009537B3"/>
    <w:rsid w:val="00953AEB"/>
    <w:rsid w:val="0095433A"/>
    <w:rsid w:val="009547AF"/>
    <w:rsid w:val="00954867"/>
    <w:rsid w:val="00954D10"/>
    <w:rsid w:val="009564E7"/>
    <w:rsid w:val="009571DE"/>
    <w:rsid w:val="00957AA5"/>
    <w:rsid w:val="00957EA9"/>
    <w:rsid w:val="00961353"/>
    <w:rsid w:val="00961EF8"/>
    <w:rsid w:val="00962221"/>
    <w:rsid w:val="009630E4"/>
    <w:rsid w:val="0096402B"/>
    <w:rsid w:val="00964EB1"/>
    <w:rsid w:val="00965097"/>
    <w:rsid w:val="009669F7"/>
    <w:rsid w:val="00967375"/>
    <w:rsid w:val="0096757C"/>
    <w:rsid w:val="009677A3"/>
    <w:rsid w:val="0097037A"/>
    <w:rsid w:val="00970F35"/>
    <w:rsid w:val="00971E7D"/>
    <w:rsid w:val="00971F32"/>
    <w:rsid w:val="009725FE"/>
    <w:rsid w:val="009733A2"/>
    <w:rsid w:val="00974849"/>
    <w:rsid w:val="00974934"/>
    <w:rsid w:val="00974A32"/>
    <w:rsid w:val="0097687D"/>
    <w:rsid w:val="00976E30"/>
    <w:rsid w:val="009771D0"/>
    <w:rsid w:val="00980094"/>
    <w:rsid w:val="00980431"/>
    <w:rsid w:val="00980A50"/>
    <w:rsid w:val="00980B89"/>
    <w:rsid w:val="00980E69"/>
    <w:rsid w:val="0098277F"/>
    <w:rsid w:val="00982F87"/>
    <w:rsid w:val="0098428F"/>
    <w:rsid w:val="00984347"/>
    <w:rsid w:val="00984393"/>
    <w:rsid w:val="00984581"/>
    <w:rsid w:val="00984A18"/>
    <w:rsid w:val="00984AD2"/>
    <w:rsid w:val="00984D43"/>
    <w:rsid w:val="00986471"/>
    <w:rsid w:val="0098715B"/>
    <w:rsid w:val="0098745B"/>
    <w:rsid w:val="009906F2"/>
    <w:rsid w:val="009911EE"/>
    <w:rsid w:val="009913A2"/>
    <w:rsid w:val="009926D3"/>
    <w:rsid w:val="0099322B"/>
    <w:rsid w:val="00994589"/>
    <w:rsid w:val="00994DF0"/>
    <w:rsid w:val="00995A12"/>
    <w:rsid w:val="009964A4"/>
    <w:rsid w:val="009966E1"/>
    <w:rsid w:val="00996D44"/>
    <w:rsid w:val="0099716F"/>
    <w:rsid w:val="009971E3"/>
    <w:rsid w:val="009979C4"/>
    <w:rsid w:val="009A052F"/>
    <w:rsid w:val="009A05BA"/>
    <w:rsid w:val="009A0D38"/>
    <w:rsid w:val="009A1144"/>
    <w:rsid w:val="009A13F2"/>
    <w:rsid w:val="009A16C5"/>
    <w:rsid w:val="009A21A2"/>
    <w:rsid w:val="009A2470"/>
    <w:rsid w:val="009A2848"/>
    <w:rsid w:val="009A3820"/>
    <w:rsid w:val="009A401D"/>
    <w:rsid w:val="009A4B18"/>
    <w:rsid w:val="009A60D5"/>
    <w:rsid w:val="009A6698"/>
    <w:rsid w:val="009A6DFA"/>
    <w:rsid w:val="009A6EB7"/>
    <w:rsid w:val="009B0A1E"/>
    <w:rsid w:val="009B1149"/>
    <w:rsid w:val="009B18E4"/>
    <w:rsid w:val="009B2291"/>
    <w:rsid w:val="009B2648"/>
    <w:rsid w:val="009B3578"/>
    <w:rsid w:val="009B3C6B"/>
    <w:rsid w:val="009B3C80"/>
    <w:rsid w:val="009B4306"/>
    <w:rsid w:val="009B4943"/>
    <w:rsid w:val="009B4B7A"/>
    <w:rsid w:val="009B4CE1"/>
    <w:rsid w:val="009B52BA"/>
    <w:rsid w:val="009B54B1"/>
    <w:rsid w:val="009B5E3D"/>
    <w:rsid w:val="009B63B8"/>
    <w:rsid w:val="009B6D72"/>
    <w:rsid w:val="009B6D86"/>
    <w:rsid w:val="009B7EC5"/>
    <w:rsid w:val="009C1873"/>
    <w:rsid w:val="009C304E"/>
    <w:rsid w:val="009C30D0"/>
    <w:rsid w:val="009C345C"/>
    <w:rsid w:val="009C3E1B"/>
    <w:rsid w:val="009C50F3"/>
    <w:rsid w:val="009C6376"/>
    <w:rsid w:val="009C69B7"/>
    <w:rsid w:val="009C6B40"/>
    <w:rsid w:val="009C7C69"/>
    <w:rsid w:val="009D03DA"/>
    <w:rsid w:val="009D0729"/>
    <w:rsid w:val="009D07B9"/>
    <w:rsid w:val="009D0A13"/>
    <w:rsid w:val="009D0E31"/>
    <w:rsid w:val="009D165A"/>
    <w:rsid w:val="009D2A92"/>
    <w:rsid w:val="009D4101"/>
    <w:rsid w:val="009D47D4"/>
    <w:rsid w:val="009D4D44"/>
    <w:rsid w:val="009D515A"/>
    <w:rsid w:val="009D58BE"/>
    <w:rsid w:val="009D6B99"/>
    <w:rsid w:val="009D766A"/>
    <w:rsid w:val="009D794B"/>
    <w:rsid w:val="009E00FB"/>
    <w:rsid w:val="009E0417"/>
    <w:rsid w:val="009E0906"/>
    <w:rsid w:val="009E16A9"/>
    <w:rsid w:val="009E2C76"/>
    <w:rsid w:val="009E376E"/>
    <w:rsid w:val="009E3BB2"/>
    <w:rsid w:val="009E5790"/>
    <w:rsid w:val="009E5F38"/>
    <w:rsid w:val="009E6AB9"/>
    <w:rsid w:val="009E7279"/>
    <w:rsid w:val="009E752D"/>
    <w:rsid w:val="009E7A89"/>
    <w:rsid w:val="009F0117"/>
    <w:rsid w:val="009F07B9"/>
    <w:rsid w:val="009F0A61"/>
    <w:rsid w:val="009F0EEF"/>
    <w:rsid w:val="009F1E1E"/>
    <w:rsid w:val="009F38B9"/>
    <w:rsid w:val="009F450E"/>
    <w:rsid w:val="009F4624"/>
    <w:rsid w:val="009F490B"/>
    <w:rsid w:val="009F5328"/>
    <w:rsid w:val="009F6AE0"/>
    <w:rsid w:val="009F6D0A"/>
    <w:rsid w:val="009F7176"/>
    <w:rsid w:val="009F745C"/>
    <w:rsid w:val="00A013C2"/>
    <w:rsid w:val="00A0170B"/>
    <w:rsid w:val="00A02C8A"/>
    <w:rsid w:val="00A0314D"/>
    <w:rsid w:val="00A03BF2"/>
    <w:rsid w:val="00A05D49"/>
    <w:rsid w:val="00A06329"/>
    <w:rsid w:val="00A06F9B"/>
    <w:rsid w:val="00A0B0A0"/>
    <w:rsid w:val="00A10294"/>
    <w:rsid w:val="00A11EA2"/>
    <w:rsid w:val="00A11F14"/>
    <w:rsid w:val="00A12631"/>
    <w:rsid w:val="00A1290A"/>
    <w:rsid w:val="00A1306C"/>
    <w:rsid w:val="00A1455F"/>
    <w:rsid w:val="00A14FE0"/>
    <w:rsid w:val="00A16E19"/>
    <w:rsid w:val="00A22719"/>
    <w:rsid w:val="00A22B28"/>
    <w:rsid w:val="00A22B8A"/>
    <w:rsid w:val="00A247AF"/>
    <w:rsid w:val="00A24A4B"/>
    <w:rsid w:val="00A26687"/>
    <w:rsid w:val="00A27CEC"/>
    <w:rsid w:val="00A31A0D"/>
    <w:rsid w:val="00A31F86"/>
    <w:rsid w:val="00A32188"/>
    <w:rsid w:val="00A32231"/>
    <w:rsid w:val="00A32418"/>
    <w:rsid w:val="00A32748"/>
    <w:rsid w:val="00A32C65"/>
    <w:rsid w:val="00A33238"/>
    <w:rsid w:val="00A33C76"/>
    <w:rsid w:val="00A33CEB"/>
    <w:rsid w:val="00A33D47"/>
    <w:rsid w:val="00A35762"/>
    <w:rsid w:val="00A35B01"/>
    <w:rsid w:val="00A3616A"/>
    <w:rsid w:val="00A36D7C"/>
    <w:rsid w:val="00A3780D"/>
    <w:rsid w:val="00A37B60"/>
    <w:rsid w:val="00A4011F"/>
    <w:rsid w:val="00A4060C"/>
    <w:rsid w:val="00A4235C"/>
    <w:rsid w:val="00A424F3"/>
    <w:rsid w:val="00A428E2"/>
    <w:rsid w:val="00A42D71"/>
    <w:rsid w:val="00A42F4F"/>
    <w:rsid w:val="00A433A0"/>
    <w:rsid w:val="00A44D46"/>
    <w:rsid w:val="00A44DC9"/>
    <w:rsid w:val="00A4537F"/>
    <w:rsid w:val="00A462C7"/>
    <w:rsid w:val="00A4674F"/>
    <w:rsid w:val="00A46CD8"/>
    <w:rsid w:val="00A47605"/>
    <w:rsid w:val="00A513D6"/>
    <w:rsid w:val="00A52331"/>
    <w:rsid w:val="00A524CE"/>
    <w:rsid w:val="00A52A50"/>
    <w:rsid w:val="00A53051"/>
    <w:rsid w:val="00A54404"/>
    <w:rsid w:val="00A55032"/>
    <w:rsid w:val="00A558AA"/>
    <w:rsid w:val="00A55A08"/>
    <w:rsid w:val="00A574E1"/>
    <w:rsid w:val="00A6143E"/>
    <w:rsid w:val="00A61F78"/>
    <w:rsid w:val="00A6242A"/>
    <w:rsid w:val="00A627D5"/>
    <w:rsid w:val="00A62D3E"/>
    <w:rsid w:val="00A631FD"/>
    <w:rsid w:val="00A64DF5"/>
    <w:rsid w:val="00A65831"/>
    <w:rsid w:val="00A66052"/>
    <w:rsid w:val="00A664C1"/>
    <w:rsid w:val="00A665B4"/>
    <w:rsid w:val="00A679F3"/>
    <w:rsid w:val="00A70493"/>
    <w:rsid w:val="00A70578"/>
    <w:rsid w:val="00A70C35"/>
    <w:rsid w:val="00A725A3"/>
    <w:rsid w:val="00A738B6"/>
    <w:rsid w:val="00A76006"/>
    <w:rsid w:val="00A762A6"/>
    <w:rsid w:val="00A763B4"/>
    <w:rsid w:val="00A7687F"/>
    <w:rsid w:val="00A76F3F"/>
    <w:rsid w:val="00A77123"/>
    <w:rsid w:val="00A775C7"/>
    <w:rsid w:val="00A8071B"/>
    <w:rsid w:val="00A813DB"/>
    <w:rsid w:val="00A81989"/>
    <w:rsid w:val="00A81D0F"/>
    <w:rsid w:val="00A832D0"/>
    <w:rsid w:val="00A8389E"/>
    <w:rsid w:val="00A83C5B"/>
    <w:rsid w:val="00A842C8"/>
    <w:rsid w:val="00A84599"/>
    <w:rsid w:val="00A84851"/>
    <w:rsid w:val="00A84ED0"/>
    <w:rsid w:val="00A86EFE"/>
    <w:rsid w:val="00A8780F"/>
    <w:rsid w:val="00A90895"/>
    <w:rsid w:val="00A917D6"/>
    <w:rsid w:val="00A91E92"/>
    <w:rsid w:val="00A923EB"/>
    <w:rsid w:val="00A9268B"/>
    <w:rsid w:val="00A92914"/>
    <w:rsid w:val="00A92D1C"/>
    <w:rsid w:val="00A92E62"/>
    <w:rsid w:val="00A93A72"/>
    <w:rsid w:val="00A94126"/>
    <w:rsid w:val="00A94A81"/>
    <w:rsid w:val="00A950BD"/>
    <w:rsid w:val="00A95428"/>
    <w:rsid w:val="00A9589C"/>
    <w:rsid w:val="00A96451"/>
    <w:rsid w:val="00A96C5F"/>
    <w:rsid w:val="00A97AD6"/>
    <w:rsid w:val="00AA13E3"/>
    <w:rsid w:val="00AA14E7"/>
    <w:rsid w:val="00AA237C"/>
    <w:rsid w:val="00AA239D"/>
    <w:rsid w:val="00AA39FF"/>
    <w:rsid w:val="00AA48C5"/>
    <w:rsid w:val="00AA4AAB"/>
    <w:rsid w:val="00AA547B"/>
    <w:rsid w:val="00AA5D59"/>
    <w:rsid w:val="00AA5EF6"/>
    <w:rsid w:val="00AA6058"/>
    <w:rsid w:val="00AA652C"/>
    <w:rsid w:val="00AA6A5F"/>
    <w:rsid w:val="00AA7F80"/>
    <w:rsid w:val="00AB026B"/>
    <w:rsid w:val="00AB03F4"/>
    <w:rsid w:val="00AB0D9D"/>
    <w:rsid w:val="00AB26B4"/>
    <w:rsid w:val="00AB2938"/>
    <w:rsid w:val="00AB41E3"/>
    <w:rsid w:val="00AB4311"/>
    <w:rsid w:val="00AB49EF"/>
    <w:rsid w:val="00AB576A"/>
    <w:rsid w:val="00AB57F0"/>
    <w:rsid w:val="00AC0B55"/>
    <w:rsid w:val="00AC0D50"/>
    <w:rsid w:val="00AC265A"/>
    <w:rsid w:val="00AC2DE9"/>
    <w:rsid w:val="00AC3019"/>
    <w:rsid w:val="00AC37D3"/>
    <w:rsid w:val="00AC45A9"/>
    <w:rsid w:val="00AC474C"/>
    <w:rsid w:val="00AC672A"/>
    <w:rsid w:val="00AC6B89"/>
    <w:rsid w:val="00AC750C"/>
    <w:rsid w:val="00AC768E"/>
    <w:rsid w:val="00AD195B"/>
    <w:rsid w:val="00AD2FF3"/>
    <w:rsid w:val="00AD35A7"/>
    <w:rsid w:val="00AD3A67"/>
    <w:rsid w:val="00AD3C8A"/>
    <w:rsid w:val="00AD455E"/>
    <w:rsid w:val="00AD49D5"/>
    <w:rsid w:val="00AD5523"/>
    <w:rsid w:val="00AD5562"/>
    <w:rsid w:val="00AD58DA"/>
    <w:rsid w:val="00AD5F0F"/>
    <w:rsid w:val="00AE13E8"/>
    <w:rsid w:val="00AE18F9"/>
    <w:rsid w:val="00AE25D1"/>
    <w:rsid w:val="00AE29A5"/>
    <w:rsid w:val="00AE2AD0"/>
    <w:rsid w:val="00AE2B49"/>
    <w:rsid w:val="00AE4108"/>
    <w:rsid w:val="00AE4C2C"/>
    <w:rsid w:val="00AE5B2D"/>
    <w:rsid w:val="00AE5F86"/>
    <w:rsid w:val="00AE6372"/>
    <w:rsid w:val="00AE695A"/>
    <w:rsid w:val="00AF1A73"/>
    <w:rsid w:val="00AF1F11"/>
    <w:rsid w:val="00AF30CF"/>
    <w:rsid w:val="00AF3FE8"/>
    <w:rsid w:val="00AF4C31"/>
    <w:rsid w:val="00AF4C6E"/>
    <w:rsid w:val="00AF5D92"/>
    <w:rsid w:val="00AF6DDA"/>
    <w:rsid w:val="00AF78CA"/>
    <w:rsid w:val="00AF7948"/>
    <w:rsid w:val="00B01872"/>
    <w:rsid w:val="00B02225"/>
    <w:rsid w:val="00B03B19"/>
    <w:rsid w:val="00B04937"/>
    <w:rsid w:val="00B058F6"/>
    <w:rsid w:val="00B05DFD"/>
    <w:rsid w:val="00B05E3F"/>
    <w:rsid w:val="00B06882"/>
    <w:rsid w:val="00B06930"/>
    <w:rsid w:val="00B069BC"/>
    <w:rsid w:val="00B07DE8"/>
    <w:rsid w:val="00B10D51"/>
    <w:rsid w:val="00B11BBF"/>
    <w:rsid w:val="00B11BE4"/>
    <w:rsid w:val="00B12289"/>
    <w:rsid w:val="00B12E18"/>
    <w:rsid w:val="00B12F9D"/>
    <w:rsid w:val="00B1308B"/>
    <w:rsid w:val="00B141CB"/>
    <w:rsid w:val="00B1533B"/>
    <w:rsid w:val="00B15AC6"/>
    <w:rsid w:val="00B15F55"/>
    <w:rsid w:val="00B16C34"/>
    <w:rsid w:val="00B16FC2"/>
    <w:rsid w:val="00B2156D"/>
    <w:rsid w:val="00B215DE"/>
    <w:rsid w:val="00B21BFA"/>
    <w:rsid w:val="00B22C20"/>
    <w:rsid w:val="00B23D12"/>
    <w:rsid w:val="00B247C8"/>
    <w:rsid w:val="00B24C3E"/>
    <w:rsid w:val="00B24E28"/>
    <w:rsid w:val="00B24F24"/>
    <w:rsid w:val="00B257D3"/>
    <w:rsid w:val="00B26C81"/>
    <w:rsid w:val="00B2714F"/>
    <w:rsid w:val="00B27455"/>
    <w:rsid w:val="00B30FB5"/>
    <w:rsid w:val="00B3251A"/>
    <w:rsid w:val="00B327E6"/>
    <w:rsid w:val="00B344C9"/>
    <w:rsid w:val="00B35833"/>
    <w:rsid w:val="00B36B5A"/>
    <w:rsid w:val="00B37903"/>
    <w:rsid w:val="00B37B64"/>
    <w:rsid w:val="00B40916"/>
    <w:rsid w:val="00B40DE7"/>
    <w:rsid w:val="00B412BE"/>
    <w:rsid w:val="00B4130B"/>
    <w:rsid w:val="00B42206"/>
    <w:rsid w:val="00B423B4"/>
    <w:rsid w:val="00B42CB1"/>
    <w:rsid w:val="00B43315"/>
    <w:rsid w:val="00B43EBB"/>
    <w:rsid w:val="00B440F4"/>
    <w:rsid w:val="00B441D2"/>
    <w:rsid w:val="00B44528"/>
    <w:rsid w:val="00B445E2"/>
    <w:rsid w:val="00B44681"/>
    <w:rsid w:val="00B45135"/>
    <w:rsid w:val="00B456F2"/>
    <w:rsid w:val="00B45C29"/>
    <w:rsid w:val="00B45D8F"/>
    <w:rsid w:val="00B46E4B"/>
    <w:rsid w:val="00B47505"/>
    <w:rsid w:val="00B47895"/>
    <w:rsid w:val="00B47A9E"/>
    <w:rsid w:val="00B516EB"/>
    <w:rsid w:val="00B52CF6"/>
    <w:rsid w:val="00B532E6"/>
    <w:rsid w:val="00B53C99"/>
    <w:rsid w:val="00B54B59"/>
    <w:rsid w:val="00B56610"/>
    <w:rsid w:val="00B56E17"/>
    <w:rsid w:val="00B57746"/>
    <w:rsid w:val="00B60323"/>
    <w:rsid w:val="00B604C7"/>
    <w:rsid w:val="00B6089C"/>
    <w:rsid w:val="00B60F79"/>
    <w:rsid w:val="00B61044"/>
    <w:rsid w:val="00B61FD0"/>
    <w:rsid w:val="00B6230B"/>
    <w:rsid w:val="00B627E8"/>
    <w:rsid w:val="00B635EE"/>
    <w:rsid w:val="00B63CC9"/>
    <w:rsid w:val="00B6436F"/>
    <w:rsid w:val="00B6485C"/>
    <w:rsid w:val="00B64AE5"/>
    <w:rsid w:val="00B672D7"/>
    <w:rsid w:val="00B679A1"/>
    <w:rsid w:val="00B67F30"/>
    <w:rsid w:val="00B70DB2"/>
    <w:rsid w:val="00B71131"/>
    <w:rsid w:val="00B717C3"/>
    <w:rsid w:val="00B71817"/>
    <w:rsid w:val="00B73A73"/>
    <w:rsid w:val="00B75FC7"/>
    <w:rsid w:val="00B76519"/>
    <w:rsid w:val="00B771B9"/>
    <w:rsid w:val="00B805B4"/>
    <w:rsid w:val="00B807D7"/>
    <w:rsid w:val="00B82DEF"/>
    <w:rsid w:val="00B838AF"/>
    <w:rsid w:val="00B839CC"/>
    <w:rsid w:val="00B83B07"/>
    <w:rsid w:val="00B8407F"/>
    <w:rsid w:val="00B84EEE"/>
    <w:rsid w:val="00B85D3E"/>
    <w:rsid w:val="00B8706D"/>
    <w:rsid w:val="00B87686"/>
    <w:rsid w:val="00B87CAE"/>
    <w:rsid w:val="00B90B13"/>
    <w:rsid w:val="00B9110F"/>
    <w:rsid w:val="00B919CB"/>
    <w:rsid w:val="00B91A63"/>
    <w:rsid w:val="00B91B86"/>
    <w:rsid w:val="00B91CF0"/>
    <w:rsid w:val="00B91D7C"/>
    <w:rsid w:val="00B93951"/>
    <w:rsid w:val="00B93A65"/>
    <w:rsid w:val="00B93E10"/>
    <w:rsid w:val="00B943F8"/>
    <w:rsid w:val="00BA1188"/>
    <w:rsid w:val="00BA2A27"/>
    <w:rsid w:val="00BA4484"/>
    <w:rsid w:val="00BA6C65"/>
    <w:rsid w:val="00BA6FB4"/>
    <w:rsid w:val="00BB0205"/>
    <w:rsid w:val="00BB0837"/>
    <w:rsid w:val="00BB1C59"/>
    <w:rsid w:val="00BB2C16"/>
    <w:rsid w:val="00BB2CF9"/>
    <w:rsid w:val="00BB3006"/>
    <w:rsid w:val="00BB3070"/>
    <w:rsid w:val="00BB448E"/>
    <w:rsid w:val="00BB4AE3"/>
    <w:rsid w:val="00BB5541"/>
    <w:rsid w:val="00BB6335"/>
    <w:rsid w:val="00BB67B1"/>
    <w:rsid w:val="00BB687B"/>
    <w:rsid w:val="00BB6945"/>
    <w:rsid w:val="00BB6949"/>
    <w:rsid w:val="00BB7716"/>
    <w:rsid w:val="00BB7FAD"/>
    <w:rsid w:val="00BC12D3"/>
    <w:rsid w:val="00BC165A"/>
    <w:rsid w:val="00BC2935"/>
    <w:rsid w:val="00BC33FE"/>
    <w:rsid w:val="00BC4022"/>
    <w:rsid w:val="00BC58DD"/>
    <w:rsid w:val="00BC5D32"/>
    <w:rsid w:val="00BC729C"/>
    <w:rsid w:val="00BD1BAA"/>
    <w:rsid w:val="00BD468E"/>
    <w:rsid w:val="00BD55F7"/>
    <w:rsid w:val="00BD5602"/>
    <w:rsid w:val="00BD68A6"/>
    <w:rsid w:val="00BE0003"/>
    <w:rsid w:val="00BE036C"/>
    <w:rsid w:val="00BE0B3B"/>
    <w:rsid w:val="00BE1266"/>
    <w:rsid w:val="00BE1797"/>
    <w:rsid w:val="00BE1845"/>
    <w:rsid w:val="00BE214C"/>
    <w:rsid w:val="00BE2911"/>
    <w:rsid w:val="00BE34A5"/>
    <w:rsid w:val="00BE43D8"/>
    <w:rsid w:val="00BE4685"/>
    <w:rsid w:val="00BE5092"/>
    <w:rsid w:val="00BE5D47"/>
    <w:rsid w:val="00BE64B6"/>
    <w:rsid w:val="00BF067F"/>
    <w:rsid w:val="00BF09CB"/>
    <w:rsid w:val="00BF3769"/>
    <w:rsid w:val="00BF3B6B"/>
    <w:rsid w:val="00BF58B6"/>
    <w:rsid w:val="00BF6284"/>
    <w:rsid w:val="00BF6EB7"/>
    <w:rsid w:val="00BF74EB"/>
    <w:rsid w:val="00C0034D"/>
    <w:rsid w:val="00C00580"/>
    <w:rsid w:val="00C00BA3"/>
    <w:rsid w:val="00C01146"/>
    <w:rsid w:val="00C014AF"/>
    <w:rsid w:val="00C0194F"/>
    <w:rsid w:val="00C01B75"/>
    <w:rsid w:val="00C02284"/>
    <w:rsid w:val="00C0253C"/>
    <w:rsid w:val="00C02A69"/>
    <w:rsid w:val="00C0470A"/>
    <w:rsid w:val="00C04CB6"/>
    <w:rsid w:val="00C0502C"/>
    <w:rsid w:val="00C0613F"/>
    <w:rsid w:val="00C06CC4"/>
    <w:rsid w:val="00C06F03"/>
    <w:rsid w:val="00C0714B"/>
    <w:rsid w:val="00C078A4"/>
    <w:rsid w:val="00C10414"/>
    <w:rsid w:val="00C10520"/>
    <w:rsid w:val="00C107AC"/>
    <w:rsid w:val="00C10985"/>
    <w:rsid w:val="00C10EF0"/>
    <w:rsid w:val="00C1104D"/>
    <w:rsid w:val="00C11A9F"/>
    <w:rsid w:val="00C12635"/>
    <w:rsid w:val="00C147B3"/>
    <w:rsid w:val="00C15794"/>
    <w:rsid w:val="00C15CF0"/>
    <w:rsid w:val="00C16737"/>
    <w:rsid w:val="00C17D4C"/>
    <w:rsid w:val="00C20B83"/>
    <w:rsid w:val="00C20C2B"/>
    <w:rsid w:val="00C21314"/>
    <w:rsid w:val="00C21FC0"/>
    <w:rsid w:val="00C22553"/>
    <w:rsid w:val="00C23312"/>
    <w:rsid w:val="00C24C72"/>
    <w:rsid w:val="00C2521B"/>
    <w:rsid w:val="00C277F7"/>
    <w:rsid w:val="00C30277"/>
    <w:rsid w:val="00C30634"/>
    <w:rsid w:val="00C30FD7"/>
    <w:rsid w:val="00C31380"/>
    <w:rsid w:val="00C3141E"/>
    <w:rsid w:val="00C31F43"/>
    <w:rsid w:val="00C336DD"/>
    <w:rsid w:val="00C3418A"/>
    <w:rsid w:val="00C34992"/>
    <w:rsid w:val="00C34C1B"/>
    <w:rsid w:val="00C353D5"/>
    <w:rsid w:val="00C35443"/>
    <w:rsid w:val="00C35B8F"/>
    <w:rsid w:val="00C35D68"/>
    <w:rsid w:val="00C360B0"/>
    <w:rsid w:val="00C3610E"/>
    <w:rsid w:val="00C36767"/>
    <w:rsid w:val="00C36AED"/>
    <w:rsid w:val="00C36F6B"/>
    <w:rsid w:val="00C37DBC"/>
    <w:rsid w:val="00C409E8"/>
    <w:rsid w:val="00C430C2"/>
    <w:rsid w:val="00C4343C"/>
    <w:rsid w:val="00C434B5"/>
    <w:rsid w:val="00C43560"/>
    <w:rsid w:val="00C4413D"/>
    <w:rsid w:val="00C44ACB"/>
    <w:rsid w:val="00C44D66"/>
    <w:rsid w:val="00C44F34"/>
    <w:rsid w:val="00C4570C"/>
    <w:rsid w:val="00C45B0F"/>
    <w:rsid w:val="00C462FB"/>
    <w:rsid w:val="00C467BD"/>
    <w:rsid w:val="00C46F4E"/>
    <w:rsid w:val="00C47106"/>
    <w:rsid w:val="00C478BC"/>
    <w:rsid w:val="00C47FBC"/>
    <w:rsid w:val="00C502B9"/>
    <w:rsid w:val="00C5094A"/>
    <w:rsid w:val="00C50C07"/>
    <w:rsid w:val="00C52E96"/>
    <w:rsid w:val="00C547C1"/>
    <w:rsid w:val="00C54825"/>
    <w:rsid w:val="00C55324"/>
    <w:rsid w:val="00C55794"/>
    <w:rsid w:val="00C557B9"/>
    <w:rsid w:val="00C564CE"/>
    <w:rsid w:val="00C566C4"/>
    <w:rsid w:val="00C56B6B"/>
    <w:rsid w:val="00C56C18"/>
    <w:rsid w:val="00C579A1"/>
    <w:rsid w:val="00C57F9B"/>
    <w:rsid w:val="00C6036D"/>
    <w:rsid w:val="00C614C6"/>
    <w:rsid w:val="00C6189C"/>
    <w:rsid w:val="00C62138"/>
    <w:rsid w:val="00C624D8"/>
    <w:rsid w:val="00C634BC"/>
    <w:rsid w:val="00C63E77"/>
    <w:rsid w:val="00C65656"/>
    <w:rsid w:val="00C658B1"/>
    <w:rsid w:val="00C6648D"/>
    <w:rsid w:val="00C66C96"/>
    <w:rsid w:val="00C67575"/>
    <w:rsid w:val="00C7078E"/>
    <w:rsid w:val="00C70CC3"/>
    <w:rsid w:val="00C71669"/>
    <w:rsid w:val="00C71C28"/>
    <w:rsid w:val="00C71D47"/>
    <w:rsid w:val="00C7204D"/>
    <w:rsid w:val="00C73866"/>
    <w:rsid w:val="00C74030"/>
    <w:rsid w:val="00C7457B"/>
    <w:rsid w:val="00C76D7A"/>
    <w:rsid w:val="00C77BFD"/>
    <w:rsid w:val="00C803E3"/>
    <w:rsid w:val="00C81137"/>
    <w:rsid w:val="00C817FD"/>
    <w:rsid w:val="00C819FC"/>
    <w:rsid w:val="00C823AB"/>
    <w:rsid w:val="00C83656"/>
    <w:rsid w:val="00C842E4"/>
    <w:rsid w:val="00C843D7"/>
    <w:rsid w:val="00C8469D"/>
    <w:rsid w:val="00C8646F"/>
    <w:rsid w:val="00C86809"/>
    <w:rsid w:val="00C873A5"/>
    <w:rsid w:val="00C87404"/>
    <w:rsid w:val="00C8743A"/>
    <w:rsid w:val="00C90C3F"/>
    <w:rsid w:val="00C90C90"/>
    <w:rsid w:val="00C91A08"/>
    <w:rsid w:val="00C921F1"/>
    <w:rsid w:val="00C922DD"/>
    <w:rsid w:val="00C93140"/>
    <w:rsid w:val="00C96CE4"/>
    <w:rsid w:val="00C97088"/>
    <w:rsid w:val="00C97EFE"/>
    <w:rsid w:val="00CA01F6"/>
    <w:rsid w:val="00CA09E1"/>
    <w:rsid w:val="00CA13DE"/>
    <w:rsid w:val="00CA21A5"/>
    <w:rsid w:val="00CA2593"/>
    <w:rsid w:val="00CA26F6"/>
    <w:rsid w:val="00CA3CF5"/>
    <w:rsid w:val="00CA4AE9"/>
    <w:rsid w:val="00CA4EE5"/>
    <w:rsid w:val="00CA5261"/>
    <w:rsid w:val="00CA5372"/>
    <w:rsid w:val="00CA574F"/>
    <w:rsid w:val="00CA66AA"/>
    <w:rsid w:val="00CA68AC"/>
    <w:rsid w:val="00CA6B68"/>
    <w:rsid w:val="00CA7ABB"/>
    <w:rsid w:val="00CA7D51"/>
    <w:rsid w:val="00CB060C"/>
    <w:rsid w:val="00CB0BCF"/>
    <w:rsid w:val="00CB136E"/>
    <w:rsid w:val="00CB14B0"/>
    <w:rsid w:val="00CB1A89"/>
    <w:rsid w:val="00CB1E70"/>
    <w:rsid w:val="00CB2501"/>
    <w:rsid w:val="00CB4786"/>
    <w:rsid w:val="00CB4D4D"/>
    <w:rsid w:val="00CB5841"/>
    <w:rsid w:val="00CB6DEC"/>
    <w:rsid w:val="00CB7874"/>
    <w:rsid w:val="00CB7F8A"/>
    <w:rsid w:val="00CC0494"/>
    <w:rsid w:val="00CC0B32"/>
    <w:rsid w:val="00CC2387"/>
    <w:rsid w:val="00CC2875"/>
    <w:rsid w:val="00CC2C14"/>
    <w:rsid w:val="00CC307C"/>
    <w:rsid w:val="00CC41C7"/>
    <w:rsid w:val="00CC4D02"/>
    <w:rsid w:val="00CC5149"/>
    <w:rsid w:val="00CC62F8"/>
    <w:rsid w:val="00CC633D"/>
    <w:rsid w:val="00CC6445"/>
    <w:rsid w:val="00CC6E41"/>
    <w:rsid w:val="00CC7BF6"/>
    <w:rsid w:val="00CD1A2E"/>
    <w:rsid w:val="00CD2419"/>
    <w:rsid w:val="00CD2677"/>
    <w:rsid w:val="00CD305F"/>
    <w:rsid w:val="00CD34A2"/>
    <w:rsid w:val="00CD37EA"/>
    <w:rsid w:val="00CD3B2C"/>
    <w:rsid w:val="00CD4465"/>
    <w:rsid w:val="00CD5A5B"/>
    <w:rsid w:val="00CD5CEB"/>
    <w:rsid w:val="00CD5D5D"/>
    <w:rsid w:val="00CD64DB"/>
    <w:rsid w:val="00CD67F9"/>
    <w:rsid w:val="00CD7366"/>
    <w:rsid w:val="00CD742F"/>
    <w:rsid w:val="00CD7AAB"/>
    <w:rsid w:val="00CE0B2C"/>
    <w:rsid w:val="00CE0BCF"/>
    <w:rsid w:val="00CE217C"/>
    <w:rsid w:val="00CE274A"/>
    <w:rsid w:val="00CE30DF"/>
    <w:rsid w:val="00CE4573"/>
    <w:rsid w:val="00CE53AA"/>
    <w:rsid w:val="00CE7040"/>
    <w:rsid w:val="00CE7169"/>
    <w:rsid w:val="00CF0090"/>
    <w:rsid w:val="00CF0394"/>
    <w:rsid w:val="00CF06D5"/>
    <w:rsid w:val="00CF1218"/>
    <w:rsid w:val="00CF2333"/>
    <w:rsid w:val="00CF2CD9"/>
    <w:rsid w:val="00CF3589"/>
    <w:rsid w:val="00CF35FC"/>
    <w:rsid w:val="00CF3FCB"/>
    <w:rsid w:val="00CF532F"/>
    <w:rsid w:val="00CF59CF"/>
    <w:rsid w:val="00CF5BEC"/>
    <w:rsid w:val="00CF7613"/>
    <w:rsid w:val="00CF7AAA"/>
    <w:rsid w:val="00CF7D80"/>
    <w:rsid w:val="00CF7E45"/>
    <w:rsid w:val="00D00AA7"/>
    <w:rsid w:val="00D01189"/>
    <w:rsid w:val="00D01B54"/>
    <w:rsid w:val="00D03C8E"/>
    <w:rsid w:val="00D04262"/>
    <w:rsid w:val="00D04842"/>
    <w:rsid w:val="00D057F3"/>
    <w:rsid w:val="00D06ED7"/>
    <w:rsid w:val="00D10350"/>
    <w:rsid w:val="00D1112F"/>
    <w:rsid w:val="00D11799"/>
    <w:rsid w:val="00D1185F"/>
    <w:rsid w:val="00D119CF"/>
    <w:rsid w:val="00D11CD1"/>
    <w:rsid w:val="00D13692"/>
    <w:rsid w:val="00D13B5D"/>
    <w:rsid w:val="00D14414"/>
    <w:rsid w:val="00D14C4D"/>
    <w:rsid w:val="00D14C69"/>
    <w:rsid w:val="00D15BD9"/>
    <w:rsid w:val="00D15C63"/>
    <w:rsid w:val="00D161EF"/>
    <w:rsid w:val="00D16A06"/>
    <w:rsid w:val="00D17623"/>
    <w:rsid w:val="00D200F8"/>
    <w:rsid w:val="00D202F1"/>
    <w:rsid w:val="00D21A26"/>
    <w:rsid w:val="00D2207F"/>
    <w:rsid w:val="00D22349"/>
    <w:rsid w:val="00D23708"/>
    <w:rsid w:val="00D24A2F"/>
    <w:rsid w:val="00D24AD2"/>
    <w:rsid w:val="00D25AC2"/>
    <w:rsid w:val="00D26554"/>
    <w:rsid w:val="00D26D59"/>
    <w:rsid w:val="00D30451"/>
    <w:rsid w:val="00D3099F"/>
    <w:rsid w:val="00D30D93"/>
    <w:rsid w:val="00D31147"/>
    <w:rsid w:val="00D3202A"/>
    <w:rsid w:val="00D34826"/>
    <w:rsid w:val="00D34B4D"/>
    <w:rsid w:val="00D357C8"/>
    <w:rsid w:val="00D35DFD"/>
    <w:rsid w:val="00D36654"/>
    <w:rsid w:val="00D37371"/>
    <w:rsid w:val="00D3744D"/>
    <w:rsid w:val="00D374D5"/>
    <w:rsid w:val="00D37CB9"/>
    <w:rsid w:val="00D40754"/>
    <w:rsid w:val="00D40781"/>
    <w:rsid w:val="00D40D2A"/>
    <w:rsid w:val="00D413D2"/>
    <w:rsid w:val="00D41808"/>
    <w:rsid w:val="00D42651"/>
    <w:rsid w:val="00D43BFD"/>
    <w:rsid w:val="00D45D7B"/>
    <w:rsid w:val="00D46068"/>
    <w:rsid w:val="00D51EAE"/>
    <w:rsid w:val="00D51FD8"/>
    <w:rsid w:val="00D53072"/>
    <w:rsid w:val="00D532D2"/>
    <w:rsid w:val="00D53C52"/>
    <w:rsid w:val="00D53D32"/>
    <w:rsid w:val="00D543FF"/>
    <w:rsid w:val="00D54801"/>
    <w:rsid w:val="00D54A61"/>
    <w:rsid w:val="00D55820"/>
    <w:rsid w:val="00D55B4E"/>
    <w:rsid w:val="00D57946"/>
    <w:rsid w:val="00D57A99"/>
    <w:rsid w:val="00D60252"/>
    <w:rsid w:val="00D606DB"/>
    <w:rsid w:val="00D611CA"/>
    <w:rsid w:val="00D62023"/>
    <w:rsid w:val="00D62281"/>
    <w:rsid w:val="00D62564"/>
    <w:rsid w:val="00D62761"/>
    <w:rsid w:val="00D62F82"/>
    <w:rsid w:val="00D63209"/>
    <w:rsid w:val="00D634CF"/>
    <w:rsid w:val="00D634E7"/>
    <w:rsid w:val="00D641B5"/>
    <w:rsid w:val="00D64890"/>
    <w:rsid w:val="00D6555D"/>
    <w:rsid w:val="00D659FE"/>
    <w:rsid w:val="00D65AFD"/>
    <w:rsid w:val="00D66394"/>
    <w:rsid w:val="00D665A5"/>
    <w:rsid w:val="00D6664F"/>
    <w:rsid w:val="00D66DB1"/>
    <w:rsid w:val="00D734E5"/>
    <w:rsid w:val="00D7383E"/>
    <w:rsid w:val="00D75698"/>
    <w:rsid w:val="00D7750B"/>
    <w:rsid w:val="00D80AD5"/>
    <w:rsid w:val="00D80D9C"/>
    <w:rsid w:val="00D8205E"/>
    <w:rsid w:val="00D8224E"/>
    <w:rsid w:val="00D825BE"/>
    <w:rsid w:val="00D83EDE"/>
    <w:rsid w:val="00D8464A"/>
    <w:rsid w:val="00D84B13"/>
    <w:rsid w:val="00D84B40"/>
    <w:rsid w:val="00D84E6F"/>
    <w:rsid w:val="00D84EDF"/>
    <w:rsid w:val="00D854CC"/>
    <w:rsid w:val="00D85CD4"/>
    <w:rsid w:val="00D86568"/>
    <w:rsid w:val="00D86A86"/>
    <w:rsid w:val="00D86D96"/>
    <w:rsid w:val="00D86EA8"/>
    <w:rsid w:val="00D874A1"/>
    <w:rsid w:val="00D87B47"/>
    <w:rsid w:val="00D90349"/>
    <w:rsid w:val="00D91869"/>
    <w:rsid w:val="00D919F0"/>
    <w:rsid w:val="00D92112"/>
    <w:rsid w:val="00D9331B"/>
    <w:rsid w:val="00D9379E"/>
    <w:rsid w:val="00D93ED5"/>
    <w:rsid w:val="00D9418F"/>
    <w:rsid w:val="00D942CD"/>
    <w:rsid w:val="00D949CE"/>
    <w:rsid w:val="00D94A4B"/>
    <w:rsid w:val="00D94F33"/>
    <w:rsid w:val="00D95800"/>
    <w:rsid w:val="00D95D56"/>
    <w:rsid w:val="00D9654C"/>
    <w:rsid w:val="00D96D49"/>
    <w:rsid w:val="00D97150"/>
    <w:rsid w:val="00D97CEA"/>
    <w:rsid w:val="00DA0A51"/>
    <w:rsid w:val="00DA2301"/>
    <w:rsid w:val="00DA3313"/>
    <w:rsid w:val="00DA3491"/>
    <w:rsid w:val="00DA38AF"/>
    <w:rsid w:val="00DA43B2"/>
    <w:rsid w:val="00DA4CE2"/>
    <w:rsid w:val="00DA4D02"/>
    <w:rsid w:val="00DA4FE5"/>
    <w:rsid w:val="00DA586B"/>
    <w:rsid w:val="00DA7406"/>
    <w:rsid w:val="00DA796C"/>
    <w:rsid w:val="00DA7C97"/>
    <w:rsid w:val="00DB0A70"/>
    <w:rsid w:val="00DB1414"/>
    <w:rsid w:val="00DB1629"/>
    <w:rsid w:val="00DB187A"/>
    <w:rsid w:val="00DB65E3"/>
    <w:rsid w:val="00DB6A9F"/>
    <w:rsid w:val="00DB6B75"/>
    <w:rsid w:val="00DC0558"/>
    <w:rsid w:val="00DC05FC"/>
    <w:rsid w:val="00DC0A77"/>
    <w:rsid w:val="00DC16B6"/>
    <w:rsid w:val="00DC1771"/>
    <w:rsid w:val="00DC33A3"/>
    <w:rsid w:val="00DC40EF"/>
    <w:rsid w:val="00DC4E0D"/>
    <w:rsid w:val="00DC554F"/>
    <w:rsid w:val="00DC5778"/>
    <w:rsid w:val="00DC5DA2"/>
    <w:rsid w:val="00DC5DC2"/>
    <w:rsid w:val="00DC70CE"/>
    <w:rsid w:val="00DC7749"/>
    <w:rsid w:val="00DC7FF8"/>
    <w:rsid w:val="00DD0EDB"/>
    <w:rsid w:val="00DD2EA2"/>
    <w:rsid w:val="00DD37DC"/>
    <w:rsid w:val="00DD491A"/>
    <w:rsid w:val="00DD540E"/>
    <w:rsid w:val="00DD5FEF"/>
    <w:rsid w:val="00DD6314"/>
    <w:rsid w:val="00DD6400"/>
    <w:rsid w:val="00DD718D"/>
    <w:rsid w:val="00DD7AF9"/>
    <w:rsid w:val="00DD7D57"/>
    <w:rsid w:val="00DD7DCB"/>
    <w:rsid w:val="00DE008D"/>
    <w:rsid w:val="00DE0703"/>
    <w:rsid w:val="00DE095F"/>
    <w:rsid w:val="00DE3015"/>
    <w:rsid w:val="00DE3306"/>
    <w:rsid w:val="00DE37ED"/>
    <w:rsid w:val="00DE39C5"/>
    <w:rsid w:val="00DE5DAB"/>
    <w:rsid w:val="00DE60B0"/>
    <w:rsid w:val="00DE678C"/>
    <w:rsid w:val="00DF0D2A"/>
    <w:rsid w:val="00DF0FE6"/>
    <w:rsid w:val="00DF11E0"/>
    <w:rsid w:val="00DF19FD"/>
    <w:rsid w:val="00DF1B84"/>
    <w:rsid w:val="00DF25DC"/>
    <w:rsid w:val="00DF3036"/>
    <w:rsid w:val="00DF3C6B"/>
    <w:rsid w:val="00DF43E2"/>
    <w:rsid w:val="00DF54F3"/>
    <w:rsid w:val="00DF5732"/>
    <w:rsid w:val="00DF67E7"/>
    <w:rsid w:val="00DF7909"/>
    <w:rsid w:val="00E00E6A"/>
    <w:rsid w:val="00E01845"/>
    <w:rsid w:val="00E03BD4"/>
    <w:rsid w:val="00E04261"/>
    <w:rsid w:val="00E10533"/>
    <w:rsid w:val="00E11033"/>
    <w:rsid w:val="00E11C45"/>
    <w:rsid w:val="00E132BD"/>
    <w:rsid w:val="00E13752"/>
    <w:rsid w:val="00E13D9A"/>
    <w:rsid w:val="00E15622"/>
    <w:rsid w:val="00E159EE"/>
    <w:rsid w:val="00E15E44"/>
    <w:rsid w:val="00E15EB5"/>
    <w:rsid w:val="00E20377"/>
    <w:rsid w:val="00E20960"/>
    <w:rsid w:val="00E210B9"/>
    <w:rsid w:val="00E21AAF"/>
    <w:rsid w:val="00E21C6B"/>
    <w:rsid w:val="00E22640"/>
    <w:rsid w:val="00E233D1"/>
    <w:rsid w:val="00E2447A"/>
    <w:rsid w:val="00E24B47"/>
    <w:rsid w:val="00E24C55"/>
    <w:rsid w:val="00E25233"/>
    <w:rsid w:val="00E252A3"/>
    <w:rsid w:val="00E259D5"/>
    <w:rsid w:val="00E26252"/>
    <w:rsid w:val="00E26B27"/>
    <w:rsid w:val="00E302A7"/>
    <w:rsid w:val="00E303CF"/>
    <w:rsid w:val="00E3178E"/>
    <w:rsid w:val="00E31A9D"/>
    <w:rsid w:val="00E31F35"/>
    <w:rsid w:val="00E32C24"/>
    <w:rsid w:val="00E32C67"/>
    <w:rsid w:val="00E32EB5"/>
    <w:rsid w:val="00E331B3"/>
    <w:rsid w:val="00E332E5"/>
    <w:rsid w:val="00E33B39"/>
    <w:rsid w:val="00E35228"/>
    <w:rsid w:val="00E35462"/>
    <w:rsid w:val="00E35F53"/>
    <w:rsid w:val="00E35F88"/>
    <w:rsid w:val="00E36147"/>
    <w:rsid w:val="00E3622E"/>
    <w:rsid w:val="00E36E62"/>
    <w:rsid w:val="00E36F58"/>
    <w:rsid w:val="00E36FCA"/>
    <w:rsid w:val="00E37B63"/>
    <w:rsid w:val="00E401AF"/>
    <w:rsid w:val="00E403B9"/>
    <w:rsid w:val="00E41A6F"/>
    <w:rsid w:val="00E455B9"/>
    <w:rsid w:val="00E47730"/>
    <w:rsid w:val="00E47B4D"/>
    <w:rsid w:val="00E50638"/>
    <w:rsid w:val="00E50723"/>
    <w:rsid w:val="00E50E44"/>
    <w:rsid w:val="00E527B6"/>
    <w:rsid w:val="00E5285F"/>
    <w:rsid w:val="00E52898"/>
    <w:rsid w:val="00E52F22"/>
    <w:rsid w:val="00E533F0"/>
    <w:rsid w:val="00E53892"/>
    <w:rsid w:val="00E540BF"/>
    <w:rsid w:val="00E541D7"/>
    <w:rsid w:val="00E54B3C"/>
    <w:rsid w:val="00E554A0"/>
    <w:rsid w:val="00E56A23"/>
    <w:rsid w:val="00E5731D"/>
    <w:rsid w:val="00E57865"/>
    <w:rsid w:val="00E60A5D"/>
    <w:rsid w:val="00E61A14"/>
    <w:rsid w:val="00E62BDF"/>
    <w:rsid w:val="00E62BF6"/>
    <w:rsid w:val="00E62C22"/>
    <w:rsid w:val="00E633AF"/>
    <w:rsid w:val="00E63F29"/>
    <w:rsid w:val="00E63F9B"/>
    <w:rsid w:val="00E64301"/>
    <w:rsid w:val="00E65041"/>
    <w:rsid w:val="00E65984"/>
    <w:rsid w:val="00E65BE7"/>
    <w:rsid w:val="00E66054"/>
    <w:rsid w:val="00E66B5A"/>
    <w:rsid w:val="00E72931"/>
    <w:rsid w:val="00E734A0"/>
    <w:rsid w:val="00E74218"/>
    <w:rsid w:val="00E744D6"/>
    <w:rsid w:val="00E7735E"/>
    <w:rsid w:val="00E773CB"/>
    <w:rsid w:val="00E775C6"/>
    <w:rsid w:val="00E77BD3"/>
    <w:rsid w:val="00E77F30"/>
    <w:rsid w:val="00E8031F"/>
    <w:rsid w:val="00E804E6"/>
    <w:rsid w:val="00E81E21"/>
    <w:rsid w:val="00E82EF5"/>
    <w:rsid w:val="00E8355E"/>
    <w:rsid w:val="00E8462F"/>
    <w:rsid w:val="00E85837"/>
    <w:rsid w:val="00E85BD2"/>
    <w:rsid w:val="00E864AA"/>
    <w:rsid w:val="00E86B93"/>
    <w:rsid w:val="00E87326"/>
    <w:rsid w:val="00E873AE"/>
    <w:rsid w:val="00E8785E"/>
    <w:rsid w:val="00E87868"/>
    <w:rsid w:val="00E87CA2"/>
    <w:rsid w:val="00E90219"/>
    <w:rsid w:val="00E909B2"/>
    <w:rsid w:val="00E91955"/>
    <w:rsid w:val="00E9242A"/>
    <w:rsid w:val="00E9277B"/>
    <w:rsid w:val="00E93F20"/>
    <w:rsid w:val="00E94566"/>
    <w:rsid w:val="00E95719"/>
    <w:rsid w:val="00E960AC"/>
    <w:rsid w:val="00E962F3"/>
    <w:rsid w:val="00E96409"/>
    <w:rsid w:val="00E96B5F"/>
    <w:rsid w:val="00E96CBC"/>
    <w:rsid w:val="00E96E13"/>
    <w:rsid w:val="00E9784D"/>
    <w:rsid w:val="00E97C37"/>
    <w:rsid w:val="00E97F27"/>
    <w:rsid w:val="00EA207A"/>
    <w:rsid w:val="00EA3EDB"/>
    <w:rsid w:val="00EA408E"/>
    <w:rsid w:val="00EA45BB"/>
    <w:rsid w:val="00EA53CC"/>
    <w:rsid w:val="00EA59D9"/>
    <w:rsid w:val="00EA64FB"/>
    <w:rsid w:val="00EA6647"/>
    <w:rsid w:val="00EA6763"/>
    <w:rsid w:val="00EA6996"/>
    <w:rsid w:val="00EA7ACE"/>
    <w:rsid w:val="00EA7AE9"/>
    <w:rsid w:val="00EA7DC1"/>
    <w:rsid w:val="00EA7FA4"/>
    <w:rsid w:val="00EB1589"/>
    <w:rsid w:val="00EB1A12"/>
    <w:rsid w:val="00EB1A48"/>
    <w:rsid w:val="00EB219A"/>
    <w:rsid w:val="00EB2338"/>
    <w:rsid w:val="00EB2623"/>
    <w:rsid w:val="00EB2780"/>
    <w:rsid w:val="00EB2DAA"/>
    <w:rsid w:val="00EB31C1"/>
    <w:rsid w:val="00EB35D2"/>
    <w:rsid w:val="00EB4EB1"/>
    <w:rsid w:val="00EB573A"/>
    <w:rsid w:val="00EB6010"/>
    <w:rsid w:val="00EB70A2"/>
    <w:rsid w:val="00EB730B"/>
    <w:rsid w:val="00EB7927"/>
    <w:rsid w:val="00EC03BB"/>
    <w:rsid w:val="00EC1B46"/>
    <w:rsid w:val="00EC1B5D"/>
    <w:rsid w:val="00EC1C6A"/>
    <w:rsid w:val="00EC2814"/>
    <w:rsid w:val="00EC3583"/>
    <w:rsid w:val="00EC36B7"/>
    <w:rsid w:val="00EC393F"/>
    <w:rsid w:val="00EC4A7C"/>
    <w:rsid w:val="00EC4D1B"/>
    <w:rsid w:val="00EC58CB"/>
    <w:rsid w:val="00EC6607"/>
    <w:rsid w:val="00EC6B3C"/>
    <w:rsid w:val="00EC6CA0"/>
    <w:rsid w:val="00EC6E82"/>
    <w:rsid w:val="00EC6FEE"/>
    <w:rsid w:val="00ED04FA"/>
    <w:rsid w:val="00ED0622"/>
    <w:rsid w:val="00ED148D"/>
    <w:rsid w:val="00ED2E80"/>
    <w:rsid w:val="00ED3B6D"/>
    <w:rsid w:val="00ED4B58"/>
    <w:rsid w:val="00ED4C1A"/>
    <w:rsid w:val="00ED5D27"/>
    <w:rsid w:val="00ED6727"/>
    <w:rsid w:val="00ED6C1F"/>
    <w:rsid w:val="00ED6E2D"/>
    <w:rsid w:val="00ED718A"/>
    <w:rsid w:val="00ED7CCA"/>
    <w:rsid w:val="00EE0B04"/>
    <w:rsid w:val="00EE213D"/>
    <w:rsid w:val="00EE25F5"/>
    <w:rsid w:val="00EE29BD"/>
    <w:rsid w:val="00EE3753"/>
    <w:rsid w:val="00EE3F47"/>
    <w:rsid w:val="00EE4779"/>
    <w:rsid w:val="00EE5566"/>
    <w:rsid w:val="00EF0023"/>
    <w:rsid w:val="00EF0CAD"/>
    <w:rsid w:val="00EF3796"/>
    <w:rsid w:val="00EF3A48"/>
    <w:rsid w:val="00EF487B"/>
    <w:rsid w:val="00EF568B"/>
    <w:rsid w:val="00EF63CE"/>
    <w:rsid w:val="00EF737D"/>
    <w:rsid w:val="00EF7625"/>
    <w:rsid w:val="00EF76D9"/>
    <w:rsid w:val="00EF7B7C"/>
    <w:rsid w:val="00EF7DB0"/>
    <w:rsid w:val="00F00B4F"/>
    <w:rsid w:val="00F01021"/>
    <w:rsid w:val="00F0122F"/>
    <w:rsid w:val="00F0136B"/>
    <w:rsid w:val="00F01887"/>
    <w:rsid w:val="00F02618"/>
    <w:rsid w:val="00F0292D"/>
    <w:rsid w:val="00F02DAF"/>
    <w:rsid w:val="00F034F8"/>
    <w:rsid w:val="00F0366C"/>
    <w:rsid w:val="00F03C1D"/>
    <w:rsid w:val="00F04F6B"/>
    <w:rsid w:val="00F064D5"/>
    <w:rsid w:val="00F069BB"/>
    <w:rsid w:val="00F10309"/>
    <w:rsid w:val="00F12288"/>
    <w:rsid w:val="00F126D8"/>
    <w:rsid w:val="00F12716"/>
    <w:rsid w:val="00F1422E"/>
    <w:rsid w:val="00F14D60"/>
    <w:rsid w:val="00F14E3E"/>
    <w:rsid w:val="00F15D7A"/>
    <w:rsid w:val="00F16360"/>
    <w:rsid w:val="00F17120"/>
    <w:rsid w:val="00F1747C"/>
    <w:rsid w:val="00F17C3B"/>
    <w:rsid w:val="00F17FCA"/>
    <w:rsid w:val="00F205B4"/>
    <w:rsid w:val="00F20882"/>
    <w:rsid w:val="00F20CD7"/>
    <w:rsid w:val="00F21040"/>
    <w:rsid w:val="00F22530"/>
    <w:rsid w:val="00F234FD"/>
    <w:rsid w:val="00F253B8"/>
    <w:rsid w:val="00F25B1C"/>
    <w:rsid w:val="00F25CA4"/>
    <w:rsid w:val="00F27312"/>
    <w:rsid w:val="00F3020B"/>
    <w:rsid w:val="00F314A7"/>
    <w:rsid w:val="00F31610"/>
    <w:rsid w:val="00F3298B"/>
    <w:rsid w:val="00F32C54"/>
    <w:rsid w:val="00F32E25"/>
    <w:rsid w:val="00F33289"/>
    <w:rsid w:val="00F334AD"/>
    <w:rsid w:val="00F337F2"/>
    <w:rsid w:val="00F35A79"/>
    <w:rsid w:val="00F35FB1"/>
    <w:rsid w:val="00F36F34"/>
    <w:rsid w:val="00F374CE"/>
    <w:rsid w:val="00F3791C"/>
    <w:rsid w:val="00F37B21"/>
    <w:rsid w:val="00F37D7D"/>
    <w:rsid w:val="00F409E8"/>
    <w:rsid w:val="00F41FCB"/>
    <w:rsid w:val="00F4282E"/>
    <w:rsid w:val="00F43AF0"/>
    <w:rsid w:val="00F4479A"/>
    <w:rsid w:val="00F4504B"/>
    <w:rsid w:val="00F46964"/>
    <w:rsid w:val="00F47460"/>
    <w:rsid w:val="00F474E1"/>
    <w:rsid w:val="00F507B2"/>
    <w:rsid w:val="00F50CEE"/>
    <w:rsid w:val="00F51124"/>
    <w:rsid w:val="00F51369"/>
    <w:rsid w:val="00F5273A"/>
    <w:rsid w:val="00F52A15"/>
    <w:rsid w:val="00F543A5"/>
    <w:rsid w:val="00F54778"/>
    <w:rsid w:val="00F561A7"/>
    <w:rsid w:val="00F56550"/>
    <w:rsid w:val="00F570A3"/>
    <w:rsid w:val="00F57D6E"/>
    <w:rsid w:val="00F60F30"/>
    <w:rsid w:val="00F6346F"/>
    <w:rsid w:val="00F635A8"/>
    <w:rsid w:val="00F63D1C"/>
    <w:rsid w:val="00F6413F"/>
    <w:rsid w:val="00F64361"/>
    <w:rsid w:val="00F649BC"/>
    <w:rsid w:val="00F655DA"/>
    <w:rsid w:val="00F6656F"/>
    <w:rsid w:val="00F66D51"/>
    <w:rsid w:val="00F66F81"/>
    <w:rsid w:val="00F67FAD"/>
    <w:rsid w:val="00F70673"/>
    <w:rsid w:val="00F709F0"/>
    <w:rsid w:val="00F71A2E"/>
    <w:rsid w:val="00F72154"/>
    <w:rsid w:val="00F73032"/>
    <w:rsid w:val="00F73340"/>
    <w:rsid w:val="00F73500"/>
    <w:rsid w:val="00F73602"/>
    <w:rsid w:val="00F73797"/>
    <w:rsid w:val="00F7516F"/>
    <w:rsid w:val="00F75C10"/>
    <w:rsid w:val="00F7677D"/>
    <w:rsid w:val="00F76B5D"/>
    <w:rsid w:val="00F77A68"/>
    <w:rsid w:val="00F77AE0"/>
    <w:rsid w:val="00F77D61"/>
    <w:rsid w:val="00F809EA"/>
    <w:rsid w:val="00F80ED9"/>
    <w:rsid w:val="00F81885"/>
    <w:rsid w:val="00F8395A"/>
    <w:rsid w:val="00F844E6"/>
    <w:rsid w:val="00F86109"/>
    <w:rsid w:val="00F8664B"/>
    <w:rsid w:val="00F86A07"/>
    <w:rsid w:val="00F87207"/>
    <w:rsid w:val="00F92490"/>
    <w:rsid w:val="00F934A7"/>
    <w:rsid w:val="00F94415"/>
    <w:rsid w:val="00F94547"/>
    <w:rsid w:val="00F948C7"/>
    <w:rsid w:val="00F95594"/>
    <w:rsid w:val="00F963A4"/>
    <w:rsid w:val="00F96461"/>
    <w:rsid w:val="00F975B8"/>
    <w:rsid w:val="00F97B53"/>
    <w:rsid w:val="00FA0030"/>
    <w:rsid w:val="00FA09E3"/>
    <w:rsid w:val="00FA0B92"/>
    <w:rsid w:val="00FA13BC"/>
    <w:rsid w:val="00FA2755"/>
    <w:rsid w:val="00FA2973"/>
    <w:rsid w:val="00FA35BA"/>
    <w:rsid w:val="00FA3704"/>
    <w:rsid w:val="00FA38A0"/>
    <w:rsid w:val="00FA3D5E"/>
    <w:rsid w:val="00FA3DAF"/>
    <w:rsid w:val="00FA432F"/>
    <w:rsid w:val="00FA4A60"/>
    <w:rsid w:val="00FA512B"/>
    <w:rsid w:val="00FA563F"/>
    <w:rsid w:val="00FB1F0D"/>
    <w:rsid w:val="00FB235D"/>
    <w:rsid w:val="00FB2655"/>
    <w:rsid w:val="00FB2B07"/>
    <w:rsid w:val="00FB5309"/>
    <w:rsid w:val="00FB5AB2"/>
    <w:rsid w:val="00FB644C"/>
    <w:rsid w:val="00FB74A7"/>
    <w:rsid w:val="00FC068D"/>
    <w:rsid w:val="00FC2054"/>
    <w:rsid w:val="00FC26FC"/>
    <w:rsid w:val="00FC52BD"/>
    <w:rsid w:val="00FC6F7A"/>
    <w:rsid w:val="00FD08A3"/>
    <w:rsid w:val="00FD0A5F"/>
    <w:rsid w:val="00FD0D90"/>
    <w:rsid w:val="00FD15CC"/>
    <w:rsid w:val="00FD240F"/>
    <w:rsid w:val="00FD2539"/>
    <w:rsid w:val="00FD2862"/>
    <w:rsid w:val="00FD4F65"/>
    <w:rsid w:val="00FD5A7D"/>
    <w:rsid w:val="00FD6FFF"/>
    <w:rsid w:val="00FD7154"/>
    <w:rsid w:val="00FD7547"/>
    <w:rsid w:val="00FD7CCF"/>
    <w:rsid w:val="00FE0F83"/>
    <w:rsid w:val="00FE102D"/>
    <w:rsid w:val="00FE24A2"/>
    <w:rsid w:val="00FE2B32"/>
    <w:rsid w:val="00FE39BC"/>
    <w:rsid w:val="00FE3C8A"/>
    <w:rsid w:val="00FE3E4E"/>
    <w:rsid w:val="00FE3FC0"/>
    <w:rsid w:val="00FE47C9"/>
    <w:rsid w:val="00FE5238"/>
    <w:rsid w:val="00FE52D1"/>
    <w:rsid w:val="00FE60FE"/>
    <w:rsid w:val="00FF05D9"/>
    <w:rsid w:val="00FF169C"/>
    <w:rsid w:val="00FF22E9"/>
    <w:rsid w:val="00FF2D81"/>
    <w:rsid w:val="00FF2E52"/>
    <w:rsid w:val="00FF34B0"/>
    <w:rsid w:val="00FF3655"/>
    <w:rsid w:val="00FF3C39"/>
    <w:rsid w:val="00FF43E3"/>
    <w:rsid w:val="00FF4426"/>
    <w:rsid w:val="00FF45F8"/>
    <w:rsid w:val="00FF4A5E"/>
    <w:rsid w:val="00FF4DDB"/>
    <w:rsid w:val="011A8CF9"/>
    <w:rsid w:val="0150BC09"/>
    <w:rsid w:val="02F204D2"/>
    <w:rsid w:val="034B37B3"/>
    <w:rsid w:val="03D88791"/>
    <w:rsid w:val="0534E161"/>
    <w:rsid w:val="059A40E7"/>
    <w:rsid w:val="0689CB98"/>
    <w:rsid w:val="06C96BD4"/>
    <w:rsid w:val="0773E474"/>
    <w:rsid w:val="0948187C"/>
    <w:rsid w:val="0AF037CC"/>
    <w:rsid w:val="0B72458F"/>
    <w:rsid w:val="0BB879F6"/>
    <w:rsid w:val="0D18EA11"/>
    <w:rsid w:val="0D35A502"/>
    <w:rsid w:val="0D3C9EB7"/>
    <w:rsid w:val="0D73E87B"/>
    <w:rsid w:val="0EE1D190"/>
    <w:rsid w:val="0F27DD77"/>
    <w:rsid w:val="10BFD907"/>
    <w:rsid w:val="11A7FBBD"/>
    <w:rsid w:val="11CFDA2A"/>
    <w:rsid w:val="1208D1A1"/>
    <w:rsid w:val="125A5845"/>
    <w:rsid w:val="159A7FA2"/>
    <w:rsid w:val="16EEF09C"/>
    <w:rsid w:val="1720204F"/>
    <w:rsid w:val="174BBE5D"/>
    <w:rsid w:val="1752DC8C"/>
    <w:rsid w:val="1788B88B"/>
    <w:rsid w:val="194D9943"/>
    <w:rsid w:val="19CF2937"/>
    <w:rsid w:val="19FA6C0E"/>
    <w:rsid w:val="1AD9F43A"/>
    <w:rsid w:val="1B92B0F1"/>
    <w:rsid w:val="1CDFCC25"/>
    <w:rsid w:val="1DDA04B2"/>
    <w:rsid w:val="1F03C5AA"/>
    <w:rsid w:val="1F5F791B"/>
    <w:rsid w:val="1FD9F490"/>
    <w:rsid w:val="20E88277"/>
    <w:rsid w:val="21691BB6"/>
    <w:rsid w:val="21F55D76"/>
    <w:rsid w:val="229572F8"/>
    <w:rsid w:val="2569EBB3"/>
    <w:rsid w:val="25E94C1F"/>
    <w:rsid w:val="26F96C86"/>
    <w:rsid w:val="270980AF"/>
    <w:rsid w:val="27105058"/>
    <w:rsid w:val="276AC62E"/>
    <w:rsid w:val="277B08D6"/>
    <w:rsid w:val="28703432"/>
    <w:rsid w:val="28D8A5C7"/>
    <w:rsid w:val="290D25A5"/>
    <w:rsid w:val="294B44E8"/>
    <w:rsid w:val="295A6EC1"/>
    <w:rsid w:val="2A1D5578"/>
    <w:rsid w:val="2AC9E3B0"/>
    <w:rsid w:val="2B17159B"/>
    <w:rsid w:val="2BB190C0"/>
    <w:rsid w:val="2C27A2F6"/>
    <w:rsid w:val="2D6466A9"/>
    <w:rsid w:val="308EDDD3"/>
    <w:rsid w:val="30950842"/>
    <w:rsid w:val="32557FB1"/>
    <w:rsid w:val="32D0A99B"/>
    <w:rsid w:val="33CD805F"/>
    <w:rsid w:val="35C2DB5D"/>
    <w:rsid w:val="35D5B311"/>
    <w:rsid w:val="38041940"/>
    <w:rsid w:val="3807E27E"/>
    <w:rsid w:val="38B7A3F9"/>
    <w:rsid w:val="393E979D"/>
    <w:rsid w:val="3B125739"/>
    <w:rsid w:val="3C1493CE"/>
    <w:rsid w:val="3C3742F6"/>
    <w:rsid w:val="3C4D6E9F"/>
    <w:rsid w:val="3D213F3E"/>
    <w:rsid w:val="3E342F25"/>
    <w:rsid w:val="3E3A122D"/>
    <w:rsid w:val="40AA5E72"/>
    <w:rsid w:val="41055B33"/>
    <w:rsid w:val="41B459AC"/>
    <w:rsid w:val="42388B64"/>
    <w:rsid w:val="42654ECE"/>
    <w:rsid w:val="4352E0AA"/>
    <w:rsid w:val="441DAD75"/>
    <w:rsid w:val="4640B9BA"/>
    <w:rsid w:val="4736B0E7"/>
    <w:rsid w:val="4A289954"/>
    <w:rsid w:val="4A36005C"/>
    <w:rsid w:val="4ACA462B"/>
    <w:rsid w:val="4B4BF863"/>
    <w:rsid w:val="4B912128"/>
    <w:rsid w:val="4E1BF9B7"/>
    <w:rsid w:val="4E4EF2CD"/>
    <w:rsid w:val="4F1A7144"/>
    <w:rsid w:val="4F1E2A06"/>
    <w:rsid w:val="4F28E55E"/>
    <w:rsid w:val="4F4F57BA"/>
    <w:rsid w:val="511BB07C"/>
    <w:rsid w:val="51560A38"/>
    <w:rsid w:val="5349F2BE"/>
    <w:rsid w:val="539F44AF"/>
    <w:rsid w:val="54E92908"/>
    <w:rsid w:val="5521B6ED"/>
    <w:rsid w:val="5534040E"/>
    <w:rsid w:val="55EFBA69"/>
    <w:rsid w:val="57498785"/>
    <w:rsid w:val="5952CFF4"/>
    <w:rsid w:val="597C2965"/>
    <w:rsid w:val="5C45D390"/>
    <w:rsid w:val="5CD0A6AF"/>
    <w:rsid w:val="5D961FEB"/>
    <w:rsid w:val="5DCD9758"/>
    <w:rsid w:val="5F5841DA"/>
    <w:rsid w:val="5FB15305"/>
    <w:rsid w:val="5FBCF39E"/>
    <w:rsid w:val="5FD1A72E"/>
    <w:rsid w:val="5FDF48B3"/>
    <w:rsid w:val="5FED604F"/>
    <w:rsid w:val="604AB97B"/>
    <w:rsid w:val="61341BCC"/>
    <w:rsid w:val="623B649C"/>
    <w:rsid w:val="62482ADF"/>
    <w:rsid w:val="63ABA039"/>
    <w:rsid w:val="644CF556"/>
    <w:rsid w:val="65674B49"/>
    <w:rsid w:val="67311A36"/>
    <w:rsid w:val="673E57BE"/>
    <w:rsid w:val="687986A3"/>
    <w:rsid w:val="6A7A33EB"/>
    <w:rsid w:val="6A9D15F0"/>
    <w:rsid w:val="6AD68B7D"/>
    <w:rsid w:val="6AF474EB"/>
    <w:rsid w:val="6B0633AF"/>
    <w:rsid w:val="6BAFF353"/>
    <w:rsid w:val="6C7CC293"/>
    <w:rsid w:val="6D187260"/>
    <w:rsid w:val="6FC1C33C"/>
    <w:rsid w:val="6FFE64AD"/>
    <w:rsid w:val="7047B1BA"/>
    <w:rsid w:val="708CC4AE"/>
    <w:rsid w:val="709DDBDD"/>
    <w:rsid w:val="7112762F"/>
    <w:rsid w:val="7265F4D6"/>
    <w:rsid w:val="7355250E"/>
    <w:rsid w:val="73C8AD72"/>
    <w:rsid w:val="74FD9227"/>
    <w:rsid w:val="755637F8"/>
    <w:rsid w:val="75C2015B"/>
    <w:rsid w:val="76174738"/>
    <w:rsid w:val="761873DB"/>
    <w:rsid w:val="79462C29"/>
    <w:rsid w:val="7A698151"/>
    <w:rsid w:val="7D674DA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ACD0278"/>
  <w15:chartTrackingRefBased/>
  <w15:docId w15:val="{639ACFB6-AB5A-439D-9ABE-7C59CD77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B0D92"/>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Date1">
    <w:name w:val="Date1"/>
    <w:basedOn w:val="DefaultParagraphFont"/>
    <w:rsid w:val="007B47C4"/>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link w:val="FootnoteText"/>
    <w:rsid w:val="005E6CDB"/>
  </w:style>
  <w:style w:type="paragraph" w:styleId="ListParagraph">
    <w:name w:val="List Paragraph"/>
    <w:basedOn w:val="Normal"/>
    <w:uiPriority w:val="34"/>
    <w:qFormat/>
    <w:rsid w:val="005E6CDB"/>
    <w:pPr>
      <w:ind w:left="720"/>
      <w:contextualSpacing/>
    </w:pPr>
  </w:style>
  <w:style w:type="paragraph" w:styleId="Revision">
    <w:name w:val="Revision"/>
    <w:hidden/>
    <w:uiPriority w:val="99"/>
    <w:semiHidden/>
    <w:rsid w:val="00ED6C1F"/>
    <w:rPr>
      <w:snapToGrid w:val="0"/>
      <w:kern w:val="28"/>
      <w:sz w:val="22"/>
    </w:rPr>
  </w:style>
  <w:style w:type="character" w:styleId="CommentReference">
    <w:name w:val="annotation reference"/>
    <w:uiPriority w:val="99"/>
    <w:semiHidden/>
    <w:unhideWhenUsed/>
    <w:rsid w:val="000D743C"/>
    <w:rPr>
      <w:sz w:val="16"/>
      <w:szCs w:val="16"/>
    </w:rPr>
  </w:style>
  <w:style w:type="paragraph" w:styleId="CommentText">
    <w:name w:val="annotation text"/>
    <w:basedOn w:val="Normal"/>
    <w:link w:val="CommentTextChar"/>
    <w:uiPriority w:val="99"/>
    <w:unhideWhenUsed/>
    <w:rsid w:val="000D743C"/>
    <w:rPr>
      <w:sz w:val="20"/>
    </w:rPr>
  </w:style>
  <w:style w:type="character" w:customStyle="1" w:styleId="CommentTextChar">
    <w:name w:val="Comment Text Char"/>
    <w:link w:val="CommentText"/>
    <w:uiPriority w:val="99"/>
    <w:rsid w:val="000D743C"/>
    <w:rPr>
      <w:snapToGrid w:val="0"/>
      <w:kern w:val="28"/>
    </w:rPr>
  </w:style>
  <w:style w:type="paragraph" w:styleId="CommentSubject">
    <w:name w:val="annotation subject"/>
    <w:basedOn w:val="CommentText"/>
    <w:next w:val="CommentText"/>
    <w:link w:val="CommentSubjectChar"/>
    <w:uiPriority w:val="99"/>
    <w:semiHidden/>
    <w:unhideWhenUsed/>
    <w:rsid w:val="000D743C"/>
    <w:rPr>
      <w:b/>
      <w:bCs/>
    </w:rPr>
  </w:style>
  <w:style w:type="character" w:customStyle="1" w:styleId="CommentSubjectChar">
    <w:name w:val="Comment Subject Char"/>
    <w:link w:val="CommentSubject"/>
    <w:uiPriority w:val="99"/>
    <w:semiHidden/>
    <w:rsid w:val="000D743C"/>
    <w:rPr>
      <w:b/>
      <w:bCs/>
      <w:snapToGrid w:val="0"/>
      <w:kern w:val="28"/>
    </w:rPr>
  </w:style>
  <w:style w:type="character" w:styleId="Mention">
    <w:name w:val="Mention"/>
    <w:uiPriority w:val="99"/>
    <w:unhideWhenUsed/>
    <w:rsid w:val="002035EF"/>
    <w:rPr>
      <w:color w:val="2B579A"/>
      <w:shd w:val="clear" w:color="auto" w:fill="E1DFDD"/>
    </w:rPr>
  </w:style>
  <w:style w:type="paragraph" w:customStyle="1" w:styleId="pf0">
    <w:name w:val="pf0"/>
    <w:basedOn w:val="Normal"/>
    <w:rsid w:val="00024E49"/>
    <w:pPr>
      <w:widowControl/>
      <w:spacing w:before="100" w:beforeAutospacing="1" w:after="100" w:afterAutospacing="1"/>
    </w:pPr>
    <w:rPr>
      <w:snapToGrid/>
      <w:kern w:val="0"/>
      <w:sz w:val="24"/>
      <w:szCs w:val="24"/>
    </w:rPr>
  </w:style>
  <w:style w:type="character" w:customStyle="1" w:styleId="cf01">
    <w:name w:val="cf01"/>
    <w:rsid w:val="00024E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Andrew.McArdell@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