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rsidRPr="0069400D" w14:paraId="27B24298" w14:textId="77777777">
      <w:pPr>
        <w:jc w:val="center"/>
        <w:rPr>
          <w:b/>
          <w:szCs w:val="22"/>
        </w:rPr>
      </w:pPr>
      <w:r w:rsidRPr="005859FD">
        <w:rPr>
          <w:b/>
          <w:kern w:val="0"/>
          <w:szCs w:val="22"/>
        </w:rPr>
        <w:t>Before</w:t>
      </w:r>
      <w:r w:rsidRPr="0069400D">
        <w:rPr>
          <w:b/>
          <w:szCs w:val="22"/>
        </w:rPr>
        <w:t xml:space="preserve"> the</w:t>
      </w:r>
    </w:p>
    <w:p w:rsidR="00921803" w:rsidRPr="005859FD" w:rsidP="00921803" w14:paraId="7CB1816E" w14:textId="77777777">
      <w:pPr>
        <w:pStyle w:val="StyleBoldCentered"/>
        <w:rPr>
          <w:rFonts w:ascii="Times New Roman" w:hAnsi="Times New Roman"/>
        </w:rPr>
      </w:pPr>
      <w:r w:rsidRPr="005859FD">
        <w:rPr>
          <w:rFonts w:ascii="Times New Roman" w:hAnsi="Times New Roman"/>
        </w:rPr>
        <w:t>F</w:t>
      </w:r>
      <w:r w:rsidRPr="005859FD">
        <w:rPr>
          <w:rFonts w:ascii="Times New Roman" w:hAnsi="Times New Roman"/>
          <w:caps w:val="0"/>
        </w:rPr>
        <w:t>ederal Communications Commission</w:t>
      </w:r>
    </w:p>
    <w:p w:rsidR="004C2EE3" w:rsidRPr="005859FD" w:rsidP="008F064F" w14:paraId="05E0E80C" w14:textId="6DDD23FA">
      <w:pPr>
        <w:pStyle w:val="StyleBoldCentered"/>
        <w:rPr>
          <w:rFonts w:ascii="Times New Roman" w:hAnsi="Times New Roman"/>
        </w:rPr>
      </w:pPr>
      <w:r w:rsidRPr="005859FD">
        <w:rPr>
          <w:rFonts w:ascii="Times New Roman" w:hAnsi="Times New Roman"/>
          <w:caps w:val="0"/>
        </w:rPr>
        <w:t>Washington, D.C. 20554</w:t>
      </w:r>
    </w:p>
    <w:p w:rsidR="004C2EE3" w:rsidRPr="0069400D" w:rsidP="0070224F" w14:paraId="2032D58D" w14:textId="77777777">
      <w:pPr>
        <w:rPr>
          <w:szCs w:val="22"/>
        </w:rPr>
      </w:pPr>
    </w:p>
    <w:tbl>
      <w:tblPr>
        <w:tblW w:w="0" w:type="auto"/>
        <w:tblLayout w:type="fixed"/>
        <w:tblLook w:val="0000"/>
      </w:tblPr>
      <w:tblGrid>
        <w:gridCol w:w="4698"/>
        <w:gridCol w:w="630"/>
        <w:gridCol w:w="4248"/>
      </w:tblGrid>
      <w:tr w14:paraId="1AB2068E" w14:textId="77777777">
        <w:tblPrEx>
          <w:tblW w:w="0" w:type="auto"/>
          <w:tblLayout w:type="fixed"/>
          <w:tblLook w:val="0000"/>
        </w:tblPrEx>
        <w:tc>
          <w:tcPr>
            <w:tcW w:w="4698" w:type="dxa"/>
          </w:tcPr>
          <w:p w:rsidR="004C2EE3" w:rsidRPr="0069400D" w14:paraId="593736BF" w14:textId="77777777">
            <w:pPr>
              <w:tabs>
                <w:tab w:val="center" w:pos="4680"/>
              </w:tabs>
              <w:suppressAutoHyphens/>
              <w:rPr>
                <w:spacing w:val="-2"/>
                <w:szCs w:val="22"/>
              </w:rPr>
            </w:pPr>
            <w:r w:rsidRPr="0069400D">
              <w:rPr>
                <w:spacing w:val="-2"/>
                <w:szCs w:val="22"/>
              </w:rPr>
              <w:t>In the Matter of</w:t>
            </w:r>
          </w:p>
          <w:p w:rsidR="004C2EE3" w:rsidRPr="0069400D" w14:paraId="363C23E4" w14:textId="77777777">
            <w:pPr>
              <w:tabs>
                <w:tab w:val="center" w:pos="4680"/>
              </w:tabs>
              <w:suppressAutoHyphens/>
              <w:rPr>
                <w:spacing w:val="-2"/>
                <w:szCs w:val="22"/>
              </w:rPr>
            </w:pPr>
          </w:p>
          <w:p w:rsidR="00451E6D" w:rsidRPr="0069400D" w:rsidP="00451E6D" w14:paraId="61369251" w14:textId="08729916">
            <w:pPr>
              <w:tabs>
                <w:tab w:val="center" w:pos="4680"/>
              </w:tabs>
              <w:suppressAutoHyphens/>
              <w:rPr>
                <w:b/>
                <w:bCs/>
                <w:spacing w:val="-2"/>
                <w:szCs w:val="22"/>
              </w:rPr>
            </w:pPr>
            <w:r>
              <w:rPr>
                <w:b/>
                <w:bCs/>
                <w:spacing w:val="-2"/>
                <w:szCs w:val="22"/>
              </w:rPr>
              <w:t>WORD OF GOD FELLOWSHIP, INC.</w:t>
            </w:r>
          </w:p>
          <w:p w:rsidR="00451E6D" w:rsidRPr="0069400D" w:rsidP="00451E6D" w14:paraId="391E568B" w14:textId="06A92FBD">
            <w:pPr>
              <w:tabs>
                <w:tab w:val="center" w:pos="4680"/>
              </w:tabs>
              <w:suppressAutoHyphens/>
              <w:rPr>
                <w:spacing w:val="-2"/>
                <w:szCs w:val="22"/>
              </w:rPr>
            </w:pPr>
          </w:p>
          <w:p w:rsidR="00451E6D" w:rsidRPr="0069400D" w:rsidP="00451E6D" w14:paraId="5BEAD6E7" w14:textId="54D0532E">
            <w:pPr>
              <w:tabs>
                <w:tab w:val="center" w:pos="4680"/>
              </w:tabs>
              <w:suppressAutoHyphens/>
              <w:rPr>
                <w:spacing w:val="-2"/>
                <w:szCs w:val="22"/>
              </w:rPr>
            </w:pPr>
            <w:r w:rsidRPr="0069400D">
              <w:rPr>
                <w:spacing w:val="-2"/>
                <w:szCs w:val="22"/>
              </w:rPr>
              <w:t>Low Power Television Station</w:t>
            </w:r>
          </w:p>
          <w:p w:rsidR="00766633" w:rsidRPr="0069400D" w:rsidP="00451E6D" w14:paraId="35273405" w14:textId="61F1FCD0">
            <w:pPr>
              <w:tabs>
                <w:tab w:val="center" w:pos="4680"/>
              </w:tabs>
              <w:suppressAutoHyphens/>
              <w:rPr>
                <w:spacing w:val="-2"/>
                <w:szCs w:val="22"/>
              </w:rPr>
            </w:pPr>
            <w:r w:rsidRPr="0069400D">
              <w:rPr>
                <w:spacing w:val="-2"/>
                <w:szCs w:val="22"/>
              </w:rPr>
              <w:t>K</w:t>
            </w:r>
            <w:r w:rsidR="008E0A2E">
              <w:rPr>
                <w:spacing w:val="-2"/>
                <w:szCs w:val="22"/>
              </w:rPr>
              <w:t>UMO-LD, St. Louis, Missouri</w:t>
            </w:r>
          </w:p>
          <w:p w:rsidR="00766633" w:rsidRPr="0069400D" w:rsidP="00451E6D" w14:paraId="3C39A7E3" w14:textId="6D864D0E">
            <w:pPr>
              <w:tabs>
                <w:tab w:val="center" w:pos="4680"/>
              </w:tabs>
              <w:suppressAutoHyphens/>
              <w:rPr>
                <w:spacing w:val="-2"/>
                <w:szCs w:val="22"/>
              </w:rPr>
            </w:pPr>
          </w:p>
        </w:tc>
        <w:tc>
          <w:tcPr>
            <w:tcW w:w="630" w:type="dxa"/>
          </w:tcPr>
          <w:p w:rsidR="004C2EE3" w:rsidRPr="0069400D" w14:paraId="0AEA82F0" w14:textId="77777777">
            <w:pPr>
              <w:tabs>
                <w:tab w:val="center" w:pos="4680"/>
              </w:tabs>
              <w:suppressAutoHyphens/>
              <w:rPr>
                <w:b/>
                <w:spacing w:val="-2"/>
                <w:szCs w:val="22"/>
              </w:rPr>
            </w:pPr>
            <w:r w:rsidRPr="0069400D">
              <w:rPr>
                <w:b/>
                <w:spacing w:val="-2"/>
                <w:szCs w:val="22"/>
              </w:rPr>
              <w:t>)</w:t>
            </w:r>
          </w:p>
          <w:p w:rsidR="004C2EE3" w:rsidRPr="0069400D" w14:paraId="61ADF200" w14:textId="77777777">
            <w:pPr>
              <w:tabs>
                <w:tab w:val="center" w:pos="4680"/>
              </w:tabs>
              <w:suppressAutoHyphens/>
              <w:rPr>
                <w:b/>
                <w:spacing w:val="-2"/>
                <w:szCs w:val="22"/>
              </w:rPr>
            </w:pPr>
            <w:r w:rsidRPr="0069400D">
              <w:rPr>
                <w:b/>
                <w:spacing w:val="-2"/>
                <w:szCs w:val="22"/>
              </w:rPr>
              <w:t>)</w:t>
            </w:r>
          </w:p>
          <w:p w:rsidR="004C2EE3" w:rsidRPr="0069400D" w14:paraId="6929C868" w14:textId="77777777">
            <w:pPr>
              <w:tabs>
                <w:tab w:val="center" w:pos="4680"/>
              </w:tabs>
              <w:suppressAutoHyphens/>
              <w:rPr>
                <w:b/>
                <w:spacing w:val="-2"/>
                <w:szCs w:val="22"/>
              </w:rPr>
            </w:pPr>
            <w:r w:rsidRPr="0069400D">
              <w:rPr>
                <w:b/>
                <w:spacing w:val="-2"/>
                <w:szCs w:val="22"/>
              </w:rPr>
              <w:t>)</w:t>
            </w:r>
          </w:p>
          <w:p w:rsidR="004C2EE3" w:rsidRPr="0069400D" w14:paraId="02FA38E4" w14:textId="77777777">
            <w:pPr>
              <w:tabs>
                <w:tab w:val="center" w:pos="4680"/>
              </w:tabs>
              <w:suppressAutoHyphens/>
              <w:rPr>
                <w:b/>
                <w:spacing w:val="-2"/>
                <w:szCs w:val="22"/>
              </w:rPr>
            </w:pPr>
            <w:r w:rsidRPr="0069400D">
              <w:rPr>
                <w:b/>
                <w:spacing w:val="-2"/>
                <w:szCs w:val="22"/>
              </w:rPr>
              <w:t>)</w:t>
            </w:r>
          </w:p>
          <w:p w:rsidR="004C2EE3" w:rsidRPr="0069400D" w14:paraId="54654703" w14:textId="77777777">
            <w:pPr>
              <w:tabs>
                <w:tab w:val="center" w:pos="4680"/>
              </w:tabs>
              <w:suppressAutoHyphens/>
              <w:rPr>
                <w:b/>
                <w:spacing w:val="-2"/>
                <w:szCs w:val="22"/>
              </w:rPr>
            </w:pPr>
            <w:r w:rsidRPr="0069400D">
              <w:rPr>
                <w:b/>
                <w:spacing w:val="-2"/>
                <w:szCs w:val="22"/>
              </w:rPr>
              <w:t>)</w:t>
            </w:r>
          </w:p>
          <w:p w:rsidR="00766633" w14:paraId="31F25389" w14:textId="77777777">
            <w:pPr>
              <w:tabs>
                <w:tab w:val="center" w:pos="4680"/>
              </w:tabs>
              <w:suppressAutoHyphens/>
              <w:rPr>
                <w:b/>
                <w:spacing w:val="-2"/>
                <w:szCs w:val="22"/>
              </w:rPr>
            </w:pPr>
            <w:r w:rsidRPr="0069400D">
              <w:rPr>
                <w:b/>
                <w:spacing w:val="-2"/>
                <w:szCs w:val="22"/>
              </w:rPr>
              <w:t>)</w:t>
            </w:r>
          </w:p>
          <w:p w:rsidR="00367C3B" w14:paraId="231459A9" w14:textId="77777777">
            <w:pPr>
              <w:tabs>
                <w:tab w:val="center" w:pos="4680"/>
              </w:tabs>
              <w:suppressAutoHyphens/>
              <w:rPr>
                <w:b/>
                <w:spacing w:val="-2"/>
                <w:szCs w:val="22"/>
              </w:rPr>
            </w:pPr>
            <w:r>
              <w:rPr>
                <w:b/>
                <w:spacing w:val="-2"/>
                <w:szCs w:val="22"/>
              </w:rPr>
              <w:t>)</w:t>
            </w:r>
          </w:p>
          <w:p w:rsidR="00367C3B" w:rsidRPr="0069400D" w14:paraId="051B9E40" w14:textId="67A599ED">
            <w:pPr>
              <w:tabs>
                <w:tab w:val="center" w:pos="4680"/>
              </w:tabs>
              <w:suppressAutoHyphens/>
              <w:rPr>
                <w:b/>
                <w:spacing w:val="-2"/>
                <w:szCs w:val="22"/>
              </w:rPr>
            </w:pPr>
          </w:p>
        </w:tc>
        <w:tc>
          <w:tcPr>
            <w:tcW w:w="4248" w:type="dxa"/>
          </w:tcPr>
          <w:p w:rsidR="004C2EE3" w:rsidRPr="0069400D" w14:paraId="0F92B959" w14:textId="77777777">
            <w:pPr>
              <w:tabs>
                <w:tab w:val="center" w:pos="4680"/>
              </w:tabs>
              <w:suppressAutoHyphens/>
              <w:rPr>
                <w:spacing w:val="-2"/>
                <w:szCs w:val="22"/>
              </w:rPr>
            </w:pPr>
          </w:p>
          <w:p w:rsidR="004C2EE3" w:rsidRPr="0069400D" w14:paraId="0ADD3260" w14:textId="77777777">
            <w:pPr>
              <w:pStyle w:val="TOAHeading"/>
              <w:tabs>
                <w:tab w:val="center" w:pos="4680"/>
                <w:tab w:val="clear" w:pos="9360"/>
              </w:tabs>
              <w:rPr>
                <w:spacing w:val="-2"/>
                <w:szCs w:val="22"/>
              </w:rPr>
            </w:pPr>
          </w:p>
          <w:p w:rsidR="00451E6D" w:rsidRPr="0069400D" w:rsidP="00451E6D" w14:paraId="1964B013" w14:textId="2DD59711">
            <w:pPr>
              <w:pStyle w:val="TOAHeading"/>
              <w:tabs>
                <w:tab w:val="center" w:pos="4680"/>
              </w:tabs>
              <w:rPr>
                <w:spacing w:val="-2"/>
                <w:szCs w:val="22"/>
              </w:rPr>
            </w:pPr>
            <w:r w:rsidRPr="0069400D">
              <w:rPr>
                <w:spacing w:val="-2"/>
                <w:szCs w:val="22"/>
              </w:rPr>
              <w:t>Facility ID No</w:t>
            </w:r>
            <w:r w:rsidRPr="0069400D" w:rsidR="00A62798">
              <w:rPr>
                <w:spacing w:val="-2"/>
                <w:szCs w:val="22"/>
              </w:rPr>
              <w:t xml:space="preserve">. </w:t>
            </w:r>
            <w:r w:rsidR="008E0A2E">
              <w:rPr>
                <w:spacing w:val="-2"/>
                <w:szCs w:val="22"/>
              </w:rPr>
              <w:t>10291</w:t>
            </w:r>
          </w:p>
          <w:p w:rsidR="00451E6D" w:rsidRPr="0069400D" w:rsidP="00451E6D" w14:paraId="46C3904F" w14:textId="4F23B5EC">
            <w:pPr>
              <w:pStyle w:val="TOAHeading"/>
              <w:tabs>
                <w:tab w:val="center" w:pos="4680"/>
              </w:tabs>
              <w:rPr>
                <w:spacing w:val="-2"/>
                <w:szCs w:val="22"/>
              </w:rPr>
            </w:pPr>
            <w:r w:rsidRPr="0069400D">
              <w:rPr>
                <w:spacing w:val="-2"/>
                <w:szCs w:val="22"/>
              </w:rPr>
              <w:t>NAL/Acct. No.</w:t>
            </w:r>
            <w:r w:rsidR="008E0A2E">
              <w:rPr>
                <w:spacing w:val="-2"/>
                <w:szCs w:val="22"/>
              </w:rPr>
              <w:t xml:space="preserve"> </w:t>
            </w:r>
            <w:r w:rsidR="00FA6526">
              <w:rPr>
                <w:spacing w:val="-2"/>
                <w:szCs w:val="22"/>
              </w:rPr>
              <w:t>20244142000</w:t>
            </w:r>
            <w:r w:rsidR="00D0774D">
              <w:rPr>
                <w:spacing w:val="-2"/>
                <w:szCs w:val="22"/>
              </w:rPr>
              <w:t>4</w:t>
            </w:r>
          </w:p>
          <w:p w:rsidR="00451E6D" w:rsidP="00451E6D" w14:paraId="57840482" w14:textId="34E7F123">
            <w:pPr>
              <w:pStyle w:val="TOAHeading"/>
              <w:tabs>
                <w:tab w:val="center" w:pos="4680"/>
              </w:tabs>
              <w:rPr>
                <w:spacing w:val="-2"/>
                <w:szCs w:val="22"/>
              </w:rPr>
            </w:pPr>
            <w:r w:rsidRPr="0069400D">
              <w:rPr>
                <w:spacing w:val="-2"/>
                <w:szCs w:val="22"/>
              </w:rPr>
              <w:t xml:space="preserve">FRN: </w:t>
            </w:r>
            <w:r w:rsidRPr="008E0A2E" w:rsidR="008E0A2E">
              <w:rPr>
                <w:spacing w:val="-2"/>
                <w:szCs w:val="22"/>
              </w:rPr>
              <w:t>0001843697</w:t>
            </w:r>
          </w:p>
          <w:p w:rsidR="00367C3B" w:rsidRPr="0066771F" w:rsidP="0066771F" w14:paraId="729B98D5" w14:textId="6486A3E2">
            <w:r>
              <w:t xml:space="preserve">LMS File No. </w:t>
            </w:r>
            <w:r w:rsidRPr="00367C3B">
              <w:t>0000235569</w:t>
            </w:r>
          </w:p>
          <w:p w:rsidR="004C2EE3" w:rsidRPr="0069400D" w:rsidP="00451E6D" w14:paraId="62E23256" w14:textId="338BC479">
            <w:pPr>
              <w:tabs>
                <w:tab w:val="center" w:pos="4680"/>
              </w:tabs>
              <w:suppressAutoHyphens/>
              <w:rPr>
                <w:spacing w:val="-2"/>
                <w:szCs w:val="22"/>
              </w:rPr>
            </w:pPr>
          </w:p>
        </w:tc>
      </w:tr>
    </w:tbl>
    <w:p w:rsidR="00451E6D" w:rsidRPr="005859FD" w:rsidP="008F064F" w14:paraId="1BB8189B" w14:textId="18349F97">
      <w:pPr>
        <w:pStyle w:val="StyleBoldCentered"/>
        <w:rPr>
          <w:rFonts w:ascii="Times New Roman" w:hAnsi="Times New Roman"/>
        </w:rPr>
      </w:pPr>
      <w:r w:rsidRPr="005859FD">
        <w:rPr>
          <w:rFonts w:ascii="Times New Roman" w:hAnsi="Times New Roman"/>
        </w:rPr>
        <w:t>MEMORANDUM OPINION AND ORDER</w:t>
      </w:r>
      <w:r w:rsidRPr="005859FD" w:rsidR="008F064F">
        <w:rPr>
          <w:rFonts w:ascii="Times New Roman" w:hAnsi="Times New Roman"/>
        </w:rPr>
        <w:t xml:space="preserve"> </w:t>
      </w:r>
      <w:r w:rsidRPr="005859FD">
        <w:rPr>
          <w:rFonts w:ascii="Times New Roman" w:hAnsi="Times New Roman"/>
        </w:rPr>
        <w:t>AND</w:t>
      </w:r>
    </w:p>
    <w:p w:rsidR="00841AB1" w:rsidRPr="005859FD" w:rsidP="00451E6D" w14:paraId="604E3770" w14:textId="0094A7F6">
      <w:pPr>
        <w:pStyle w:val="StyleBoldCentered"/>
        <w:rPr>
          <w:rFonts w:ascii="Times New Roman" w:hAnsi="Times New Roman"/>
        </w:rPr>
      </w:pPr>
      <w:r w:rsidRPr="005859FD">
        <w:rPr>
          <w:rFonts w:ascii="Times New Roman" w:hAnsi="Times New Roman"/>
        </w:rPr>
        <w:t>NOTICE OF APPARENT LIABILITY FOR FORFEITURE</w:t>
      </w:r>
    </w:p>
    <w:p w:rsidR="004C2EE3" w:rsidRPr="0069400D" w14:paraId="33B1BC2C" w14:textId="77777777">
      <w:pPr>
        <w:tabs>
          <w:tab w:val="left" w:pos="-720"/>
        </w:tabs>
        <w:suppressAutoHyphens/>
        <w:spacing w:line="227" w:lineRule="auto"/>
        <w:rPr>
          <w:spacing w:val="-2"/>
          <w:szCs w:val="22"/>
        </w:rPr>
      </w:pPr>
    </w:p>
    <w:p w:rsidR="004C2EE3" w:rsidRPr="0069400D" w:rsidP="00133F79" w14:paraId="448CC0D2" w14:textId="730F578E">
      <w:pPr>
        <w:tabs>
          <w:tab w:val="left" w:pos="720"/>
          <w:tab w:val="right" w:pos="9360"/>
        </w:tabs>
        <w:suppressAutoHyphens/>
        <w:spacing w:line="227" w:lineRule="auto"/>
        <w:rPr>
          <w:spacing w:val="-2"/>
          <w:szCs w:val="22"/>
        </w:rPr>
      </w:pPr>
      <w:r w:rsidRPr="0069400D">
        <w:rPr>
          <w:b/>
          <w:spacing w:val="-2"/>
          <w:szCs w:val="22"/>
        </w:rPr>
        <w:t xml:space="preserve">Adopted:  </w:t>
      </w:r>
      <w:r w:rsidR="000935DB">
        <w:rPr>
          <w:b/>
          <w:spacing w:val="-2"/>
          <w:szCs w:val="22"/>
        </w:rPr>
        <w:t>March 13,</w:t>
      </w:r>
      <w:r w:rsidRPr="005859FD" w:rsidR="00451E6D">
        <w:rPr>
          <w:b/>
          <w:spacing w:val="-2"/>
          <w:szCs w:val="22"/>
        </w:rPr>
        <w:t xml:space="preserve"> 20</w:t>
      </w:r>
      <w:r w:rsidRPr="0069400D" w:rsidR="00451E6D">
        <w:rPr>
          <w:b/>
          <w:spacing w:val="-2"/>
          <w:szCs w:val="22"/>
        </w:rPr>
        <w:t>2</w:t>
      </w:r>
      <w:r w:rsidR="008E0A2E">
        <w:rPr>
          <w:b/>
          <w:spacing w:val="-2"/>
          <w:szCs w:val="22"/>
        </w:rPr>
        <w:t>4</w:t>
      </w:r>
      <w:r w:rsidRPr="0069400D">
        <w:rPr>
          <w:b/>
          <w:spacing w:val="-2"/>
          <w:szCs w:val="22"/>
        </w:rPr>
        <w:tab/>
      </w:r>
      <w:r w:rsidRPr="0069400D" w:rsidR="00822CE0">
        <w:rPr>
          <w:b/>
          <w:spacing w:val="-2"/>
          <w:szCs w:val="22"/>
        </w:rPr>
        <w:t>Released</w:t>
      </w:r>
      <w:r w:rsidRPr="0069400D">
        <w:rPr>
          <w:b/>
          <w:spacing w:val="-2"/>
          <w:szCs w:val="22"/>
        </w:rPr>
        <w:t>:</w:t>
      </w:r>
      <w:r w:rsidRPr="0069400D" w:rsidR="00822CE0">
        <w:rPr>
          <w:b/>
          <w:spacing w:val="-2"/>
          <w:szCs w:val="22"/>
        </w:rPr>
        <w:t xml:space="preserve"> </w:t>
      </w:r>
      <w:r w:rsidRPr="0069400D">
        <w:rPr>
          <w:b/>
          <w:spacing w:val="-2"/>
          <w:szCs w:val="22"/>
        </w:rPr>
        <w:t xml:space="preserve"> </w:t>
      </w:r>
      <w:r w:rsidR="000935DB">
        <w:rPr>
          <w:b/>
          <w:spacing w:val="-2"/>
          <w:szCs w:val="22"/>
        </w:rPr>
        <w:t>March 13,</w:t>
      </w:r>
      <w:r w:rsidRPr="005859FD" w:rsidR="00451E6D">
        <w:rPr>
          <w:b/>
          <w:spacing w:val="-2"/>
          <w:szCs w:val="22"/>
        </w:rPr>
        <w:t xml:space="preserve"> 2</w:t>
      </w:r>
      <w:r w:rsidRPr="0069400D" w:rsidR="00451E6D">
        <w:rPr>
          <w:b/>
          <w:spacing w:val="-2"/>
          <w:szCs w:val="22"/>
        </w:rPr>
        <w:t>02</w:t>
      </w:r>
      <w:r w:rsidR="008E0A2E">
        <w:rPr>
          <w:b/>
          <w:spacing w:val="-2"/>
          <w:szCs w:val="22"/>
        </w:rPr>
        <w:t>4</w:t>
      </w:r>
    </w:p>
    <w:p w:rsidR="00822CE0" w:rsidRPr="0069400D" w14:paraId="66CE1426" w14:textId="77777777">
      <w:pPr>
        <w:rPr>
          <w:szCs w:val="22"/>
        </w:rPr>
      </w:pPr>
    </w:p>
    <w:p w:rsidR="004C2EE3" w:rsidRPr="0069400D" w14:paraId="0AE7EA2C" w14:textId="1203DCA9">
      <w:pPr>
        <w:rPr>
          <w:spacing w:val="-2"/>
          <w:szCs w:val="22"/>
        </w:rPr>
      </w:pPr>
      <w:r w:rsidRPr="0069400D">
        <w:rPr>
          <w:szCs w:val="22"/>
        </w:rPr>
        <w:t xml:space="preserve">By </w:t>
      </w:r>
      <w:r w:rsidRPr="0069400D" w:rsidR="004E4A22">
        <w:rPr>
          <w:szCs w:val="22"/>
        </w:rPr>
        <w:t>the</w:t>
      </w:r>
      <w:r w:rsidRPr="0069400D" w:rsidR="002A2D2E">
        <w:rPr>
          <w:szCs w:val="22"/>
        </w:rPr>
        <w:t xml:space="preserve"> </w:t>
      </w:r>
      <w:r w:rsidRPr="0069400D" w:rsidR="00451E6D">
        <w:rPr>
          <w:spacing w:val="-2"/>
          <w:szCs w:val="22"/>
        </w:rPr>
        <w:t>Chief, Video Division, Media Bureau</w:t>
      </w:r>
      <w:r w:rsidRPr="0069400D">
        <w:rPr>
          <w:spacing w:val="-2"/>
          <w:szCs w:val="22"/>
        </w:rPr>
        <w:t>:</w:t>
      </w:r>
    </w:p>
    <w:p w:rsidR="00822CE0" w:rsidRPr="0069400D" w14:paraId="7E0F50D4" w14:textId="77777777">
      <w:pPr>
        <w:rPr>
          <w:spacing w:val="-2"/>
          <w:szCs w:val="22"/>
        </w:rPr>
      </w:pPr>
    </w:p>
    <w:p w:rsidR="00451E6D" w:rsidRPr="005859FD" w:rsidP="00451E6D" w14:paraId="2C9CD3B9" w14:textId="77777777">
      <w:pPr>
        <w:pStyle w:val="Heading1"/>
        <w:keepNext w:val="0"/>
        <w:suppressAutoHyphens w:val="0"/>
        <w:rPr>
          <w:rFonts w:ascii="Times New Roman" w:hAnsi="Times New Roman"/>
          <w:szCs w:val="22"/>
        </w:rPr>
      </w:pPr>
      <w:r w:rsidRPr="005859FD">
        <w:rPr>
          <w:rFonts w:ascii="Times New Roman" w:hAnsi="Times New Roman"/>
          <w:szCs w:val="22"/>
        </w:rPr>
        <w:t>INTRODUCTION</w:t>
      </w:r>
    </w:p>
    <w:p w:rsidR="00451E6D" w:rsidRPr="004E2BCF" w:rsidP="00451E6D" w14:paraId="177319AE" w14:textId="034B2817">
      <w:pPr>
        <w:pStyle w:val="ParaNum"/>
        <w:rPr>
          <w:szCs w:val="22"/>
        </w:rPr>
      </w:pPr>
      <w:r w:rsidRPr="0069400D">
        <w:rPr>
          <w:szCs w:val="22"/>
        </w:rPr>
        <w:t>The Media Bureau (Bureau) has before i</w:t>
      </w:r>
      <w:bookmarkStart w:id="0" w:name="_Hlk94684400"/>
      <w:bookmarkStart w:id="1" w:name="_Hlk89869077"/>
      <w:r w:rsidRPr="0069400D" w:rsidR="00AF4A48">
        <w:rPr>
          <w:szCs w:val="22"/>
        </w:rPr>
        <w:t xml:space="preserve">t </w:t>
      </w:r>
      <w:bookmarkEnd w:id="0"/>
      <w:bookmarkEnd w:id="1"/>
      <w:r w:rsidR="008E0A2E">
        <w:rPr>
          <w:szCs w:val="22"/>
        </w:rPr>
        <w:t xml:space="preserve">Word of God Fellowship, Inc. </w:t>
      </w:r>
      <w:r w:rsidRPr="0069400D" w:rsidR="00A62798">
        <w:rPr>
          <w:szCs w:val="22"/>
        </w:rPr>
        <w:t>(</w:t>
      </w:r>
      <w:r w:rsidR="008E0A2E">
        <w:rPr>
          <w:szCs w:val="22"/>
        </w:rPr>
        <w:t>WOG</w:t>
      </w:r>
      <w:r w:rsidRPr="0069400D" w:rsidR="00A62798">
        <w:rPr>
          <w:szCs w:val="22"/>
        </w:rPr>
        <w:t xml:space="preserve"> or Licensee</w:t>
      </w:r>
      <w:r w:rsidRPr="0069400D">
        <w:rPr>
          <w:szCs w:val="22"/>
        </w:rPr>
        <w:t xml:space="preserve">), </w:t>
      </w:r>
      <w:r w:rsidRPr="0069400D" w:rsidR="00AF4A48">
        <w:rPr>
          <w:szCs w:val="22"/>
        </w:rPr>
        <w:t xml:space="preserve">licensee of </w:t>
      </w:r>
      <w:r w:rsidRPr="0069400D">
        <w:rPr>
          <w:szCs w:val="22"/>
        </w:rPr>
        <w:t>low power television (LPTV) sta</w:t>
      </w:r>
      <w:r w:rsidRPr="0069400D" w:rsidR="00A62798">
        <w:rPr>
          <w:szCs w:val="22"/>
        </w:rPr>
        <w:t xml:space="preserve">tion </w:t>
      </w:r>
      <w:r w:rsidR="008E0A2E">
        <w:rPr>
          <w:szCs w:val="22"/>
        </w:rPr>
        <w:t>KUMO</w:t>
      </w:r>
      <w:r w:rsidRPr="0069400D" w:rsidR="00A62798">
        <w:rPr>
          <w:szCs w:val="22"/>
        </w:rPr>
        <w:t xml:space="preserve">-LD, </w:t>
      </w:r>
      <w:r w:rsidR="008E0A2E">
        <w:rPr>
          <w:szCs w:val="22"/>
        </w:rPr>
        <w:t>St. Louis, Missouri</w:t>
      </w:r>
      <w:r w:rsidRPr="0069400D" w:rsidR="00766633">
        <w:rPr>
          <w:szCs w:val="22"/>
        </w:rPr>
        <w:t xml:space="preserve"> (</w:t>
      </w:r>
      <w:r w:rsidRPr="0069400D" w:rsidR="00A62798">
        <w:rPr>
          <w:szCs w:val="22"/>
        </w:rPr>
        <w:t>K</w:t>
      </w:r>
      <w:r w:rsidR="008E0A2E">
        <w:rPr>
          <w:szCs w:val="22"/>
        </w:rPr>
        <w:t>UMO</w:t>
      </w:r>
      <w:r w:rsidRPr="0069400D" w:rsidR="00A62798">
        <w:rPr>
          <w:szCs w:val="22"/>
        </w:rPr>
        <w:t>-LD or</w:t>
      </w:r>
      <w:r w:rsidRPr="0069400D" w:rsidR="00766633">
        <w:rPr>
          <w:szCs w:val="22"/>
        </w:rPr>
        <w:t xml:space="preserve"> </w:t>
      </w:r>
      <w:r w:rsidRPr="0069400D">
        <w:rPr>
          <w:szCs w:val="22"/>
        </w:rPr>
        <w:t xml:space="preserve">Station).  In this </w:t>
      </w:r>
      <w:r w:rsidRPr="0069400D">
        <w:rPr>
          <w:i/>
          <w:iCs/>
          <w:szCs w:val="22"/>
        </w:rPr>
        <w:t>Memorandum Opinion and Order and Notice of Apparent</w:t>
      </w:r>
      <w:r w:rsidRPr="0069400D">
        <w:rPr>
          <w:i/>
          <w:szCs w:val="22"/>
        </w:rPr>
        <w:t xml:space="preserve"> Liability for Forfeiture </w:t>
      </w:r>
      <w:r w:rsidRPr="0069400D">
        <w:rPr>
          <w:szCs w:val="22"/>
        </w:rPr>
        <w:t>(</w:t>
      </w:r>
      <w:r w:rsidRPr="0069400D">
        <w:rPr>
          <w:i/>
          <w:szCs w:val="22"/>
        </w:rPr>
        <w:t>NAL</w:t>
      </w:r>
      <w:r w:rsidRPr="0069400D">
        <w:rPr>
          <w:szCs w:val="22"/>
        </w:rPr>
        <w:t>),</w:t>
      </w:r>
      <w:r>
        <w:rPr>
          <w:rStyle w:val="FootnoteReference"/>
          <w:sz w:val="22"/>
          <w:szCs w:val="22"/>
        </w:rPr>
        <w:footnoteReference w:id="3"/>
      </w:r>
      <w:r w:rsidRPr="0069400D">
        <w:rPr>
          <w:i/>
          <w:szCs w:val="22"/>
        </w:rPr>
        <w:t xml:space="preserve"> </w:t>
      </w:r>
      <w:r w:rsidRPr="0069400D">
        <w:rPr>
          <w:szCs w:val="22"/>
        </w:rPr>
        <w:t xml:space="preserve">we find that </w:t>
      </w:r>
      <w:r w:rsidR="00424A76">
        <w:rPr>
          <w:szCs w:val="22"/>
        </w:rPr>
        <w:t>WOG</w:t>
      </w:r>
      <w:r w:rsidRPr="0069400D" w:rsidR="00424A76">
        <w:rPr>
          <w:szCs w:val="22"/>
        </w:rPr>
        <w:t xml:space="preserve"> </w:t>
      </w:r>
      <w:r w:rsidRPr="0069400D">
        <w:rPr>
          <w:szCs w:val="22"/>
        </w:rPr>
        <w:t xml:space="preserve">apparently willfully violated section </w:t>
      </w:r>
      <w:r w:rsidRPr="0069400D" w:rsidR="001B172D">
        <w:rPr>
          <w:szCs w:val="22"/>
        </w:rPr>
        <w:t>73.3598(a)</w:t>
      </w:r>
      <w:r>
        <w:rPr>
          <w:rStyle w:val="FootnoteReference"/>
          <w:color w:val="000000"/>
          <w:sz w:val="22"/>
          <w:szCs w:val="22"/>
        </w:rPr>
        <w:footnoteReference w:id="4"/>
      </w:r>
      <w:r w:rsidRPr="0069400D">
        <w:rPr>
          <w:szCs w:val="22"/>
        </w:rPr>
        <w:t xml:space="preserve"> of the</w:t>
      </w:r>
      <w:r w:rsidRPr="0069400D" w:rsidR="00121DD9">
        <w:rPr>
          <w:szCs w:val="22"/>
        </w:rPr>
        <w:t xml:space="preserve"> Commission’s</w:t>
      </w:r>
      <w:r w:rsidRPr="0069400D">
        <w:rPr>
          <w:szCs w:val="22"/>
        </w:rPr>
        <w:t xml:space="preserve"> </w:t>
      </w:r>
      <w:r w:rsidRPr="0069400D" w:rsidR="00121DD9">
        <w:rPr>
          <w:szCs w:val="22"/>
        </w:rPr>
        <w:t>r</w:t>
      </w:r>
      <w:r w:rsidRPr="0069400D">
        <w:rPr>
          <w:szCs w:val="22"/>
        </w:rPr>
        <w:t xml:space="preserve">ules </w:t>
      </w:r>
      <w:r w:rsidRPr="0069400D" w:rsidR="00770127">
        <w:rPr>
          <w:szCs w:val="22"/>
        </w:rPr>
        <w:t xml:space="preserve">(Rules) </w:t>
      </w:r>
      <w:r w:rsidRPr="0069400D">
        <w:rPr>
          <w:szCs w:val="22"/>
        </w:rPr>
        <w:t xml:space="preserve">by failing to timely file </w:t>
      </w:r>
      <w:r w:rsidRPr="0069400D" w:rsidR="00A62798">
        <w:rPr>
          <w:szCs w:val="22"/>
        </w:rPr>
        <w:t xml:space="preserve">a </w:t>
      </w:r>
      <w:r w:rsidRPr="0069400D">
        <w:rPr>
          <w:szCs w:val="22"/>
        </w:rPr>
        <w:t>license to cover application</w:t>
      </w:r>
      <w:r w:rsidR="007B71C8">
        <w:rPr>
          <w:szCs w:val="22"/>
        </w:rPr>
        <w:t xml:space="preserve"> and section 73.1635(a) by failing to file for extension of its special temporary authority.</w:t>
      </w:r>
      <w:r>
        <w:rPr>
          <w:rStyle w:val="FootnoteReference"/>
          <w:szCs w:val="22"/>
        </w:rPr>
        <w:footnoteReference w:id="5"/>
      </w:r>
      <w:r w:rsidR="007B71C8">
        <w:rPr>
          <w:szCs w:val="22"/>
        </w:rPr>
        <w:t xml:space="preserve">  WOG also</w:t>
      </w:r>
      <w:r w:rsidRPr="0069400D">
        <w:rPr>
          <w:szCs w:val="22"/>
        </w:rPr>
        <w:t xml:space="preserve"> willfully and repeatedly violated </w:t>
      </w:r>
      <w:r w:rsidRPr="00E61EB2" w:rsidR="00E61EB2">
        <w:rPr>
          <w:szCs w:val="22"/>
        </w:rPr>
        <w:t>section 73.1745 of the Rules</w:t>
      </w:r>
      <w:r>
        <w:rPr>
          <w:rStyle w:val="FootnoteReference"/>
          <w:szCs w:val="22"/>
        </w:rPr>
        <w:footnoteReference w:id="6"/>
      </w:r>
      <w:r w:rsidR="00E61EB2">
        <w:rPr>
          <w:szCs w:val="22"/>
        </w:rPr>
        <w:t xml:space="preserve"> and</w:t>
      </w:r>
      <w:r w:rsidRPr="00E61EB2" w:rsidR="00E61EB2">
        <w:rPr>
          <w:szCs w:val="22"/>
        </w:rPr>
        <w:t xml:space="preserve"> </w:t>
      </w:r>
      <w:r w:rsidRPr="0069400D">
        <w:rPr>
          <w:szCs w:val="22"/>
        </w:rPr>
        <w:t>s</w:t>
      </w:r>
      <w:r w:rsidRPr="004E2BCF">
        <w:rPr>
          <w:szCs w:val="22"/>
        </w:rPr>
        <w:t>ection 301 of the Act,</w:t>
      </w:r>
      <w:r>
        <w:rPr>
          <w:rStyle w:val="FootnoteReference"/>
          <w:color w:val="000000"/>
          <w:sz w:val="22"/>
          <w:szCs w:val="22"/>
        </w:rPr>
        <w:footnoteReference w:id="7"/>
      </w:r>
      <w:r w:rsidRPr="004E2BCF">
        <w:rPr>
          <w:szCs w:val="22"/>
        </w:rPr>
        <w:t xml:space="preserve"> by engaging in unauthorized operation.  Based upon our review of the facts and circumstances before us, we conclude that </w:t>
      </w:r>
      <w:r w:rsidR="00424A76">
        <w:rPr>
          <w:szCs w:val="22"/>
        </w:rPr>
        <w:t>WOG</w:t>
      </w:r>
      <w:r w:rsidRPr="004E2BCF" w:rsidR="00424A76">
        <w:rPr>
          <w:szCs w:val="22"/>
        </w:rPr>
        <w:t xml:space="preserve"> </w:t>
      </w:r>
      <w:r w:rsidRPr="004E2BCF">
        <w:rPr>
          <w:szCs w:val="22"/>
        </w:rPr>
        <w:t xml:space="preserve">is apparently liable for a monetary forfeiture in the amount of </w:t>
      </w:r>
      <w:r w:rsidR="00B027FB">
        <w:rPr>
          <w:szCs w:val="22"/>
        </w:rPr>
        <w:t>nine</w:t>
      </w:r>
      <w:r w:rsidRPr="004E2BCF" w:rsidR="00016E52">
        <w:rPr>
          <w:szCs w:val="22"/>
        </w:rPr>
        <w:t xml:space="preserve"> </w:t>
      </w:r>
      <w:r w:rsidRPr="004E2BCF" w:rsidR="00A62798">
        <w:rPr>
          <w:szCs w:val="22"/>
        </w:rPr>
        <w:t>thousa</w:t>
      </w:r>
      <w:r w:rsidRPr="004E2BCF" w:rsidR="00341018">
        <w:rPr>
          <w:szCs w:val="22"/>
        </w:rPr>
        <w:t>nd</w:t>
      </w:r>
      <w:r w:rsidRPr="004E2BCF" w:rsidR="00212C5A">
        <w:rPr>
          <w:szCs w:val="22"/>
        </w:rPr>
        <w:t xml:space="preserve"> five hundred </w:t>
      </w:r>
      <w:r w:rsidRPr="004E2BCF">
        <w:rPr>
          <w:szCs w:val="22"/>
        </w:rPr>
        <w:t xml:space="preserve">dollars </w:t>
      </w:r>
      <w:r w:rsidRPr="004E2BCF" w:rsidR="00A62798">
        <w:rPr>
          <w:szCs w:val="22"/>
        </w:rPr>
        <w:t>($</w:t>
      </w:r>
      <w:r w:rsidR="00B027FB">
        <w:rPr>
          <w:szCs w:val="22"/>
        </w:rPr>
        <w:t>9</w:t>
      </w:r>
      <w:r w:rsidRPr="004E2BCF" w:rsidR="00C91238">
        <w:rPr>
          <w:szCs w:val="22"/>
        </w:rPr>
        <w:t>,</w:t>
      </w:r>
      <w:r w:rsidRPr="004E2BCF" w:rsidR="00212C5A">
        <w:rPr>
          <w:szCs w:val="22"/>
        </w:rPr>
        <w:t>5</w:t>
      </w:r>
      <w:r w:rsidRPr="004E2BCF">
        <w:rPr>
          <w:szCs w:val="22"/>
        </w:rPr>
        <w:t>00).</w:t>
      </w:r>
    </w:p>
    <w:p w:rsidR="001D0C64" w:rsidRPr="004E2BCF" w:rsidP="001D0C64" w14:paraId="77A3E0D6" w14:textId="0EF9FC9C">
      <w:pPr>
        <w:pStyle w:val="Heading1"/>
        <w:rPr>
          <w:rFonts w:ascii="Times New Roman" w:hAnsi="Times New Roman"/>
          <w:szCs w:val="22"/>
        </w:rPr>
      </w:pPr>
      <w:r w:rsidRPr="004E2BCF">
        <w:rPr>
          <w:rFonts w:ascii="Times New Roman" w:hAnsi="Times New Roman"/>
          <w:szCs w:val="22"/>
        </w:rPr>
        <w:t>Background</w:t>
      </w:r>
    </w:p>
    <w:p w:rsidR="005444DA" w:rsidRPr="005444DA" w:rsidP="00862EE9" w14:paraId="2461A802" w14:textId="45287CEB">
      <w:pPr>
        <w:pStyle w:val="ParaNum"/>
        <w:widowControl/>
        <w:rPr>
          <w:szCs w:val="22"/>
        </w:rPr>
      </w:pPr>
      <w:r w:rsidRPr="0069400D">
        <w:t>K</w:t>
      </w:r>
      <w:r w:rsidR="008E0A2E">
        <w:t>UMO</w:t>
      </w:r>
      <w:r w:rsidRPr="0069400D">
        <w:t xml:space="preserve">-LD is an LPTV station </w:t>
      </w:r>
      <w:r w:rsidR="008E0A2E">
        <w:t xml:space="preserve">whose channel 51 facilities were displaced by the Incentive Auction and repacking process.  The Station obtained a construction permit for displacement channel 32 </w:t>
      </w:r>
      <w:r w:rsidR="004739DE">
        <w:t xml:space="preserve">(Displacement CP) </w:t>
      </w:r>
      <w:r w:rsidR="008E0A2E">
        <w:t>that was granted on July 27, 2018 and expired on July 27, 2021.</w:t>
      </w:r>
      <w:r>
        <w:rPr>
          <w:rStyle w:val="FootnoteReference"/>
          <w:szCs w:val="22"/>
        </w:rPr>
        <w:footnoteReference w:id="8"/>
      </w:r>
      <w:r w:rsidR="008E0A2E">
        <w:t xml:space="preserve">  </w:t>
      </w:r>
      <w:bookmarkStart w:id="2" w:name="_Hlk161067532"/>
      <w:r>
        <w:t>On October 19, 2017,</w:t>
      </w:r>
      <w:r w:rsidR="008E0A2E">
        <w:t xml:space="preserve"> </w:t>
      </w:r>
      <w:r>
        <w:t>t</w:t>
      </w:r>
      <w:r w:rsidRPr="005444DA">
        <w:t xml:space="preserve">he Station was granted special temporary authority </w:t>
      </w:r>
      <w:r>
        <w:t xml:space="preserve">(STA) </w:t>
      </w:r>
      <w:r w:rsidRPr="005444DA">
        <w:t>to begin operating on channel 32 while its displacement application was pending.</w:t>
      </w:r>
      <w:r>
        <w:rPr>
          <w:rStyle w:val="FootnoteReference"/>
        </w:rPr>
        <w:footnoteReference w:id="9"/>
      </w:r>
      <w:r>
        <w:t xml:space="preserve">  T</w:t>
      </w:r>
      <w:bookmarkStart w:id="3" w:name="_Hlk161067512"/>
      <w:r>
        <w:t xml:space="preserve">hat STA expired on </w:t>
      </w:r>
      <w:r w:rsidRPr="005444DA">
        <w:t>April 19, 2018</w:t>
      </w:r>
      <w:r>
        <w:t xml:space="preserve"> while </w:t>
      </w:r>
      <w:r>
        <w:t>the displacement application was still pending</w:t>
      </w:r>
      <w:r w:rsidR="00B027FB">
        <w:t xml:space="preserve">, </w:t>
      </w:r>
      <w:r>
        <w:t>was not renewed</w:t>
      </w:r>
      <w:r w:rsidR="00291BA4">
        <w:t>,</w:t>
      </w:r>
      <w:r w:rsidR="00B027FB">
        <w:t xml:space="preserve"> and</w:t>
      </w:r>
      <w:r>
        <w:t xml:space="preserve"> </w:t>
      </w:r>
      <w:r w:rsidR="00B027FB">
        <w:t>the Station continued to operate on displacement channel 32 after the STA expired.</w:t>
      </w:r>
      <w:r>
        <w:rPr>
          <w:rStyle w:val="FootnoteReference"/>
        </w:rPr>
        <w:footnoteReference w:id="10"/>
      </w:r>
      <w:r w:rsidR="00B027FB">
        <w:t xml:space="preserve"> </w:t>
      </w:r>
    </w:p>
    <w:bookmarkEnd w:id="3"/>
    <w:bookmarkEnd w:id="2"/>
    <w:p w:rsidR="007A27A1" w:rsidRPr="005444DA" w:rsidP="005444DA" w14:paraId="6153BE8A" w14:textId="51B3D628">
      <w:pPr>
        <w:pStyle w:val="ParaNum"/>
        <w:rPr>
          <w:szCs w:val="22"/>
        </w:rPr>
      </w:pPr>
      <w:r>
        <w:t>O</w:t>
      </w:r>
      <w:r w:rsidRPr="0069400D">
        <w:t xml:space="preserve">n </w:t>
      </w:r>
      <w:r w:rsidR="004739DE">
        <w:t>January 17</w:t>
      </w:r>
      <w:r w:rsidRPr="0069400D">
        <w:t>, 202</w:t>
      </w:r>
      <w:r w:rsidR="004739DE">
        <w:t>4</w:t>
      </w:r>
      <w:r w:rsidRPr="0069400D">
        <w:t xml:space="preserve">, </w:t>
      </w:r>
      <w:r>
        <w:t xml:space="preserve">WOG filed the Station’s application for license to cover (License Application), over two years after the construction permit had expired and, according to WOG, </w:t>
      </w:r>
      <w:r w:rsidRPr="0069400D">
        <w:t>almost f</w:t>
      </w:r>
      <w:r w:rsidR="004739DE">
        <w:t>our</w:t>
      </w:r>
      <w:r w:rsidRPr="0069400D">
        <w:t xml:space="preserve"> </w:t>
      </w:r>
      <w:r w:rsidR="004739DE">
        <w:t>years</w:t>
      </w:r>
      <w:r w:rsidRPr="0069400D">
        <w:t xml:space="preserve"> after </w:t>
      </w:r>
      <w:r w:rsidRPr="0069400D" w:rsidR="00121DD9">
        <w:t>construction was completed</w:t>
      </w:r>
      <w:r w:rsidRPr="0069400D">
        <w:t>.</w:t>
      </w:r>
      <w:r>
        <w:rPr>
          <w:rStyle w:val="FootnoteReference"/>
          <w:sz w:val="22"/>
          <w:szCs w:val="22"/>
        </w:rPr>
        <w:footnoteReference w:id="11"/>
      </w:r>
      <w:r w:rsidRPr="0069400D">
        <w:t xml:space="preserve">  In </w:t>
      </w:r>
      <w:r>
        <w:t>the License</w:t>
      </w:r>
      <w:r w:rsidRPr="0069400D">
        <w:t xml:space="preserve"> </w:t>
      </w:r>
      <w:r>
        <w:t>A</w:t>
      </w:r>
      <w:r w:rsidRPr="0069400D">
        <w:t xml:space="preserve">pplication, </w:t>
      </w:r>
      <w:r w:rsidR="004739DE">
        <w:t>as amended, WOG</w:t>
      </w:r>
      <w:r w:rsidRPr="0069400D">
        <w:t xml:space="preserve"> acknowledge</w:t>
      </w:r>
      <w:r w:rsidR="00291BA4">
        <w:t>d</w:t>
      </w:r>
      <w:r w:rsidRPr="0069400D">
        <w:t xml:space="preserve"> that the Station began operating pursuant to the </w:t>
      </w:r>
      <w:r w:rsidR="004739DE">
        <w:t>Displacement</w:t>
      </w:r>
      <w:r w:rsidRPr="0069400D">
        <w:t xml:space="preserve"> CP on </w:t>
      </w:r>
      <w:r w:rsidR="004739DE">
        <w:t>January 5, 2020</w:t>
      </w:r>
      <w:r w:rsidRPr="0069400D" w:rsidR="00030118">
        <w:t>,</w:t>
      </w:r>
      <w:r w:rsidRPr="0069400D">
        <w:t xml:space="preserve"> and that it was late in submitting the </w:t>
      </w:r>
      <w:r w:rsidR="003C090B">
        <w:t>L</w:t>
      </w:r>
      <w:r w:rsidRPr="0069400D">
        <w:t>icense</w:t>
      </w:r>
      <w:r w:rsidR="003C090B">
        <w:t xml:space="preserve"> Application “due to administrative oversight</w:t>
      </w:r>
      <w:r w:rsidRPr="0069400D">
        <w:t>.</w:t>
      </w:r>
      <w:r w:rsidR="003C090B">
        <w:t>”</w:t>
      </w:r>
      <w:r>
        <w:rPr>
          <w:rStyle w:val="FootnoteReference"/>
          <w:sz w:val="22"/>
          <w:szCs w:val="22"/>
        </w:rPr>
        <w:footnoteReference w:id="12"/>
      </w:r>
      <w:r w:rsidRPr="0069400D">
        <w:t xml:space="preserve"> </w:t>
      </w:r>
      <w:r w:rsidR="005444DA">
        <w:t xml:space="preserve"> </w:t>
      </w:r>
      <w:r w:rsidR="004739DE">
        <w:rPr>
          <w:szCs w:val="22"/>
        </w:rPr>
        <w:t>WOG provides documentary evidence that the Station was completed and has been operating since that time</w:t>
      </w:r>
      <w:r>
        <w:rPr>
          <w:szCs w:val="22"/>
        </w:rPr>
        <w:t>,</w:t>
      </w:r>
      <w:r w:rsidR="004739DE">
        <w:rPr>
          <w:szCs w:val="22"/>
        </w:rPr>
        <w:t xml:space="preserve"> including copies of the Station’s monthly tower rent and utility payments, a declaration from its principal</w:t>
      </w:r>
      <w:r w:rsidR="003C090B">
        <w:rPr>
          <w:szCs w:val="22"/>
        </w:rPr>
        <w:t>,</w:t>
      </w:r>
      <w:r w:rsidR="004739DE">
        <w:rPr>
          <w:szCs w:val="22"/>
        </w:rPr>
        <w:t xml:space="preserve"> and invoices for the equipment and installation work conducted in January 2020.</w:t>
      </w:r>
      <w:r>
        <w:rPr>
          <w:rStyle w:val="FootnoteReference"/>
          <w:szCs w:val="22"/>
        </w:rPr>
        <w:footnoteReference w:id="13"/>
      </w:r>
      <w:r w:rsidR="004739DE">
        <w:rPr>
          <w:szCs w:val="22"/>
        </w:rPr>
        <w:t xml:space="preserve">  </w:t>
      </w:r>
      <w:r w:rsidR="005444DA">
        <w:rPr>
          <w:szCs w:val="22"/>
        </w:rPr>
        <w:t xml:space="preserve">WOG requests waiver of the rules and that the Commission accept the Station’s late-filed Application.  WOG argues that grant of its requests </w:t>
      </w:r>
      <w:r>
        <w:rPr>
          <w:szCs w:val="22"/>
        </w:rPr>
        <w:t>are</w:t>
      </w:r>
      <w:r w:rsidRPr="005444DA">
        <w:rPr>
          <w:szCs w:val="22"/>
        </w:rPr>
        <w:t xml:space="preserve"> </w:t>
      </w:r>
      <w:r w:rsidRPr="005444DA" w:rsidR="005444DA">
        <w:rPr>
          <w:szCs w:val="22"/>
        </w:rPr>
        <w:t>in the public interest because it would permit the Station</w:t>
      </w:r>
      <w:r w:rsidR="005444DA">
        <w:rPr>
          <w:szCs w:val="22"/>
        </w:rPr>
        <w:t xml:space="preserve"> </w:t>
      </w:r>
      <w:r w:rsidRPr="005444DA" w:rsidR="005444DA">
        <w:rPr>
          <w:szCs w:val="22"/>
        </w:rPr>
        <w:t xml:space="preserve">to continue providing </w:t>
      </w:r>
      <w:r>
        <w:rPr>
          <w:szCs w:val="22"/>
        </w:rPr>
        <w:t>its</w:t>
      </w:r>
      <w:r w:rsidRPr="005444DA" w:rsidR="005444DA">
        <w:rPr>
          <w:szCs w:val="22"/>
        </w:rPr>
        <w:t xml:space="preserve"> programming to its viewers in St. Louis, Missouri, and the</w:t>
      </w:r>
      <w:r w:rsidR="005444DA">
        <w:rPr>
          <w:szCs w:val="22"/>
        </w:rPr>
        <w:t xml:space="preserve"> </w:t>
      </w:r>
      <w:r w:rsidRPr="005444DA" w:rsidR="005444DA">
        <w:rPr>
          <w:szCs w:val="22"/>
        </w:rPr>
        <w:t>surrounding areas</w:t>
      </w:r>
      <w:r w:rsidR="005444DA">
        <w:rPr>
          <w:szCs w:val="22"/>
        </w:rPr>
        <w:t>.</w:t>
      </w:r>
      <w:r>
        <w:rPr>
          <w:rStyle w:val="FootnoteReference"/>
          <w:szCs w:val="22"/>
        </w:rPr>
        <w:footnoteReference w:id="14"/>
      </w:r>
      <w:r w:rsidRPr="005444DA" w:rsidR="00490AAC">
        <w:rPr>
          <w:szCs w:val="22"/>
        </w:rPr>
        <w:t xml:space="preserve"> </w:t>
      </w:r>
    </w:p>
    <w:p w:rsidR="00291252" w:rsidRPr="005859FD" w:rsidP="0004403A" w14:paraId="3B684B14" w14:textId="48F07FF5">
      <w:pPr>
        <w:pStyle w:val="Heading1"/>
        <w:rPr>
          <w:rFonts w:ascii="Times New Roman" w:hAnsi="Times New Roman"/>
          <w:snapToGrid/>
          <w:kern w:val="0"/>
          <w:szCs w:val="22"/>
        </w:rPr>
      </w:pPr>
      <w:r w:rsidRPr="005859FD">
        <w:rPr>
          <w:rFonts w:ascii="Times New Roman" w:hAnsi="Times New Roman"/>
          <w:szCs w:val="22"/>
        </w:rPr>
        <w:t>DISCUSSION</w:t>
      </w:r>
    </w:p>
    <w:p w:rsidR="004B3DDE" w:rsidRPr="0069400D" w:rsidP="00727B4B" w14:paraId="7B1DBD6B" w14:textId="1F8D2439">
      <w:pPr>
        <w:pStyle w:val="ParaNum"/>
        <w:widowControl/>
        <w:rPr>
          <w:szCs w:val="22"/>
        </w:rPr>
      </w:pPr>
      <w:r w:rsidRPr="0069400D">
        <w:rPr>
          <w:rFonts w:eastAsia="SimSun"/>
          <w:szCs w:val="22"/>
        </w:rPr>
        <w:t xml:space="preserve">This </w:t>
      </w:r>
      <w:r w:rsidRPr="0069400D">
        <w:rPr>
          <w:rFonts w:eastAsia="SimSun"/>
          <w:i/>
          <w:szCs w:val="22"/>
        </w:rPr>
        <w:t>NAL</w:t>
      </w:r>
      <w:r w:rsidRPr="0069400D">
        <w:rPr>
          <w:rFonts w:eastAsia="SimSun"/>
          <w:szCs w:val="22"/>
        </w:rPr>
        <w:t xml:space="preserve"> is issued pursuant to section 503(b)(1)(B) of the Act.</w:t>
      </w:r>
      <w:r>
        <w:rPr>
          <w:rStyle w:val="FootnoteReference"/>
          <w:rFonts w:eastAsia="SimSun"/>
          <w:sz w:val="22"/>
          <w:szCs w:val="22"/>
        </w:rPr>
        <w:footnoteReference w:id="15"/>
      </w:r>
      <w:r w:rsidRPr="0069400D">
        <w:rPr>
          <w:rFonts w:eastAsia="SimSun"/>
          <w:szCs w:val="22"/>
        </w:rPr>
        <w:t xml:space="preserve">  Under that provision, a person who is found to have willfully or repeatedly failed to comply with any provision of the Act or any rule, regulation, or order issued by the Commission shall be liable to the United States for a forfeiture penalty.</w:t>
      </w:r>
      <w:r>
        <w:rPr>
          <w:rFonts w:eastAsia="SimSun"/>
          <w:szCs w:val="22"/>
          <w:vertAlign w:val="superscript"/>
        </w:rPr>
        <w:footnoteReference w:id="16"/>
      </w:r>
      <w:r w:rsidRPr="0069400D">
        <w:rPr>
          <w:rFonts w:eastAsia="SimSun"/>
          <w:szCs w:val="22"/>
        </w:rPr>
        <w:t xml:space="preserve">  Section 312(f)(1) of the Act defines willful as “the conscious and deliberate commission or omission of [any] act, irrespective of any intent to violate” the law.</w:t>
      </w:r>
      <w:r>
        <w:rPr>
          <w:rFonts w:eastAsia="SimSun"/>
          <w:szCs w:val="22"/>
          <w:vertAlign w:val="superscript"/>
        </w:rPr>
        <w:footnoteReference w:id="17"/>
      </w:r>
      <w:r w:rsidRPr="0069400D">
        <w:rPr>
          <w:rFonts w:eastAsia="SimSun"/>
          <w:szCs w:val="22"/>
        </w:rPr>
        <w:t xml:space="preserve">  The legislative history to section 312(f)(1) of the Act clarifies that this definition of willful applies to both sections 312 and 503(b) of the Act,</w:t>
      </w:r>
      <w:r>
        <w:rPr>
          <w:rFonts w:eastAsia="SimSun"/>
          <w:szCs w:val="22"/>
          <w:vertAlign w:val="superscript"/>
        </w:rPr>
        <w:footnoteReference w:id="18"/>
      </w:r>
      <w:r w:rsidRPr="0069400D">
        <w:rPr>
          <w:rFonts w:eastAsia="SimSun"/>
          <w:szCs w:val="22"/>
        </w:rPr>
        <w:t xml:space="preserve"> and the Commission has so interpreted the term in the section 503(b) context.</w:t>
      </w:r>
      <w:r>
        <w:rPr>
          <w:rFonts w:eastAsia="SimSun"/>
          <w:szCs w:val="22"/>
          <w:vertAlign w:val="superscript"/>
        </w:rPr>
        <w:footnoteReference w:id="19"/>
      </w:r>
      <w:r w:rsidRPr="0069400D">
        <w:rPr>
          <w:rFonts w:eastAsia="SimSun"/>
          <w:szCs w:val="22"/>
        </w:rPr>
        <w:t xml:space="preserve">  </w:t>
      </w:r>
      <w:r w:rsidRPr="0069400D">
        <w:rPr>
          <w:szCs w:val="22"/>
        </w:rPr>
        <w:t>Section 312(f)(2) of the Act provides that “[t]he term ‘repeated,’ when used with reference to the commission or omission of any act, means the commission or omission of such act more than once or, if such commission or omission is continuous, for more than one day.”</w:t>
      </w:r>
      <w:r>
        <w:rPr>
          <w:rStyle w:val="FootnoteReference"/>
          <w:sz w:val="22"/>
          <w:szCs w:val="22"/>
        </w:rPr>
        <w:footnoteReference w:id="20"/>
      </w:r>
      <w:r w:rsidRPr="0069400D">
        <w:rPr>
          <w:szCs w:val="22"/>
        </w:rPr>
        <w:t xml:space="preserve">  </w:t>
      </w:r>
    </w:p>
    <w:p w:rsidR="007B71C8" w:rsidP="00BB3DBE" w14:paraId="523209C2" w14:textId="0F143349">
      <w:pPr>
        <w:pStyle w:val="ParaNum"/>
        <w:widowControl/>
        <w:rPr>
          <w:szCs w:val="22"/>
        </w:rPr>
      </w:pPr>
      <w:r w:rsidRPr="0069400D">
        <w:rPr>
          <w:i/>
          <w:color w:val="000000"/>
          <w:szCs w:val="22"/>
        </w:rPr>
        <w:t>Apparent Violations</w:t>
      </w:r>
      <w:r w:rsidRPr="0069400D" w:rsidR="00451E6D">
        <w:rPr>
          <w:color w:val="000000"/>
          <w:szCs w:val="22"/>
        </w:rPr>
        <w:t xml:space="preserve">. </w:t>
      </w:r>
      <w:r w:rsidRPr="0069400D" w:rsidR="00A92116">
        <w:rPr>
          <w:i/>
          <w:iCs/>
          <w:spacing w:val="-3"/>
          <w:szCs w:val="22"/>
        </w:rPr>
        <w:t xml:space="preserve"> </w:t>
      </w:r>
      <w:r w:rsidR="005444DA">
        <w:rPr>
          <w:spacing w:val="-3"/>
          <w:szCs w:val="22"/>
        </w:rPr>
        <w:t>WOG</w:t>
      </w:r>
      <w:r w:rsidRPr="0069400D" w:rsidR="00451E6D">
        <w:rPr>
          <w:szCs w:val="22"/>
        </w:rPr>
        <w:t xml:space="preserve"> </w:t>
      </w:r>
      <w:r w:rsidR="00E3301E">
        <w:rPr>
          <w:szCs w:val="22"/>
        </w:rPr>
        <w:t>concedes</w:t>
      </w:r>
      <w:r w:rsidRPr="0069400D" w:rsidR="00E3301E">
        <w:rPr>
          <w:szCs w:val="22"/>
        </w:rPr>
        <w:t xml:space="preserve"> </w:t>
      </w:r>
      <w:r w:rsidRPr="0069400D">
        <w:rPr>
          <w:szCs w:val="22"/>
        </w:rPr>
        <w:t xml:space="preserve">that it </w:t>
      </w:r>
      <w:r w:rsidRPr="0069400D" w:rsidR="00451E6D">
        <w:rPr>
          <w:szCs w:val="22"/>
        </w:rPr>
        <w:t xml:space="preserve">failed to timely file </w:t>
      </w:r>
      <w:r w:rsidRPr="0069400D" w:rsidR="007A27A1">
        <w:rPr>
          <w:szCs w:val="22"/>
        </w:rPr>
        <w:t xml:space="preserve">a </w:t>
      </w:r>
      <w:r w:rsidRPr="0069400D" w:rsidR="00451E6D">
        <w:rPr>
          <w:szCs w:val="22"/>
        </w:rPr>
        <w:t xml:space="preserve">license to cover as required by section </w:t>
      </w:r>
      <w:r w:rsidRPr="0069400D" w:rsidR="001B172D">
        <w:rPr>
          <w:szCs w:val="22"/>
        </w:rPr>
        <w:t xml:space="preserve">73.3598(a) </w:t>
      </w:r>
      <w:r w:rsidRPr="0069400D" w:rsidR="00451E6D">
        <w:rPr>
          <w:szCs w:val="22"/>
        </w:rPr>
        <w:t>of the Rules</w:t>
      </w:r>
      <w:r>
        <w:rPr>
          <w:rStyle w:val="FootnoteReference"/>
          <w:sz w:val="22"/>
          <w:szCs w:val="22"/>
        </w:rPr>
        <w:footnoteReference w:id="21"/>
      </w:r>
      <w:r w:rsidR="00B027FB">
        <w:rPr>
          <w:szCs w:val="22"/>
        </w:rPr>
        <w:t xml:space="preserve"> and that it continued to operate on its displacement channel 32 without authorization after its STA expired in April 2018</w:t>
      </w:r>
      <w:r w:rsidR="00BB3DBE">
        <w:rPr>
          <w:szCs w:val="22"/>
        </w:rPr>
        <w:t xml:space="preserve"> as required by section 73.1635(a) of the </w:t>
      </w:r>
      <w:r w:rsidR="00BB3DBE">
        <w:rPr>
          <w:szCs w:val="22"/>
        </w:rPr>
        <w:t>Rules.</w:t>
      </w:r>
      <w:r>
        <w:rPr>
          <w:rStyle w:val="FootnoteReference"/>
          <w:sz w:val="22"/>
          <w:szCs w:val="22"/>
        </w:rPr>
        <w:footnoteReference w:id="22"/>
      </w:r>
      <w:r w:rsidR="00BB3DBE">
        <w:rPr>
          <w:szCs w:val="22"/>
        </w:rPr>
        <w:t xml:space="preserve">  </w:t>
      </w:r>
      <w:r w:rsidR="005444DA">
        <w:rPr>
          <w:szCs w:val="22"/>
        </w:rPr>
        <w:t>WOG</w:t>
      </w:r>
      <w:r w:rsidRPr="0069400D" w:rsidR="00451E6D">
        <w:rPr>
          <w:szCs w:val="22"/>
        </w:rPr>
        <w:t xml:space="preserve"> </w:t>
      </w:r>
      <w:r w:rsidR="003C090B">
        <w:rPr>
          <w:szCs w:val="22"/>
        </w:rPr>
        <w:t>admits</w:t>
      </w:r>
      <w:r w:rsidRPr="0069400D" w:rsidR="003C090B">
        <w:rPr>
          <w:szCs w:val="22"/>
        </w:rPr>
        <w:t xml:space="preserve"> </w:t>
      </w:r>
      <w:r w:rsidRPr="0069400D" w:rsidR="00451E6D">
        <w:rPr>
          <w:szCs w:val="22"/>
        </w:rPr>
        <w:t xml:space="preserve">that it </w:t>
      </w:r>
      <w:r w:rsidRPr="0069400D" w:rsidR="007B20CD">
        <w:rPr>
          <w:szCs w:val="22"/>
        </w:rPr>
        <w:t xml:space="preserve">failed to timely submit </w:t>
      </w:r>
      <w:r w:rsidRPr="0069400D" w:rsidR="007A27A1">
        <w:rPr>
          <w:szCs w:val="22"/>
        </w:rPr>
        <w:t>a</w:t>
      </w:r>
      <w:r w:rsidR="00745A85">
        <w:rPr>
          <w:szCs w:val="22"/>
        </w:rPr>
        <w:t>n application for</w:t>
      </w:r>
      <w:r w:rsidRPr="0069400D" w:rsidR="007A27A1">
        <w:rPr>
          <w:szCs w:val="22"/>
        </w:rPr>
        <w:t xml:space="preserve"> </w:t>
      </w:r>
      <w:r w:rsidRPr="0069400D" w:rsidR="007B20CD">
        <w:rPr>
          <w:szCs w:val="22"/>
        </w:rPr>
        <w:t xml:space="preserve">license to cover due to </w:t>
      </w:r>
      <w:r w:rsidRPr="0069400D" w:rsidR="007A27A1">
        <w:rPr>
          <w:szCs w:val="22"/>
        </w:rPr>
        <w:t>an</w:t>
      </w:r>
      <w:r w:rsidR="00424A76">
        <w:rPr>
          <w:szCs w:val="22"/>
        </w:rPr>
        <w:t xml:space="preserve"> administrative</w:t>
      </w:r>
      <w:r w:rsidRPr="0069400D" w:rsidR="007A27A1">
        <w:rPr>
          <w:szCs w:val="22"/>
        </w:rPr>
        <w:t xml:space="preserve"> oversight.</w:t>
      </w:r>
      <w:r w:rsidR="005444DA">
        <w:rPr>
          <w:szCs w:val="22"/>
        </w:rPr>
        <w:t xml:space="preserve">  </w:t>
      </w:r>
      <w:r w:rsidR="00171A29">
        <w:rPr>
          <w:szCs w:val="22"/>
        </w:rPr>
        <w:t>It</w:t>
      </w:r>
      <w:r w:rsidRPr="0069400D" w:rsidR="00452726">
        <w:rPr>
          <w:szCs w:val="22"/>
        </w:rPr>
        <w:t xml:space="preserve"> is well settled precedent that licensees are responsible for compliance with the Commission’s rules and that administrative oversight does not excuse a violation or non-compliance</w:t>
      </w:r>
      <w:r w:rsidR="00A973FD">
        <w:rPr>
          <w:szCs w:val="22"/>
        </w:rPr>
        <w:t>.</w:t>
      </w:r>
      <w:r>
        <w:rPr>
          <w:rStyle w:val="FootnoteReference"/>
          <w:sz w:val="22"/>
          <w:szCs w:val="22"/>
        </w:rPr>
        <w:footnoteReference w:id="23"/>
      </w:r>
      <w:r w:rsidR="00452726">
        <w:rPr>
          <w:szCs w:val="22"/>
        </w:rPr>
        <w:t xml:space="preserve">  </w:t>
      </w:r>
      <w:r w:rsidRPr="0065510E" w:rsidR="00424A76">
        <w:rPr>
          <w:szCs w:val="22"/>
        </w:rPr>
        <w:t>Furthermore, applicants and licensees are responsible for the errors or oversights of their employees.</w:t>
      </w:r>
      <w:r>
        <w:rPr>
          <w:rStyle w:val="FootnoteReference"/>
          <w:szCs w:val="22"/>
        </w:rPr>
        <w:footnoteReference w:id="24"/>
      </w:r>
      <w:r w:rsidR="00424A76">
        <w:rPr>
          <w:szCs w:val="22"/>
        </w:rPr>
        <w:t xml:space="preserve"> </w:t>
      </w:r>
      <w:r w:rsidR="003C090B">
        <w:rPr>
          <w:szCs w:val="22"/>
        </w:rPr>
        <w:t xml:space="preserve"> </w:t>
      </w:r>
    </w:p>
    <w:p w:rsidR="00BB3DBE" w:rsidRPr="0069400D" w:rsidP="00BB3DBE" w14:paraId="644F342E" w14:textId="79B58885">
      <w:pPr>
        <w:pStyle w:val="ParaNum"/>
        <w:widowControl/>
        <w:rPr>
          <w:szCs w:val="22"/>
        </w:rPr>
      </w:pPr>
      <w:r>
        <w:rPr>
          <w:szCs w:val="22"/>
        </w:rPr>
        <w:t xml:space="preserve">WOG </w:t>
      </w:r>
      <w:r w:rsidR="007B71C8">
        <w:rPr>
          <w:szCs w:val="22"/>
        </w:rPr>
        <w:t xml:space="preserve">also </w:t>
      </w:r>
      <w:r>
        <w:rPr>
          <w:szCs w:val="22"/>
        </w:rPr>
        <w:t xml:space="preserve">operated </w:t>
      </w:r>
      <w:r w:rsidR="003C090B">
        <w:rPr>
          <w:szCs w:val="22"/>
        </w:rPr>
        <w:t xml:space="preserve">the Station </w:t>
      </w:r>
      <w:r>
        <w:rPr>
          <w:szCs w:val="22"/>
        </w:rPr>
        <w:t xml:space="preserve">without a valid license authorization for </w:t>
      </w:r>
      <w:r w:rsidR="003C090B">
        <w:rPr>
          <w:szCs w:val="22"/>
        </w:rPr>
        <w:t>a total of nearly six years.  For nearly 21 months, f</w:t>
      </w:r>
      <w:r w:rsidRPr="003C090B" w:rsidR="003C090B">
        <w:rPr>
          <w:szCs w:val="22"/>
        </w:rPr>
        <w:t>rom April 19, 2018 to January 5, 2020</w:t>
      </w:r>
      <w:r w:rsidR="003C090B">
        <w:rPr>
          <w:szCs w:val="22"/>
        </w:rPr>
        <w:t xml:space="preserve">, WOG operated the Station without a valid authorization after it failed to renew its STA.  Then beginning January 5, 2020 </w:t>
      </w:r>
      <w:r>
        <w:rPr>
          <w:szCs w:val="22"/>
        </w:rPr>
        <w:t>until</w:t>
      </w:r>
      <w:r w:rsidR="007B71C8">
        <w:rPr>
          <w:szCs w:val="22"/>
        </w:rPr>
        <w:t xml:space="preserve"> over four years later when</w:t>
      </w:r>
      <w:r>
        <w:rPr>
          <w:szCs w:val="22"/>
        </w:rPr>
        <w:t xml:space="preserve"> it filed its license application </w:t>
      </w:r>
      <w:r w:rsidR="007B71C8">
        <w:rPr>
          <w:szCs w:val="22"/>
        </w:rPr>
        <w:t xml:space="preserve">on </w:t>
      </w:r>
      <w:r>
        <w:rPr>
          <w:szCs w:val="22"/>
        </w:rPr>
        <w:t xml:space="preserve">January 17, 2024, it operated </w:t>
      </w:r>
      <w:r w:rsidR="003C090B">
        <w:rPr>
          <w:szCs w:val="22"/>
        </w:rPr>
        <w:t xml:space="preserve">from its completed displacement facility </w:t>
      </w:r>
      <w:r>
        <w:rPr>
          <w:szCs w:val="22"/>
        </w:rPr>
        <w:t xml:space="preserve"> without a valid</w:t>
      </w:r>
      <w:r w:rsidR="003C090B">
        <w:rPr>
          <w:szCs w:val="22"/>
        </w:rPr>
        <w:t xml:space="preserve"> license</w:t>
      </w:r>
      <w:r>
        <w:rPr>
          <w:szCs w:val="22"/>
        </w:rPr>
        <w:t>.</w:t>
      </w:r>
      <w:r>
        <w:rPr>
          <w:rStyle w:val="FootnoteReference"/>
          <w:szCs w:val="22"/>
        </w:rPr>
        <w:footnoteReference w:id="25"/>
      </w:r>
      <w:r w:rsidRPr="0069400D">
        <w:rPr>
          <w:szCs w:val="22"/>
        </w:rPr>
        <w:t xml:space="preserve">  We therefore find that </w:t>
      </w:r>
      <w:r>
        <w:rPr>
          <w:szCs w:val="22"/>
        </w:rPr>
        <w:t>WOG</w:t>
      </w:r>
      <w:r w:rsidRPr="0069400D">
        <w:rPr>
          <w:szCs w:val="22"/>
        </w:rPr>
        <w:t xml:space="preserve"> has apparently</w:t>
      </w:r>
      <w:r w:rsidR="003C090B">
        <w:rPr>
          <w:szCs w:val="22"/>
        </w:rPr>
        <w:t xml:space="preserve"> engaged in unauthorized operation, in violation of sections 73.1745(a) of </w:t>
      </w:r>
      <w:r w:rsidRPr="0069400D">
        <w:rPr>
          <w:szCs w:val="22"/>
        </w:rPr>
        <w:t xml:space="preserve">the Rules and </w:t>
      </w:r>
      <w:r w:rsidR="003C090B">
        <w:rPr>
          <w:szCs w:val="22"/>
        </w:rPr>
        <w:t>section 301 of the Act</w:t>
      </w:r>
      <w:r w:rsidRPr="0069400D">
        <w:rPr>
          <w:szCs w:val="22"/>
        </w:rPr>
        <w:t>.</w:t>
      </w:r>
      <w:r>
        <w:rPr>
          <w:rStyle w:val="FootnoteReference"/>
          <w:szCs w:val="22"/>
        </w:rPr>
        <w:footnoteReference w:id="26"/>
      </w:r>
    </w:p>
    <w:p w:rsidR="00451E6D" w:rsidRPr="0069400D" w:rsidP="006240AB" w14:paraId="3F794B41" w14:textId="7A7305A3">
      <w:pPr>
        <w:pStyle w:val="ParaNum"/>
        <w:widowControl/>
        <w:rPr>
          <w:szCs w:val="22"/>
        </w:rPr>
      </w:pPr>
      <w:r w:rsidRPr="0069400D">
        <w:rPr>
          <w:i/>
          <w:iCs/>
          <w:szCs w:val="22"/>
        </w:rPr>
        <w:t>Proposed Forfeiture</w:t>
      </w:r>
      <w:r w:rsidRPr="0069400D">
        <w:rPr>
          <w:szCs w:val="22"/>
        </w:rPr>
        <w:t xml:space="preserve">.  </w:t>
      </w:r>
      <w:r w:rsidRPr="0069400D">
        <w:rPr>
          <w:szCs w:val="22"/>
        </w:rPr>
        <w:t xml:space="preserve">The Commission's </w:t>
      </w:r>
      <w:r w:rsidRPr="0069400D">
        <w:rPr>
          <w:i/>
          <w:szCs w:val="22"/>
        </w:rPr>
        <w:t>Forfeiture Policy Statement</w:t>
      </w:r>
      <w:r w:rsidRPr="0069400D">
        <w:rPr>
          <w:szCs w:val="22"/>
        </w:rPr>
        <w:t xml:space="preserve"> and section 1.80(b)(10) of the Rules establish a base forfeiture amount of $3,000 for the failure to file a required form.</w:t>
      </w:r>
      <w:r>
        <w:rPr>
          <w:rStyle w:val="FootnoteReference"/>
          <w:sz w:val="22"/>
          <w:szCs w:val="22"/>
        </w:rPr>
        <w:footnoteReference w:id="27"/>
      </w:r>
      <w:r w:rsidRPr="0069400D">
        <w:rPr>
          <w:szCs w:val="22"/>
        </w:rPr>
        <w:t xml:space="preserve">  The guidelines also specify a base forfeiture amount of $10,000 for </w:t>
      </w:r>
      <w:r w:rsidRPr="0069400D" w:rsidR="00151BC1">
        <w:rPr>
          <w:szCs w:val="22"/>
        </w:rPr>
        <w:t xml:space="preserve">each incident of </w:t>
      </w:r>
      <w:r w:rsidRPr="0069400D">
        <w:rPr>
          <w:szCs w:val="22"/>
        </w:rPr>
        <w:t>construction and operation without an instrument of authorization for the service.</w:t>
      </w:r>
      <w:r>
        <w:rPr>
          <w:rStyle w:val="FootnoteReference"/>
          <w:sz w:val="22"/>
          <w:szCs w:val="22"/>
        </w:rPr>
        <w:footnoteReference w:id="28"/>
      </w:r>
      <w:r w:rsidRPr="0069400D">
        <w:rPr>
          <w:szCs w:val="22"/>
        </w:rPr>
        <w:t xml:space="preserve">  In determining the appropriate forfeiture amount, we may adjust the base amount upward or downward by considering the factors enumerated in section 503(b)(2)(E) of the Act, including “the nature, circumstances, extent and gravity of the violation, and, with respect to the violator, the degree of culpability, any history of prior offenses, ability to pay, and such other matters as justice may require.”</w:t>
      </w:r>
      <w:r>
        <w:rPr>
          <w:rStyle w:val="FootnoteReference"/>
          <w:sz w:val="22"/>
          <w:szCs w:val="22"/>
        </w:rPr>
        <w:footnoteReference w:id="29"/>
      </w:r>
      <w:r w:rsidRPr="0069400D">
        <w:rPr>
          <w:szCs w:val="22"/>
        </w:rPr>
        <w:t xml:space="preserve">  </w:t>
      </w:r>
    </w:p>
    <w:p w:rsidR="007B71C8" w:rsidRPr="0066771F" w:rsidP="005444DA" w14:paraId="14F41AA9" w14:textId="3D3F80EB">
      <w:pPr>
        <w:pStyle w:val="ParaNum"/>
        <w:rPr>
          <w:color w:val="000000"/>
          <w:szCs w:val="22"/>
        </w:rPr>
      </w:pPr>
      <w:r w:rsidRPr="0069400D">
        <w:rPr>
          <w:szCs w:val="22"/>
        </w:rPr>
        <w:t>In this case</w:t>
      </w:r>
      <w:r w:rsidRPr="0069400D" w:rsidR="007B20CD">
        <w:rPr>
          <w:szCs w:val="22"/>
        </w:rPr>
        <w:t xml:space="preserve">, </w:t>
      </w:r>
      <w:r w:rsidR="005444DA">
        <w:rPr>
          <w:szCs w:val="22"/>
        </w:rPr>
        <w:t>WOG</w:t>
      </w:r>
      <w:r w:rsidRPr="0069400D">
        <w:rPr>
          <w:szCs w:val="22"/>
        </w:rPr>
        <w:t xml:space="preserve"> failed to timely</w:t>
      </w:r>
      <w:r w:rsidRPr="0069400D" w:rsidR="00033120">
        <w:rPr>
          <w:szCs w:val="22"/>
        </w:rPr>
        <w:t>-file</w:t>
      </w:r>
      <w:r w:rsidRPr="0069400D">
        <w:rPr>
          <w:szCs w:val="22"/>
        </w:rPr>
        <w:t xml:space="preserve"> </w:t>
      </w:r>
      <w:r w:rsidRPr="0069400D" w:rsidR="007A27A1">
        <w:rPr>
          <w:szCs w:val="22"/>
        </w:rPr>
        <w:t xml:space="preserve">a </w:t>
      </w:r>
      <w:r w:rsidRPr="0069400D">
        <w:rPr>
          <w:szCs w:val="22"/>
        </w:rPr>
        <w:t>license to cover</w:t>
      </w:r>
      <w:r w:rsidR="004A2EC8">
        <w:rPr>
          <w:szCs w:val="22"/>
        </w:rPr>
        <w:t xml:space="preserve"> and</w:t>
      </w:r>
      <w:r w:rsidR="00C91238">
        <w:rPr>
          <w:szCs w:val="22"/>
        </w:rPr>
        <w:t xml:space="preserve"> </w:t>
      </w:r>
      <w:r w:rsidR="004B691A">
        <w:rPr>
          <w:szCs w:val="22"/>
        </w:rPr>
        <w:t xml:space="preserve">to renew its </w:t>
      </w:r>
      <w:r w:rsidR="00C91238">
        <w:rPr>
          <w:szCs w:val="22"/>
        </w:rPr>
        <w:t>STA to operate</w:t>
      </w:r>
      <w:r w:rsidR="004B691A">
        <w:rPr>
          <w:szCs w:val="22"/>
        </w:rPr>
        <w:t xml:space="preserve"> on its displacement channel 32 after it expired April 19, 2018. </w:t>
      </w:r>
      <w:r w:rsidR="00C91238">
        <w:rPr>
          <w:szCs w:val="22"/>
        </w:rPr>
        <w:t xml:space="preserve"> </w:t>
      </w:r>
      <w:r w:rsidRPr="005444DA">
        <w:rPr>
          <w:szCs w:val="22"/>
        </w:rPr>
        <w:t xml:space="preserve">Taking into consideration all of the factors required by section 503(b)(2)(E) of the Act and the </w:t>
      </w:r>
      <w:r w:rsidRPr="005444DA">
        <w:rPr>
          <w:i/>
          <w:szCs w:val="22"/>
        </w:rPr>
        <w:t>Forfeiture Policy Statement</w:t>
      </w:r>
      <w:r w:rsidRPr="005444DA">
        <w:rPr>
          <w:szCs w:val="22"/>
        </w:rPr>
        <w:t xml:space="preserve">, we will reduce the </w:t>
      </w:r>
      <w:r w:rsidRPr="005444DA">
        <w:rPr>
          <w:szCs w:val="22"/>
        </w:rPr>
        <w:t xml:space="preserve">forfeiture from the base amount </w:t>
      </w:r>
      <w:r w:rsidRPr="005444DA" w:rsidR="00151BC1">
        <w:rPr>
          <w:szCs w:val="22"/>
        </w:rPr>
        <w:t>of $</w:t>
      </w:r>
      <w:r w:rsidR="004B691A">
        <w:rPr>
          <w:szCs w:val="22"/>
        </w:rPr>
        <w:t>26</w:t>
      </w:r>
      <w:r w:rsidRPr="005444DA" w:rsidR="00A03AAF">
        <w:rPr>
          <w:szCs w:val="22"/>
        </w:rPr>
        <w:t>,00</w:t>
      </w:r>
      <w:r w:rsidRPr="005444DA" w:rsidR="00EC070F">
        <w:rPr>
          <w:szCs w:val="22"/>
        </w:rPr>
        <w:t>0</w:t>
      </w:r>
      <w:r w:rsidRPr="005444DA" w:rsidR="00151BC1">
        <w:rPr>
          <w:szCs w:val="22"/>
        </w:rPr>
        <w:t xml:space="preserve"> </w:t>
      </w:r>
      <w:r w:rsidRPr="005444DA">
        <w:rPr>
          <w:szCs w:val="22"/>
        </w:rPr>
        <w:t>t</w:t>
      </w:r>
      <w:r w:rsidR="004B691A">
        <w:rPr>
          <w:szCs w:val="22"/>
        </w:rPr>
        <w:t>o</w:t>
      </w:r>
      <w:r w:rsidRPr="005444DA" w:rsidR="00030118">
        <w:rPr>
          <w:szCs w:val="22"/>
        </w:rPr>
        <w:t xml:space="preserve"> </w:t>
      </w:r>
      <w:r w:rsidRPr="005444DA" w:rsidR="00151BC1">
        <w:rPr>
          <w:szCs w:val="22"/>
        </w:rPr>
        <w:t>$</w:t>
      </w:r>
      <w:r w:rsidR="004B691A">
        <w:rPr>
          <w:szCs w:val="22"/>
        </w:rPr>
        <w:t>9</w:t>
      </w:r>
      <w:r w:rsidRPr="005444DA" w:rsidR="00C91238">
        <w:rPr>
          <w:szCs w:val="22"/>
        </w:rPr>
        <w:t>,</w:t>
      </w:r>
      <w:r w:rsidRPr="005444DA" w:rsidR="00802404">
        <w:rPr>
          <w:szCs w:val="22"/>
        </w:rPr>
        <w:t>5</w:t>
      </w:r>
      <w:r w:rsidRPr="005444DA" w:rsidR="00151BC1">
        <w:rPr>
          <w:szCs w:val="22"/>
        </w:rPr>
        <w:t>00</w:t>
      </w:r>
      <w:bookmarkStart w:id="4" w:name="_Hlk153985931"/>
      <w:r w:rsidRPr="005444DA">
        <w:rPr>
          <w:szCs w:val="22"/>
        </w:rPr>
        <w:t xml:space="preserve">. </w:t>
      </w:r>
      <w:bookmarkEnd w:id="4"/>
      <w:r w:rsidR="00424A76">
        <w:rPr>
          <w:szCs w:val="22"/>
        </w:rPr>
        <w:t xml:space="preserve"> </w:t>
      </w:r>
      <w:r w:rsidR="005444DA">
        <w:rPr>
          <w:szCs w:val="22"/>
        </w:rPr>
        <w:t>We</w:t>
      </w:r>
      <w:r w:rsidRPr="005444DA" w:rsidR="005368B7">
        <w:rPr>
          <w:szCs w:val="22"/>
        </w:rPr>
        <w:t xml:space="preserve"> find it appropriate to reduce the proposed forfeiture from the base forfeiture amount</w:t>
      </w:r>
      <w:r w:rsidRPr="005368B7" w:rsidR="005368B7">
        <w:t xml:space="preserve"> </w:t>
      </w:r>
      <w:r w:rsidR="005368B7">
        <w:t>b</w:t>
      </w:r>
      <w:r w:rsidRPr="005444DA" w:rsidR="005368B7">
        <w:rPr>
          <w:szCs w:val="22"/>
        </w:rPr>
        <w:t>ecause, as an LPTV station, the Station is providing a secondary service</w:t>
      </w:r>
      <w:r w:rsidR="00862EE9">
        <w:rPr>
          <w:szCs w:val="22"/>
        </w:rPr>
        <w:t>;</w:t>
      </w:r>
      <w:r w:rsidR="005444DA">
        <w:rPr>
          <w:szCs w:val="22"/>
        </w:rPr>
        <w:t xml:space="preserve"> however we </w:t>
      </w:r>
      <w:r w:rsidR="00862EE9">
        <w:rPr>
          <w:szCs w:val="22"/>
        </w:rPr>
        <w:t xml:space="preserve">find that </w:t>
      </w:r>
      <w:r w:rsidR="005444DA">
        <w:rPr>
          <w:szCs w:val="22"/>
        </w:rPr>
        <w:t>a large</w:t>
      </w:r>
      <w:r w:rsidR="00D17C7A">
        <w:rPr>
          <w:szCs w:val="22"/>
        </w:rPr>
        <w:t>r</w:t>
      </w:r>
      <w:r w:rsidR="005444DA">
        <w:rPr>
          <w:szCs w:val="22"/>
        </w:rPr>
        <w:t xml:space="preserve"> forfeiture amount is warranted here</w:t>
      </w:r>
      <w:r w:rsidR="00862EE9">
        <w:rPr>
          <w:szCs w:val="22"/>
        </w:rPr>
        <w:t xml:space="preserve"> than may have been applied in other cases with similar violations</w:t>
      </w:r>
      <w:r w:rsidR="005444DA">
        <w:rPr>
          <w:szCs w:val="22"/>
        </w:rPr>
        <w:t xml:space="preserve"> due to the length of time of the violation</w:t>
      </w:r>
      <w:r>
        <w:rPr>
          <w:szCs w:val="22"/>
        </w:rPr>
        <w:t>, nearly six years of unauthorized operation, and its failure to file</w:t>
      </w:r>
      <w:r w:rsidR="002F16F9">
        <w:rPr>
          <w:szCs w:val="22"/>
        </w:rPr>
        <w:t>/timely file</w:t>
      </w:r>
      <w:r>
        <w:rPr>
          <w:szCs w:val="22"/>
        </w:rPr>
        <w:t xml:space="preserve"> </w:t>
      </w:r>
      <w:r w:rsidR="00367C3B">
        <w:rPr>
          <w:szCs w:val="22"/>
        </w:rPr>
        <w:t xml:space="preserve">multiple </w:t>
      </w:r>
      <w:r>
        <w:rPr>
          <w:szCs w:val="22"/>
        </w:rPr>
        <w:t>necessary applications</w:t>
      </w:r>
      <w:r w:rsidRPr="005444DA" w:rsidR="005368B7">
        <w:rPr>
          <w:szCs w:val="22"/>
        </w:rPr>
        <w:t>.</w:t>
      </w:r>
      <w:r>
        <w:rPr>
          <w:rStyle w:val="FootnoteReference"/>
          <w:szCs w:val="22"/>
        </w:rPr>
        <w:footnoteReference w:id="30"/>
      </w:r>
      <w:r w:rsidR="00862EE9">
        <w:rPr>
          <w:szCs w:val="22"/>
        </w:rPr>
        <w:t xml:space="preserve">  </w:t>
      </w:r>
      <w:r w:rsidRPr="005444DA" w:rsidR="005368B7">
        <w:rPr>
          <w:szCs w:val="22"/>
        </w:rPr>
        <w:t xml:space="preserve"> </w:t>
      </w:r>
      <w:r w:rsidRPr="005444DA" w:rsidR="004D7764">
        <w:rPr>
          <w:szCs w:val="22"/>
        </w:rPr>
        <w:t xml:space="preserve"> </w:t>
      </w:r>
    </w:p>
    <w:p w:rsidR="00151BC1" w:rsidRPr="005444DA" w:rsidP="005444DA" w14:paraId="1B21F090" w14:textId="47E9FCB6">
      <w:pPr>
        <w:pStyle w:val="ParaNum"/>
        <w:rPr>
          <w:color w:val="000000"/>
          <w:szCs w:val="22"/>
        </w:rPr>
      </w:pPr>
      <w:r w:rsidRPr="005444DA">
        <w:rPr>
          <w:szCs w:val="22"/>
        </w:rPr>
        <w:t>We will grant the Station</w:t>
      </w:r>
      <w:r w:rsidRPr="005444DA" w:rsidR="00030118">
        <w:rPr>
          <w:szCs w:val="22"/>
        </w:rPr>
        <w:t>’s</w:t>
      </w:r>
      <w:r w:rsidRPr="005444DA">
        <w:rPr>
          <w:szCs w:val="22"/>
        </w:rPr>
        <w:t xml:space="preserve"> pending </w:t>
      </w:r>
      <w:r w:rsidRPr="005444DA" w:rsidR="004E2BCF">
        <w:rPr>
          <w:szCs w:val="22"/>
        </w:rPr>
        <w:t>L</w:t>
      </w:r>
      <w:r w:rsidRPr="005444DA">
        <w:rPr>
          <w:szCs w:val="22"/>
        </w:rPr>
        <w:t xml:space="preserve">icense </w:t>
      </w:r>
      <w:r w:rsidRPr="005444DA" w:rsidR="004E2BCF">
        <w:rPr>
          <w:szCs w:val="22"/>
        </w:rPr>
        <w:t>A</w:t>
      </w:r>
      <w:r w:rsidRPr="005444DA">
        <w:rPr>
          <w:szCs w:val="22"/>
        </w:rPr>
        <w:t xml:space="preserve">pplication </w:t>
      </w:r>
      <w:r w:rsidRPr="005444DA" w:rsidR="00451E6D">
        <w:rPr>
          <w:szCs w:val="22"/>
        </w:rPr>
        <w:t>by separate action upon the conclusion of this forfeiture proceeding if there are no issues other than the apparent violation</w:t>
      </w:r>
      <w:r w:rsidRPr="005444DA" w:rsidR="004B4A39">
        <w:rPr>
          <w:szCs w:val="22"/>
        </w:rPr>
        <w:t>s</w:t>
      </w:r>
      <w:r w:rsidRPr="005444DA" w:rsidR="00451E6D">
        <w:rPr>
          <w:szCs w:val="22"/>
        </w:rPr>
        <w:t xml:space="preserve"> that would preclude grant</w:t>
      </w:r>
      <w:r w:rsidRPr="005444DA" w:rsidR="00FB2F87">
        <w:rPr>
          <w:szCs w:val="22"/>
        </w:rPr>
        <w:t>.</w:t>
      </w:r>
      <w:r>
        <w:rPr>
          <w:rStyle w:val="FootnoteReference"/>
          <w:szCs w:val="22"/>
        </w:rPr>
        <w:footnoteReference w:id="31"/>
      </w:r>
      <w:r w:rsidR="00367C3B">
        <w:rPr>
          <w:szCs w:val="22"/>
        </w:rPr>
        <w:t xml:space="preserve">  The Station is permitted to continue to operate pursuant to the parameters specified in the License Application.</w:t>
      </w:r>
      <w:r>
        <w:rPr>
          <w:rStyle w:val="FootnoteReference"/>
          <w:szCs w:val="22"/>
        </w:rPr>
        <w:footnoteReference w:id="32"/>
      </w:r>
    </w:p>
    <w:p w:rsidR="00451E6D" w:rsidRPr="005859FD" w:rsidP="00370748" w14:paraId="2609FE49" w14:textId="77777777">
      <w:pPr>
        <w:pStyle w:val="Heading1"/>
        <w:keepNext w:val="0"/>
        <w:suppressAutoHyphens w:val="0"/>
        <w:rPr>
          <w:rFonts w:ascii="Times New Roman" w:hAnsi="Times New Roman"/>
          <w:szCs w:val="22"/>
        </w:rPr>
      </w:pPr>
      <w:r w:rsidRPr="005859FD">
        <w:rPr>
          <w:rFonts w:ascii="Times New Roman" w:hAnsi="Times New Roman"/>
          <w:szCs w:val="22"/>
        </w:rPr>
        <w:t>ORDERING CLAUSES</w:t>
      </w:r>
    </w:p>
    <w:p w:rsidR="00451E6D" w:rsidRPr="004E2BCF" w:rsidP="00370748" w14:paraId="686D0771" w14:textId="7408AB49">
      <w:pPr>
        <w:pStyle w:val="ParaNum"/>
        <w:widowControl/>
        <w:rPr>
          <w:szCs w:val="22"/>
        </w:rPr>
      </w:pPr>
      <w:r w:rsidRPr="0069400D">
        <w:rPr>
          <w:szCs w:val="22"/>
        </w:rPr>
        <w:t xml:space="preserve">Accordingly, </w:t>
      </w:r>
      <w:r w:rsidRPr="0069400D">
        <w:rPr>
          <w:b/>
          <w:szCs w:val="22"/>
        </w:rPr>
        <w:t>IT IS ORDERED</w:t>
      </w:r>
      <w:r w:rsidRPr="0069400D">
        <w:rPr>
          <w:szCs w:val="22"/>
        </w:rPr>
        <w:t xml:space="preserve">, pursuant to section 503(b) of the Communications Act of 1934, as amended, and </w:t>
      </w:r>
      <w:r w:rsidRPr="004E2BCF">
        <w:rPr>
          <w:szCs w:val="22"/>
        </w:rPr>
        <w:t>section 1.80 of the Commission’s rules,</w:t>
      </w:r>
      <w:r>
        <w:rPr>
          <w:rStyle w:val="FootnoteReference"/>
          <w:sz w:val="22"/>
          <w:szCs w:val="22"/>
        </w:rPr>
        <w:footnoteReference w:id="33"/>
      </w:r>
      <w:r w:rsidRPr="004E2BCF">
        <w:rPr>
          <w:szCs w:val="22"/>
        </w:rPr>
        <w:t xml:space="preserve"> </w:t>
      </w:r>
      <w:r w:rsidR="005444DA">
        <w:rPr>
          <w:szCs w:val="22"/>
        </w:rPr>
        <w:t>Word of God Fellowship, Inc.</w:t>
      </w:r>
      <w:r w:rsidRPr="004E2BCF" w:rsidR="00030118">
        <w:rPr>
          <w:szCs w:val="22"/>
        </w:rPr>
        <w:t xml:space="preserve"> </w:t>
      </w:r>
      <w:r w:rsidRPr="004E2BCF">
        <w:rPr>
          <w:szCs w:val="22"/>
        </w:rPr>
        <w:t xml:space="preserve">is hereby </w:t>
      </w:r>
      <w:r w:rsidRPr="004E2BCF">
        <w:rPr>
          <w:b/>
          <w:szCs w:val="22"/>
        </w:rPr>
        <w:t>NOTIFIED</w:t>
      </w:r>
      <w:r w:rsidRPr="004E2BCF">
        <w:rPr>
          <w:szCs w:val="22"/>
        </w:rPr>
        <w:t xml:space="preserve"> of its </w:t>
      </w:r>
      <w:r w:rsidRPr="004E2BCF">
        <w:rPr>
          <w:b/>
          <w:szCs w:val="22"/>
        </w:rPr>
        <w:t>APPARENT LIABILITY FOR FORFEITURE</w:t>
      </w:r>
      <w:r w:rsidRPr="004E2BCF">
        <w:rPr>
          <w:szCs w:val="22"/>
        </w:rPr>
        <w:t xml:space="preserve"> in the amount of </w:t>
      </w:r>
      <w:r w:rsidR="00D17C7A">
        <w:rPr>
          <w:szCs w:val="22"/>
        </w:rPr>
        <w:t>nine</w:t>
      </w:r>
      <w:r w:rsidRPr="004E2BCF" w:rsidR="00A973FD">
        <w:rPr>
          <w:szCs w:val="22"/>
        </w:rPr>
        <w:t xml:space="preserve"> </w:t>
      </w:r>
      <w:r w:rsidRPr="004E2BCF" w:rsidR="0095363A">
        <w:rPr>
          <w:szCs w:val="22"/>
        </w:rPr>
        <w:t>thousand</w:t>
      </w:r>
      <w:r w:rsidRPr="004E2BCF" w:rsidR="00151BC1">
        <w:rPr>
          <w:szCs w:val="22"/>
        </w:rPr>
        <w:t xml:space="preserve"> </w:t>
      </w:r>
      <w:r w:rsidR="005444DA">
        <w:rPr>
          <w:szCs w:val="22"/>
        </w:rPr>
        <w:t>five</w:t>
      </w:r>
      <w:r w:rsidRPr="004E2BCF" w:rsidR="00A973FD">
        <w:rPr>
          <w:szCs w:val="22"/>
        </w:rPr>
        <w:t xml:space="preserve"> hundred </w:t>
      </w:r>
      <w:r w:rsidRPr="004E2BCF">
        <w:rPr>
          <w:szCs w:val="22"/>
        </w:rPr>
        <w:t>dollars ($</w:t>
      </w:r>
      <w:r w:rsidR="00D17C7A">
        <w:rPr>
          <w:szCs w:val="22"/>
        </w:rPr>
        <w:t>9</w:t>
      </w:r>
      <w:r w:rsidRPr="004E2BCF" w:rsidR="0095363A">
        <w:rPr>
          <w:szCs w:val="22"/>
        </w:rPr>
        <w:t>,</w:t>
      </w:r>
      <w:r w:rsidRPr="004E2BCF" w:rsidR="004D7764">
        <w:rPr>
          <w:szCs w:val="22"/>
        </w:rPr>
        <w:t>5</w:t>
      </w:r>
      <w:r w:rsidRPr="004E2BCF" w:rsidR="00030118">
        <w:rPr>
          <w:szCs w:val="22"/>
        </w:rPr>
        <w:t>0</w:t>
      </w:r>
      <w:r w:rsidRPr="004E2BCF" w:rsidR="00341018">
        <w:rPr>
          <w:szCs w:val="22"/>
        </w:rPr>
        <w:t>0</w:t>
      </w:r>
      <w:r w:rsidRPr="004E2BCF">
        <w:rPr>
          <w:szCs w:val="22"/>
        </w:rPr>
        <w:t>) for its apparent willful violation</w:t>
      </w:r>
      <w:r w:rsidR="00367C3B">
        <w:rPr>
          <w:szCs w:val="22"/>
        </w:rPr>
        <w:t>s</w:t>
      </w:r>
      <w:r w:rsidRPr="004E2BCF">
        <w:rPr>
          <w:szCs w:val="22"/>
        </w:rPr>
        <w:t xml:space="preserve"> of section</w:t>
      </w:r>
      <w:r w:rsidR="00367C3B">
        <w:rPr>
          <w:szCs w:val="22"/>
        </w:rPr>
        <w:t>s</w:t>
      </w:r>
      <w:r w:rsidRPr="004E2BCF">
        <w:rPr>
          <w:szCs w:val="22"/>
        </w:rPr>
        <w:t xml:space="preserve"> </w:t>
      </w:r>
      <w:r w:rsidRPr="004E2BCF" w:rsidR="001B172D">
        <w:rPr>
          <w:szCs w:val="22"/>
        </w:rPr>
        <w:t>73.3598(a)</w:t>
      </w:r>
      <w:r w:rsidRPr="004E2BCF">
        <w:rPr>
          <w:szCs w:val="22"/>
        </w:rPr>
        <w:t xml:space="preserve"> </w:t>
      </w:r>
      <w:r w:rsidR="00367C3B">
        <w:rPr>
          <w:szCs w:val="22"/>
        </w:rPr>
        <w:t xml:space="preserve">and 73.1635(a) </w:t>
      </w:r>
      <w:r w:rsidRPr="004E2BCF">
        <w:rPr>
          <w:szCs w:val="22"/>
        </w:rPr>
        <w:t>of the Commission’s rules and</w:t>
      </w:r>
      <w:r w:rsidR="00367C3B">
        <w:rPr>
          <w:szCs w:val="22"/>
        </w:rPr>
        <w:t xml:space="preserve"> its</w:t>
      </w:r>
      <w:r w:rsidRPr="004E2BCF" w:rsidR="001B172D">
        <w:rPr>
          <w:szCs w:val="22"/>
        </w:rPr>
        <w:t xml:space="preserve"> apparent willful and repeated violation</w:t>
      </w:r>
      <w:r w:rsidR="00367C3B">
        <w:rPr>
          <w:szCs w:val="22"/>
        </w:rPr>
        <w:t>s</w:t>
      </w:r>
      <w:r w:rsidRPr="004E2BCF" w:rsidR="001B172D">
        <w:rPr>
          <w:szCs w:val="22"/>
        </w:rPr>
        <w:t xml:space="preserve"> of section 73.1745(a) of the Rules and</w:t>
      </w:r>
      <w:r w:rsidRPr="004E2BCF">
        <w:rPr>
          <w:szCs w:val="22"/>
        </w:rPr>
        <w:t xml:space="preserve"> section 301 of the Communications Act of 1934, as amended.</w:t>
      </w:r>
      <w:r>
        <w:rPr>
          <w:rStyle w:val="FootnoteReference"/>
          <w:sz w:val="22"/>
          <w:szCs w:val="22"/>
        </w:rPr>
        <w:footnoteReference w:id="34"/>
      </w:r>
    </w:p>
    <w:p w:rsidR="00451E6D" w:rsidRPr="0069400D" w:rsidP="00370748" w14:paraId="39C35A7C" w14:textId="3E5F24CA">
      <w:pPr>
        <w:pStyle w:val="ParaNum"/>
        <w:rPr>
          <w:szCs w:val="22"/>
        </w:rPr>
      </w:pPr>
      <w:r w:rsidRPr="004E2BCF">
        <w:rPr>
          <w:b/>
          <w:szCs w:val="22"/>
        </w:rPr>
        <w:t>IT IS FURTHER ORDERED</w:t>
      </w:r>
      <w:r w:rsidRPr="004E2BCF">
        <w:rPr>
          <w:szCs w:val="22"/>
        </w:rPr>
        <w:t>, pursuant to secti</w:t>
      </w:r>
      <w:r w:rsidRPr="0069400D">
        <w:rPr>
          <w:szCs w:val="22"/>
        </w:rPr>
        <w:t>on 1.80 of the Commission’s rules,</w:t>
      </w:r>
      <w:r>
        <w:rPr>
          <w:rStyle w:val="FootnoteReference"/>
          <w:sz w:val="22"/>
          <w:szCs w:val="22"/>
        </w:rPr>
        <w:footnoteReference w:id="35"/>
      </w:r>
      <w:r w:rsidRPr="0069400D">
        <w:rPr>
          <w:szCs w:val="22"/>
        </w:rPr>
        <w:t xml:space="preserve"> that, within thirty (30) days of the release date of this </w:t>
      </w:r>
      <w:r w:rsidRPr="0069400D">
        <w:rPr>
          <w:i/>
          <w:szCs w:val="22"/>
        </w:rPr>
        <w:t xml:space="preserve">NAL, </w:t>
      </w:r>
      <w:r w:rsidR="005444DA">
        <w:rPr>
          <w:iCs/>
          <w:szCs w:val="22"/>
        </w:rPr>
        <w:t>Word of God Fellowship, Inc.</w:t>
      </w:r>
      <w:r w:rsidRPr="0069400D" w:rsidR="00033120">
        <w:rPr>
          <w:iCs/>
          <w:szCs w:val="22"/>
        </w:rPr>
        <w:t xml:space="preserve"> </w:t>
      </w:r>
      <w:r w:rsidRPr="0069400D">
        <w:rPr>
          <w:b/>
          <w:bCs/>
          <w:szCs w:val="22"/>
        </w:rPr>
        <w:t>SHALL PAY</w:t>
      </w:r>
      <w:r w:rsidRPr="0069400D">
        <w:rPr>
          <w:szCs w:val="22"/>
        </w:rPr>
        <w:t xml:space="preserve"> the full amount of the proposed forfeiture or </w:t>
      </w:r>
      <w:r w:rsidRPr="0069400D">
        <w:rPr>
          <w:b/>
          <w:bCs/>
          <w:szCs w:val="22"/>
        </w:rPr>
        <w:t>SHALL FILE</w:t>
      </w:r>
      <w:r w:rsidRPr="0069400D">
        <w:rPr>
          <w:szCs w:val="22"/>
        </w:rPr>
        <w:t xml:space="preserve"> a written statement seeking reduction or cancellation of the proposed forfeiture. </w:t>
      </w:r>
    </w:p>
    <w:p w:rsidR="00451E6D" w:rsidRPr="0069400D" w:rsidP="00370748" w14:paraId="1673181F" w14:textId="413B928A">
      <w:pPr>
        <w:pStyle w:val="ParaNum"/>
        <w:rPr>
          <w:szCs w:val="22"/>
        </w:rPr>
      </w:pPr>
      <w:r w:rsidRPr="0069400D">
        <w:rPr>
          <w:szCs w:val="22"/>
        </w:rPr>
        <w:t>Payment of the forfeiture must be made by credit card, ACH (Automated Clearing House) debit from a bank account using CORES (the Commission’s online payment system),</w:t>
      </w:r>
      <w:r>
        <w:rPr>
          <w:rStyle w:val="FootnoteReference"/>
          <w:sz w:val="22"/>
          <w:szCs w:val="22"/>
        </w:rPr>
        <w:footnoteReference w:id="36"/>
      </w:r>
      <w:r w:rsidRPr="0069400D">
        <w:rPr>
          <w:szCs w:val="22"/>
        </w:rPr>
        <w:t xml:space="preserve"> or by wire transfer.  Payments by check or money order to pay a forfeiture are no longer accepted.  </w:t>
      </w:r>
      <w:r w:rsidRPr="0069400D">
        <w:rPr>
          <w:b/>
          <w:bCs/>
          <w:szCs w:val="22"/>
        </w:rPr>
        <w:t xml:space="preserve">Notification that payment has been made must be sent on the day of payment </w:t>
      </w:r>
      <w:r w:rsidRPr="0069400D" w:rsidR="00B968D2">
        <w:rPr>
          <w:b/>
          <w:bCs/>
          <w:szCs w:val="22"/>
        </w:rPr>
        <w:t xml:space="preserve">by e-mail </w:t>
      </w:r>
      <w:r w:rsidRPr="0069400D">
        <w:rPr>
          <w:b/>
          <w:bCs/>
          <w:szCs w:val="22"/>
        </w:rPr>
        <w:t xml:space="preserve">to </w:t>
      </w:r>
      <w:hyperlink r:id="rId5" w:history="1">
        <w:r w:rsidRPr="00883B8A" w:rsidR="009015AA">
          <w:rPr>
            <w:rStyle w:val="Hyperlink"/>
            <w:b/>
            <w:bCs/>
            <w:szCs w:val="22"/>
          </w:rPr>
          <w:t>Shaun.Maher@fcc.gov</w:t>
        </w:r>
      </w:hyperlink>
      <w:r w:rsidR="009015AA">
        <w:rPr>
          <w:b/>
          <w:bCs/>
          <w:szCs w:val="22"/>
        </w:rPr>
        <w:t xml:space="preserve"> and</w:t>
      </w:r>
      <w:r w:rsidRPr="0069400D" w:rsidR="00B968D2">
        <w:rPr>
          <w:rStyle w:val="Hyperlink"/>
          <w:b/>
          <w:bCs/>
          <w:szCs w:val="22"/>
        </w:rPr>
        <w:t xml:space="preserve"> VideoNAL@fcc.gov</w:t>
      </w:r>
      <w:r w:rsidRPr="0069400D">
        <w:rPr>
          <w:b/>
          <w:bCs/>
          <w:szCs w:val="22"/>
        </w:rPr>
        <w:t>.</w:t>
      </w:r>
      <w:r w:rsidRPr="0069400D">
        <w:rPr>
          <w:szCs w:val="22"/>
        </w:rPr>
        <w:t xml:space="preserve">  Below are instructions that payors should follow based on the form of payment selected:</w:t>
      </w:r>
      <w:r>
        <w:rPr>
          <w:rStyle w:val="FootnoteReference"/>
          <w:sz w:val="22"/>
          <w:szCs w:val="22"/>
        </w:rPr>
        <w:footnoteReference w:id="37"/>
      </w:r>
      <w:r w:rsidRPr="0069400D">
        <w:rPr>
          <w:szCs w:val="22"/>
        </w:rPr>
        <w:t xml:space="preserve"> </w:t>
      </w:r>
    </w:p>
    <w:p w:rsidR="00451E6D" w:rsidRPr="0069400D" w:rsidP="00862EE9" w14:paraId="58712544" w14:textId="77777777">
      <w:pPr>
        <w:widowControl/>
        <w:numPr>
          <w:ilvl w:val="0"/>
          <w:numId w:val="7"/>
        </w:numPr>
        <w:spacing w:after="120"/>
        <w:rPr>
          <w:b/>
          <w:szCs w:val="22"/>
        </w:rPr>
      </w:pPr>
      <w:r w:rsidRPr="0069400D">
        <w:rPr>
          <w:szCs w:val="22"/>
        </w:rPr>
        <w:t xml:space="preserve">Payment by wire transfer must be made to ABA Number 021030004, receiving bank TREAS/NYC, and Account Number 27000001.  A completed Form 159 must be faxed to the Federal Communications Commission at 202-418-2843 or e-mailed to </w:t>
      </w:r>
      <w:hyperlink r:id="rId6" w:history="1">
        <w:r w:rsidRPr="0069400D">
          <w:rPr>
            <w:rStyle w:val="Hyperlink"/>
            <w:szCs w:val="22"/>
          </w:rPr>
          <w:t>RROGWireFaxes@fcc.gov</w:t>
        </w:r>
      </w:hyperlink>
      <w:r w:rsidRPr="0069400D">
        <w:rPr>
          <w:szCs w:val="22"/>
        </w:rPr>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sz w:val="22"/>
          <w:szCs w:val="22"/>
        </w:rPr>
        <w:footnoteReference w:id="38"/>
      </w:r>
      <w:r w:rsidRPr="0069400D">
        <w:rPr>
          <w:szCs w:val="22"/>
        </w:rPr>
        <w:t xml:space="preserve">  For additional detail and wire transfer instructions, go to </w:t>
      </w:r>
      <w:hyperlink r:id="rId7" w:history="1">
        <w:r w:rsidRPr="0069400D">
          <w:rPr>
            <w:rStyle w:val="Hyperlink"/>
            <w:szCs w:val="22"/>
          </w:rPr>
          <w:t>https://www.fcc.gov/licensing-databases/fees/wire-transfer</w:t>
        </w:r>
      </w:hyperlink>
      <w:r w:rsidRPr="0069400D">
        <w:rPr>
          <w:szCs w:val="22"/>
        </w:rPr>
        <w:t>.</w:t>
      </w:r>
    </w:p>
    <w:p w:rsidR="00451E6D" w:rsidRPr="0069400D" w:rsidP="00370748" w14:paraId="07AF90E7" w14:textId="77777777">
      <w:pPr>
        <w:pStyle w:val="ParaNum"/>
        <w:numPr>
          <w:ilvl w:val="0"/>
          <w:numId w:val="7"/>
        </w:numPr>
        <w:rPr>
          <w:szCs w:val="22"/>
        </w:rPr>
      </w:pPr>
      <w:r w:rsidRPr="0069400D">
        <w:rPr>
          <w:szCs w:val="22"/>
        </w:rPr>
        <w:t xml:space="preserve">Payment by credit card must be made by using the Commission’s Registration System (CORES) at </w:t>
      </w:r>
      <w:hyperlink r:id="rId8" w:history="1">
        <w:r w:rsidRPr="0069400D">
          <w:rPr>
            <w:rStyle w:val="Hyperlink"/>
            <w:szCs w:val="22"/>
          </w:rPr>
          <w:t>https://apps.fcc.gov/cores/userLogin.do</w:t>
        </w:r>
      </w:hyperlink>
      <w:r w:rsidRPr="0069400D">
        <w:rPr>
          <w:szCs w:val="22"/>
        </w:rPr>
        <w:t>.  To pay by credit card, log-in using the FCC Username associated to the FRN captioned above.  If payment must be split across FRNs, complete this process for each FRN.  Next, select “Manage Existing FRNs | FRN Financial | Bills &amp; Fees” from the CORES Menu, then select FRN Financial and the view/make payments option next to the FRN.  Select the “Open Bills” tab and find the bill number associated with the NAL/Acct. No.  The bill number is the  NAL Acct. No. (e.g., NAL/Acct. No. 1912345678 would be associated with FCC Bill Number 1912345678).  After selecting the bill for payment, choose the “Pay by Credit Card” option.  Please note that there is a $24,999.99 limit on credit card transactions.</w:t>
      </w:r>
    </w:p>
    <w:p w:rsidR="00451E6D" w:rsidRPr="0069400D" w:rsidP="00370748" w14:paraId="7556904F" w14:textId="77777777">
      <w:pPr>
        <w:pStyle w:val="ParaNum"/>
        <w:widowControl/>
        <w:numPr>
          <w:ilvl w:val="0"/>
          <w:numId w:val="9"/>
        </w:numPr>
        <w:ind w:left="1080"/>
        <w:rPr>
          <w:szCs w:val="22"/>
        </w:rPr>
      </w:pPr>
      <w:r w:rsidRPr="0069400D">
        <w:rPr>
          <w:szCs w:val="22"/>
        </w:rPr>
        <w:t xml:space="preserve">Payment by ACH must be made by using the Commission’s Registration System (CORES) at </w:t>
      </w:r>
      <w:hyperlink r:id="rId9" w:history="1">
        <w:r w:rsidRPr="0069400D">
          <w:rPr>
            <w:rStyle w:val="Hyperlink"/>
            <w:szCs w:val="22"/>
          </w:rPr>
          <w:t>https://apps.fcc.gov/cores/paymentFrnLogin.do</w:t>
        </w:r>
      </w:hyperlink>
      <w:r w:rsidRPr="0069400D">
        <w:rPr>
          <w:szCs w:val="22"/>
        </w:rPr>
        <w:t>.  To pay by ACH, log in using the FRN captioned above.  If payment must be split across FRNs, complete this process for each FRN.  Next, select “Manage Existing FRNs | FRN Financial | Bills &amp; Fees” on the CORES Menu, then select FRN Financial and the view/make payments option next to the FRN.  Select the “Open Bills” tab and find the bill number associated with the NAL/Acct. No.  The bill number is the NAL/Acct. No. (e.g., NAL/Acct. No. 1912345678 would be associated with FCC Bill Number 1912345678).  Finally,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451E6D" w:rsidRPr="0069400D" w:rsidP="00370748" w14:paraId="14EB0EDA" w14:textId="77777777">
      <w:pPr>
        <w:pStyle w:val="ParaNum"/>
        <w:rPr>
          <w:szCs w:val="22"/>
        </w:rPr>
      </w:pPr>
      <w:r w:rsidRPr="0069400D">
        <w:rPr>
          <w:szCs w:val="22"/>
        </w:rPr>
        <w:t>Any request for making full payment over time under an installment plan should be sent to:  Associate Managing Director—Financial Operations, Federal Communications Commission, 45 L Street, N.E., Washington, DC 20554.</w:t>
      </w:r>
      <w:r>
        <w:rPr>
          <w:szCs w:val="22"/>
          <w:vertAlign w:val="superscript"/>
        </w:rPr>
        <w:footnoteReference w:id="39"/>
      </w:r>
      <w:r w:rsidRPr="0069400D">
        <w:rPr>
          <w:szCs w:val="22"/>
        </w:rPr>
        <w:t xml:space="preserve">  Questions regarding payment procedures should be directed to the Financial Operations Group Help Desk by phone, 1-877-480-3201 (option #6), or by e-mail at </w:t>
      </w:r>
      <w:hyperlink r:id="rId10" w:history="1">
        <w:r w:rsidRPr="0069400D">
          <w:rPr>
            <w:rStyle w:val="Hyperlink"/>
            <w:szCs w:val="22"/>
          </w:rPr>
          <w:t>ARINQUIRIES@fcc.gov</w:t>
        </w:r>
      </w:hyperlink>
      <w:r w:rsidRPr="0069400D">
        <w:rPr>
          <w:szCs w:val="22"/>
        </w:rPr>
        <w:t>.</w:t>
      </w:r>
    </w:p>
    <w:p w:rsidR="00451E6D" w:rsidRPr="0069400D" w:rsidP="004E2BCF" w14:paraId="18A58742" w14:textId="17C57089">
      <w:pPr>
        <w:pStyle w:val="ParaNum"/>
        <w:widowControl/>
        <w:rPr>
          <w:szCs w:val="22"/>
        </w:rPr>
      </w:pPr>
      <w:r w:rsidRPr="0069400D">
        <w:rPr>
          <w:szCs w:val="22"/>
        </w:rPr>
        <w:t>Any written response seeking reduction or cancellation of the proposed forfeiture must include a detailed factual statement supported by appropriate documentation and affidavits pursuant to sections 1.16 and 1.80(g)(3) of the Commission’s rules.</w:t>
      </w:r>
      <w:r>
        <w:rPr>
          <w:rStyle w:val="FootnoteReference"/>
          <w:sz w:val="22"/>
          <w:szCs w:val="22"/>
        </w:rPr>
        <w:footnoteReference w:id="40"/>
      </w:r>
      <w:r w:rsidRPr="0069400D">
        <w:rPr>
          <w:szCs w:val="22"/>
        </w:rPr>
        <w:t xml:space="preserve">  The written response must be filed with the Office of the Secretary, Federal Communications Commission, 45 L Street NE, Washington DC 20554, ATTN: Shaun Maher, Attorney, Video Division, Media Bureau, and </w:t>
      </w:r>
      <w:r w:rsidRPr="0069400D">
        <w:rPr>
          <w:b/>
          <w:szCs w:val="22"/>
        </w:rPr>
        <w:t>MUST INCLUDE</w:t>
      </w:r>
      <w:r w:rsidRPr="0069400D">
        <w:rPr>
          <w:szCs w:val="22"/>
        </w:rPr>
        <w:t xml:space="preserve"> the NAL/Acct. No. referenced above.  Filings can be sent by commercial overnight courier, or by first-class or overnight U.S. Postal Service mail.  All filings must be addressed to the Commission’s Secretary, Office of the </w:t>
      </w:r>
      <w:r w:rsidRPr="0069400D">
        <w:rPr>
          <w:szCs w:val="22"/>
        </w:rPr>
        <w:t>Secretary, Federal Communications Commission.</w:t>
      </w:r>
      <w:r>
        <w:rPr>
          <w:rStyle w:val="FootnoteReference"/>
          <w:sz w:val="22"/>
          <w:szCs w:val="22"/>
        </w:rPr>
        <w:footnoteReference w:id="41"/>
      </w:r>
      <w:r w:rsidRPr="0069400D">
        <w:rPr>
          <w:szCs w:val="22"/>
        </w:rPr>
        <w:t xml:space="preserve"> </w:t>
      </w:r>
      <w:r w:rsidRPr="0069400D">
        <w:rPr>
          <w:b/>
          <w:bCs/>
          <w:szCs w:val="22"/>
        </w:rPr>
        <w:t xml:space="preserve">A copy </w:t>
      </w:r>
      <w:r w:rsidRPr="0069400D" w:rsidR="00490AAC">
        <w:rPr>
          <w:b/>
          <w:bCs/>
          <w:szCs w:val="22"/>
        </w:rPr>
        <w:t xml:space="preserve">must </w:t>
      </w:r>
      <w:r w:rsidRPr="0069400D">
        <w:rPr>
          <w:b/>
          <w:bCs/>
          <w:szCs w:val="22"/>
        </w:rPr>
        <w:t>also be e</w:t>
      </w:r>
      <w:r w:rsidRPr="0069400D" w:rsidR="00490AAC">
        <w:rPr>
          <w:b/>
          <w:bCs/>
          <w:szCs w:val="22"/>
        </w:rPr>
        <w:t>-</w:t>
      </w:r>
      <w:r w:rsidRPr="0069400D">
        <w:rPr>
          <w:b/>
          <w:bCs/>
          <w:szCs w:val="22"/>
        </w:rPr>
        <w:t xml:space="preserve">mailed to </w:t>
      </w:r>
      <w:hyperlink r:id="rId5" w:history="1">
        <w:r w:rsidRPr="00883B8A" w:rsidR="009015AA">
          <w:rPr>
            <w:rStyle w:val="Hyperlink"/>
            <w:b/>
            <w:bCs/>
            <w:szCs w:val="22"/>
          </w:rPr>
          <w:t>Shaun.Maher@fcc.gov</w:t>
        </w:r>
      </w:hyperlink>
      <w:r w:rsidR="009015AA">
        <w:rPr>
          <w:b/>
          <w:bCs/>
          <w:szCs w:val="22"/>
        </w:rPr>
        <w:t xml:space="preserve"> and </w:t>
      </w:r>
      <w:hyperlink r:id="rId11" w:history="1">
        <w:r w:rsidRPr="00883B8A" w:rsidR="009015AA">
          <w:rPr>
            <w:rStyle w:val="Hyperlink"/>
            <w:b/>
            <w:bCs/>
            <w:szCs w:val="22"/>
          </w:rPr>
          <w:t>VideoNAL@fcc.gov</w:t>
        </w:r>
      </w:hyperlink>
      <w:r w:rsidR="005444DA">
        <w:rPr>
          <w:b/>
          <w:bCs/>
          <w:szCs w:val="22"/>
        </w:rPr>
        <w:t xml:space="preserve"> </w:t>
      </w:r>
      <w:r w:rsidRPr="0069400D">
        <w:rPr>
          <w:b/>
          <w:bCs/>
          <w:szCs w:val="22"/>
        </w:rPr>
        <w:t>to assist in processing the response.</w:t>
      </w:r>
    </w:p>
    <w:p w:rsidR="00451E6D" w:rsidRPr="0069400D" w:rsidP="00370748" w14:paraId="21429C16" w14:textId="77777777">
      <w:pPr>
        <w:pStyle w:val="ParaNum"/>
        <w:numPr>
          <w:ilvl w:val="0"/>
          <w:numId w:val="8"/>
        </w:numPr>
        <w:tabs>
          <w:tab w:val="num" w:pos="1440"/>
        </w:tabs>
        <w:rPr>
          <w:szCs w:val="22"/>
        </w:rPr>
      </w:pPr>
      <w:r w:rsidRPr="0069400D">
        <w:rPr>
          <w:szCs w:val="22"/>
        </w:rPr>
        <w:t xml:space="preserve">Commercial overnight mail (other than U.S. Postal Service Express Mail and Priority Mail) must be sent to 9050 Junction Drive, Annapolis Junction, MD 20701. </w:t>
      </w:r>
    </w:p>
    <w:p w:rsidR="00451E6D" w:rsidRPr="0069400D" w:rsidP="00370748" w14:paraId="136AB8CF" w14:textId="77777777">
      <w:pPr>
        <w:pStyle w:val="ParaNum"/>
        <w:numPr>
          <w:ilvl w:val="0"/>
          <w:numId w:val="8"/>
        </w:numPr>
        <w:rPr>
          <w:szCs w:val="22"/>
        </w:rPr>
      </w:pPr>
      <w:r w:rsidRPr="0069400D">
        <w:rPr>
          <w:szCs w:val="22"/>
        </w:rPr>
        <w:t>Postal Service first-class, Express, and Priority mail must be addressed to 45 L Street, NE, Washington, DC 20554.</w:t>
      </w:r>
    </w:p>
    <w:p w:rsidR="00451E6D" w:rsidRPr="0069400D" w:rsidP="00370748" w14:paraId="62FC959F" w14:textId="4D6D3703">
      <w:pPr>
        <w:pStyle w:val="ParaNum"/>
        <w:rPr>
          <w:szCs w:val="22"/>
        </w:rPr>
      </w:pPr>
      <w:r w:rsidRPr="0069400D">
        <w:rPr>
          <w:szCs w:val="22"/>
        </w:rPr>
        <w:t>The Commission will not consider reducing or canceling a forfeiture in response to a claim of inability to pay unless the respondent submits:  (1)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the financial documentation submitted.  Inability to pay, however, is only one of several factors that the Commission will consider in determining the appropriate forfeiture, and we have discretion to not reduce or cancel the forfeiture if other prongs of section § 503(b)(2)(E) of the Communications Act of 1934, as amended, support that result.</w:t>
      </w:r>
      <w:r>
        <w:rPr>
          <w:szCs w:val="22"/>
          <w:vertAlign w:val="superscript"/>
        </w:rPr>
        <w:footnoteReference w:id="42"/>
      </w:r>
    </w:p>
    <w:p w:rsidR="00451E6D" w:rsidRPr="00862EE9" w:rsidP="00424A76" w14:paraId="62B56D17" w14:textId="2AACD214">
      <w:pPr>
        <w:pStyle w:val="ParaNum"/>
      </w:pPr>
      <w:r w:rsidRPr="0069400D">
        <w:rPr>
          <w:b/>
        </w:rPr>
        <w:t>IT IS FURTHER ORDERED</w:t>
      </w:r>
      <w:r w:rsidRPr="0069400D">
        <w:t xml:space="preserve"> that copies of this </w:t>
      </w:r>
      <w:r w:rsidRPr="0069400D">
        <w:rPr>
          <w:i/>
        </w:rPr>
        <w:t>NAL</w:t>
      </w:r>
      <w:r w:rsidRPr="0069400D">
        <w:t xml:space="preserve"> shall be sent by First Class and Certified Mail, Return Receipt Requested, to </w:t>
      </w:r>
      <w:r w:rsidR="005444DA">
        <w:t>Word of God Fellowship, Inc.</w:t>
      </w:r>
      <w:r w:rsidRPr="0069400D" w:rsidR="00030118">
        <w:t>,</w:t>
      </w:r>
      <w:r w:rsidR="005444DA">
        <w:t xml:space="preserve"> </w:t>
      </w:r>
      <w:r w:rsidRPr="009015AA" w:rsidR="009015AA">
        <w:rPr>
          <w:szCs w:val="22"/>
        </w:rPr>
        <w:t>3901 H</w:t>
      </w:r>
      <w:r w:rsidR="009015AA">
        <w:rPr>
          <w:szCs w:val="22"/>
        </w:rPr>
        <w:t>ighway</w:t>
      </w:r>
      <w:r w:rsidRPr="009015AA" w:rsidR="009015AA">
        <w:rPr>
          <w:szCs w:val="22"/>
        </w:rPr>
        <w:t>121 S</w:t>
      </w:r>
      <w:r w:rsidR="009015AA">
        <w:rPr>
          <w:szCs w:val="22"/>
        </w:rPr>
        <w:t xml:space="preserve">, </w:t>
      </w:r>
      <w:r w:rsidRPr="009015AA" w:rsidR="009015AA">
        <w:rPr>
          <w:szCs w:val="22"/>
        </w:rPr>
        <w:t>B</w:t>
      </w:r>
      <w:r w:rsidR="009015AA">
        <w:rPr>
          <w:szCs w:val="22"/>
        </w:rPr>
        <w:t>edford</w:t>
      </w:r>
      <w:r w:rsidRPr="009015AA" w:rsidR="009015AA">
        <w:rPr>
          <w:szCs w:val="22"/>
        </w:rPr>
        <w:t>, TX 76021</w:t>
      </w:r>
      <w:r w:rsidRPr="0069400D">
        <w:t xml:space="preserve"> as well as </w:t>
      </w:r>
      <w:r w:rsidRPr="0069400D" w:rsidR="00490AAC">
        <w:t xml:space="preserve">by </w:t>
      </w:r>
      <w:r w:rsidRPr="0069400D">
        <w:t>e-mail</w:t>
      </w:r>
      <w:r w:rsidRPr="0069400D" w:rsidR="00871373">
        <w:t xml:space="preserve"> to </w:t>
      </w:r>
      <w:hyperlink r:id="rId12" w:history="1">
        <w:r w:rsidRPr="00883B8A" w:rsidR="009015AA">
          <w:rPr>
            <w:rStyle w:val="Hyperlink"/>
          </w:rPr>
          <w:t>ARNOLD.TORRES@DAYSTAR.COM</w:t>
        </w:r>
      </w:hyperlink>
      <w:r w:rsidRPr="0069400D">
        <w:t xml:space="preserve">, and to </w:t>
      </w:r>
      <w:r w:rsidR="009015AA">
        <w:t>WOG</w:t>
      </w:r>
      <w:r w:rsidRPr="0069400D" w:rsidR="00490AAC">
        <w:t xml:space="preserve">’s </w:t>
      </w:r>
      <w:r w:rsidRPr="0069400D">
        <w:t>counsel</w:t>
      </w:r>
      <w:r w:rsidRPr="0069400D" w:rsidR="00490AAC">
        <w:t>,</w:t>
      </w:r>
      <w:r w:rsidRPr="0069400D">
        <w:t xml:space="preserve"> </w:t>
      </w:r>
      <w:r w:rsidR="009015AA">
        <w:t xml:space="preserve">Mark Denbo, Esq., 5028 Wisconsin Avenue, N.W., Suite 301, Washington, DC 20016 and emailed to: </w:t>
      </w:r>
      <w:hyperlink r:id="rId13" w:history="1">
        <w:r w:rsidRPr="0000576D" w:rsidR="00862EE9">
          <w:rPr>
            <w:rStyle w:val="Hyperlink"/>
          </w:rPr>
          <w:t>mdenbo@fccworld.com</w:t>
        </w:r>
      </w:hyperlink>
      <w:r w:rsidR="009015AA">
        <w:t>.</w:t>
      </w:r>
    </w:p>
    <w:p w:rsidR="00424A76" w:rsidP="0017296B" w14:paraId="2388B60D" w14:textId="77777777">
      <w:r>
        <w:tab/>
      </w:r>
      <w:r>
        <w:tab/>
      </w:r>
      <w:r>
        <w:tab/>
      </w:r>
      <w:r>
        <w:tab/>
      </w:r>
      <w:r>
        <w:tab/>
      </w:r>
      <w:r>
        <w:tab/>
        <w:t>FEDERAL COMMUNICATIONS COMMISSION</w:t>
      </w:r>
    </w:p>
    <w:p w:rsidR="00424A76" w:rsidP="0017296B" w14:paraId="4EBCCBC4" w14:textId="77777777"/>
    <w:p w:rsidR="00424A76" w:rsidP="0017296B" w14:paraId="67B906DF" w14:textId="77777777"/>
    <w:p w:rsidR="00424A76" w:rsidP="0017296B" w14:paraId="40498D13" w14:textId="77777777"/>
    <w:p w:rsidR="00424A76" w:rsidP="0017296B" w14:paraId="60B5F99A" w14:textId="0D5F9BB5">
      <w:r>
        <w:tab/>
      </w:r>
      <w:r>
        <w:tab/>
      </w:r>
      <w:r>
        <w:tab/>
      </w:r>
      <w:r>
        <w:tab/>
      </w:r>
      <w:r>
        <w:tab/>
      </w:r>
      <w:r>
        <w:tab/>
        <w:t>Barbara A. Kreisman</w:t>
      </w:r>
    </w:p>
    <w:p w:rsidR="00424A76" w:rsidP="0017296B" w14:paraId="403571C5" w14:textId="5C943E52">
      <w:r>
        <w:tab/>
      </w:r>
      <w:r>
        <w:tab/>
      </w:r>
      <w:r>
        <w:tab/>
      </w:r>
      <w:r>
        <w:tab/>
      </w:r>
      <w:r>
        <w:tab/>
      </w:r>
      <w:r>
        <w:tab/>
        <w:t>Chief, Video Division</w:t>
      </w:r>
    </w:p>
    <w:p w:rsidR="00424A76" w:rsidRPr="00862EE9" w:rsidP="00424A76" w14:paraId="13435AB8" w14:textId="5F716E7D">
      <w:r>
        <w:tab/>
      </w:r>
      <w:r>
        <w:tab/>
      </w:r>
      <w:r>
        <w:tab/>
      </w:r>
      <w:r>
        <w:tab/>
      </w:r>
      <w:r>
        <w:tab/>
      </w:r>
      <w:r>
        <w:tab/>
        <w:t xml:space="preserve">Media Bureau </w:t>
      </w:r>
    </w:p>
    <w:sectPr w:rsidSect="0055614C">
      <w:headerReference w:type="even" r:id="rId14"/>
      <w:headerReference w:type="default" r:id="rId15"/>
      <w:footerReference w:type="even" r:id="rId16"/>
      <w:footerReference w:type="default" r:id="rId17"/>
      <w:headerReference w:type="first" r:id="rId18"/>
      <w:footerReference w:type="first" r:id="rId1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97DA997"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4DFD4F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F064F" w14:paraId="4D7A265A" w14:textId="3AD91A3A">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2FAB4A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B3C0D" w14:paraId="70F43703" w14:textId="77777777">
      <w:r>
        <w:separator/>
      </w:r>
    </w:p>
  </w:footnote>
  <w:footnote w:type="continuationSeparator" w:id="1">
    <w:p w:rsidR="005B3C0D" w:rsidP="00C721AC" w14:paraId="7397E2B7" w14:textId="77777777">
      <w:pPr>
        <w:spacing w:before="120"/>
        <w:rPr>
          <w:sz w:val="20"/>
        </w:rPr>
      </w:pPr>
      <w:r>
        <w:rPr>
          <w:sz w:val="20"/>
        </w:rPr>
        <w:t xml:space="preserve">(Continued from previous page)  </w:t>
      </w:r>
      <w:r>
        <w:rPr>
          <w:sz w:val="20"/>
        </w:rPr>
        <w:separator/>
      </w:r>
    </w:p>
  </w:footnote>
  <w:footnote w:type="continuationNotice" w:id="2">
    <w:p w:rsidR="005B3C0D" w:rsidP="00C721AC" w14:paraId="7BE74EA9" w14:textId="77777777">
      <w:pPr>
        <w:jc w:val="right"/>
        <w:rPr>
          <w:sz w:val="20"/>
        </w:rPr>
      </w:pPr>
      <w:r>
        <w:rPr>
          <w:sz w:val="20"/>
        </w:rPr>
        <w:t>(continued….)</w:t>
      </w:r>
    </w:p>
  </w:footnote>
  <w:footnote w:id="3">
    <w:p w:rsidR="00451E6D" w:rsidRPr="0095363A" w:rsidP="00451E6D" w14:paraId="7A1204BC" w14:textId="77777777">
      <w:pPr>
        <w:pStyle w:val="FootnoteText"/>
        <w:widowControl w:val="0"/>
      </w:pPr>
      <w:r w:rsidRPr="0095363A">
        <w:rPr>
          <w:rStyle w:val="FootnoteReference"/>
        </w:rPr>
        <w:footnoteRef/>
      </w:r>
      <w:r w:rsidRPr="0095363A">
        <w:t xml:space="preserve"> This </w:t>
      </w:r>
      <w:r w:rsidRPr="0095363A">
        <w:rPr>
          <w:i/>
        </w:rPr>
        <w:t xml:space="preserve">NAL </w:t>
      </w:r>
      <w:r w:rsidRPr="0095363A">
        <w:t xml:space="preserve">is issued pursuant to sections 309(k) and 503(b) of the Communications Act of 1934, as amended (Act), and section 1.80 of the Commission’s rules (Rules).  </w:t>
      </w:r>
      <w:r w:rsidRPr="0095363A">
        <w:rPr>
          <w:i/>
        </w:rPr>
        <w:t>See</w:t>
      </w:r>
      <w:r w:rsidRPr="0095363A">
        <w:t xml:space="preserve"> 47 U.S.C. §§ 309(k), 503(b); 47 CFR § 1.80.  The Bureau has delegated authority to issue the </w:t>
      </w:r>
      <w:r w:rsidRPr="0095363A">
        <w:rPr>
          <w:i/>
          <w:iCs/>
        </w:rPr>
        <w:t>NAL</w:t>
      </w:r>
      <w:r w:rsidRPr="0095363A">
        <w:t xml:space="preserve"> under section 0.283 of the Rules.  </w:t>
      </w:r>
      <w:r w:rsidRPr="0095363A">
        <w:rPr>
          <w:i/>
        </w:rPr>
        <w:t>See</w:t>
      </w:r>
      <w:r w:rsidRPr="0095363A">
        <w:t xml:space="preserve"> 47 CFR § 0.283.</w:t>
      </w:r>
    </w:p>
  </w:footnote>
  <w:footnote w:id="4">
    <w:p w:rsidR="00451E6D" w:rsidRPr="0095363A" w:rsidP="00451E6D" w14:paraId="204C87A0" w14:textId="183FF85E">
      <w:pPr>
        <w:shd w:val="clear" w:color="auto" w:fill="FFFFFF"/>
        <w:tabs>
          <w:tab w:val="left" w:pos="125"/>
        </w:tabs>
        <w:spacing w:after="120"/>
        <w:ind w:left="14"/>
        <w:rPr>
          <w:sz w:val="20"/>
        </w:rPr>
      </w:pPr>
      <w:r w:rsidRPr="0095363A">
        <w:rPr>
          <w:rStyle w:val="FootnoteReference"/>
        </w:rPr>
        <w:footnoteRef/>
      </w:r>
      <w:r w:rsidRPr="0095363A">
        <w:rPr>
          <w:sz w:val="20"/>
        </w:rPr>
        <w:t xml:space="preserve"> </w:t>
      </w:r>
      <w:r w:rsidRPr="0095363A">
        <w:rPr>
          <w:i/>
          <w:iCs/>
          <w:sz w:val="20"/>
        </w:rPr>
        <w:t xml:space="preserve">See </w:t>
      </w:r>
      <w:r w:rsidRPr="0095363A">
        <w:rPr>
          <w:sz w:val="20"/>
        </w:rPr>
        <w:t xml:space="preserve">47 CFR § </w:t>
      </w:r>
      <w:r w:rsidRPr="0095363A" w:rsidR="001B172D">
        <w:rPr>
          <w:sz w:val="20"/>
        </w:rPr>
        <w:t>73.3598(a).</w:t>
      </w:r>
      <w:r w:rsidR="00E61EB2">
        <w:rPr>
          <w:sz w:val="20"/>
        </w:rPr>
        <w:t xml:space="preserve">  </w:t>
      </w:r>
      <w:r w:rsidRPr="00E61EB2" w:rsidR="00E61EB2">
        <w:rPr>
          <w:i/>
          <w:iCs/>
          <w:sz w:val="20"/>
        </w:rPr>
        <w:t>See also</w:t>
      </w:r>
      <w:r w:rsidRPr="00E61EB2" w:rsidR="00E61EB2">
        <w:rPr>
          <w:sz w:val="20"/>
        </w:rPr>
        <w:t xml:space="preserve"> 47 CFR § 73.1620(a) (permitting program tests upon notification to the Commission, provided that within 10 days thereafter, an application for a license is filed with the Commission).</w:t>
      </w:r>
    </w:p>
  </w:footnote>
  <w:footnote w:id="5">
    <w:p w:rsidR="00367C3B" w14:paraId="772953D5" w14:textId="7546D9EB">
      <w:pPr>
        <w:pStyle w:val="FootnoteText"/>
      </w:pPr>
      <w:r>
        <w:rPr>
          <w:rStyle w:val="FootnoteReference"/>
        </w:rPr>
        <w:footnoteRef/>
      </w:r>
      <w:r>
        <w:t xml:space="preserve"> </w:t>
      </w:r>
      <w:r w:rsidRPr="00367C3B">
        <w:t>47 CFR § 73.1</w:t>
      </w:r>
      <w:r>
        <w:t>63</w:t>
      </w:r>
      <w:r w:rsidRPr="00367C3B">
        <w:t>5</w:t>
      </w:r>
      <w:r>
        <w:t>(a)</w:t>
      </w:r>
      <w:r w:rsidRPr="00367C3B">
        <w:t>.</w:t>
      </w:r>
    </w:p>
  </w:footnote>
  <w:footnote w:id="6">
    <w:p w:rsidR="00E61EB2" w14:paraId="7D142625" w14:textId="18925986">
      <w:pPr>
        <w:pStyle w:val="FootnoteText"/>
      </w:pPr>
      <w:r>
        <w:rPr>
          <w:rStyle w:val="FootnoteReference"/>
        </w:rPr>
        <w:footnoteRef/>
      </w:r>
      <w:r>
        <w:t xml:space="preserve"> 47 CFR § 73.1745.</w:t>
      </w:r>
    </w:p>
  </w:footnote>
  <w:footnote w:id="7">
    <w:p w:rsidR="00451E6D" w:rsidRPr="0095363A" w:rsidP="00451E6D" w14:paraId="32FBCB2F" w14:textId="77777777">
      <w:pPr>
        <w:shd w:val="clear" w:color="auto" w:fill="FFFFFF"/>
        <w:tabs>
          <w:tab w:val="left" w:pos="125"/>
        </w:tabs>
        <w:spacing w:after="120"/>
        <w:ind w:left="14"/>
        <w:rPr>
          <w:sz w:val="20"/>
        </w:rPr>
      </w:pPr>
      <w:r w:rsidRPr="0095363A">
        <w:rPr>
          <w:rStyle w:val="FootnoteReference"/>
        </w:rPr>
        <w:footnoteRef/>
      </w:r>
      <w:r w:rsidRPr="0095363A">
        <w:rPr>
          <w:sz w:val="20"/>
        </w:rPr>
        <w:t xml:space="preserve"> </w:t>
      </w:r>
      <w:r w:rsidRPr="0095363A">
        <w:rPr>
          <w:i/>
          <w:sz w:val="20"/>
        </w:rPr>
        <w:t>See</w:t>
      </w:r>
      <w:r w:rsidRPr="0095363A">
        <w:rPr>
          <w:sz w:val="20"/>
        </w:rPr>
        <w:t xml:space="preserve"> 47 U.S.C. § 301.</w:t>
      </w:r>
    </w:p>
  </w:footnote>
  <w:footnote w:id="8">
    <w:p w:rsidR="008E0A2E" w:rsidRPr="008E0A2E" w14:paraId="551BEC4D" w14:textId="62A4A826">
      <w:pPr>
        <w:pStyle w:val="FootnoteText"/>
      </w:pPr>
      <w:r>
        <w:rPr>
          <w:rStyle w:val="FootnoteReference"/>
        </w:rPr>
        <w:footnoteRef/>
      </w:r>
      <w:r>
        <w:t xml:space="preserve"> </w:t>
      </w:r>
      <w:r>
        <w:rPr>
          <w:i/>
          <w:iCs/>
        </w:rPr>
        <w:t>See</w:t>
      </w:r>
      <w:r>
        <w:t xml:space="preserve"> LMS File No. 0000030456.  </w:t>
      </w:r>
    </w:p>
  </w:footnote>
  <w:footnote w:id="9">
    <w:p w:rsidR="005444DA" w14:paraId="65C54CCF" w14:textId="431F0C6E">
      <w:pPr>
        <w:pStyle w:val="FootnoteText"/>
      </w:pPr>
      <w:r>
        <w:rPr>
          <w:rStyle w:val="FootnoteReference"/>
        </w:rPr>
        <w:footnoteRef/>
      </w:r>
      <w:r>
        <w:t xml:space="preserve"> </w:t>
      </w:r>
      <w:r w:rsidRPr="005444DA">
        <w:rPr>
          <w:i/>
          <w:iCs/>
        </w:rPr>
        <w:t>See</w:t>
      </w:r>
      <w:r w:rsidRPr="005444DA">
        <w:t xml:space="preserve"> LMS File No. 0000030457</w:t>
      </w:r>
      <w:r>
        <w:t>.</w:t>
      </w:r>
    </w:p>
  </w:footnote>
  <w:footnote w:id="10">
    <w:p w:rsidR="00DD478D" w14:paraId="3D4D2441" w14:textId="2FCB8AFA">
      <w:pPr>
        <w:pStyle w:val="FootnoteText"/>
      </w:pPr>
      <w:r>
        <w:rPr>
          <w:rStyle w:val="FootnoteReference"/>
        </w:rPr>
        <w:footnoteRef/>
      </w:r>
      <w:r>
        <w:t xml:space="preserve"> </w:t>
      </w:r>
      <w:r w:rsidRPr="0095363A">
        <w:rPr>
          <w:i/>
          <w:iCs/>
        </w:rPr>
        <w:t xml:space="preserve">See </w:t>
      </w:r>
      <w:r w:rsidRPr="0095363A">
        <w:t>LMS File No. 0000</w:t>
      </w:r>
      <w:r>
        <w:t>235569</w:t>
      </w:r>
      <w:r w:rsidRPr="0095363A">
        <w:t xml:space="preserve"> (License Application)</w:t>
      </w:r>
      <w:r>
        <w:t xml:space="preserve"> at</w:t>
      </w:r>
      <w:r w:rsidRPr="00DD478D">
        <w:t xml:space="preserve"> Exhibit re: Acceptance of Late-Filed License to Cover Application - KUMO-LD at 1 (Acceptance Exhibit).</w:t>
      </w:r>
      <w:r w:rsidRPr="0095363A">
        <w:t xml:space="preserve">  </w:t>
      </w:r>
    </w:p>
  </w:footnote>
  <w:footnote w:id="11">
    <w:p w:rsidR="007A27A1" w:rsidRPr="0095363A" w:rsidP="00C87343" w14:paraId="7486207C" w14:textId="21CC6214">
      <w:pPr>
        <w:pStyle w:val="FootnoteText"/>
        <w:widowControl w:val="0"/>
      </w:pPr>
      <w:r w:rsidRPr="0095363A">
        <w:rPr>
          <w:rStyle w:val="FootnoteReference"/>
        </w:rPr>
        <w:footnoteRef/>
      </w:r>
      <w:r w:rsidRPr="0095363A">
        <w:t xml:space="preserve"> </w:t>
      </w:r>
      <w:r w:rsidR="00DD478D">
        <w:rPr>
          <w:i/>
          <w:iCs/>
        </w:rPr>
        <w:t>Id.</w:t>
      </w:r>
      <w:r w:rsidRPr="0095363A">
        <w:t>.</w:t>
      </w:r>
      <w:r w:rsidRPr="0095363A" w:rsidR="001B172D">
        <w:t xml:space="preserve">  We note that because the Displacement CP had not yet been canceled in the Commission’s Licensing and Management System (LMS), the Station w</w:t>
      </w:r>
      <w:r w:rsidR="004739DE">
        <w:t>as</w:t>
      </w:r>
      <w:r w:rsidRPr="0095363A" w:rsidR="001B172D">
        <w:t xml:space="preserve"> able to file license to cover application against </w:t>
      </w:r>
      <w:r w:rsidR="004739DE">
        <w:t>its</w:t>
      </w:r>
      <w:r w:rsidRPr="0095363A" w:rsidR="001B172D">
        <w:t xml:space="preserve"> expired permit.  Cancellation of a station’s forfeited construction permit by Bureau staff in LMS is an administerial function and does not constitute an official Commission action nor require any affirmative cancellation by the Commission.  As a result, failure by Bureau staff to cancel a forfeited construction permit in LMS does not result in an expired construction permit remaining valid.</w:t>
      </w:r>
      <w:r w:rsidR="00367C3B">
        <w:t xml:space="preserve">   </w:t>
      </w:r>
    </w:p>
  </w:footnote>
  <w:footnote w:id="12">
    <w:p w:rsidR="007A27A1" w:rsidRPr="0095363A" w14:paraId="40EDF43E" w14:textId="10636264">
      <w:pPr>
        <w:pStyle w:val="FootnoteText"/>
      </w:pPr>
      <w:r w:rsidRPr="0095363A">
        <w:rPr>
          <w:rStyle w:val="FootnoteReference"/>
        </w:rPr>
        <w:footnoteRef/>
      </w:r>
      <w:r w:rsidRPr="0095363A">
        <w:t xml:space="preserve"> </w:t>
      </w:r>
      <w:r w:rsidR="00DD478D">
        <w:rPr>
          <w:i/>
          <w:iCs/>
        </w:rPr>
        <w:t>Id.</w:t>
      </w:r>
      <w:r w:rsidR="00DD478D">
        <w:t xml:space="preserve">, </w:t>
      </w:r>
      <w:r w:rsidR="004739DE">
        <w:t>Acceptance Exhibit</w:t>
      </w:r>
      <w:r w:rsidR="00DD478D">
        <w:t xml:space="preserve"> at 1</w:t>
      </w:r>
      <w:r w:rsidRPr="004739DE" w:rsidR="004739DE">
        <w:t>.</w:t>
      </w:r>
    </w:p>
  </w:footnote>
  <w:footnote w:id="13">
    <w:p w:rsidR="004739DE" w:rsidRPr="004739DE" w14:paraId="168175E8" w14:textId="1D6DDE47">
      <w:pPr>
        <w:pStyle w:val="FootnoteText"/>
      </w:pPr>
      <w:r>
        <w:rPr>
          <w:rStyle w:val="FootnoteReference"/>
        </w:rPr>
        <w:footnoteRef/>
      </w:r>
      <w:r>
        <w:t xml:space="preserve"> </w:t>
      </w:r>
      <w:r w:rsidRPr="0066771F" w:rsidR="00367C3B">
        <w:rPr>
          <w:i/>
          <w:iCs/>
        </w:rPr>
        <w:t xml:space="preserve">Id. </w:t>
      </w:r>
      <w:r>
        <w:t>at Declaration of Arnold Torres and Robert Sparkman Invoices.</w:t>
      </w:r>
    </w:p>
  </w:footnote>
  <w:footnote w:id="14">
    <w:p w:rsidR="005444DA" w14:paraId="5DE5B3EB" w14:textId="4FB41CCB">
      <w:pPr>
        <w:pStyle w:val="FootnoteText"/>
      </w:pPr>
      <w:r>
        <w:rPr>
          <w:rStyle w:val="FootnoteReference"/>
        </w:rPr>
        <w:footnoteRef/>
      </w:r>
      <w:r>
        <w:t xml:space="preserve"> </w:t>
      </w:r>
      <w:r w:rsidRPr="0066771F" w:rsidR="00367C3B">
        <w:rPr>
          <w:i/>
          <w:iCs/>
        </w:rPr>
        <w:t>Id.</w:t>
      </w:r>
      <w:r w:rsidR="00367C3B">
        <w:t xml:space="preserve">, </w:t>
      </w:r>
      <w:r>
        <w:t>Acceptance Exhibit at 3-4.</w:t>
      </w:r>
    </w:p>
  </w:footnote>
  <w:footnote w:id="15">
    <w:p w:rsidR="004B3DDE" w:rsidRPr="0095363A" w:rsidP="004B3DDE" w14:paraId="04B36C1D" w14:textId="77777777">
      <w:pPr>
        <w:pStyle w:val="FootnoteText"/>
        <w:widowControl w:val="0"/>
      </w:pPr>
      <w:r w:rsidRPr="0095363A">
        <w:rPr>
          <w:rStyle w:val="FootnoteReference"/>
        </w:rPr>
        <w:footnoteRef/>
      </w:r>
      <w:r w:rsidRPr="0095363A">
        <w:t xml:space="preserve"> 47 U.S.C. § 503(b)(1)(B).</w:t>
      </w:r>
    </w:p>
  </w:footnote>
  <w:footnote w:id="16">
    <w:p w:rsidR="004B3DDE" w:rsidRPr="0095363A" w:rsidP="004B3DDE" w14:paraId="724739FF" w14:textId="77777777">
      <w:pPr>
        <w:pStyle w:val="FootnoteText"/>
        <w:widowControl w:val="0"/>
      </w:pPr>
      <w:r w:rsidRPr="0095363A">
        <w:rPr>
          <w:rStyle w:val="FootnoteReference"/>
        </w:rPr>
        <w:footnoteRef/>
      </w:r>
      <w:r w:rsidRPr="0095363A">
        <w:t xml:space="preserve"> </w:t>
      </w:r>
      <w:r w:rsidRPr="0095363A">
        <w:rPr>
          <w:i/>
          <w:iCs/>
        </w:rPr>
        <w:t>Id.</w:t>
      </w:r>
      <w:r w:rsidRPr="0095363A">
        <w:t xml:space="preserve">  </w:t>
      </w:r>
      <w:r w:rsidRPr="0095363A">
        <w:rPr>
          <w:i/>
        </w:rPr>
        <w:t>S</w:t>
      </w:r>
      <w:r w:rsidRPr="0095363A">
        <w:rPr>
          <w:i/>
          <w:iCs/>
        </w:rPr>
        <w:t>ee also</w:t>
      </w:r>
      <w:r w:rsidRPr="0095363A">
        <w:t xml:space="preserve"> 47 CFR § 1.80(a)(1).</w:t>
      </w:r>
    </w:p>
  </w:footnote>
  <w:footnote w:id="17">
    <w:p w:rsidR="004B3DDE" w:rsidRPr="0095363A" w:rsidP="004B3DDE" w14:paraId="3188E4F2" w14:textId="77777777">
      <w:pPr>
        <w:pStyle w:val="FootnoteText"/>
        <w:widowControl w:val="0"/>
      </w:pPr>
      <w:r w:rsidRPr="0095363A">
        <w:rPr>
          <w:rStyle w:val="FootnoteReference"/>
        </w:rPr>
        <w:footnoteRef/>
      </w:r>
      <w:r w:rsidRPr="0095363A">
        <w:t xml:space="preserve"> 47 U.S.C. § 312(f)(1).</w:t>
      </w:r>
    </w:p>
  </w:footnote>
  <w:footnote w:id="18">
    <w:p w:rsidR="004B3DDE" w:rsidRPr="0095363A" w:rsidP="004B3DDE" w14:paraId="6BC3F4BF" w14:textId="77777777">
      <w:pPr>
        <w:pStyle w:val="FootnoteText"/>
        <w:widowControl w:val="0"/>
      </w:pPr>
      <w:r w:rsidRPr="0095363A">
        <w:rPr>
          <w:rStyle w:val="FootnoteReference"/>
        </w:rPr>
        <w:footnoteRef/>
      </w:r>
      <w:r w:rsidRPr="0095363A">
        <w:rPr>
          <w:i/>
        </w:rPr>
        <w:t xml:space="preserve"> See</w:t>
      </w:r>
      <w:r w:rsidRPr="0095363A">
        <w:t xml:space="preserve"> H.R. Rep. No. 97-765, 97</w:t>
      </w:r>
      <w:r w:rsidRPr="0095363A">
        <w:rPr>
          <w:vertAlign w:val="superscript"/>
        </w:rPr>
        <w:t>th</w:t>
      </w:r>
      <w:r w:rsidRPr="0095363A">
        <w:t xml:space="preserve"> Cong. 2d Sess. 51 (1982).</w:t>
      </w:r>
    </w:p>
  </w:footnote>
  <w:footnote w:id="19">
    <w:p w:rsidR="004B3DDE" w:rsidRPr="0095363A" w:rsidP="004B3DDE" w14:paraId="5791459C" w14:textId="77777777">
      <w:pPr>
        <w:pStyle w:val="FootnoteText"/>
        <w:widowControl w:val="0"/>
      </w:pPr>
      <w:r w:rsidRPr="0095363A">
        <w:rPr>
          <w:rStyle w:val="FootnoteReference"/>
        </w:rPr>
        <w:footnoteRef/>
      </w:r>
      <w:r w:rsidRPr="0095363A">
        <w:rPr>
          <w:i/>
          <w:iCs/>
        </w:rPr>
        <w:t xml:space="preserve"> See Southern California Broad. Co.</w:t>
      </w:r>
      <w:r w:rsidRPr="0095363A">
        <w:t xml:space="preserve">, Memorandum Opinion and Order, 6 FCC Rcd 4387, 4388, para. 5 (1991), </w:t>
      </w:r>
      <w:r w:rsidRPr="0095363A">
        <w:rPr>
          <w:i/>
        </w:rPr>
        <w:t>recon. denied</w:t>
      </w:r>
      <w:r w:rsidRPr="0095363A">
        <w:t>, Memorandum Opinion and Order, 7 FCC Rcd 3454 (1992).</w:t>
      </w:r>
    </w:p>
  </w:footnote>
  <w:footnote w:id="20">
    <w:p w:rsidR="004B3DDE" w:rsidRPr="0095363A" w:rsidP="004B3DDE" w14:paraId="7B28662F" w14:textId="77777777">
      <w:pPr>
        <w:pStyle w:val="Footer"/>
        <w:spacing w:after="120"/>
        <w:rPr>
          <w:sz w:val="20"/>
        </w:rPr>
      </w:pPr>
      <w:r w:rsidRPr="0095363A">
        <w:rPr>
          <w:rStyle w:val="FootnoteReference"/>
        </w:rPr>
        <w:footnoteRef/>
      </w:r>
      <w:r w:rsidRPr="0095363A">
        <w:rPr>
          <w:sz w:val="20"/>
        </w:rPr>
        <w:t xml:space="preserve"> 47 U.S.C. § 312(f)(2). </w:t>
      </w:r>
    </w:p>
  </w:footnote>
  <w:footnote w:id="21">
    <w:p w:rsidR="00451E6D" w:rsidRPr="0095363A" w:rsidP="00451E6D" w14:paraId="676F8C8D" w14:textId="4123F3B6">
      <w:pPr>
        <w:pStyle w:val="FootnoteText"/>
        <w:widowControl w:val="0"/>
      </w:pPr>
      <w:r w:rsidRPr="0095363A">
        <w:rPr>
          <w:rStyle w:val="FootnoteReference"/>
        </w:rPr>
        <w:footnoteRef/>
      </w:r>
      <w:r w:rsidRPr="0095363A">
        <w:t xml:space="preserve"> </w:t>
      </w:r>
      <w:r w:rsidRPr="0095363A">
        <w:rPr>
          <w:i/>
          <w:iCs/>
        </w:rPr>
        <w:t>See</w:t>
      </w:r>
      <w:r w:rsidRPr="0095363A">
        <w:t xml:space="preserve"> 47 CFR § 7</w:t>
      </w:r>
      <w:r w:rsidRPr="0095363A" w:rsidR="001B172D">
        <w:t>3.3598</w:t>
      </w:r>
      <w:r w:rsidRPr="0095363A" w:rsidR="00BE67FF">
        <w:t>(a)</w:t>
      </w:r>
      <w:r w:rsidR="009015AA">
        <w:t>.</w:t>
      </w:r>
    </w:p>
  </w:footnote>
  <w:footnote w:id="22">
    <w:p w:rsidR="00BB3DBE" w:rsidRPr="0095363A" w:rsidP="00BB3DBE" w14:paraId="23DF8917" w14:textId="584CD908">
      <w:pPr>
        <w:pStyle w:val="FootnoteText"/>
        <w:widowControl w:val="0"/>
      </w:pPr>
      <w:r w:rsidRPr="0095363A">
        <w:rPr>
          <w:rStyle w:val="FootnoteReference"/>
        </w:rPr>
        <w:footnoteRef/>
      </w:r>
      <w:r w:rsidRPr="0095363A">
        <w:t xml:space="preserve"> </w:t>
      </w:r>
      <w:r w:rsidRPr="0095363A">
        <w:rPr>
          <w:i/>
          <w:iCs/>
        </w:rPr>
        <w:t>See</w:t>
      </w:r>
      <w:r w:rsidRPr="0095363A">
        <w:t xml:space="preserve"> 47 CFR §</w:t>
      </w:r>
      <w:r>
        <w:t>§</w:t>
      </w:r>
      <w:r w:rsidRPr="0095363A">
        <w:t xml:space="preserve"> 73.3598(a)</w:t>
      </w:r>
      <w:r>
        <w:t>; 73.1635(a)</w:t>
      </w:r>
      <w:r w:rsidRPr="0095363A">
        <w:t>.</w:t>
      </w:r>
    </w:p>
  </w:footnote>
  <w:footnote w:id="23">
    <w:p w:rsidR="00452726" w:rsidRPr="0095363A" w:rsidP="00452726" w14:paraId="6D834BB2" w14:textId="38A3662C">
      <w:pPr>
        <w:pStyle w:val="FootnoteText"/>
        <w:widowControl w:val="0"/>
      </w:pPr>
      <w:r w:rsidRPr="0095363A">
        <w:rPr>
          <w:rStyle w:val="FootnoteReference"/>
        </w:rPr>
        <w:footnoteRef/>
      </w:r>
      <w:r w:rsidRPr="0095363A">
        <w:t xml:space="preserve"> </w:t>
      </w:r>
      <w:r w:rsidRPr="0095363A">
        <w:rPr>
          <w:i/>
          <w:iCs/>
        </w:rPr>
        <w:t xml:space="preserve">See, </w:t>
      </w:r>
      <w:r w:rsidRPr="00225CC0">
        <w:rPr>
          <w:i/>
          <w:iCs/>
        </w:rPr>
        <w:t>e.g</w:t>
      </w:r>
      <w:r w:rsidRPr="0095363A">
        <w:t xml:space="preserve">., </w:t>
      </w:r>
      <w:r w:rsidRPr="0095363A">
        <w:rPr>
          <w:i/>
          <w:iCs/>
        </w:rPr>
        <w:t>Adrian Abramovitch, Marketing Strategy Leaders, Inc. and Marketing Leaders, Inc</w:t>
      </w:r>
      <w:r w:rsidRPr="0095363A">
        <w:t xml:space="preserve">., Forfeiture Order, 33 FCC Rcd 4663, 4674, para. 32 &amp; n.79 (2018) (“[O]ne may not “claim ignorance of the law as a defense”) (internal cites omitted); </w:t>
      </w:r>
      <w:r w:rsidRPr="0095363A">
        <w:rPr>
          <w:i/>
          <w:iCs/>
        </w:rPr>
        <w:t>PTT Phone Cards, Inc.</w:t>
      </w:r>
      <w:r w:rsidRPr="0095363A">
        <w:t xml:space="preserve">, Forfeiture Order, 30 FCC Rcd 14701, 14704, para. 10 (2015) (“PTT’s purported ignorance of the law certainly does not excuse the fact that it . . . [was] out of compliance with all of the provisions of the Act and the [Commission’s] [r]ules to which it was subject.”); </w:t>
      </w:r>
      <w:r w:rsidRPr="0095363A">
        <w:rPr>
          <w:i/>
          <w:iCs/>
        </w:rPr>
        <w:t>Southern California Broadcasting Co.</w:t>
      </w:r>
      <w:r w:rsidRPr="0095363A">
        <w:t xml:space="preserve">, Memorandum Opinion and Order, 6 FCC Rcd 4387, para 3 (1991), recon. denied, 7 FCC Rcd 3454 (1992) (stating that “inadvertence . . . is at best, ignorance of the law, which the Commission does not consider a mitigating circumstance”) (internal cite omitted); </w:t>
      </w:r>
      <w:r w:rsidRPr="0095363A">
        <w:rPr>
          <w:i/>
          <w:iCs/>
        </w:rPr>
        <w:t xml:space="preserve">see also Townsquare Media of El Paso, Inc., </w:t>
      </w:r>
      <w:r w:rsidRPr="0095363A">
        <w:t>Notice of Apparent Liability for Forfeiture, 35 FCC Rcd 6661, 6665, para. 5 &amp; n. 37 (EB 2020) (“It is immaterial whether . . . violations were inadvertent, the result of ignorance of the law, or the product of administrative oversight.”) (internal cites omitted</w:t>
      </w:r>
      <w:r w:rsidRPr="004E2BCF">
        <w:t>)</w:t>
      </w:r>
      <w:r w:rsidRPr="0095363A">
        <w:rPr>
          <w:i/>
          <w:iCs/>
        </w:rPr>
        <w:t>; Rufus Resources, LLC</w:t>
      </w:r>
      <w:r w:rsidRPr="0095363A">
        <w:t xml:space="preserve">, Forfeiture Order, 33 FCC Rcd 6793, 6794, para. 5 (MB 2018) (“It is well settled that ignorance of the [Commission’s] [r]ules does not excuse a violation.”) (internal cites omitted).     </w:t>
      </w:r>
    </w:p>
  </w:footnote>
  <w:footnote w:id="24">
    <w:p w:rsidR="00424A76" w14:paraId="7DFA0460" w14:textId="5DC849BA">
      <w:pPr>
        <w:pStyle w:val="FootnoteText"/>
      </w:pPr>
      <w:r>
        <w:rPr>
          <w:rStyle w:val="FootnoteReference"/>
        </w:rPr>
        <w:footnoteRef/>
      </w:r>
      <w:r>
        <w:t xml:space="preserve"> </w:t>
      </w:r>
      <w:r w:rsidRPr="00736321">
        <w:rPr>
          <w:i/>
          <w:iCs/>
        </w:rPr>
        <w:t>See, e.g., Roy E. Henderson</w:t>
      </w:r>
      <w:r w:rsidRPr="00736321">
        <w:t xml:space="preserve">, Memorandum Opinion and Order, 33 FCC </w:t>
      </w:r>
      <w:r w:rsidRPr="00736321">
        <w:t>Rcd</w:t>
      </w:r>
      <w:r w:rsidRPr="00736321">
        <w:t xml:space="preserve"> 3385, 3387-88, para. 6 (2018) (rejecting argument that licensee</w:t>
      </w:r>
      <w:r>
        <w:t>’</w:t>
      </w:r>
      <w:r w:rsidRPr="00736321">
        <w:t>s engineer was to blame for station</w:t>
      </w:r>
      <w:r>
        <w:t>’</w:t>
      </w:r>
      <w:r w:rsidRPr="00736321">
        <w:t>s unauthorized operations)</w:t>
      </w:r>
      <w:r>
        <w:t>.</w:t>
      </w:r>
    </w:p>
  </w:footnote>
  <w:footnote w:id="25">
    <w:p w:rsidR="00367C3B" w14:paraId="17BB58E4" w14:textId="37E2E11C">
      <w:pPr>
        <w:pStyle w:val="FootnoteText"/>
      </w:pPr>
      <w:r>
        <w:rPr>
          <w:rStyle w:val="FootnoteReference"/>
        </w:rPr>
        <w:footnoteRef/>
      </w:r>
      <w:r>
        <w:t xml:space="preserve"> We deem all operations that have occurred following the filing of the Station’s License Application, so long as they are conducted in accordance with the parameters set forth therein, to have been authorized operations.</w:t>
      </w:r>
    </w:p>
  </w:footnote>
  <w:footnote w:id="26">
    <w:p w:rsidR="003C090B" w14:paraId="7DA28557" w14:textId="41A47CB4">
      <w:pPr>
        <w:pStyle w:val="FootnoteText"/>
      </w:pPr>
      <w:r>
        <w:rPr>
          <w:rStyle w:val="FootnoteReference"/>
        </w:rPr>
        <w:footnoteRef/>
      </w:r>
      <w:r>
        <w:t xml:space="preserve"> </w:t>
      </w:r>
      <w:r w:rsidRPr="0095363A">
        <w:rPr>
          <w:i/>
        </w:rPr>
        <w:t>See</w:t>
      </w:r>
      <w:r w:rsidRPr="0095363A">
        <w:t xml:space="preserve"> 47 CFR § 73.1745(a) and 47 U.S.C. § 301.</w:t>
      </w:r>
    </w:p>
  </w:footnote>
  <w:footnote w:id="27">
    <w:p w:rsidR="00451E6D" w:rsidRPr="0095363A" w:rsidP="00451E6D" w14:paraId="56304A42" w14:textId="77777777">
      <w:pPr>
        <w:pStyle w:val="FootnoteText"/>
        <w:widowControl w:val="0"/>
      </w:pPr>
      <w:r w:rsidRPr="0095363A">
        <w:rPr>
          <w:rStyle w:val="FootnoteReference"/>
        </w:rPr>
        <w:footnoteRef/>
      </w:r>
      <w:r w:rsidRPr="0095363A">
        <w:t xml:space="preserve"> </w:t>
      </w:r>
      <w:r w:rsidRPr="0095363A">
        <w:rPr>
          <w:i/>
        </w:rPr>
        <w:t>See Forfeiture Policy Statement and Amendment of Section 1.80(b) of the Rules to Incorporate the Forfeiture Guidelines</w:t>
      </w:r>
      <w:r w:rsidRPr="0095363A">
        <w:t>,</w:t>
      </w:r>
      <w:r w:rsidRPr="0095363A">
        <w:rPr>
          <w:i/>
        </w:rPr>
        <w:t xml:space="preserve"> </w:t>
      </w:r>
      <w:r w:rsidRPr="0095363A">
        <w:t>Report and Order, 12 FCC Rcd 17087, 17113-15 (1997) (</w:t>
      </w:r>
      <w:r w:rsidRPr="0095363A">
        <w:rPr>
          <w:i/>
        </w:rPr>
        <w:t>Forfeiture Policy Statement</w:t>
      </w:r>
      <w:r w:rsidRPr="0095363A">
        <w:t xml:space="preserve">), </w:t>
      </w:r>
      <w:r w:rsidRPr="0095363A">
        <w:rPr>
          <w:i/>
        </w:rPr>
        <w:t>recon. denied</w:t>
      </w:r>
      <w:r w:rsidRPr="0095363A">
        <w:t xml:space="preserve">, Memorandum Opinion and Order, 15 FCC Rcd 303 (1999); 47 CFR § 1.80(b)(10), note to paragraph (b)(10), Section I.  </w:t>
      </w:r>
      <w:r w:rsidRPr="0095363A">
        <w:rPr>
          <w:i/>
          <w:iCs/>
        </w:rPr>
        <w:t>See also Clear Channel</w:t>
      </w:r>
      <w:r w:rsidRPr="0095363A">
        <w:t>, 26 FCC Rcd at 7157 (“</w:t>
      </w:r>
      <w:r w:rsidRPr="0095363A">
        <w:rPr>
          <w:shd w:val="clear" w:color="auto" w:fill="FFFFFF"/>
        </w:rPr>
        <w:t>We note that the staff may also issue Notices of Apparent Liability for ‘failure to file a required form’ as authorized by Section 503(b)(1)(B) of the Communications Act of 1934, as amended (the ‘Act’) and Section 1.80 of the Rules, for such violations of covering license application filing deadlines or take other enforcement action.”).</w:t>
      </w:r>
    </w:p>
  </w:footnote>
  <w:footnote w:id="28">
    <w:p w:rsidR="00451E6D" w:rsidRPr="0095363A" w:rsidP="00451E6D" w14:paraId="159D97E0" w14:textId="77777777">
      <w:pPr>
        <w:shd w:val="clear" w:color="auto" w:fill="FFFFFF"/>
        <w:spacing w:after="120"/>
        <w:rPr>
          <w:sz w:val="20"/>
        </w:rPr>
      </w:pPr>
      <w:r w:rsidRPr="0095363A">
        <w:rPr>
          <w:rStyle w:val="FootnoteReference"/>
        </w:rPr>
        <w:footnoteRef/>
      </w:r>
      <w:r w:rsidRPr="0095363A">
        <w:rPr>
          <w:sz w:val="20"/>
        </w:rPr>
        <w:t xml:space="preserve"> A broadcast station requires an authorization from the Commission to operate.  </w:t>
      </w:r>
      <w:r w:rsidRPr="0095363A">
        <w:rPr>
          <w:i/>
          <w:iCs/>
          <w:sz w:val="20"/>
        </w:rPr>
        <w:t>See</w:t>
      </w:r>
      <w:r w:rsidRPr="0095363A">
        <w:rPr>
          <w:sz w:val="20"/>
        </w:rPr>
        <w:t xml:space="preserve"> 47 U.S.C. § 301.</w:t>
      </w:r>
    </w:p>
  </w:footnote>
  <w:footnote w:id="29">
    <w:p w:rsidR="00451E6D" w:rsidRPr="0095363A" w:rsidP="005859FD" w14:paraId="59D8344E" w14:textId="09BCA2DA">
      <w:pPr>
        <w:pStyle w:val="FootnoteText"/>
        <w:keepNext/>
        <w:keepLines/>
        <w:widowControl w:val="0"/>
      </w:pPr>
      <w:r w:rsidRPr="0095363A">
        <w:rPr>
          <w:rStyle w:val="FootnoteReference"/>
        </w:rPr>
        <w:footnoteRef/>
      </w:r>
      <w:r w:rsidRPr="0095363A">
        <w:t xml:space="preserve"> 47 U.S.C. § 503(b)(2)(E); </w:t>
      </w:r>
      <w:r w:rsidRPr="0095363A">
        <w:rPr>
          <w:i/>
        </w:rPr>
        <w:t>see also Forfeiture Policy Statement</w:t>
      </w:r>
      <w:r w:rsidRPr="0095363A">
        <w:t>,</w:t>
      </w:r>
      <w:r w:rsidRPr="0095363A">
        <w:rPr>
          <w:i/>
        </w:rPr>
        <w:t xml:space="preserve"> </w:t>
      </w:r>
      <w:r w:rsidRPr="0095363A">
        <w:t>12 FCC Rcd at 17100; 47 CFR § 1.80(b)(10).</w:t>
      </w:r>
    </w:p>
  </w:footnote>
  <w:footnote w:id="30">
    <w:p w:rsidR="00873701" w14:paraId="4D888A46" w14:textId="1CD61D12">
      <w:pPr>
        <w:pStyle w:val="FootnoteText"/>
      </w:pPr>
      <w:r>
        <w:rPr>
          <w:rStyle w:val="FootnoteReference"/>
        </w:rPr>
        <w:footnoteRef/>
      </w:r>
      <w:r>
        <w:t xml:space="preserve"> </w:t>
      </w:r>
      <w:r w:rsidRPr="0095363A">
        <w:rPr>
          <w:i/>
          <w:iCs/>
        </w:rPr>
        <w:t>See</w:t>
      </w:r>
      <w:r w:rsidR="004D7764">
        <w:rPr>
          <w:i/>
          <w:iCs/>
        </w:rPr>
        <w:t>,</w:t>
      </w:r>
      <w:r w:rsidRPr="0095363A">
        <w:t xml:space="preserve"> </w:t>
      </w:r>
      <w:r w:rsidRPr="00374327">
        <w:rPr>
          <w:i/>
          <w:iCs/>
        </w:rPr>
        <w:t>e.g</w:t>
      </w:r>
      <w:r w:rsidRPr="0095363A">
        <w:t xml:space="preserve">., </w:t>
      </w:r>
      <w:r w:rsidRPr="0095363A">
        <w:rPr>
          <w:i/>
          <w:iCs/>
        </w:rPr>
        <w:t>Southwest Colorado TV Translator Association</w:t>
      </w:r>
      <w:r w:rsidRPr="0095363A">
        <w:t xml:space="preserve">, Memorandum Opinion and Order and Notice of Apparent Liability for Forfeiture, </w:t>
      </w:r>
      <w:r>
        <w:t xml:space="preserve">36 FCC Rcd 18042 (2021) </w:t>
      </w:r>
      <w:r w:rsidRPr="0095363A">
        <w:t xml:space="preserve">(reducing forfeiture for late filed application for license to cover and four months unauthorized operations </w:t>
      </w:r>
      <w:r>
        <w:t xml:space="preserve">to $3,500 </w:t>
      </w:r>
      <w:r w:rsidRPr="0095363A">
        <w:t>because station was</w:t>
      </w:r>
      <w:r>
        <w:t xml:space="preserve"> an LPTV station and providing a secondary service</w:t>
      </w:r>
      <w:r w:rsidRPr="0095363A">
        <w:t xml:space="preserve">) (paid Jan. 20, 2022); </w:t>
      </w:r>
      <w:r w:rsidRPr="005859FD">
        <w:rPr>
          <w:i/>
          <w:iCs/>
        </w:rPr>
        <w:t>Cf.</w:t>
      </w:r>
      <w:r>
        <w:t xml:space="preserve"> </w:t>
      </w:r>
      <w:r w:rsidRPr="0095363A">
        <w:rPr>
          <w:i/>
          <w:iCs/>
        </w:rPr>
        <w:t>The Estate of Ettie Clark</w:t>
      </w:r>
      <w:r w:rsidRPr="0095363A">
        <w:t xml:space="preserve">, Memorandum Opinion and Order and Notice of Apparent Liability, </w:t>
      </w:r>
      <w:r>
        <w:t>37 FCC Rcd 4111 (2022)</w:t>
      </w:r>
      <w:r w:rsidRPr="0095363A">
        <w:t xml:space="preserve"> (finding that although the station is secondary, a larger forfeiture amount </w:t>
      </w:r>
      <w:r>
        <w:t xml:space="preserve">($6,500) </w:t>
      </w:r>
      <w:r w:rsidRPr="0095363A">
        <w:t>was warranted given the lengthy period of time (over three years) the station engaged in unauthorized operation) (paid Apr. 19, 2022).</w:t>
      </w:r>
    </w:p>
  </w:footnote>
  <w:footnote w:id="31">
    <w:p w:rsidR="005444DA" w:rsidRPr="005444DA" w14:paraId="579A5CFE" w14:textId="18EF2BEB">
      <w:pPr>
        <w:pStyle w:val="FootnoteText"/>
      </w:pPr>
      <w:r>
        <w:rPr>
          <w:rStyle w:val="FootnoteReference"/>
        </w:rPr>
        <w:footnoteRef/>
      </w:r>
      <w:r>
        <w:t xml:space="preserve"> The Station’s pending application for renewal of license will likewise be considered by separate action</w:t>
      </w:r>
      <w:r w:rsidR="00367C3B">
        <w:t xml:space="preserve"> upon conclusion of this forfeiture proceeding</w:t>
      </w:r>
      <w:r>
        <w:t xml:space="preserve">.  </w:t>
      </w:r>
      <w:r>
        <w:rPr>
          <w:i/>
          <w:iCs/>
        </w:rPr>
        <w:t xml:space="preserve">See </w:t>
      </w:r>
      <w:r>
        <w:t>LMS File No. 0000149556.</w:t>
      </w:r>
    </w:p>
  </w:footnote>
  <w:footnote w:id="32">
    <w:p w:rsidR="00F714D0" w14:paraId="7690B432" w14:textId="24290399">
      <w:pPr>
        <w:pStyle w:val="FootnoteText"/>
      </w:pPr>
      <w:r>
        <w:rPr>
          <w:rStyle w:val="FootnoteReference"/>
        </w:rPr>
        <w:footnoteRef/>
      </w:r>
      <w:r>
        <w:t xml:space="preserve"> If the Station must operate at variance from these parameters it must file all required notifications and applications with the Commission. Any questions with regards to making such filings should be directed to Shaun Maher, Attorney-Advisor, Video Division, Media Bureau by e-mail at</w:t>
      </w:r>
      <w:r w:rsidR="00862EE9">
        <w:t xml:space="preserve"> </w:t>
      </w:r>
      <w:hyperlink r:id="rId1" w:history="1">
        <w:r w:rsidRPr="0000576D" w:rsidR="00862EE9">
          <w:rPr>
            <w:rStyle w:val="Hyperlink"/>
          </w:rPr>
          <w:t>Shaun.Maher@fcc.gov</w:t>
        </w:r>
      </w:hyperlink>
      <w:r w:rsidR="00862EE9">
        <w:t xml:space="preserve"> </w:t>
      </w:r>
      <w:r>
        <w:t xml:space="preserve">(legal) or Mark Colombo, Associate Division Chief, Video Division, Media Bureau by e-mail at </w:t>
      </w:r>
      <w:hyperlink r:id="rId2" w:history="1">
        <w:r w:rsidRPr="0000576D" w:rsidR="00862EE9">
          <w:rPr>
            <w:rStyle w:val="Hyperlink"/>
          </w:rPr>
          <w:t>Mark.Colombo@fcc.gov</w:t>
        </w:r>
      </w:hyperlink>
      <w:r w:rsidR="00862EE9">
        <w:t xml:space="preserve"> </w:t>
      </w:r>
      <w:r>
        <w:t>(LMS/technical).</w:t>
      </w:r>
    </w:p>
  </w:footnote>
  <w:footnote w:id="33">
    <w:p w:rsidR="00451E6D" w:rsidRPr="0095363A" w:rsidP="00451E6D" w14:paraId="585CB169" w14:textId="77777777">
      <w:pPr>
        <w:pStyle w:val="FootnoteText"/>
        <w:widowControl w:val="0"/>
      </w:pPr>
      <w:r w:rsidRPr="0095363A">
        <w:rPr>
          <w:rStyle w:val="FootnoteReference"/>
        </w:rPr>
        <w:footnoteRef/>
      </w:r>
      <w:r w:rsidRPr="0095363A">
        <w:t xml:space="preserve"> </w:t>
      </w:r>
      <w:bookmarkStart w:id="5" w:name="_Hlk63415835"/>
      <w:r w:rsidRPr="0095363A">
        <w:t>47 U.S.C. § 503(b); 47 CFR § 1.80.</w:t>
      </w:r>
      <w:bookmarkEnd w:id="5"/>
    </w:p>
  </w:footnote>
  <w:footnote w:id="34">
    <w:p w:rsidR="00451E6D" w:rsidRPr="0095363A" w:rsidP="00451E6D" w14:paraId="770EE348" w14:textId="1FF9A66A">
      <w:pPr>
        <w:pStyle w:val="FootnoteText"/>
        <w:widowControl w:val="0"/>
      </w:pPr>
      <w:r w:rsidRPr="0095363A">
        <w:rPr>
          <w:rStyle w:val="FootnoteReference"/>
        </w:rPr>
        <w:footnoteRef/>
      </w:r>
      <w:r w:rsidRPr="0095363A">
        <w:t xml:space="preserve"> 47 CFR § 7</w:t>
      </w:r>
      <w:r w:rsidRPr="0095363A" w:rsidR="00B968D2">
        <w:t xml:space="preserve">3.3598(a); </w:t>
      </w:r>
      <w:r w:rsidRPr="0095363A" w:rsidR="0095363A">
        <w:t xml:space="preserve">73.1635(a); </w:t>
      </w:r>
      <w:r w:rsidRPr="0095363A" w:rsidR="00B968D2">
        <w:t>73.1745(a)</w:t>
      </w:r>
      <w:r w:rsidRPr="0095363A">
        <w:t>; 47 U.S.C. § 301.</w:t>
      </w:r>
    </w:p>
  </w:footnote>
  <w:footnote w:id="35">
    <w:p w:rsidR="00451E6D" w:rsidRPr="0095363A" w:rsidP="00451E6D" w14:paraId="11322EB4" w14:textId="77777777">
      <w:pPr>
        <w:pStyle w:val="FootnoteText"/>
        <w:widowControl w:val="0"/>
      </w:pPr>
      <w:r w:rsidRPr="0095363A">
        <w:rPr>
          <w:rStyle w:val="FootnoteReference"/>
        </w:rPr>
        <w:footnoteRef/>
      </w:r>
      <w:r w:rsidRPr="0095363A">
        <w:t xml:space="preserve"> 47 CFR § 1.80.</w:t>
      </w:r>
    </w:p>
  </w:footnote>
  <w:footnote w:id="36">
    <w:p w:rsidR="00451E6D" w:rsidRPr="0095363A" w:rsidP="00451E6D" w14:paraId="4D367872" w14:textId="77777777">
      <w:pPr>
        <w:pStyle w:val="FootnoteText"/>
        <w:widowControl w:val="0"/>
      </w:pPr>
      <w:r w:rsidRPr="0095363A">
        <w:rPr>
          <w:rStyle w:val="FootnoteReference"/>
        </w:rPr>
        <w:footnoteRef/>
      </w:r>
      <w:r w:rsidRPr="0095363A">
        <w:t xml:space="preserve"> Payments made using CORES do not require the submission of an FCC Form 159.</w:t>
      </w:r>
    </w:p>
  </w:footnote>
  <w:footnote w:id="37">
    <w:p w:rsidR="00451E6D" w:rsidRPr="0095363A" w:rsidP="00451E6D" w14:paraId="3DB78B13" w14:textId="3F4C9C47">
      <w:pPr>
        <w:pStyle w:val="FootnoteText"/>
        <w:widowControl w:val="0"/>
      </w:pPr>
      <w:r w:rsidRPr="0095363A">
        <w:rPr>
          <w:rStyle w:val="FootnoteReference"/>
        </w:rPr>
        <w:footnoteRef/>
      </w:r>
      <w:r w:rsidRPr="0095363A">
        <w:t xml:space="preserve"> For questions regarding payment procedures, please contact the Financial Operations Group Help Desk by phone at 1-877-480-3201 (option #6), or by e-mail at</w:t>
      </w:r>
      <w:r w:rsidR="00862EE9">
        <w:t xml:space="preserve"> </w:t>
      </w:r>
      <w:hyperlink r:id="rId3" w:history="1">
        <w:r w:rsidRPr="0000576D" w:rsidR="00862EE9">
          <w:rPr>
            <w:rStyle w:val="Hyperlink"/>
          </w:rPr>
          <w:t>ARINQUIRIES@fcc.gov</w:t>
        </w:r>
      </w:hyperlink>
      <w:r w:rsidR="00862EE9">
        <w:t>.</w:t>
      </w:r>
      <w:r w:rsidRPr="0095363A">
        <w:t xml:space="preserve">  </w:t>
      </w:r>
    </w:p>
  </w:footnote>
  <w:footnote w:id="38">
    <w:p w:rsidR="00451E6D" w:rsidRPr="0095363A" w:rsidP="00451E6D" w14:paraId="455F33B1" w14:textId="580B5817">
      <w:pPr>
        <w:pStyle w:val="FootnoteText"/>
        <w:widowControl w:val="0"/>
      </w:pPr>
      <w:r w:rsidRPr="0095363A">
        <w:rPr>
          <w:rStyle w:val="FootnoteReference"/>
        </w:rPr>
        <w:footnoteRef/>
      </w:r>
      <w:r w:rsidRPr="0095363A">
        <w:t xml:space="preserve"> Instructions for completing the form may be obtained at</w:t>
      </w:r>
      <w:r w:rsidR="00862EE9">
        <w:t xml:space="preserve"> </w:t>
      </w:r>
      <w:r w:rsidRPr="00862EE9" w:rsidR="00862EE9">
        <w:t xml:space="preserve"> </w:t>
      </w:r>
      <w:hyperlink r:id="rId4" w:history="1">
        <w:r w:rsidRPr="0000576D" w:rsidR="00862EE9">
          <w:rPr>
            <w:rStyle w:val="Hyperlink"/>
          </w:rPr>
          <w:t>https://www.fcc.gov/Forms/Form159/159.pdf</w:t>
        </w:r>
      </w:hyperlink>
      <w:r w:rsidR="00862EE9">
        <w:t>.</w:t>
      </w:r>
    </w:p>
  </w:footnote>
  <w:footnote w:id="39">
    <w:p w:rsidR="00451E6D" w:rsidRPr="0095363A" w:rsidP="00451E6D" w14:paraId="704ED455" w14:textId="77777777">
      <w:pPr>
        <w:pStyle w:val="FootnoteText"/>
        <w:widowControl w:val="0"/>
      </w:pPr>
      <w:r w:rsidRPr="0095363A">
        <w:rPr>
          <w:rStyle w:val="FootnoteReference"/>
        </w:rPr>
        <w:footnoteRef/>
      </w:r>
      <w:r w:rsidRPr="0095363A">
        <w:t xml:space="preserve"> </w:t>
      </w:r>
      <w:r w:rsidRPr="0095363A">
        <w:rPr>
          <w:i/>
        </w:rPr>
        <w:t>See</w:t>
      </w:r>
      <w:r w:rsidRPr="0095363A">
        <w:t xml:space="preserve"> 47 CFR § 1.1914.</w:t>
      </w:r>
    </w:p>
  </w:footnote>
  <w:footnote w:id="40">
    <w:p w:rsidR="00451E6D" w:rsidRPr="0095363A" w:rsidP="00451E6D" w14:paraId="1B34A237" w14:textId="77777777">
      <w:pPr>
        <w:pStyle w:val="FootnoteText"/>
        <w:widowControl w:val="0"/>
      </w:pPr>
      <w:r w:rsidRPr="0095363A">
        <w:rPr>
          <w:rStyle w:val="FootnoteReference"/>
        </w:rPr>
        <w:footnoteRef/>
      </w:r>
      <w:r w:rsidRPr="0095363A">
        <w:t xml:space="preserve"> 47 CFR §§ 1.16 and 1.80(g)(3).</w:t>
      </w:r>
    </w:p>
  </w:footnote>
  <w:footnote w:id="41">
    <w:p w:rsidR="00451E6D" w:rsidRPr="0095363A" w:rsidP="004E2BCF" w14:paraId="4D3FC9A8" w14:textId="77777777">
      <w:pPr>
        <w:pStyle w:val="FootnoteText"/>
        <w:keepNext/>
        <w:keepLines/>
        <w:widowControl w:val="0"/>
      </w:pPr>
      <w:r w:rsidRPr="0095363A">
        <w:rPr>
          <w:rStyle w:val="FootnoteReference"/>
        </w:rPr>
        <w:footnoteRef/>
      </w:r>
      <w:r w:rsidRPr="0095363A">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95363A">
        <w:rPr>
          <w:i/>
          <w:iCs/>
        </w:rPr>
        <w:t>See</w:t>
      </w:r>
      <w:r w:rsidRPr="0095363A">
        <w:t xml:space="preserve"> </w:t>
      </w:r>
      <w:r w:rsidRPr="0095363A">
        <w:rPr>
          <w:i/>
          <w:iCs/>
        </w:rPr>
        <w:t>FCC Announces Closure of FCC Headquarters Open Window and Change in Hand-Delivery Filing</w:t>
      </w:r>
      <w:r w:rsidRPr="0095363A">
        <w:t>, Public Notice, 35 FCC Rcd 2788 (2020).</w:t>
      </w:r>
    </w:p>
  </w:footnote>
  <w:footnote w:id="42">
    <w:p w:rsidR="00451E6D" w:rsidRPr="0095363A" w:rsidP="00451E6D" w14:paraId="23281C48" w14:textId="77777777">
      <w:pPr>
        <w:pStyle w:val="FootnoteText"/>
        <w:widowControl w:val="0"/>
      </w:pPr>
      <w:r w:rsidRPr="0095363A">
        <w:rPr>
          <w:rStyle w:val="FootnoteReference"/>
        </w:rPr>
        <w:footnoteRef/>
      </w:r>
      <w:r w:rsidRPr="0095363A">
        <w:t xml:space="preserve"> </w:t>
      </w:r>
      <w:r w:rsidRPr="0095363A">
        <w:rPr>
          <w:i/>
          <w:iCs/>
        </w:rPr>
        <w:t xml:space="preserve">See </w:t>
      </w:r>
      <w:r w:rsidRPr="0095363A">
        <w:t xml:space="preserve">47 U.S.C. 503(b)(2)(E); </w:t>
      </w:r>
      <w:r w:rsidRPr="0095363A">
        <w:rPr>
          <w:i/>
          <w:iCs/>
        </w:rPr>
        <w:t>Adrian Abramovich</w:t>
      </w:r>
      <w:r w:rsidRPr="0095363A">
        <w:t>, Forfeiture Order, 33 FCC Rcd 4663, 4678-79, paras. 44-45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35DB" w14:paraId="1456F12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F40B1F" w14:paraId="386DCF4D" w14:textId="532F52F0">
    <w:pPr>
      <w:pStyle w:val="Header"/>
    </w:pPr>
    <w:r>
      <w:tab/>
      <w:t>Federal Communications Commission</w:t>
    </w:r>
    <w:r>
      <w:tab/>
    </w:r>
    <w:r w:rsidR="00451E6D">
      <w:t xml:space="preserve">DA </w:t>
    </w:r>
    <w:r w:rsidR="00451E6D">
      <w:t>2</w:t>
    </w:r>
    <w:r w:rsidR="008E0A2E">
      <w:t>4</w:t>
    </w:r>
    <w:r w:rsidR="00451E6D">
      <w:t>-</w:t>
    </w:r>
    <w:r w:rsidR="000935DB">
      <w:t>246</w:t>
    </w:r>
  </w:p>
  <w:p w:rsidR="00D25FB5" w14:paraId="67B68F64" w14:textId="51514B8A">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61A7E809"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F40B1F" w14:paraId="3AE21CA1" w14:textId="4230CC6D">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451E6D">
      <w:rPr>
        <w:spacing w:val="-2"/>
      </w:rPr>
      <w:t>DA 2</w:t>
    </w:r>
    <w:r w:rsidR="008E0A2E">
      <w:rPr>
        <w:spacing w:val="-2"/>
      </w:rPr>
      <w:t>4</w:t>
    </w:r>
    <w:r w:rsidR="00451E6D">
      <w:rPr>
        <w:spacing w:val="-2"/>
      </w:rPr>
      <w:t>-</w:t>
    </w:r>
    <w:r w:rsidR="000935DB">
      <w:rPr>
        <w:spacing w:val="-2"/>
      </w:rPr>
      <w:t>246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1C798E"/>
    <w:multiLevelType w:val="hybridMultilevel"/>
    <w:tmpl w:val="380C89E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69B50972"/>
    <w:multiLevelType w:val="hybridMultilevel"/>
    <w:tmpl w:val="2728749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5"/>
  </w:num>
  <w:num w:numId="4">
    <w:abstractNumId w:val="6"/>
  </w:num>
  <w:num w:numId="5">
    <w:abstractNumId w:val="3"/>
  </w:num>
  <w:num w:numId="6">
    <w:abstractNumId w:val="1"/>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E6D"/>
    <w:rsid w:val="0000576D"/>
    <w:rsid w:val="00016E52"/>
    <w:rsid w:val="00027D6A"/>
    <w:rsid w:val="00030118"/>
    <w:rsid w:val="00033120"/>
    <w:rsid w:val="00036039"/>
    <w:rsid w:val="00037F90"/>
    <w:rsid w:val="0004403A"/>
    <w:rsid w:val="000875BF"/>
    <w:rsid w:val="000935DB"/>
    <w:rsid w:val="00095A66"/>
    <w:rsid w:val="00096D8C"/>
    <w:rsid w:val="000B7CA1"/>
    <w:rsid w:val="000C0B65"/>
    <w:rsid w:val="000C641B"/>
    <w:rsid w:val="000E05FE"/>
    <w:rsid w:val="000E3D42"/>
    <w:rsid w:val="00100B8B"/>
    <w:rsid w:val="00105E26"/>
    <w:rsid w:val="00114ABA"/>
    <w:rsid w:val="00115316"/>
    <w:rsid w:val="00121DD9"/>
    <w:rsid w:val="00122BD5"/>
    <w:rsid w:val="00123385"/>
    <w:rsid w:val="001301EC"/>
    <w:rsid w:val="00133F79"/>
    <w:rsid w:val="0013686E"/>
    <w:rsid w:val="00151BC1"/>
    <w:rsid w:val="001660CD"/>
    <w:rsid w:val="00171A29"/>
    <w:rsid w:val="0017296B"/>
    <w:rsid w:val="001826D3"/>
    <w:rsid w:val="00186728"/>
    <w:rsid w:val="00194A66"/>
    <w:rsid w:val="00197D5D"/>
    <w:rsid w:val="001A79DA"/>
    <w:rsid w:val="001B172D"/>
    <w:rsid w:val="001C2A29"/>
    <w:rsid w:val="001D0C64"/>
    <w:rsid w:val="001D541D"/>
    <w:rsid w:val="001D6BCF"/>
    <w:rsid w:val="001E01CA"/>
    <w:rsid w:val="001E03EB"/>
    <w:rsid w:val="001E56F8"/>
    <w:rsid w:val="001E69A3"/>
    <w:rsid w:val="00200B81"/>
    <w:rsid w:val="00201A24"/>
    <w:rsid w:val="002078C5"/>
    <w:rsid w:val="00212C5A"/>
    <w:rsid w:val="00225CC0"/>
    <w:rsid w:val="00230EC9"/>
    <w:rsid w:val="00275CF5"/>
    <w:rsid w:val="0028301F"/>
    <w:rsid w:val="002837FF"/>
    <w:rsid w:val="00285017"/>
    <w:rsid w:val="00291252"/>
    <w:rsid w:val="00291BA4"/>
    <w:rsid w:val="00295C58"/>
    <w:rsid w:val="0029708C"/>
    <w:rsid w:val="002A2D2E"/>
    <w:rsid w:val="002A4269"/>
    <w:rsid w:val="002C00E8"/>
    <w:rsid w:val="002D1D3E"/>
    <w:rsid w:val="002F16F9"/>
    <w:rsid w:val="00320D59"/>
    <w:rsid w:val="00341018"/>
    <w:rsid w:val="00343749"/>
    <w:rsid w:val="00364F7E"/>
    <w:rsid w:val="003660ED"/>
    <w:rsid w:val="00367C3B"/>
    <w:rsid w:val="00370748"/>
    <w:rsid w:val="00371FE6"/>
    <w:rsid w:val="00374327"/>
    <w:rsid w:val="003B0550"/>
    <w:rsid w:val="003B694F"/>
    <w:rsid w:val="003B7BB5"/>
    <w:rsid w:val="003C090B"/>
    <w:rsid w:val="003F171C"/>
    <w:rsid w:val="00400FA3"/>
    <w:rsid w:val="00412FC5"/>
    <w:rsid w:val="00414BDD"/>
    <w:rsid w:val="00422276"/>
    <w:rsid w:val="004242F1"/>
    <w:rsid w:val="00424A76"/>
    <w:rsid w:val="004410E5"/>
    <w:rsid w:val="00445A00"/>
    <w:rsid w:val="00451B0F"/>
    <w:rsid w:val="00451E6D"/>
    <w:rsid w:val="00452726"/>
    <w:rsid w:val="004739DE"/>
    <w:rsid w:val="004860B3"/>
    <w:rsid w:val="00490AAC"/>
    <w:rsid w:val="004A2EC8"/>
    <w:rsid w:val="004B3DDE"/>
    <w:rsid w:val="004B4372"/>
    <w:rsid w:val="004B4A39"/>
    <w:rsid w:val="004B691A"/>
    <w:rsid w:val="004C2EE3"/>
    <w:rsid w:val="004D7764"/>
    <w:rsid w:val="004E2BCF"/>
    <w:rsid w:val="004E4A22"/>
    <w:rsid w:val="004E7EB9"/>
    <w:rsid w:val="00500654"/>
    <w:rsid w:val="00511968"/>
    <w:rsid w:val="00525BED"/>
    <w:rsid w:val="005368B7"/>
    <w:rsid w:val="005444DA"/>
    <w:rsid w:val="005473D0"/>
    <w:rsid w:val="00553D24"/>
    <w:rsid w:val="0055614C"/>
    <w:rsid w:val="00566D06"/>
    <w:rsid w:val="005859FD"/>
    <w:rsid w:val="00592B89"/>
    <w:rsid w:val="005B3C0D"/>
    <w:rsid w:val="005D0FB9"/>
    <w:rsid w:val="005E14C2"/>
    <w:rsid w:val="00607BA5"/>
    <w:rsid w:val="0061180A"/>
    <w:rsid w:val="006143B1"/>
    <w:rsid w:val="006240AB"/>
    <w:rsid w:val="00625E62"/>
    <w:rsid w:val="00626EB6"/>
    <w:rsid w:val="00640FC2"/>
    <w:rsid w:val="00641EEE"/>
    <w:rsid w:val="0065510E"/>
    <w:rsid w:val="00655D03"/>
    <w:rsid w:val="00661961"/>
    <w:rsid w:val="0066771F"/>
    <w:rsid w:val="00683388"/>
    <w:rsid w:val="00683F84"/>
    <w:rsid w:val="0069400D"/>
    <w:rsid w:val="006A27EE"/>
    <w:rsid w:val="006A6A81"/>
    <w:rsid w:val="006F11AF"/>
    <w:rsid w:val="006F7393"/>
    <w:rsid w:val="0070224F"/>
    <w:rsid w:val="007115F7"/>
    <w:rsid w:val="00714671"/>
    <w:rsid w:val="00727B4B"/>
    <w:rsid w:val="00736321"/>
    <w:rsid w:val="00742C44"/>
    <w:rsid w:val="00745A85"/>
    <w:rsid w:val="00766633"/>
    <w:rsid w:val="00767906"/>
    <w:rsid w:val="00770127"/>
    <w:rsid w:val="007732A2"/>
    <w:rsid w:val="00781320"/>
    <w:rsid w:val="00783A23"/>
    <w:rsid w:val="00785689"/>
    <w:rsid w:val="00785986"/>
    <w:rsid w:val="007869A0"/>
    <w:rsid w:val="0079754B"/>
    <w:rsid w:val="007A1E6D"/>
    <w:rsid w:val="007A27A1"/>
    <w:rsid w:val="007B0EB2"/>
    <w:rsid w:val="007B20CD"/>
    <w:rsid w:val="007B71C8"/>
    <w:rsid w:val="007C013F"/>
    <w:rsid w:val="007F416D"/>
    <w:rsid w:val="007F5988"/>
    <w:rsid w:val="00802404"/>
    <w:rsid w:val="00806549"/>
    <w:rsid w:val="00810B6F"/>
    <w:rsid w:val="00822CE0"/>
    <w:rsid w:val="00831C99"/>
    <w:rsid w:val="00841AB1"/>
    <w:rsid w:val="00844D53"/>
    <w:rsid w:val="00862DC2"/>
    <w:rsid w:val="00862EE9"/>
    <w:rsid w:val="00871373"/>
    <w:rsid w:val="00873701"/>
    <w:rsid w:val="00883B8A"/>
    <w:rsid w:val="008C68F1"/>
    <w:rsid w:val="008E0A2E"/>
    <w:rsid w:val="008F064F"/>
    <w:rsid w:val="008F50EC"/>
    <w:rsid w:val="009015AA"/>
    <w:rsid w:val="0091021E"/>
    <w:rsid w:val="00921803"/>
    <w:rsid w:val="009226C6"/>
    <w:rsid w:val="00922CCB"/>
    <w:rsid w:val="00926081"/>
    <w:rsid w:val="00926503"/>
    <w:rsid w:val="00935F0D"/>
    <w:rsid w:val="00936573"/>
    <w:rsid w:val="0095363A"/>
    <w:rsid w:val="009726D8"/>
    <w:rsid w:val="0098795C"/>
    <w:rsid w:val="0099186F"/>
    <w:rsid w:val="009934BF"/>
    <w:rsid w:val="009D5578"/>
    <w:rsid w:val="009D7308"/>
    <w:rsid w:val="009F112F"/>
    <w:rsid w:val="009F76DB"/>
    <w:rsid w:val="00A03AAF"/>
    <w:rsid w:val="00A32C3B"/>
    <w:rsid w:val="00A45F4F"/>
    <w:rsid w:val="00A57F1A"/>
    <w:rsid w:val="00A600A9"/>
    <w:rsid w:val="00A62798"/>
    <w:rsid w:val="00A6425A"/>
    <w:rsid w:val="00A70905"/>
    <w:rsid w:val="00A77E20"/>
    <w:rsid w:val="00A92116"/>
    <w:rsid w:val="00A973FD"/>
    <w:rsid w:val="00AA55B7"/>
    <w:rsid w:val="00AA5B9E"/>
    <w:rsid w:val="00AB2407"/>
    <w:rsid w:val="00AB53DF"/>
    <w:rsid w:val="00AC1708"/>
    <w:rsid w:val="00AD3CFD"/>
    <w:rsid w:val="00AF4A48"/>
    <w:rsid w:val="00B0077B"/>
    <w:rsid w:val="00B027FB"/>
    <w:rsid w:val="00B07E5C"/>
    <w:rsid w:val="00B419A5"/>
    <w:rsid w:val="00B72331"/>
    <w:rsid w:val="00B811F7"/>
    <w:rsid w:val="00B968D2"/>
    <w:rsid w:val="00BA5DC6"/>
    <w:rsid w:val="00BA6196"/>
    <w:rsid w:val="00BB3DBE"/>
    <w:rsid w:val="00BB4197"/>
    <w:rsid w:val="00BC5864"/>
    <w:rsid w:val="00BC6D8C"/>
    <w:rsid w:val="00BE67FF"/>
    <w:rsid w:val="00C34006"/>
    <w:rsid w:val="00C36B4C"/>
    <w:rsid w:val="00C426B1"/>
    <w:rsid w:val="00C54F77"/>
    <w:rsid w:val="00C66160"/>
    <w:rsid w:val="00C721AC"/>
    <w:rsid w:val="00C836CA"/>
    <w:rsid w:val="00C87343"/>
    <w:rsid w:val="00C90D6A"/>
    <w:rsid w:val="00C91238"/>
    <w:rsid w:val="00CA247E"/>
    <w:rsid w:val="00CA4149"/>
    <w:rsid w:val="00CA6D21"/>
    <w:rsid w:val="00CC1539"/>
    <w:rsid w:val="00CC2B28"/>
    <w:rsid w:val="00CC72B6"/>
    <w:rsid w:val="00D0218D"/>
    <w:rsid w:val="00D0774D"/>
    <w:rsid w:val="00D17C7A"/>
    <w:rsid w:val="00D25FB5"/>
    <w:rsid w:val="00D33D80"/>
    <w:rsid w:val="00D422A9"/>
    <w:rsid w:val="00D44223"/>
    <w:rsid w:val="00D5028D"/>
    <w:rsid w:val="00D554FA"/>
    <w:rsid w:val="00D62AAC"/>
    <w:rsid w:val="00D71713"/>
    <w:rsid w:val="00D740E2"/>
    <w:rsid w:val="00D92BC2"/>
    <w:rsid w:val="00DA2529"/>
    <w:rsid w:val="00DB130A"/>
    <w:rsid w:val="00DB2EBB"/>
    <w:rsid w:val="00DC10A1"/>
    <w:rsid w:val="00DC4F63"/>
    <w:rsid w:val="00DC5578"/>
    <w:rsid w:val="00DC655F"/>
    <w:rsid w:val="00DD0B59"/>
    <w:rsid w:val="00DD478D"/>
    <w:rsid w:val="00DD7EBD"/>
    <w:rsid w:val="00DF3419"/>
    <w:rsid w:val="00DF62B6"/>
    <w:rsid w:val="00E05503"/>
    <w:rsid w:val="00E07225"/>
    <w:rsid w:val="00E3176E"/>
    <w:rsid w:val="00E3301E"/>
    <w:rsid w:val="00E5292E"/>
    <w:rsid w:val="00E5409F"/>
    <w:rsid w:val="00E61EB2"/>
    <w:rsid w:val="00E712AF"/>
    <w:rsid w:val="00E73ECD"/>
    <w:rsid w:val="00E74D45"/>
    <w:rsid w:val="00EC070F"/>
    <w:rsid w:val="00EE6488"/>
    <w:rsid w:val="00F021FA"/>
    <w:rsid w:val="00F3036C"/>
    <w:rsid w:val="00F40B1F"/>
    <w:rsid w:val="00F564A1"/>
    <w:rsid w:val="00F62E97"/>
    <w:rsid w:val="00F63531"/>
    <w:rsid w:val="00F64209"/>
    <w:rsid w:val="00F714D0"/>
    <w:rsid w:val="00F93BF5"/>
    <w:rsid w:val="00FA6526"/>
    <w:rsid w:val="00FB0378"/>
    <w:rsid w:val="00FB2F87"/>
    <w:rsid w:val="00FD4C5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D5EF386"/>
  <w15:chartTrackingRefBased/>
  <w15:docId w15:val="{9D93DC3E-62C1-4BA3-BF14-FC9D1454F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35DB"/>
    <w:pPr>
      <w:widowControl w:val="0"/>
    </w:pPr>
    <w:rPr>
      <w:snapToGrid w:val="0"/>
      <w:kern w:val="28"/>
      <w:sz w:val="22"/>
    </w:rPr>
  </w:style>
  <w:style w:type="paragraph" w:styleId="Heading1">
    <w:name w:val="heading 1"/>
    <w:basedOn w:val="Normal"/>
    <w:next w:val="ParaNum"/>
    <w:link w:val="Heading1Char"/>
    <w:qFormat/>
    <w:rsid w:val="000935DB"/>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0935DB"/>
    <w:pPr>
      <w:keepNext/>
      <w:numPr>
        <w:ilvl w:val="1"/>
        <w:numId w:val="3"/>
      </w:numPr>
      <w:spacing w:after="120"/>
      <w:outlineLvl w:val="1"/>
    </w:pPr>
    <w:rPr>
      <w:b/>
    </w:rPr>
  </w:style>
  <w:style w:type="paragraph" w:styleId="Heading3">
    <w:name w:val="heading 3"/>
    <w:basedOn w:val="Normal"/>
    <w:next w:val="ParaNum"/>
    <w:qFormat/>
    <w:rsid w:val="000935DB"/>
    <w:pPr>
      <w:keepNext/>
      <w:numPr>
        <w:ilvl w:val="2"/>
        <w:numId w:val="3"/>
      </w:numPr>
      <w:tabs>
        <w:tab w:val="left" w:pos="2160"/>
      </w:tabs>
      <w:spacing w:after="120"/>
      <w:outlineLvl w:val="2"/>
    </w:pPr>
    <w:rPr>
      <w:b/>
    </w:rPr>
  </w:style>
  <w:style w:type="paragraph" w:styleId="Heading4">
    <w:name w:val="heading 4"/>
    <w:basedOn w:val="Normal"/>
    <w:next w:val="ParaNum"/>
    <w:qFormat/>
    <w:rsid w:val="000935DB"/>
    <w:pPr>
      <w:keepNext/>
      <w:numPr>
        <w:ilvl w:val="3"/>
        <w:numId w:val="3"/>
      </w:numPr>
      <w:tabs>
        <w:tab w:val="left" w:pos="2880"/>
      </w:tabs>
      <w:spacing w:after="120"/>
      <w:outlineLvl w:val="3"/>
    </w:pPr>
    <w:rPr>
      <w:b/>
    </w:rPr>
  </w:style>
  <w:style w:type="paragraph" w:styleId="Heading5">
    <w:name w:val="heading 5"/>
    <w:basedOn w:val="Normal"/>
    <w:next w:val="ParaNum"/>
    <w:qFormat/>
    <w:rsid w:val="000935DB"/>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935DB"/>
    <w:pPr>
      <w:numPr>
        <w:ilvl w:val="5"/>
        <w:numId w:val="3"/>
      </w:numPr>
      <w:tabs>
        <w:tab w:val="left" w:pos="4320"/>
      </w:tabs>
      <w:spacing w:after="120"/>
      <w:outlineLvl w:val="5"/>
    </w:pPr>
    <w:rPr>
      <w:b/>
    </w:rPr>
  </w:style>
  <w:style w:type="paragraph" w:styleId="Heading7">
    <w:name w:val="heading 7"/>
    <w:basedOn w:val="Normal"/>
    <w:next w:val="ParaNum"/>
    <w:qFormat/>
    <w:rsid w:val="000935DB"/>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0935DB"/>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0935DB"/>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935D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935DB"/>
  </w:style>
  <w:style w:type="paragraph" w:customStyle="1" w:styleId="ParaNum">
    <w:name w:val="ParaNum"/>
    <w:basedOn w:val="Normal"/>
    <w:link w:val="ParaNumChar"/>
    <w:rsid w:val="000935DB"/>
    <w:pPr>
      <w:numPr>
        <w:numId w:val="2"/>
      </w:numPr>
      <w:tabs>
        <w:tab w:val="clear" w:pos="1080"/>
        <w:tab w:val="num" w:pos="1440"/>
      </w:tabs>
      <w:spacing w:after="120"/>
    </w:pPr>
  </w:style>
  <w:style w:type="paragraph" w:styleId="EndnoteText">
    <w:name w:val="endnote text"/>
    <w:basedOn w:val="Normal"/>
    <w:semiHidden/>
    <w:rsid w:val="000935DB"/>
    <w:rPr>
      <w:sz w:val="20"/>
    </w:rPr>
  </w:style>
  <w:style w:type="character" w:styleId="EndnoteReference">
    <w:name w:val="endnote reference"/>
    <w:semiHidden/>
    <w:rsid w:val="000935DB"/>
    <w:rPr>
      <w:vertAlign w:val="superscript"/>
    </w:rPr>
  </w:style>
  <w:style w:type="paragraph" w:styleId="FootnoteText">
    <w:name w:val="footnote text"/>
    <w:aliases w:val="Footnote Text Char,Footnote Text Char Char Char4 Char,Footnote Text Char1,Footnote Text Char4 Char1 Char,Footnote Text Char4 Char1 Char Char Char Char,Footnote Text Char7 Char,Footnote Text Char7 Char Char Char Char,Styl,Style 5 Char Char"/>
    <w:link w:val="FootnoteTextChar2"/>
    <w:rsid w:val="000935DB"/>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0935DB"/>
    <w:rPr>
      <w:rFonts w:ascii="Times New Roman" w:hAnsi="Times New Roman"/>
      <w:dstrike w:val="0"/>
      <w:color w:val="auto"/>
      <w:sz w:val="20"/>
      <w:vertAlign w:val="superscript"/>
    </w:rPr>
  </w:style>
  <w:style w:type="paragraph" w:styleId="TOC1">
    <w:name w:val="toc 1"/>
    <w:basedOn w:val="Normal"/>
    <w:next w:val="Normal"/>
    <w:semiHidden/>
    <w:rsid w:val="000935DB"/>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935DB"/>
    <w:pPr>
      <w:tabs>
        <w:tab w:val="left" w:pos="720"/>
        <w:tab w:val="right" w:leader="dot" w:pos="9360"/>
      </w:tabs>
      <w:suppressAutoHyphens/>
      <w:ind w:left="720" w:right="720" w:hanging="360"/>
    </w:pPr>
    <w:rPr>
      <w:noProof/>
    </w:rPr>
  </w:style>
  <w:style w:type="paragraph" w:styleId="TOC3">
    <w:name w:val="toc 3"/>
    <w:basedOn w:val="Normal"/>
    <w:next w:val="Normal"/>
    <w:semiHidden/>
    <w:rsid w:val="000935D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935D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935D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935D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935D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935D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935D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935DB"/>
    <w:pPr>
      <w:tabs>
        <w:tab w:val="right" w:pos="9360"/>
      </w:tabs>
      <w:suppressAutoHyphens/>
    </w:pPr>
  </w:style>
  <w:style w:type="character" w:customStyle="1" w:styleId="EquationCaption">
    <w:name w:val="_Equation Caption"/>
    <w:rsid w:val="000935DB"/>
  </w:style>
  <w:style w:type="paragraph" w:styleId="Header">
    <w:name w:val="header"/>
    <w:basedOn w:val="Normal"/>
    <w:autoRedefine/>
    <w:rsid w:val="000935DB"/>
    <w:pPr>
      <w:tabs>
        <w:tab w:val="center" w:pos="4680"/>
        <w:tab w:val="right" w:pos="9360"/>
      </w:tabs>
    </w:pPr>
    <w:rPr>
      <w:b/>
    </w:rPr>
  </w:style>
  <w:style w:type="paragraph" w:styleId="Footer">
    <w:name w:val="footer"/>
    <w:basedOn w:val="Normal"/>
    <w:link w:val="FooterChar"/>
    <w:uiPriority w:val="99"/>
    <w:rsid w:val="000935DB"/>
    <w:pPr>
      <w:tabs>
        <w:tab w:val="center" w:pos="4320"/>
        <w:tab w:val="right" w:pos="8640"/>
      </w:tabs>
    </w:pPr>
  </w:style>
  <w:style w:type="character" w:styleId="PageNumber">
    <w:name w:val="page number"/>
    <w:basedOn w:val="DefaultParagraphFont"/>
    <w:rsid w:val="000935DB"/>
  </w:style>
  <w:style w:type="paragraph" w:styleId="BlockText">
    <w:name w:val="Block Text"/>
    <w:basedOn w:val="Normal"/>
    <w:rsid w:val="000935DB"/>
    <w:pPr>
      <w:spacing w:after="240"/>
      <w:ind w:left="1440" w:right="1440"/>
    </w:pPr>
  </w:style>
  <w:style w:type="paragraph" w:customStyle="1" w:styleId="Paratitle">
    <w:name w:val="Para title"/>
    <w:basedOn w:val="Normal"/>
    <w:rsid w:val="000935DB"/>
    <w:pPr>
      <w:tabs>
        <w:tab w:val="center" w:pos="9270"/>
      </w:tabs>
      <w:spacing w:after="240"/>
    </w:pPr>
    <w:rPr>
      <w:spacing w:val="-2"/>
    </w:rPr>
  </w:style>
  <w:style w:type="paragraph" w:customStyle="1" w:styleId="Bullet">
    <w:name w:val="Bullet"/>
    <w:basedOn w:val="Normal"/>
    <w:rsid w:val="000935DB"/>
    <w:pPr>
      <w:tabs>
        <w:tab w:val="left" w:pos="2160"/>
      </w:tabs>
      <w:spacing w:after="220"/>
      <w:ind w:left="2160" w:hanging="720"/>
    </w:pPr>
  </w:style>
  <w:style w:type="paragraph" w:customStyle="1" w:styleId="TableFormat">
    <w:name w:val="TableFormat"/>
    <w:basedOn w:val="Bullet"/>
    <w:rsid w:val="000935DB"/>
    <w:pPr>
      <w:tabs>
        <w:tab w:val="clear" w:pos="2160"/>
        <w:tab w:val="left" w:pos="5040"/>
      </w:tabs>
      <w:ind w:left="5040" w:hanging="3600"/>
    </w:pPr>
  </w:style>
  <w:style w:type="paragraph" w:customStyle="1" w:styleId="TOCTitle">
    <w:name w:val="TOC Title"/>
    <w:basedOn w:val="Normal"/>
    <w:rsid w:val="000935D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35DB"/>
    <w:pPr>
      <w:jc w:val="center"/>
    </w:pPr>
    <w:rPr>
      <w:rFonts w:ascii="Times New Roman Bold" w:hAnsi="Times New Roman Bold"/>
      <w:b/>
      <w:bCs/>
      <w:caps/>
      <w:szCs w:val="22"/>
    </w:rPr>
  </w:style>
  <w:style w:type="character" w:styleId="Hyperlink">
    <w:name w:val="Hyperlink"/>
    <w:rsid w:val="000935DB"/>
    <w:rPr>
      <w:color w:val="0000FF"/>
      <w:u w:val="single"/>
    </w:rPr>
  </w:style>
  <w:style w:type="character" w:customStyle="1" w:styleId="FooterChar">
    <w:name w:val="Footer Char"/>
    <w:link w:val="Footer"/>
    <w:uiPriority w:val="99"/>
    <w:rsid w:val="000935DB"/>
    <w:rPr>
      <w:snapToGrid w:val="0"/>
      <w:kern w:val="28"/>
      <w:sz w:val="22"/>
    </w:rPr>
  </w:style>
  <w:style w:type="character" w:customStyle="1" w:styleId="FootnoteTextChar2">
    <w:name w:val="Footnote Text Char2"/>
    <w:aliases w:val="Footnote Text Char Char,Footnote Text Char Char Char4 Char Char,Footnote Text Char1 Char,Footnote Text Char4 Char1 Char Char,Footnote Text Char4 Char1 Char Char Char Char Char,Footnote Text Char7 Char Char,Styl Char"/>
    <w:link w:val="FootnoteText"/>
    <w:rsid w:val="00451E6D"/>
  </w:style>
  <w:style w:type="character" w:customStyle="1" w:styleId="ParaNumChar">
    <w:name w:val="ParaNum Char"/>
    <w:link w:val="ParaNum"/>
    <w:rsid w:val="00451E6D"/>
    <w:rPr>
      <w:snapToGrid w:val="0"/>
      <w:kern w:val="28"/>
      <w:sz w:val="22"/>
    </w:rPr>
  </w:style>
  <w:style w:type="character" w:customStyle="1" w:styleId="Heading1Char">
    <w:name w:val="Heading 1 Char"/>
    <w:link w:val="Heading1"/>
    <w:rsid w:val="00451E6D"/>
    <w:rPr>
      <w:rFonts w:ascii="Times New Roman Bold" w:hAnsi="Times New Roman Bold"/>
      <w:b/>
      <w:caps/>
      <w:snapToGrid w:val="0"/>
      <w:kern w:val="28"/>
      <w:sz w:val="22"/>
    </w:rPr>
  </w:style>
  <w:style w:type="character" w:styleId="CommentReference">
    <w:name w:val="annotation reference"/>
    <w:basedOn w:val="DefaultParagraphFont"/>
    <w:rsid w:val="006240AB"/>
    <w:rPr>
      <w:sz w:val="16"/>
      <w:szCs w:val="16"/>
    </w:rPr>
  </w:style>
  <w:style w:type="paragraph" w:styleId="CommentText">
    <w:name w:val="annotation text"/>
    <w:basedOn w:val="Normal"/>
    <w:link w:val="CommentTextChar"/>
    <w:rsid w:val="006240AB"/>
    <w:rPr>
      <w:sz w:val="20"/>
    </w:rPr>
  </w:style>
  <w:style w:type="character" w:customStyle="1" w:styleId="CommentTextChar">
    <w:name w:val="Comment Text Char"/>
    <w:basedOn w:val="DefaultParagraphFont"/>
    <w:link w:val="CommentText"/>
    <w:rsid w:val="006240AB"/>
    <w:rPr>
      <w:snapToGrid w:val="0"/>
      <w:kern w:val="28"/>
    </w:rPr>
  </w:style>
  <w:style w:type="paragraph" w:styleId="CommentSubject">
    <w:name w:val="annotation subject"/>
    <w:basedOn w:val="CommentText"/>
    <w:next w:val="CommentText"/>
    <w:link w:val="CommentSubjectChar"/>
    <w:rsid w:val="006240AB"/>
    <w:rPr>
      <w:b/>
      <w:bCs/>
    </w:rPr>
  </w:style>
  <w:style w:type="character" w:customStyle="1" w:styleId="CommentSubjectChar">
    <w:name w:val="Comment Subject Char"/>
    <w:basedOn w:val="CommentTextChar"/>
    <w:link w:val="CommentSubject"/>
    <w:rsid w:val="006240AB"/>
    <w:rPr>
      <w:b/>
      <w:bCs/>
      <w:snapToGrid w:val="0"/>
      <w:kern w:val="28"/>
    </w:rPr>
  </w:style>
  <w:style w:type="paragraph" w:styleId="Revision">
    <w:name w:val="Revision"/>
    <w:hidden/>
    <w:uiPriority w:val="99"/>
    <w:semiHidden/>
    <w:rsid w:val="002A4269"/>
    <w:rPr>
      <w:snapToGrid w:val="0"/>
      <w:kern w:val="28"/>
      <w:sz w:val="22"/>
    </w:rPr>
  </w:style>
  <w:style w:type="character" w:styleId="UnresolvedMention">
    <w:name w:val="Unresolved Mention"/>
    <w:basedOn w:val="DefaultParagraphFont"/>
    <w:uiPriority w:val="99"/>
    <w:semiHidden/>
    <w:unhideWhenUsed/>
    <w:rsid w:val="00FB2F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ARINQUIRIES@fcc.gov" TargetMode="External" /><Relationship Id="rId11" Type="http://schemas.openxmlformats.org/officeDocument/2006/relationships/hyperlink" Target="mailto:VideoNAL@fcc.gov" TargetMode="External" /><Relationship Id="rId12" Type="http://schemas.openxmlformats.org/officeDocument/2006/relationships/hyperlink" Target="mailto:ARNOLD.TORRES@DAYSTAR.COM" TargetMode="External" /><Relationship Id="rId13" Type="http://schemas.openxmlformats.org/officeDocument/2006/relationships/hyperlink" Target="mailto:mdenbo@fccworld.com" TargetMode="External" /><Relationship Id="rId14" Type="http://schemas.openxmlformats.org/officeDocument/2006/relationships/header" Target="header1.xml" /><Relationship Id="rId15" Type="http://schemas.openxmlformats.org/officeDocument/2006/relationships/header" Target="header2.xml" /><Relationship Id="rId16" Type="http://schemas.openxmlformats.org/officeDocument/2006/relationships/footer" Target="footer1.xml" /><Relationship Id="rId17" Type="http://schemas.openxmlformats.org/officeDocument/2006/relationships/footer" Target="footer2.xml" /><Relationship Id="rId18" Type="http://schemas.openxmlformats.org/officeDocument/2006/relationships/header" Target="header3.xml" /><Relationship Id="rId19" Type="http://schemas.openxmlformats.org/officeDocument/2006/relationships/footer" Target="footer3.xml" /><Relationship Id="rId2" Type="http://schemas.openxmlformats.org/officeDocument/2006/relationships/settings" Target="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Shaun.Maher@fcc.gov" TargetMode="External" /><Relationship Id="rId6" Type="http://schemas.openxmlformats.org/officeDocument/2006/relationships/hyperlink" Target="mailto:RROGWireFaxes@fcc.gov" TargetMode="External" /><Relationship Id="rId7" Type="http://schemas.openxmlformats.org/officeDocument/2006/relationships/hyperlink" Target="https://www.fcc.gov/licensing-databases/fees/wire-transfer" TargetMode="External" /><Relationship Id="rId8" Type="http://schemas.openxmlformats.org/officeDocument/2006/relationships/hyperlink" Target="https://apps.fcc.gov/cores/userLogin.do" TargetMode="External" /><Relationship Id="rId9" Type="http://schemas.openxmlformats.org/officeDocument/2006/relationships/hyperlink" Target="https://apps.fcc.gov/cores/paymentFrnLogin.do"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mailto:Shaun.Maher@fcc.gov" TargetMode="External" /><Relationship Id="rId2" Type="http://schemas.openxmlformats.org/officeDocument/2006/relationships/hyperlink" Target="mailto:Mark.Colombo@fcc.gov" TargetMode="External" /><Relationship Id="rId3" Type="http://schemas.openxmlformats.org/officeDocument/2006/relationships/hyperlink" Target="mailto:ARINQUIRIES@fcc.gov" TargetMode="External" /><Relationship Id="rId4" Type="http://schemas.openxmlformats.org/officeDocument/2006/relationships/hyperlink" Target="https://www.fcc.gov/Forms/Form159/159.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